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8B60E6" w14:textId="213CCA3B" w:rsidR="008D21BB" w:rsidRDefault="000F625D" w:rsidP="008D21BB">
      <w:pPr>
        <w:spacing w:line="240" w:lineRule="auto"/>
        <w:rPr>
          <w:sz w:val="6"/>
        </w:rPr>
      </w:pPr>
      <w:bookmarkStart w:id="0" w:name="DocPart1"/>
      <w:r>
        <w:rPr>
          <w:rStyle w:val="CommentReference"/>
          <w:rFonts w:eastAsia="SimSun"/>
          <w:szCs w:val="20"/>
        </w:rPr>
        <w:commentReference w:id="1"/>
      </w:r>
    </w:p>
    <w:p w14:paraId="3426FF1E" w14:textId="77777777" w:rsidR="000F625D" w:rsidRPr="000F625D" w:rsidRDefault="000F625D" w:rsidP="000F625D">
      <w:pPr>
        <w:spacing w:line="20" w:lineRule="exact"/>
        <w:rPr>
          <w:sz w:val="2"/>
        </w:rPr>
        <w:sectPr w:rsidR="000F625D" w:rsidRPr="000F625D" w:rsidSect="00037E63">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cols w:space="708"/>
          <w:noEndnote/>
          <w:titlePg/>
          <w:docGrid w:linePitch="360"/>
        </w:sectPr>
      </w:pPr>
    </w:p>
    <w:p w14:paraId="5B10FE5E" w14:textId="77777777" w:rsidR="000438C0" w:rsidRPr="00D062A9" w:rsidRDefault="00D9621C" w:rsidP="00A55ED0">
      <w:pPr>
        <w:pStyle w:val="TitleH1"/>
        <w:ind w:left="0" w:right="4270" w:firstLine="0"/>
        <w:rPr>
          <w:lang w:val="es-ES"/>
        </w:rPr>
      </w:pPr>
      <w:r w:rsidRPr="00D062A9">
        <w:rPr>
          <w:lang w:val="es-ES"/>
        </w:rPr>
        <w:t>Comité para la Eliminación de la Discriminación contra la Mujer</w:t>
      </w:r>
    </w:p>
    <w:p w14:paraId="35FB3970" w14:textId="77777777" w:rsidR="004D2E6E" w:rsidRPr="007D60C1" w:rsidRDefault="004D2E6E" w:rsidP="00571F37">
      <w:pPr>
        <w:pStyle w:val="SingleTxt"/>
        <w:spacing w:after="0" w:line="120" w:lineRule="exact"/>
        <w:rPr>
          <w:sz w:val="10"/>
        </w:rPr>
      </w:pPr>
    </w:p>
    <w:p w14:paraId="01D7421A" w14:textId="77777777" w:rsidR="00D9621C" w:rsidRPr="007D60C1" w:rsidRDefault="00D9621C" w:rsidP="00571F37">
      <w:pPr>
        <w:pStyle w:val="SingleTxt"/>
        <w:spacing w:after="0" w:line="120" w:lineRule="exact"/>
        <w:rPr>
          <w:sz w:val="10"/>
        </w:rPr>
      </w:pPr>
    </w:p>
    <w:p w14:paraId="3A0F8CB4" w14:textId="77777777" w:rsidR="00D9621C" w:rsidRPr="007D60C1" w:rsidRDefault="00D9621C" w:rsidP="00571F37">
      <w:pPr>
        <w:pStyle w:val="SingleTxt"/>
        <w:spacing w:after="0" w:line="120" w:lineRule="exact"/>
        <w:rPr>
          <w:sz w:val="10"/>
        </w:rPr>
      </w:pPr>
    </w:p>
    <w:p w14:paraId="0195A426" w14:textId="3214CD12" w:rsidR="002A1F8A" w:rsidRPr="007D60C1" w:rsidRDefault="002A1F8A" w:rsidP="00FC6BA7">
      <w:pPr>
        <w:pStyle w:val="TitleHCH"/>
        <w:ind w:right="2020"/>
        <w:rPr>
          <w:lang w:val="es-ES"/>
        </w:rPr>
      </w:pPr>
      <w:r w:rsidRPr="007D60C1">
        <w:rPr>
          <w:lang w:val="es-ES"/>
        </w:rPr>
        <w:tab/>
      </w:r>
      <w:r w:rsidR="00CE1638" w:rsidRPr="007D60C1">
        <w:rPr>
          <w:lang w:val="es-ES"/>
        </w:rPr>
        <w:tab/>
      </w:r>
      <w:r w:rsidR="000B5D31" w:rsidRPr="007D60C1">
        <w:rPr>
          <w:lang w:val="es-ES"/>
        </w:rPr>
        <w:t>Segundo informe periódico que Qatar debía presentar en</w:t>
      </w:r>
      <w:r w:rsidR="00083383" w:rsidRPr="007D60C1">
        <w:rPr>
          <w:lang w:val="es-ES"/>
        </w:rPr>
        <w:t xml:space="preserve"> </w:t>
      </w:r>
      <w:r w:rsidR="000B5D31" w:rsidRPr="007D60C1">
        <w:rPr>
          <w:lang w:val="es-ES"/>
        </w:rPr>
        <w:t>2018 en virtud del artículo 18 de la Convención</w:t>
      </w:r>
      <w:r w:rsidR="00C66082" w:rsidRPr="007D60C1">
        <w:rPr>
          <w:b w:val="0"/>
          <w:bCs/>
          <w:sz w:val="20"/>
          <w:lang w:val="es-ES"/>
        </w:rPr>
        <w:t>*</w:t>
      </w:r>
    </w:p>
    <w:p w14:paraId="64C6E63F" w14:textId="77777777" w:rsidR="002A1F8A" w:rsidRPr="007D60C1" w:rsidRDefault="002A1F8A" w:rsidP="00571F37">
      <w:pPr>
        <w:pStyle w:val="SingleTxt"/>
        <w:spacing w:after="0" w:line="120" w:lineRule="exact"/>
        <w:rPr>
          <w:sz w:val="10"/>
        </w:rPr>
      </w:pPr>
    </w:p>
    <w:p w14:paraId="3D7BF1AE" w14:textId="77777777" w:rsidR="00D02F4F" w:rsidRPr="007D60C1" w:rsidRDefault="00D02F4F" w:rsidP="002660A3">
      <w:pPr>
        <w:framePr w:w="9792" w:h="432" w:hSpace="180" w:wrap="around" w:vAnchor="page" w:hAnchor="page" w:x="1243" w:y="13786"/>
        <w:spacing w:line="240" w:lineRule="auto"/>
        <w:rPr>
          <w:sz w:val="10"/>
        </w:rPr>
      </w:pPr>
    </w:p>
    <w:p w14:paraId="56F369A4" w14:textId="4AE4B0AA" w:rsidR="00D02F4F" w:rsidRPr="007D60C1" w:rsidRDefault="00D02F4F" w:rsidP="002660A3">
      <w:pPr>
        <w:framePr w:w="9792" w:h="432" w:hSpace="180" w:wrap="around" w:vAnchor="page" w:hAnchor="page" w:x="1243" w:y="13786"/>
        <w:spacing w:line="240" w:lineRule="auto"/>
        <w:rPr>
          <w:sz w:val="6"/>
        </w:rPr>
      </w:pPr>
    </w:p>
    <w:p w14:paraId="46B1C7A2" w14:textId="77777777" w:rsidR="00A55ED0" w:rsidRPr="00A55ED0" w:rsidRDefault="00A55ED0" w:rsidP="00A55ED0">
      <w:pPr>
        <w:framePr w:w="9792" w:h="432" w:hSpace="180" w:wrap="around" w:vAnchor="page" w:hAnchor="page" w:x="1243" w:y="13786"/>
        <w:tabs>
          <w:tab w:val="right" w:pos="1195"/>
          <w:tab w:val="left" w:pos="1260"/>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kern w:val="14"/>
          <w:sz w:val="10"/>
          <w:szCs w:val="20"/>
        </w:rPr>
      </w:pPr>
    </w:p>
    <w:p w14:paraId="532892B7" w14:textId="38A1252A" w:rsidR="00D02F4F" w:rsidRDefault="00D02F4F" w:rsidP="002660A3">
      <w:pPr>
        <w:framePr w:w="9792" w:h="432" w:hSpace="180" w:wrap="around" w:vAnchor="page" w:hAnchor="page" w:x="1243" w:y="13786"/>
        <w:tabs>
          <w:tab w:val="right" w:pos="1195"/>
          <w:tab w:val="left" w:pos="126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kern w:val="14"/>
          <w:sz w:val="17"/>
          <w:szCs w:val="20"/>
        </w:rPr>
      </w:pPr>
      <w:r w:rsidRPr="009D5F93">
        <w:rPr>
          <w:kern w:val="14"/>
          <w:sz w:val="17"/>
          <w:szCs w:val="20"/>
        </w:rPr>
        <w:tab/>
        <w:t>*</w:t>
      </w:r>
      <w:r w:rsidRPr="009D5F93">
        <w:rPr>
          <w:kern w:val="14"/>
          <w:sz w:val="17"/>
          <w:szCs w:val="20"/>
        </w:rPr>
        <w:tab/>
      </w:r>
      <w:r w:rsidR="00F1257E" w:rsidRPr="009D5F93">
        <w:rPr>
          <w:kern w:val="14"/>
          <w:sz w:val="17"/>
          <w:szCs w:val="20"/>
        </w:rPr>
        <w:t>El presente documento se publica sin haber sido objeto de revisión editorial oficial</w:t>
      </w:r>
      <w:r w:rsidR="00083383" w:rsidRPr="009D5F93">
        <w:rPr>
          <w:kern w:val="14"/>
          <w:sz w:val="17"/>
          <w:szCs w:val="20"/>
        </w:rPr>
        <w:t>.</w:t>
      </w:r>
    </w:p>
    <w:p w14:paraId="191B7DBF" w14:textId="5B02A5DF" w:rsidR="00A55ED0" w:rsidRPr="00A55ED0" w:rsidRDefault="00A55ED0" w:rsidP="00A55ED0">
      <w:pPr>
        <w:framePr w:w="9792" w:h="432" w:hSpace="180" w:wrap="around" w:vAnchor="page" w:hAnchor="page" w:x="1243" w:y="13786"/>
        <w:tabs>
          <w:tab w:val="right" w:pos="1195"/>
          <w:tab w:val="left" w:pos="1260"/>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kern w:val="14"/>
          <w:sz w:val="10"/>
          <w:szCs w:val="20"/>
        </w:rPr>
      </w:pPr>
    </w:p>
    <w:p w14:paraId="56916406" w14:textId="1C261CB8" w:rsidR="00F1257E" w:rsidRPr="00D43575" w:rsidRDefault="00F1257E" w:rsidP="002660A3">
      <w:pPr>
        <w:framePr w:w="9792" w:h="432" w:hSpace="180" w:wrap="around" w:vAnchor="page" w:hAnchor="page" w:x="1243" w:y="13786"/>
        <w:tabs>
          <w:tab w:val="right" w:pos="1195"/>
          <w:tab w:val="left" w:pos="1260"/>
          <w:tab w:val="left" w:pos="1575"/>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457"/>
        <w:rPr>
          <w:kern w:val="14"/>
          <w:sz w:val="17"/>
          <w:szCs w:val="20"/>
          <w:lang w:eastAsia="es-ES"/>
        </w:rPr>
      </w:pPr>
      <w:r w:rsidRPr="00D43575">
        <w:rPr>
          <w:i/>
          <w:kern w:val="14"/>
          <w:sz w:val="17"/>
          <w:szCs w:val="20"/>
          <w:lang w:eastAsia="es-ES"/>
        </w:rPr>
        <w:tab/>
        <w:t>Nota:</w:t>
      </w:r>
      <w:r w:rsidRPr="00D43575">
        <w:rPr>
          <w:i/>
          <w:kern w:val="14"/>
          <w:sz w:val="17"/>
          <w:szCs w:val="20"/>
          <w:lang w:eastAsia="es-ES"/>
        </w:rPr>
        <w:tab/>
      </w:r>
      <w:r w:rsidRPr="00D43575">
        <w:rPr>
          <w:kern w:val="14"/>
          <w:sz w:val="17"/>
          <w:szCs w:val="20"/>
          <w:lang w:eastAsia="es-ES"/>
        </w:rPr>
        <w:t>El presente documento se distribuye únicamente en árabe, español, francés e inglés</w:t>
      </w:r>
      <w:r w:rsidR="00083383" w:rsidRPr="00D43575">
        <w:rPr>
          <w:kern w:val="14"/>
          <w:sz w:val="17"/>
          <w:szCs w:val="20"/>
          <w:lang w:eastAsia="es-ES"/>
        </w:rPr>
        <w:t>.</w:t>
      </w:r>
    </w:p>
    <w:p w14:paraId="22B72973" w14:textId="77777777" w:rsidR="00FE07CB" w:rsidRPr="00D43575" w:rsidRDefault="00FE07CB" w:rsidP="00571F37">
      <w:pPr>
        <w:pStyle w:val="SingleTxt"/>
        <w:spacing w:after="0" w:line="120" w:lineRule="exact"/>
        <w:rPr>
          <w:sz w:val="10"/>
        </w:rPr>
      </w:pPr>
    </w:p>
    <w:p w14:paraId="67BDF080" w14:textId="77777777" w:rsidR="00147236" w:rsidRPr="00D43575" w:rsidRDefault="00F1257E" w:rsidP="00147236">
      <w:pPr>
        <w:pStyle w:val="SingleTxt"/>
        <w:jc w:val="right"/>
      </w:pPr>
      <w:r w:rsidRPr="00D43575">
        <w:t>[Fecha de recepción: 31 de enero de 2018]</w:t>
      </w:r>
    </w:p>
    <w:p w14:paraId="7CC04287" w14:textId="425A4FE3" w:rsidR="00317362" w:rsidRPr="00D43575" w:rsidRDefault="00A55ED0">
      <w:pPr>
        <w:suppressAutoHyphens w:val="0"/>
        <w:spacing w:line="240" w:lineRule="auto"/>
        <w:rPr>
          <w:b/>
          <w:kern w:val="14"/>
          <w:sz w:val="24"/>
          <w:szCs w:val="20"/>
        </w:rPr>
      </w:pPr>
      <w:r w:rsidRPr="000F625D">
        <w:rPr>
          <w:noProof/>
          <w:w w:val="100"/>
          <w:lang w:eastAsia="es-ES"/>
        </w:rPr>
        <mc:AlternateContent>
          <mc:Choice Requires="wps">
            <w:drawing>
              <wp:anchor distT="4294967292" distB="4294967292" distL="114300" distR="114300" simplePos="0" relativeHeight="251659264" behindDoc="0" locked="0" layoutInCell="1" allowOverlap="1" wp14:anchorId="3911F991" wp14:editId="3AF134EB">
                <wp:simplePos x="0" y="0"/>
                <wp:positionH relativeFrom="page">
                  <wp:posOffset>1282369</wp:posOffset>
                </wp:positionH>
                <wp:positionV relativeFrom="paragraph">
                  <wp:posOffset>4751070</wp:posOffset>
                </wp:positionV>
                <wp:extent cx="91440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4DBFF71" id="Straight Connector 6" o:spid="_x0000_s1026" style="position:absolute;z-index:251659264;visibility:visible;mso-wrap-style:square;mso-width-percent:0;mso-height-percent:0;mso-wrap-distance-left:9pt;mso-wrap-distance-top:-1e-4mm;mso-wrap-distance-right:9pt;mso-wrap-distance-bottom:-1e-4mm;mso-position-horizontal:absolute;mso-position-horizontal-relative:page;mso-position-vertical:absolute;mso-position-vertical-relative:text;mso-width-percent:0;mso-height-percent:0;mso-width-relative:page;mso-height-relative:page" from="100.95pt,374.1pt" to="172.95pt,37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" strokecolor="#010000" strokeweight=".25pt">
                <o:lock v:ext="edit" shapetype="f"/>
                <w10:wrap anchorx="page"/>
              </v:line>
            </w:pict>
          </mc:Fallback>
        </mc:AlternateContent>
      </w:r>
      <w:r w:rsidR="00317362" w:rsidRPr="00D43575">
        <w:rPr>
          <w:szCs w:val="20"/>
        </w:rPr>
        <w:br w:type="page"/>
      </w:r>
    </w:p>
    <w:p w14:paraId="76C521B0" w14:textId="77777777" w:rsidR="001217DB" w:rsidRPr="00D43575" w:rsidRDefault="001217DB" w:rsidP="001217DB">
      <w:pPr>
        <w:pStyle w:val="HCh"/>
        <w:spacing w:after="120"/>
        <w:rPr>
          <w:b w:val="0"/>
          <w:szCs w:val="24"/>
        </w:rPr>
      </w:pPr>
      <w:r w:rsidRPr="00D43575">
        <w:rPr>
          <w:b w:val="0"/>
          <w:szCs w:val="24"/>
        </w:rPr>
        <w:lastRenderedPageBreak/>
        <w:t>Índice</w:t>
      </w:r>
    </w:p>
    <w:tbl>
      <w:tblPr>
        <w:tblW w:w="9930" w:type="dxa"/>
        <w:tblLayout w:type="fixed"/>
        <w:tblCellMar>
          <w:left w:w="0" w:type="dxa"/>
          <w:right w:w="0" w:type="dxa"/>
        </w:tblCellMar>
        <w:tblLook w:val="0000" w:firstRow="0" w:lastRow="0" w:firstColumn="0" w:lastColumn="0" w:noHBand="0" w:noVBand="0"/>
      </w:tblPr>
      <w:tblGrid>
        <w:gridCol w:w="1060"/>
        <w:gridCol w:w="6890"/>
        <w:gridCol w:w="423"/>
        <w:gridCol w:w="774"/>
        <w:gridCol w:w="783"/>
      </w:tblGrid>
      <w:tr w:rsidR="00B6011A" w:rsidRPr="00D43575" w14:paraId="7958E043" w14:textId="77777777" w:rsidTr="00B6011A">
        <w:tc>
          <w:tcPr>
            <w:tcW w:w="1060" w:type="dxa"/>
          </w:tcPr>
          <w:p w14:paraId="03AA4577" w14:textId="77777777" w:rsidR="00B6011A" w:rsidRPr="00D43575" w:rsidRDefault="00B6011A" w:rsidP="00BD7BE9">
            <w:pPr>
              <w:spacing w:after="120" w:line="240" w:lineRule="auto"/>
              <w:jc w:val="right"/>
              <w:rPr>
                <w:i/>
                <w:sz w:val="14"/>
              </w:rPr>
            </w:pPr>
          </w:p>
        </w:tc>
        <w:tc>
          <w:tcPr>
            <w:tcW w:w="6890" w:type="dxa"/>
          </w:tcPr>
          <w:p w14:paraId="3637A8B1" w14:textId="77777777" w:rsidR="00B6011A" w:rsidRPr="00D43575" w:rsidRDefault="00B6011A" w:rsidP="00BD7BE9">
            <w:pPr>
              <w:tabs>
                <w:tab w:val="right" w:pos="1080"/>
                <w:tab w:val="right" w:leader="dot" w:pos="9360"/>
              </w:tabs>
              <w:spacing w:after="120" w:line="240" w:lineRule="auto"/>
              <w:rPr>
                <w:i/>
                <w:spacing w:val="60"/>
                <w:sz w:val="17"/>
              </w:rPr>
            </w:pPr>
          </w:p>
        </w:tc>
        <w:tc>
          <w:tcPr>
            <w:tcW w:w="423" w:type="dxa"/>
          </w:tcPr>
          <w:p w14:paraId="104F6C90" w14:textId="77777777" w:rsidR="00B6011A" w:rsidRPr="00D43575" w:rsidRDefault="00B6011A" w:rsidP="00BD7BE9">
            <w:pPr>
              <w:spacing w:after="120" w:line="240" w:lineRule="auto"/>
              <w:jc w:val="right"/>
              <w:rPr>
                <w:i/>
                <w:sz w:val="14"/>
              </w:rPr>
            </w:pPr>
          </w:p>
        </w:tc>
        <w:tc>
          <w:tcPr>
            <w:tcW w:w="774" w:type="dxa"/>
          </w:tcPr>
          <w:p w14:paraId="5204971E" w14:textId="77777777" w:rsidR="00B6011A" w:rsidRPr="00D43575" w:rsidRDefault="00500085" w:rsidP="00BD7BE9">
            <w:pPr>
              <w:spacing w:after="120" w:line="240" w:lineRule="auto"/>
              <w:jc w:val="right"/>
              <w:rPr>
                <w:i/>
                <w:sz w:val="14"/>
              </w:rPr>
            </w:pPr>
            <w:r w:rsidRPr="00D43575">
              <w:rPr>
                <w:i/>
                <w:sz w:val="14"/>
              </w:rPr>
              <w:t>Párrafos</w:t>
            </w:r>
          </w:p>
        </w:tc>
        <w:tc>
          <w:tcPr>
            <w:tcW w:w="783" w:type="dxa"/>
          </w:tcPr>
          <w:p w14:paraId="15264CB1" w14:textId="77777777" w:rsidR="00B6011A" w:rsidRPr="00D43575" w:rsidRDefault="00B6011A" w:rsidP="00BD7BE9">
            <w:pPr>
              <w:spacing w:after="120" w:line="240" w:lineRule="auto"/>
              <w:jc w:val="right"/>
              <w:rPr>
                <w:i/>
                <w:sz w:val="14"/>
              </w:rPr>
            </w:pPr>
            <w:r w:rsidRPr="00D43575">
              <w:rPr>
                <w:i/>
                <w:sz w:val="14"/>
              </w:rPr>
              <w:t>Página</w:t>
            </w:r>
          </w:p>
        </w:tc>
      </w:tr>
      <w:tr w:rsidR="00B6011A" w:rsidRPr="00D43575" w14:paraId="30C0829B" w14:textId="77777777" w:rsidTr="00500085">
        <w:tc>
          <w:tcPr>
            <w:tcW w:w="8373" w:type="dxa"/>
            <w:gridSpan w:val="3"/>
          </w:tcPr>
          <w:p w14:paraId="61A072DC" w14:textId="185801EA" w:rsidR="00B6011A" w:rsidRPr="00D43575" w:rsidRDefault="00B6011A" w:rsidP="00034936">
            <w:pPr>
              <w:tabs>
                <w:tab w:val="right" w:leader="dot" w:pos="1080"/>
                <w:tab w:val="num" w:pos="1296"/>
                <w:tab w:val="right" w:leader="dot" w:pos="9360"/>
              </w:tabs>
              <w:spacing w:after="120" w:line="240" w:lineRule="auto"/>
              <w:ind w:left="1077"/>
              <w:rPr>
                <w:szCs w:val="24"/>
              </w:rPr>
            </w:pPr>
            <w:r w:rsidRPr="00D43575">
              <w:rPr>
                <w:szCs w:val="24"/>
              </w:rPr>
              <w:t>Introducción</w:t>
            </w:r>
            <w:r w:rsidRPr="00D43575">
              <w:rPr>
                <w:spacing w:val="60"/>
                <w:sz w:val="17"/>
              </w:rPr>
              <w:tab/>
            </w:r>
          </w:p>
        </w:tc>
        <w:tc>
          <w:tcPr>
            <w:tcW w:w="774" w:type="dxa"/>
            <w:vAlign w:val="bottom"/>
          </w:tcPr>
          <w:p w14:paraId="636339F6" w14:textId="77777777" w:rsidR="00B6011A" w:rsidRPr="00D43575" w:rsidRDefault="00500085" w:rsidP="00500085">
            <w:pPr>
              <w:spacing w:after="120"/>
              <w:jc w:val="right"/>
            </w:pPr>
            <w:r w:rsidRPr="00D43575">
              <w:t>1</w:t>
            </w:r>
            <w:r w:rsidR="002660A3" w:rsidRPr="00D43575">
              <w:t>–</w:t>
            </w:r>
            <w:r w:rsidRPr="00D43575">
              <w:t>5</w:t>
            </w:r>
          </w:p>
        </w:tc>
        <w:tc>
          <w:tcPr>
            <w:tcW w:w="783" w:type="dxa"/>
            <w:vAlign w:val="bottom"/>
          </w:tcPr>
          <w:p w14:paraId="70B37C9D" w14:textId="77777777" w:rsidR="00B6011A" w:rsidRPr="00D43575" w:rsidRDefault="00995048" w:rsidP="00BD7BE9">
            <w:pPr>
              <w:spacing w:after="120"/>
              <w:jc w:val="right"/>
            </w:pPr>
            <w:r w:rsidRPr="00D43575">
              <w:t>3</w:t>
            </w:r>
          </w:p>
        </w:tc>
      </w:tr>
      <w:tr w:rsidR="00B6011A" w:rsidRPr="00D43575" w14:paraId="6ABB9AC8" w14:textId="77777777" w:rsidTr="00500085">
        <w:tc>
          <w:tcPr>
            <w:tcW w:w="8373" w:type="dxa"/>
            <w:gridSpan w:val="3"/>
          </w:tcPr>
          <w:p w14:paraId="645F399E" w14:textId="17D2A1A2" w:rsidR="00B6011A" w:rsidRPr="00D43575" w:rsidRDefault="00B6011A" w:rsidP="00034936">
            <w:pPr>
              <w:tabs>
                <w:tab w:val="right" w:pos="1080"/>
                <w:tab w:val="right" w:leader="dot" w:pos="9360"/>
              </w:tabs>
              <w:spacing w:after="120" w:line="240" w:lineRule="auto"/>
              <w:ind w:left="1080"/>
              <w:rPr>
                <w:szCs w:val="24"/>
              </w:rPr>
            </w:pPr>
            <w:r w:rsidRPr="00D43575">
              <w:rPr>
                <w:szCs w:val="24"/>
              </w:rPr>
              <w:t>Parte I</w:t>
            </w:r>
            <w:r w:rsidR="00083383" w:rsidRPr="00D43575">
              <w:rPr>
                <w:szCs w:val="24"/>
              </w:rPr>
              <w:t>.</w:t>
            </w:r>
            <w:r w:rsidRPr="00D43575">
              <w:rPr>
                <w:szCs w:val="24"/>
              </w:rPr>
              <w:t xml:space="preserve"> Datos básicos sobre el Estado de Qatar</w:t>
            </w:r>
            <w:r w:rsidRPr="00D43575">
              <w:rPr>
                <w:spacing w:val="60"/>
                <w:sz w:val="17"/>
              </w:rPr>
              <w:tab/>
            </w:r>
          </w:p>
        </w:tc>
        <w:tc>
          <w:tcPr>
            <w:tcW w:w="774" w:type="dxa"/>
            <w:vAlign w:val="bottom"/>
          </w:tcPr>
          <w:p w14:paraId="34323CEA" w14:textId="77777777" w:rsidR="00B6011A" w:rsidRPr="00D43575" w:rsidRDefault="00500085" w:rsidP="00500085">
            <w:pPr>
              <w:spacing w:after="120"/>
              <w:jc w:val="right"/>
            </w:pPr>
            <w:r w:rsidRPr="00D43575">
              <w:t>6</w:t>
            </w:r>
            <w:r w:rsidR="002660A3" w:rsidRPr="00D43575">
              <w:t>–</w:t>
            </w:r>
            <w:r w:rsidRPr="00D43575">
              <w:t>35</w:t>
            </w:r>
          </w:p>
        </w:tc>
        <w:tc>
          <w:tcPr>
            <w:tcW w:w="783" w:type="dxa"/>
            <w:vAlign w:val="bottom"/>
          </w:tcPr>
          <w:p w14:paraId="0657A0AC" w14:textId="77777777" w:rsidR="00B6011A" w:rsidRPr="00D43575" w:rsidRDefault="00995048" w:rsidP="00BD7BE9">
            <w:pPr>
              <w:spacing w:after="120"/>
              <w:jc w:val="right"/>
            </w:pPr>
            <w:r w:rsidRPr="00D43575">
              <w:t>5</w:t>
            </w:r>
          </w:p>
        </w:tc>
      </w:tr>
      <w:tr w:rsidR="00B6011A" w:rsidRPr="00D43575" w14:paraId="51183B98" w14:textId="77777777" w:rsidTr="00500085">
        <w:tc>
          <w:tcPr>
            <w:tcW w:w="8373" w:type="dxa"/>
            <w:gridSpan w:val="3"/>
          </w:tcPr>
          <w:p w14:paraId="3A2DE29E" w14:textId="60F7363D" w:rsidR="00B6011A" w:rsidRPr="00D43575" w:rsidRDefault="00B6011A" w:rsidP="001D1AD0">
            <w:pPr>
              <w:numPr>
                <w:ilvl w:val="0"/>
                <w:numId w:val="9"/>
              </w:numPr>
              <w:tabs>
                <w:tab w:val="right" w:pos="1080"/>
                <w:tab w:val="left" w:pos="1300"/>
                <w:tab w:val="left" w:pos="1740"/>
                <w:tab w:val="left" w:pos="2180"/>
                <w:tab w:val="right" w:leader="dot" w:pos="9245"/>
              </w:tabs>
              <w:spacing w:after="120"/>
              <w:ind w:left="1728" w:hanging="432"/>
            </w:pPr>
            <w:r w:rsidRPr="00D43575">
              <w:t>Población</w:t>
            </w:r>
            <w:r w:rsidRPr="00D43575">
              <w:rPr>
                <w:spacing w:val="60"/>
                <w:sz w:val="17"/>
              </w:rPr>
              <w:tab/>
            </w:r>
          </w:p>
        </w:tc>
        <w:tc>
          <w:tcPr>
            <w:tcW w:w="774" w:type="dxa"/>
            <w:vAlign w:val="bottom"/>
          </w:tcPr>
          <w:p w14:paraId="0D5B99D3" w14:textId="77777777" w:rsidR="00B6011A" w:rsidRPr="00D43575" w:rsidRDefault="00500085" w:rsidP="00500085">
            <w:pPr>
              <w:spacing w:after="120"/>
              <w:jc w:val="right"/>
            </w:pPr>
            <w:r w:rsidRPr="00D43575">
              <w:t>7</w:t>
            </w:r>
            <w:r w:rsidR="002660A3" w:rsidRPr="00D43575">
              <w:t>–</w:t>
            </w:r>
            <w:r w:rsidRPr="00D43575">
              <w:t>9</w:t>
            </w:r>
          </w:p>
        </w:tc>
        <w:tc>
          <w:tcPr>
            <w:tcW w:w="783" w:type="dxa"/>
            <w:vAlign w:val="bottom"/>
          </w:tcPr>
          <w:p w14:paraId="0E28DFA3" w14:textId="77777777" w:rsidR="00B6011A" w:rsidRPr="00D43575" w:rsidRDefault="00995048" w:rsidP="00BD7BE9">
            <w:pPr>
              <w:spacing w:after="120"/>
              <w:jc w:val="right"/>
            </w:pPr>
            <w:r w:rsidRPr="00D43575">
              <w:t>5</w:t>
            </w:r>
          </w:p>
        </w:tc>
      </w:tr>
      <w:tr w:rsidR="00B6011A" w:rsidRPr="00D43575" w14:paraId="347207EA" w14:textId="77777777" w:rsidTr="00500085">
        <w:tc>
          <w:tcPr>
            <w:tcW w:w="8373" w:type="dxa"/>
            <w:gridSpan w:val="3"/>
          </w:tcPr>
          <w:p w14:paraId="29B305B8" w14:textId="77777777" w:rsidR="00B6011A" w:rsidRPr="00D43575" w:rsidRDefault="00B6011A" w:rsidP="001D1AD0">
            <w:pPr>
              <w:numPr>
                <w:ilvl w:val="0"/>
                <w:numId w:val="9"/>
              </w:numPr>
              <w:tabs>
                <w:tab w:val="right" w:pos="1080"/>
                <w:tab w:val="left" w:pos="1300"/>
                <w:tab w:val="left" w:pos="1740"/>
                <w:tab w:val="left" w:pos="2180"/>
                <w:tab w:val="right" w:leader="dot" w:pos="9245"/>
              </w:tabs>
              <w:spacing w:after="120"/>
              <w:ind w:left="1728" w:hanging="432"/>
            </w:pPr>
            <w:r w:rsidRPr="00D43575">
              <w:t>Indicadores económicos y sociales</w:t>
            </w:r>
            <w:r w:rsidRPr="00D43575">
              <w:rPr>
                <w:spacing w:val="60"/>
                <w:sz w:val="17"/>
              </w:rPr>
              <w:tab/>
            </w:r>
          </w:p>
        </w:tc>
        <w:tc>
          <w:tcPr>
            <w:tcW w:w="774" w:type="dxa"/>
            <w:vAlign w:val="bottom"/>
          </w:tcPr>
          <w:p w14:paraId="53EF32F8" w14:textId="77777777" w:rsidR="00B6011A" w:rsidRPr="00D43575" w:rsidRDefault="00500085" w:rsidP="00500085">
            <w:pPr>
              <w:spacing w:after="120"/>
              <w:jc w:val="right"/>
            </w:pPr>
            <w:r w:rsidRPr="00D43575">
              <w:t>10</w:t>
            </w:r>
            <w:r w:rsidR="002660A3" w:rsidRPr="00D43575">
              <w:t>–</w:t>
            </w:r>
            <w:r w:rsidRPr="00D43575">
              <w:t>12</w:t>
            </w:r>
          </w:p>
        </w:tc>
        <w:tc>
          <w:tcPr>
            <w:tcW w:w="783" w:type="dxa"/>
            <w:vAlign w:val="bottom"/>
          </w:tcPr>
          <w:p w14:paraId="1A8326BE" w14:textId="77777777" w:rsidR="00B6011A" w:rsidRPr="00D43575" w:rsidRDefault="00995048" w:rsidP="00BD7BE9">
            <w:pPr>
              <w:spacing w:after="120"/>
              <w:jc w:val="right"/>
            </w:pPr>
            <w:r w:rsidRPr="00D43575">
              <w:t>8</w:t>
            </w:r>
          </w:p>
        </w:tc>
      </w:tr>
      <w:tr w:rsidR="00B6011A" w:rsidRPr="00D43575" w14:paraId="7FA1E83F" w14:textId="77777777" w:rsidTr="00500085">
        <w:tc>
          <w:tcPr>
            <w:tcW w:w="8373" w:type="dxa"/>
            <w:gridSpan w:val="3"/>
          </w:tcPr>
          <w:p w14:paraId="15A65B07" w14:textId="77777777" w:rsidR="00B6011A" w:rsidRPr="00D43575" w:rsidRDefault="00B6011A" w:rsidP="001D1AD0">
            <w:pPr>
              <w:numPr>
                <w:ilvl w:val="0"/>
                <w:numId w:val="9"/>
              </w:numPr>
              <w:tabs>
                <w:tab w:val="right" w:pos="1080"/>
                <w:tab w:val="left" w:pos="1300"/>
                <w:tab w:val="left" w:pos="1740"/>
                <w:tab w:val="left" w:pos="2180"/>
                <w:tab w:val="right" w:leader="dot" w:pos="9245"/>
              </w:tabs>
              <w:spacing w:after="120"/>
              <w:ind w:left="1728" w:hanging="432"/>
            </w:pPr>
            <w:r w:rsidRPr="00D43575">
              <w:t>El Estado de Qatar a través de los indicadores internacionales</w:t>
            </w:r>
            <w:r w:rsidRPr="00D43575">
              <w:rPr>
                <w:spacing w:val="60"/>
                <w:sz w:val="17"/>
              </w:rPr>
              <w:tab/>
            </w:r>
          </w:p>
        </w:tc>
        <w:tc>
          <w:tcPr>
            <w:tcW w:w="774" w:type="dxa"/>
            <w:vAlign w:val="bottom"/>
          </w:tcPr>
          <w:p w14:paraId="29FEC5CE" w14:textId="77777777" w:rsidR="00B6011A" w:rsidRPr="00D43575" w:rsidRDefault="00500085" w:rsidP="00500085">
            <w:pPr>
              <w:spacing w:after="120"/>
              <w:jc w:val="right"/>
            </w:pPr>
            <w:r w:rsidRPr="00D43575">
              <w:t>13</w:t>
            </w:r>
            <w:r w:rsidR="002660A3" w:rsidRPr="00D43575">
              <w:t>–</w:t>
            </w:r>
            <w:r w:rsidRPr="00D43575">
              <w:t>21</w:t>
            </w:r>
          </w:p>
        </w:tc>
        <w:tc>
          <w:tcPr>
            <w:tcW w:w="783" w:type="dxa"/>
            <w:vAlign w:val="bottom"/>
          </w:tcPr>
          <w:p w14:paraId="2DF73466" w14:textId="77777777" w:rsidR="00B6011A" w:rsidRPr="00D43575" w:rsidRDefault="00995048" w:rsidP="00BD7BE9">
            <w:pPr>
              <w:spacing w:after="120"/>
              <w:jc w:val="right"/>
            </w:pPr>
            <w:r w:rsidRPr="00D43575">
              <w:t>9</w:t>
            </w:r>
          </w:p>
        </w:tc>
      </w:tr>
      <w:tr w:rsidR="00B6011A" w:rsidRPr="00D43575" w14:paraId="22D07221" w14:textId="77777777" w:rsidTr="00500085">
        <w:tc>
          <w:tcPr>
            <w:tcW w:w="8373" w:type="dxa"/>
            <w:gridSpan w:val="3"/>
          </w:tcPr>
          <w:p w14:paraId="0157A5C3" w14:textId="77777777" w:rsidR="00B6011A" w:rsidRPr="00D43575" w:rsidRDefault="00B6011A" w:rsidP="001D1AD0">
            <w:pPr>
              <w:numPr>
                <w:ilvl w:val="0"/>
                <w:numId w:val="9"/>
              </w:numPr>
              <w:tabs>
                <w:tab w:val="right" w:pos="1080"/>
                <w:tab w:val="left" w:pos="1300"/>
                <w:tab w:val="left" w:pos="1740"/>
                <w:tab w:val="left" w:pos="2180"/>
                <w:tab w:val="right" w:leader="dot" w:pos="9245"/>
              </w:tabs>
              <w:spacing w:after="120"/>
              <w:ind w:left="1728" w:hanging="432"/>
            </w:pPr>
            <w:r w:rsidRPr="00D43575">
              <w:t>Estructura constitucional, política y jurídica del Estado</w:t>
            </w:r>
            <w:r w:rsidRPr="00D43575">
              <w:rPr>
                <w:spacing w:val="60"/>
                <w:sz w:val="17"/>
              </w:rPr>
              <w:tab/>
            </w:r>
          </w:p>
        </w:tc>
        <w:tc>
          <w:tcPr>
            <w:tcW w:w="774" w:type="dxa"/>
            <w:vAlign w:val="bottom"/>
          </w:tcPr>
          <w:p w14:paraId="1A7EDA79" w14:textId="77777777" w:rsidR="00B6011A" w:rsidRPr="00D43575" w:rsidRDefault="00500085" w:rsidP="00500085">
            <w:pPr>
              <w:spacing w:after="120"/>
              <w:jc w:val="right"/>
            </w:pPr>
            <w:r w:rsidRPr="00D43575">
              <w:t>22</w:t>
            </w:r>
          </w:p>
        </w:tc>
        <w:tc>
          <w:tcPr>
            <w:tcW w:w="783" w:type="dxa"/>
            <w:vAlign w:val="bottom"/>
          </w:tcPr>
          <w:p w14:paraId="0F900304" w14:textId="77777777" w:rsidR="00B6011A" w:rsidRPr="00D43575" w:rsidRDefault="00995048" w:rsidP="00BD7BE9">
            <w:pPr>
              <w:spacing w:after="120"/>
              <w:jc w:val="right"/>
            </w:pPr>
            <w:r w:rsidRPr="00D43575">
              <w:t>10</w:t>
            </w:r>
          </w:p>
        </w:tc>
      </w:tr>
      <w:tr w:rsidR="00B6011A" w:rsidRPr="00D43575" w14:paraId="117A1265" w14:textId="77777777" w:rsidTr="00500085">
        <w:tc>
          <w:tcPr>
            <w:tcW w:w="8373" w:type="dxa"/>
            <w:gridSpan w:val="3"/>
          </w:tcPr>
          <w:p w14:paraId="31B72AA0" w14:textId="77777777" w:rsidR="00B6011A" w:rsidRPr="00D43575" w:rsidRDefault="00B6011A" w:rsidP="001D1AD0">
            <w:pPr>
              <w:numPr>
                <w:ilvl w:val="0"/>
                <w:numId w:val="9"/>
              </w:numPr>
              <w:tabs>
                <w:tab w:val="right" w:pos="1080"/>
                <w:tab w:val="left" w:pos="1300"/>
                <w:tab w:val="left" w:pos="1740"/>
                <w:tab w:val="left" w:pos="2180"/>
                <w:tab w:val="right" w:leader="dot" w:pos="9245"/>
              </w:tabs>
              <w:spacing w:after="120"/>
              <w:ind w:left="1728" w:hanging="432"/>
            </w:pPr>
            <w:r w:rsidRPr="00D43575">
              <w:t>Marco general para la protección y promoción de los derechos humanos</w:t>
            </w:r>
            <w:r w:rsidRPr="00D43575">
              <w:rPr>
                <w:spacing w:val="60"/>
                <w:sz w:val="17"/>
              </w:rPr>
              <w:tab/>
            </w:r>
          </w:p>
        </w:tc>
        <w:tc>
          <w:tcPr>
            <w:tcW w:w="774" w:type="dxa"/>
            <w:vAlign w:val="bottom"/>
          </w:tcPr>
          <w:p w14:paraId="5AEB1B05" w14:textId="77777777" w:rsidR="00B6011A" w:rsidRPr="00D43575" w:rsidRDefault="00500085" w:rsidP="00500085">
            <w:pPr>
              <w:spacing w:after="120"/>
              <w:jc w:val="right"/>
            </w:pPr>
            <w:r w:rsidRPr="00D43575">
              <w:t>23</w:t>
            </w:r>
            <w:r w:rsidR="002660A3" w:rsidRPr="00D43575">
              <w:t>–</w:t>
            </w:r>
            <w:r w:rsidRPr="00D43575">
              <w:t>32</w:t>
            </w:r>
          </w:p>
        </w:tc>
        <w:tc>
          <w:tcPr>
            <w:tcW w:w="783" w:type="dxa"/>
            <w:vAlign w:val="bottom"/>
          </w:tcPr>
          <w:p w14:paraId="08787DAD" w14:textId="77777777" w:rsidR="00B6011A" w:rsidRPr="00D43575" w:rsidRDefault="00995048" w:rsidP="00BD7BE9">
            <w:pPr>
              <w:spacing w:after="120"/>
              <w:jc w:val="right"/>
            </w:pPr>
            <w:r w:rsidRPr="00D43575">
              <w:t>10</w:t>
            </w:r>
          </w:p>
        </w:tc>
      </w:tr>
      <w:tr w:rsidR="00B6011A" w:rsidRPr="00D43575" w14:paraId="3C9C1C1C" w14:textId="77777777" w:rsidTr="00500085">
        <w:tc>
          <w:tcPr>
            <w:tcW w:w="8373" w:type="dxa"/>
            <w:gridSpan w:val="3"/>
          </w:tcPr>
          <w:p w14:paraId="1320572E" w14:textId="77777777" w:rsidR="00B6011A" w:rsidRPr="00D43575" w:rsidRDefault="00B6011A" w:rsidP="001D1AD0">
            <w:pPr>
              <w:numPr>
                <w:ilvl w:val="0"/>
                <w:numId w:val="9"/>
              </w:numPr>
              <w:tabs>
                <w:tab w:val="right" w:pos="1080"/>
                <w:tab w:val="left" w:pos="1300"/>
                <w:tab w:val="left" w:pos="1740"/>
                <w:tab w:val="left" w:pos="2180"/>
                <w:tab w:val="right" w:leader="dot" w:pos="9245"/>
              </w:tabs>
              <w:spacing w:after="120"/>
              <w:ind w:left="1728" w:hanging="432"/>
            </w:pPr>
            <w:r w:rsidRPr="00D43575">
              <w:t>Posición de Qatar sobre las reservas y declaraciones</w:t>
            </w:r>
            <w:r w:rsidRPr="00D43575">
              <w:rPr>
                <w:spacing w:val="60"/>
                <w:sz w:val="17"/>
              </w:rPr>
              <w:tab/>
            </w:r>
          </w:p>
        </w:tc>
        <w:tc>
          <w:tcPr>
            <w:tcW w:w="774" w:type="dxa"/>
            <w:vAlign w:val="bottom"/>
          </w:tcPr>
          <w:p w14:paraId="5ABD32D0" w14:textId="77777777" w:rsidR="00B6011A" w:rsidRPr="00D43575" w:rsidRDefault="00500085" w:rsidP="00500085">
            <w:pPr>
              <w:spacing w:after="120"/>
              <w:jc w:val="right"/>
            </w:pPr>
            <w:r w:rsidRPr="00D43575">
              <w:t>33</w:t>
            </w:r>
            <w:r w:rsidR="002660A3" w:rsidRPr="00D43575">
              <w:t>–</w:t>
            </w:r>
            <w:r w:rsidRPr="00D43575">
              <w:t>35</w:t>
            </w:r>
          </w:p>
        </w:tc>
        <w:tc>
          <w:tcPr>
            <w:tcW w:w="783" w:type="dxa"/>
            <w:vAlign w:val="bottom"/>
          </w:tcPr>
          <w:p w14:paraId="27532AC2" w14:textId="3D26DE90" w:rsidR="00B6011A" w:rsidRPr="00D43575" w:rsidRDefault="00995048" w:rsidP="00BD7BE9">
            <w:pPr>
              <w:spacing w:after="120"/>
              <w:jc w:val="right"/>
            </w:pPr>
            <w:r w:rsidRPr="00D43575">
              <w:t>1</w:t>
            </w:r>
            <w:r w:rsidR="00603B8C">
              <w:t>6</w:t>
            </w:r>
          </w:p>
        </w:tc>
      </w:tr>
      <w:tr w:rsidR="00B6011A" w:rsidRPr="00D43575" w14:paraId="326C4729" w14:textId="77777777" w:rsidTr="00500085">
        <w:tc>
          <w:tcPr>
            <w:tcW w:w="8373" w:type="dxa"/>
            <w:gridSpan w:val="3"/>
          </w:tcPr>
          <w:p w14:paraId="4BEF2A86" w14:textId="49321F91" w:rsidR="00B6011A" w:rsidRPr="00D43575" w:rsidRDefault="00170894" w:rsidP="00170894">
            <w:pPr>
              <w:tabs>
                <w:tab w:val="right" w:pos="1080"/>
                <w:tab w:val="left" w:pos="1296"/>
                <w:tab w:val="left" w:pos="1728"/>
                <w:tab w:val="left" w:pos="2160"/>
                <w:tab w:val="right" w:leader="dot" w:pos="9360"/>
              </w:tabs>
              <w:spacing w:after="120"/>
              <w:ind w:left="1077"/>
              <w:rPr>
                <w:kern w:val="14"/>
                <w:szCs w:val="20"/>
              </w:rPr>
            </w:pPr>
            <w:r w:rsidRPr="00D43575">
              <w:rPr>
                <w:kern w:val="14"/>
                <w:szCs w:val="20"/>
              </w:rPr>
              <w:t>Parte II</w:t>
            </w:r>
            <w:r w:rsidR="00083383" w:rsidRPr="00D43575">
              <w:rPr>
                <w:kern w:val="14"/>
                <w:szCs w:val="20"/>
              </w:rPr>
              <w:t>.</w:t>
            </w:r>
            <w:r w:rsidRPr="00D43575">
              <w:rPr>
                <w:kern w:val="14"/>
                <w:szCs w:val="20"/>
              </w:rPr>
              <w:t xml:space="preserve"> </w:t>
            </w:r>
            <w:r w:rsidR="00B6011A" w:rsidRPr="00D43575">
              <w:rPr>
                <w:kern w:val="14"/>
                <w:szCs w:val="20"/>
              </w:rPr>
              <w:t>Supervisión de la aplicación de los artículos de la Convención sobre la Eliminación de Todas</w:t>
            </w:r>
            <w:r w:rsidR="00083383" w:rsidRPr="00D43575">
              <w:rPr>
                <w:kern w:val="14"/>
                <w:szCs w:val="20"/>
              </w:rPr>
              <w:t xml:space="preserve"> </w:t>
            </w:r>
            <w:r w:rsidR="00B6011A" w:rsidRPr="00D43575">
              <w:rPr>
                <w:kern w:val="14"/>
                <w:szCs w:val="20"/>
              </w:rPr>
              <w:t>las Formas de Discriminación contra la Mujer y cumplimiento de las observaciones y</w:t>
            </w:r>
            <w:r w:rsidR="00083383" w:rsidRPr="00D43575">
              <w:rPr>
                <w:kern w:val="14"/>
                <w:szCs w:val="20"/>
              </w:rPr>
              <w:t xml:space="preserve"> </w:t>
            </w:r>
            <w:r w:rsidR="00B6011A" w:rsidRPr="00D43575">
              <w:rPr>
                <w:kern w:val="14"/>
                <w:szCs w:val="20"/>
              </w:rPr>
              <w:t>recomendaciones del Comité</w:t>
            </w:r>
            <w:r w:rsidR="00B6011A" w:rsidRPr="00D43575">
              <w:rPr>
                <w:spacing w:val="60"/>
                <w:sz w:val="17"/>
              </w:rPr>
              <w:tab/>
            </w:r>
          </w:p>
        </w:tc>
        <w:tc>
          <w:tcPr>
            <w:tcW w:w="774" w:type="dxa"/>
            <w:vAlign w:val="bottom"/>
          </w:tcPr>
          <w:p w14:paraId="313F340B" w14:textId="575FD923" w:rsidR="00B6011A" w:rsidRPr="00D43575" w:rsidRDefault="00500085" w:rsidP="00500085">
            <w:pPr>
              <w:spacing w:after="120"/>
              <w:jc w:val="right"/>
            </w:pPr>
            <w:r w:rsidRPr="00D43575">
              <w:t>36</w:t>
            </w:r>
            <w:r w:rsidR="002660A3" w:rsidRPr="00D43575">
              <w:t>–</w:t>
            </w:r>
            <w:r w:rsidR="006916F1" w:rsidRPr="00D43575">
              <w:t>17</w:t>
            </w:r>
            <w:r w:rsidR="006916F1">
              <w:t>4</w:t>
            </w:r>
          </w:p>
        </w:tc>
        <w:tc>
          <w:tcPr>
            <w:tcW w:w="783" w:type="dxa"/>
            <w:vAlign w:val="bottom"/>
          </w:tcPr>
          <w:p w14:paraId="60BC49E9" w14:textId="77777777" w:rsidR="00B6011A" w:rsidRPr="00D43575" w:rsidRDefault="00995048" w:rsidP="00BD7BE9">
            <w:pPr>
              <w:spacing w:after="120"/>
              <w:jc w:val="right"/>
            </w:pPr>
            <w:r w:rsidRPr="00D43575">
              <w:t>17</w:t>
            </w:r>
          </w:p>
        </w:tc>
      </w:tr>
      <w:tr w:rsidR="00B6011A" w:rsidRPr="00D43575" w14:paraId="1C58DC3D" w14:textId="77777777" w:rsidTr="00500085">
        <w:tc>
          <w:tcPr>
            <w:tcW w:w="8373" w:type="dxa"/>
            <w:gridSpan w:val="3"/>
          </w:tcPr>
          <w:p w14:paraId="7EF2CFB9" w14:textId="0E5528BA" w:rsidR="00B6011A" w:rsidRPr="00D43575" w:rsidRDefault="00B6011A" w:rsidP="00744B30">
            <w:pPr>
              <w:tabs>
                <w:tab w:val="right" w:pos="1080"/>
                <w:tab w:val="left" w:pos="1296"/>
                <w:tab w:val="left" w:pos="1728"/>
                <w:tab w:val="left" w:pos="2160"/>
                <w:tab w:val="right" w:leader="dot" w:pos="9360"/>
              </w:tabs>
              <w:spacing w:after="120"/>
              <w:ind w:left="1296"/>
              <w:rPr>
                <w:kern w:val="14"/>
                <w:szCs w:val="20"/>
              </w:rPr>
            </w:pPr>
            <w:r w:rsidRPr="00D43575">
              <w:rPr>
                <w:kern w:val="14"/>
                <w:szCs w:val="20"/>
              </w:rPr>
              <w:t>Artículos 1 y 2: Enfoque de Qatar para hacer frente a la discriminación y promover la</w:t>
            </w:r>
            <w:r w:rsidR="00083383" w:rsidRPr="00D43575">
              <w:rPr>
                <w:kern w:val="14"/>
                <w:szCs w:val="20"/>
              </w:rPr>
              <w:t xml:space="preserve"> </w:t>
            </w:r>
            <w:r w:rsidRPr="00D43575">
              <w:rPr>
                <w:kern w:val="14"/>
                <w:szCs w:val="20"/>
              </w:rPr>
              <w:t>igualdad de género</w:t>
            </w:r>
            <w:r w:rsidRPr="00D43575">
              <w:rPr>
                <w:spacing w:val="60"/>
                <w:sz w:val="17"/>
              </w:rPr>
              <w:tab/>
            </w:r>
          </w:p>
        </w:tc>
        <w:tc>
          <w:tcPr>
            <w:tcW w:w="774" w:type="dxa"/>
            <w:vAlign w:val="bottom"/>
          </w:tcPr>
          <w:p w14:paraId="4417F89F" w14:textId="77777777" w:rsidR="00B6011A" w:rsidRPr="00D43575" w:rsidRDefault="00500085" w:rsidP="00500085">
            <w:pPr>
              <w:spacing w:after="120"/>
              <w:jc w:val="right"/>
            </w:pPr>
            <w:r w:rsidRPr="00D43575">
              <w:t>37</w:t>
            </w:r>
            <w:r w:rsidR="002660A3" w:rsidRPr="00D43575">
              <w:t>–</w:t>
            </w:r>
            <w:r w:rsidRPr="00D43575">
              <w:t>41</w:t>
            </w:r>
          </w:p>
        </w:tc>
        <w:tc>
          <w:tcPr>
            <w:tcW w:w="783" w:type="dxa"/>
            <w:vAlign w:val="bottom"/>
          </w:tcPr>
          <w:p w14:paraId="66A9D4E2" w14:textId="0419D93D" w:rsidR="00B6011A" w:rsidRPr="00D43575" w:rsidRDefault="00995048" w:rsidP="00BD7BE9">
            <w:pPr>
              <w:spacing w:after="120"/>
              <w:jc w:val="right"/>
            </w:pPr>
            <w:r w:rsidRPr="00D43575">
              <w:t>1</w:t>
            </w:r>
            <w:r w:rsidR="00603B8C">
              <w:t>7</w:t>
            </w:r>
          </w:p>
        </w:tc>
      </w:tr>
      <w:tr w:rsidR="00B6011A" w:rsidRPr="00D43575" w14:paraId="2FCE4D7D" w14:textId="77777777" w:rsidTr="00500085">
        <w:tc>
          <w:tcPr>
            <w:tcW w:w="8373" w:type="dxa"/>
            <w:gridSpan w:val="3"/>
          </w:tcPr>
          <w:p w14:paraId="1805C67C" w14:textId="77777777" w:rsidR="00B6011A" w:rsidRPr="00D43575" w:rsidRDefault="00B6011A" w:rsidP="008B2CC1">
            <w:pPr>
              <w:tabs>
                <w:tab w:val="right" w:pos="1080"/>
                <w:tab w:val="left" w:pos="1296"/>
                <w:tab w:val="left" w:pos="1728"/>
                <w:tab w:val="left" w:pos="2160"/>
                <w:tab w:val="right" w:leader="dot" w:pos="9360"/>
              </w:tabs>
              <w:spacing w:after="120"/>
              <w:ind w:left="1296"/>
              <w:rPr>
                <w:kern w:val="14"/>
                <w:szCs w:val="20"/>
              </w:rPr>
            </w:pPr>
            <w:r w:rsidRPr="00D43575">
              <w:rPr>
                <w:kern w:val="14"/>
                <w:szCs w:val="20"/>
              </w:rPr>
              <w:t>Artículo 3: Derechos y libertades fundamentales</w:t>
            </w:r>
            <w:r w:rsidRPr="00D43575">
              <w:rPr>
                <w:spacing w:val="60"/>
                <w:sz w:val="17"/>
              </w:rPr>
              <w:tab/>
            </w:r>
          </w:p>
        </w:tc>
        <w:tc>
          <w:tcPr>
            <w:tcW w:w="774" w:type="dxa"/>
            <w:vAlign w:val="bottom"/>
          </w:tcPr>
          <w:p w14:paraId="309C50F9" w14:textId="77777777" w:rsidR="00B6011A" w:rsidRPr="00D43575" w:rsidRDefault="00500085" w:rsidP="00500085">
            <w:pPr>
              <w:spacing w:after="120"/>
              <w:jc w:val="right"/>
            </w:pPr>
            <w:r w:rsidRPr="00D43575">
              <w:t>42</w:t>
            </w:r>
            <w:r w:rsidR="002660A3" w:rsidRPr="00D43575">
              <w:t>–</w:t>
            </w:r>
            <w:r w:rsidRPr="00D43575">
              <w:t>50</w:t>
            </w:r>
          </w:p>
        </w:tc>
        <w:tc>
          <w:tcPr>
            <w:tcW w:w="783" w:type="dxa"/>
            <w:vAlign w:val="bottom"/>
          </w:tcPr>
          <w:p w14:paraId="77DB36B2" w14:textId="434957C0" w:rsidR="00B6011A" w:rsidRPr="00D43575" w:rsidRDefault="002F5CD0" w:rsidP="00BD7BE9">
            <w:pPr>
              <w:spacing w:after="120"/>
              <w:jc w:val="right"/>
            </w:pPr>
            <w:r w:rsidRPr="00D43575">
              <w:t>1</w:t>
            </w:r>
            <w:r w:rsidR="00603B8C">
              <w:t>8</w:t>
            </w:r>
          </w:p>
        </w:tc>
      </w:tr>
      <w:tr w:rsidR="00B6011A" w:rsidRPr="00D43575" w14:paraId="3134D256" w14:textId="77777777" w:rsidTr="00500085">
        <w:tc>
          <w:tcPr>
            <w:tcW w:w="8373" w:type="dxa"/>
            <w:gridSpan w:val="3"/>
          </w:tcPr>
          <w:p w14:paraId="187F93F2" w14:textId="77777777" w:rsidR="00B6011A" w:rsidRPr="00D43575" w:rsidRDefault="00B6011A" w:rsidP="008B2CC1">
            <w:pPr>
              <w:tabs>
                <w:tab w:val="right" w:pos="1080"/>
                <w:tab w:val="left" w:pos="1296"/>
                <w:tab w:val="left" w:pos="1728"/>
                <w:tab w:val="left" w:pos="2160"/>
                <w:tab w:val="right" w:leader="dot" w:pos="9360"/>
              </w:tabs>
              <w:spacing w:after="120"/>
              <w:ind w:left="1296"/>
              <w:rPr>
                <w:kern w:val="14"/>
                <w:szCs w:val="20"/>
              </w:rPr>
            </w:pPr>
            <w:r w:rsidRPr="00D43575">
              <w:rPr>
                <w:kern w:val="14"/>
                <w:szCs w:val="20"/>
              </w:rPr>
              <w:t>Artículo 4: Medidas especiales</w:t>
            </w:r>
            <w:r w:rsidRPr="00D43575">
              <w:rPr>
                <w:spacing w:val="60"/>
                <w:sz w:val="17"/>
              </w:rPr>
              <w:tab/>
            </w:r>
          </w:p>
        </w:tc>
        <w:tc>
          <w:tcPr>
            <w:tcW w:w="774" w:type="dxa"/>
            <w:vAlign w:val="bottom"/>
          </w:tcPr>
          <w:p w14:paraId="715B7517" w14:textId="77777777" w:rsidR="00B6011A" w:rsidRPr="00D43575" w:rsidRDefault="00500085" w:rsidP="00500085">
            <w:pPr>
              <w:spacing w:after="120"/>
              <w:jc w:val="right"/>
            </w:pPr>
            <w:r w:rsidRPr="00D43575">
              <w:t>51</w:t>
            </w:r>
            <w:r w:rsidR="002660A3" w:rsidRPr="00D43575">
              <w:t>–</w:t>
            </w:r>
            <w:r w:rsidRPr="00D43575">
              <w:t>54</w:t>
            </w:r>
          </w:p>
        </w:tc>
        <w:tc>
          <w:tcPr>
            <w:tcW w:w="783" w:type="dxa"/>
            <w:vAlign w:val="bottom"/>
          </w:tcPr>
          <w:p w14:paraId="5CA7ECD0" w14:textId="12918828" w:rsidR="00B6011A" w:rsidRPr="00D43575" w:rsidRDefault="002F5CD0" w:rsidP="00BD7BE9">
            <w:pPr>
              <w:spacing w:after="120"/>
              <w:jc w:val="right"/>
            </w:pPr>
            <w:r w:rsidRPr="00D43575">
              <w:t>2</w:t>
            </w:r>
            <w:r w:rsidR="00603B8C">
              <w:t>0</w:t>
            </w:r>
          </w:p>
        </w:tc>
      </w:tr>
      <w:tr w:rsidR="00B6011A" w:rsidRPr="00D43575" w14:paraId="6894C62E" w14:textId="77777777" w:rsidTr="00500085">
        <w:tc>
          <w:tcPr>
            <w:tcW w:w="8373" w:type="dxa"/>
            <w:gridSpan w:val="3"/>
          </w:tcPr>
          <w:p w14:paraId="527600DD" w14:textId="77777777" w:rsidR="00B6011A" w:rsidRPr="00D43575" w:rsidRDefault="00B6011A" w:rsidP="008B2CC1">
            <w:pPr>
              <w:tabs>
                <w:tab w:val="right" w:pos="1080"/>
                <w:tab w:val="left" w:pos="1296"/>
                <w:tab w:val="left" w:pos="1728"/>
                <w:tab w:val="left" w:pos="2160"/>
                <w:tab w:val="right" w:leader="dot" w:pos="9360"/>
              </w:tabs>
              <w:spacing w:after="120"/>
              <w:ind w:left="1296"/>
              <w:rPr>
                <w:kern w:val="14"/>
                <w:szCs w:val="20"/>
              </w:rPr>
            </w:pPr>
            <w:r w:rsidRPr="00D43575">
              <w:rPr>
                <w:kern w:val="14"/>
                <w:szCs w:val="20"/>
              </w:rPr>
              <w:t>Artículo 5: Estereotipos sociales</w:t>
            </w:r>
            <w:r w:rsidRPr="00D43575">
              <w:rPr>
                <w:spacing w:val="60"/>
                <w:sz w:val="17"/>
              </w:rPr>
              <w:tab/>
            </w:r>
          </w:p>
        </w:tc>
        <w:tc>
          <w:tcPr>
            <w:tcW w:w="774" w:type="dxa"/>
            <w:vAlign w:val="bottom"/>
          </w:tcPr>
          <w:p w14:paraId="140BED0A" w14:textId="77777777" w:rsidR="00B6011A" w:rsidRPr="00D43575" w:rsidRDefault="00500085" w:rsidP="00500085">
            <w:pPr>
              <w:spacing w:after="120"/>
              <w:jc w:val="right"/>
            </w:pPr>
            <w:r w:rsidRPr="00D43575">
              <w:t>55</w:t>
            </w:r>
            <w:r w:rsidR="002660A3" w:rsidRPr="00D43575">
              <w:t>–</w:t>
            </w:r>
            <w:r w:rsidRPr="00D43575">
              <w:t>71</w:t>
            </w:r>
          </w:p>
        </w:tc>
        <w:tc>
          <w:tcPr>
            <w:tcW w:w="783" w:type="dxa"/>
            <w:vAlign w:val="bottom"/>
          </w:tcPr>
          <w:p w14:paraId="28914870" w14:textId="4509C99B" w:rsidR="00B6011A" w:rsidRPr="00D43575" w:rsidRDefault="002F5CD0" w:rsidP="00BD7BE9">
            <w:pPr>
              <w:spacing w:after="120"/>
              <w:jc w:val="right"/>
            </w:pPr>
            <w:r w:rsidRPr="00D43575">
              <w:t>2</w:t>
            </w:r>
            <w:r w:rsidR="00603B8C">
              <w:t>2</w:t>
            </w:r>
          </w:p>
        </w:tc>
      </w:tr>
      <w:tr w:rsidR="00B6011A" w:rsidRPr="00D43575" w14:paraId="1B392C83" w14:textId="77777777" w:rsidTr="00500085">
        <w:tc>
          <w:tcPr>
            <w:tcW w:w="8373" w:type="dxa"/>
            <w:gridSpan w:val="3"/>
          </w:tcPr>
          <w:p w14:paraId="2E83B638" w14:textId="77777777" w:rsidR="00B6011A" w:rsidRPr="00D43575" w:rsidRDefault="00B6011A" w:rsidP="008B2CC1">
            <w:pPr>
              <w:tabs>
                <w:tab w:val="right" w:pos="1080"/>
                <w:tab w:val="left" w:pos="1296"/>
                <w:tab w:val="left" w:pos="1728"/>
                <w:tab w:val="left" w:pos="2160"/>
                <w:tab w:val="right" w:leader="dot" w:pos="9360"/>
              </w:tabs>
              <w:spacing w:after="120"/>
              <w:ind w:left="1296"/>
              <w:rPr>
                <w:kern w:val="14"/>
                <w:szCs w:val="20"/>
              </w:rPr>
            </w:pPr>
            <w:r w:rsidRPr="00D43575">
              <w:rPr>
                <w:kern w:val="14"/>
                <w:szCs w:val="20"/>
              </w:rPr>
              <w:t>Artículo 6: Trata de mujeres</w:t>
            </w:r>
            <w:r w:rsidRPr="00D43575">
              <w:rPr>
                <w:spacing w:val="60"/>
                <w:sz w:val="17"/>
              </w:rPr>
              <w:tab/>
            </w:r>
          </w:p>
        </w:tc>
        <w:tc>
          <w:tcPr>
            <w:tcW w:w="774" w:type="dxa"/>
            <w:vAlign w:val="bottom"/>
          </w:tcPr>
          <w:p w14:paraId="0DF23E37" w14:textId="77777777" w:rsidR="00B6011A" w:rsidRPr="00D43575" w:rsidRDefault="00500085" w:rsidP="00500085">
            <w:pPr>
              <w:spacing w:after="120"/>
              <w:jc w:val="right"/>
            </w:pPr>
            <w:r w:rsidRPr="00D43575">
              <w:t>72</w:t>
            </w:r>
            <w:r w:rsidR="002660A3" w:rsidRPr="00D43575">
              <w:t>–</w:t>
            </w:r>
            <w:r w:rsidRPr="00D43575">
              <w:t>79</w:t>
            </w:r>
          </w:p>
        </w:tc>
        <w:tc>
          <w:tcPr>
            <w:tcW w:w="783" w:type="dxa"/>
            <w:vAlign w:val="bottom"/>
          </w:tcPr>
          <w:p w14:paraId="21497C7B" w14:textId="43680DBB" w:rsidR="00B6011A" w:rsidRPr="00D43575" w:rsidRDefault="002F5CD0" w:rsidP="00BD7BE9">
            <w:pPr>
              <w:spacing w:after="120"/>
              <w:jc w:val="right"/>
            </w:pPr>
            <w:r w:rsidRPr="00D43575">
              <w:t>2</w:t>
            </w:r>
            <w:r w:rsidR="00603B8C">
              <w:t>7</w:t>
            </w:r>
          </w:p>
        </w:tc>
      </w:tr>
      <w:tr w:rsidR="00B6011A" w:rsidRPr="00D43575" w14:paraId="7B65DAEC" w14:textId="77777777" w:rsidTr="00500085">
        <w:tc>
          <w:tcPr>
            <w:tcW w:w="8373" w:type="dxa"/>
            <w:gridSpan w:val="3"/>
          </w:tcPr>
          <w:p w14:paraId="7B6D6F69" w14:textId="77777777" w:rsidR="00B6011A" w:rsidRPr="00D43575" w:rsidRDefault="00B6011A" w:rsidP="008B2CC1">
            <w:pPr>
              <w:tabs>
                <w:tab w:val="right" w:pos="1080"/>
                <w:tab w:val="left" w:pos="1296"/>
                <w:tab w:val="left" w:pos="1728"/>
                <w:tab w:val="left" w:pos="2160"/>
                <w:tab w:val="right" w:leader="dot" w:pos="9360"/>
              </w:tabs>
              <w:spacing w:after="120"/>
              <w:ind w:left="1296"/>
              <w:rPr>
                <w:kern w:val="14"/>
                <w:szCs w:val="20"/>
              </w:rPr>
            </w:pPr>
            <w:r w:rsidRPr="00D43575">
              <w:rPr>
                <w:kern w:val="14"/>
                <w:szCs w:val="20"/>
              </w:rPr>
              <w:t>Artículo 7: Vida política</w:t>
            </w:r>
            <w:r w:rsidRPr="00D43575">
              <w:rPr>
                <w:spacing w:val="60"/>
                <w:sz w:val="17"/>
              </w:rPr>
              <w:tab/>
            </w:r>
          </w:p>
        </w:tc>
        <w:tc>
          <w:tcPr>
            <w:tcW w:w="774" w:type="dxa"/>
            <w:vAlign w:val="bottom"/>
          </w:tcPr>
          <w:p w14:paraId="3057F679" w14:textId="77777777" w:rsidR="00B6011A" w:rsidRPr="00D43575" w:rsidRDefault="00500085" w:rsidP="00500085">
            <w:pPr>
              <w:spacing w:after="120"/>
              <w:jc w:val="right"/>
            </w:pPr>
            <w:r w:rsidRPr="00D43575">
              <w:t>80</w:t>
            </w:r>
            <w:r w:rsidR="002660A3" w:rsidRPr="00D43575">
              <w:t>–</w:t>
            </w:r>
            <w:r w:rsidRPr="00D43575">
              <w:t>84</w:t>
            </w:r>
          </w:p>
        </w:tc>
        <w:tc>
          <w:tcPr>
            <w:tcW w:w="783" w:type="dxa"/>
            <w:vAlign w:val="bottom"/>
          </w:tcPr>
          <w:p w14:paraId="39974604" w14:textId="72302235" w:rsidR="00B6011A" w:rsidRPr="00D43575" w:rsidRDefault="00E659EC" w:rsidP="00BD7BE9">
            <w:pPr>
              <w:spacing w:after="120"/>
              <w:jc w:val="right"/>
            </w:pPr>
            <w:r w:rsidRPr="00D43575">
              <w:t>3</w:t>
            </w:r>
            <w:r w:rsidR="00603B8C">
              <w:t>1</w:t>
            </w:r>
          </w:p>
        </w:tc>
      </w:tr>
      <w:tr w:rsidR="00B6011A" w:rsidRPr="00D43575" w14:paraId="6DE55174" w14:textId="77777777" w:rsidTr="00500085">
        <w:tc>
          <w:tcPr>
            <w:tcW w:w="8373" w:type="dxa"/>
            <w:gridSpan w:val="3"/>
          </w:tcPr>
          <w:p w14:paraId="0D8C76EA" w14:textId="77777777" w:rsidR="00B6011A" w:rsidRPr="00D43575" w:rsidRDefault="00B6011A" w:rsidP="008B2CC1">
            <w:pPr>
              <w:tabs>
                <w:tab w:val="right" w:pos="1080"/>
                <w:tab w:val="left" w:pos="1296"/>
                <w:tab w:val="left" w:pos="1728"/>
                <w:tab w:val="left" w:pos="2160"/>
                <w:tab w:val="right" w:leader="dot" w:pos="9360"/>
              </w:tabs>
              <w:spacing w:after="120"/>
              <w:ind w:left="1296"/>
              <w:rPr>
                <w:kern w:val="14"/>
                <w:szCs w:val="20"/>
              </w:rPr>
            </w:pPr>
            <w:r w:rsidRPr="00D43575">
              <w:rPr>
                <w:kern w:val="14"/>
                <w:szCs w:val="20"/>
              </w:rPr>
              <w:t>Artículo 8: Representación en el plano internacional</w:t>
            </w:r>
            <w:r w:rsidRPr="00D43575">
              <w:rPr>
                <w:spacing w:val="60"/>
                <w:sz w:val="17"/>
              </w:rPr>
              <w:tab/>
            </w:r>
          </w:p>
        </w:tc>
        <w:tc>
          <w:tcPr>
            <w:tcW w:w="774" w:type="dxa"/>
            <w:vAlign w:val="bottom"/>
          </w:tcPr>
          <w:p w14:paraId="60BAA721" w14:textId="77777777" w:rsidR="00B6011A" w:rsidRPr="00D43575" w:rsidRDefault="00500085" w:rsidP="00500085">
            <w:pPr>
              <w:spacing w:after="120"/>
              <w:jc w:val="right"/>
            </w:pPr>
            <w:r w:rsidRPr="00D43575">
              <w:t>85</w:t>
            </w:r>
            <w:r w:rsidR="002660A3" w:rsidRPr="00D43575">
              <w:t>–</w:t>
            </w:r>
            <w:r w:rsidRPr="00D43575">
              <w:t>90</w:t>
            </w:r>
          </w:p>
        </w:tc>
        <w:tc>
          <w:tcPr>
            <w:tcW w:w="783" w:type="dxa"/>
            <w:vAlign w:val="bottom"/>
          </w:tcPr>
          <w:p w14:paraId="73AA78B3" w14:textId="77777777" w:rsidR="00B6011A" w:rsidRPr="00D43575" w:rsidRDefault="00E659EC" w:rsidP="00BD7BE9">
            <w:pPr>
              <w:spacing w:after="120"/>
              <w:jc w:val="right"/>
            </w:pPr>
            <w:r w:rsidRPr="00D43575">
              <w:t>33</w:t>
            </w:r>
          </w:p>
        </w:tc>
      </w:tr>
      <w:tr w:rsidR="00B6011A" w:rsidRPr="00D43575" w14:paraId="3D16EA2D" w14:textId="77777777" w:rsidTr="00500085">
        <w:tc>
          <w:tcPr>
            <w:tcW w:w="8373" w:type="dxa"/>
            <w:gridSpan w:val="3"/>
          </w:tcPr>
          <w:p w14:paraId="1172B4AC" w14:textId="77777777" w:rsidR="00B6011A" w:rsidRPr="00D43575" w:rsidRDefault="00B6011A" w:rsidP="008B2CC1">
            <w:pPr>
              <w:tabs>
                <w:tab w:val="right" w:pos="1080"/>
                <w:tab w:val="left" w:pos="1296"/>
                <w:tab w:val="left" w:pos="1728"/>
                <w:tab w:val="left" w:pos="2160"/>
                <w:tab w:val="right" w:leader="dot" w:pos="9360"/>
              </w:tabs>
              <w:spacing w:after="120"/>
              <w:ind w:left="1296"/>
              <w:rPr>
                <w:kern w:val="14"/>
                <w:szCs w:val="20"/>
              </w:rPr>
            </w:pPr>
            <w:r w:rsidRPr="00D43575">
              <w:rPr>
                <w:kern w:val="14"/>
                <w:szCs w:val="20"/>
              </w:rPr>
              <w:t>Artículo 9: Nacionalidad</w:t>
            </w:r>
            <w:r w:rsidRPr="00D43575">
              <w:rPr>
                <w:spacing w:val="60"/>
                <w:sz w:val="17"/>
              </w:rPr>
              <w:tab/>
            </w:r>
          </w:p>
        </w:tc>
        <w:tc>
          <w:tcPr>
            <w:tcW w:w="774" w:type="dxa"/>
            <w:vAlign w:val="bottom"/>
          </w:tcPr>
          <w:p w14:paraId="7889E2C1" w14:textId="77777777" w:rsidR="00B6011A" w:rsidRPr="00D43575" w:rsidRDefault="00500085" w:rsidP="00500085">
            <w:pPr>
              <w:spacing w:after="120"/>
              <w:jc w:val="right"/>
            </w:pPr>
            <w:r w:rsidRPr="00D43575">
              <w:t>91</w:t>
            </w:r>
            <w:r w:rsidR="002660A3" w:rsidRPr="00D43575">
              <w:t>–</w:t>
            </w:r>
            <w:r w:rsidRPr="00D43575">
              <w:t>93</w:t>
            </w:r>
          </w:p>
        </w:tc>
        <w:tc>
          <w:tcPr>
            <w:tcW w:w="783" w:type="dxa"/>
            <w:vAlign w:val="bottom"/>
          </w:tcPr>
          <w:p w14:paraId="5CCCEFC3" w14:textId="39C50EDA" w:rsidR="00B6011A" w:rsidRPr="00D43575" w:rsidRDefault="00E659EC" w:rsidP="00BD7BE9">
            <w:pPr>
              <w:spacing w:after="120"/>
              <w:jc w:val="right"/>
            </w:pPr>
            <w:r w:rsidRPr="00D43575">
              <w:t>3</w:t>
            </w:r>
            <w:r w:rsidR="00603B8C">
              <w:t>4</w:t>
            </w:r>
          </w:p>
        </w:tc>
      </w:tr>
      <w:tr w:rsidR="00B6011A" w:rsidRPr="00D43575" w14:paraId="20E14DE5" w14:textId="77777777" w:rsidTr="00500085">
        <w:tc>
          <w:tcPr>
            <w:tcW w:w="8373" w:type="dxa"/>
            <w:gridSpan w:val="3"/>
          </w:tcPr>
          <w:p w14:paraId="33228E20" w14:textId="77777777" w:rsidR="00B6011A" w:rsidRPr="00D43575" w:rsidRDefault="00B6011A" w:rsidP="008B2CC1">
            <w:pPr>
              <w:tabs>
                <w:tab w:val="right" w:pos="1080"/>
                <w:tab w:val="left" w:pos="1296"/>
                <w:tab w:val="left" w:pos="1728"/>
                <w:tab w:val="left" w:pos="2160"/>
                <w:tab w:val="right" w:leader="dot" w:pos="9360"/>
              </w:tabs>
              <w:spacing w:after="120"/>
              <w:ind w:left="1296"/>
              <w:rPr>
                <w:kern w:val="14"/>
                <w:szCs w:val="20"/>
              </w:rPr>
            </w:pPr>
            <w:r w:rsidRPr="00D43575">
              <w:rPr>
                <w:kern w:val="14"/>
                <w:szCs w:val="20"/>
              </w:rPr>
              <w:t>Artículo 10: Educación</w:t>
            </w:r>
            <w:r w:rsidRPr="00D43575">
              <w:rPr>
                <w:spacing w:val="60"/>
                <w:sz w:val="17"/>
              </w:rPr>
              <w:tab/>
            </w:r>
          </w:p>
        </w:tc>
        <w:tc>
          <w:tcPr>
            <w:tcW w:w="774" w:type="dxa"/>
            <w:vAlign w:val="bottom"/>
          </w:tcPr>
          <w:p w14:paraId="4FB329EE" w14:textId="77777777" w:rsidR="00B6011A" w:rsidRPr="00D43575" w:rsidRDefault="00500085" w:rsidP="00500085">
            <w:pPr>
              <w:spacing w:after="120"/>
              <w:jc w:val="right"/>
            </w:pPr>
            <w:r w:rsidRPr="00D43575">
              <w:t>94</w:t>
            </w:r>
            <w:r w:rsidR="002660A3" w:rsidRPr="00D43575">
              <w:t>–</w:t>
            </w:r>
            <w:r w:rsidRPr="00D43575">
              <w:t>129</w:t>
            </w:r>
          </w:p>
        </w:tc>
        <w:tc>
          <w:tcPr>
            <w:tcW w:w="783" w:type="dxa"/>
            <w:vAlign w:val="bottom"/>
          </w:tcPr>
          <w:p w14:paraId="275C742B" w14:textId="131FAA03" w:rsidR="00B6011A" w:rsidRPr="00D43575" w:rsidRDefault="00E659EC" w:rsidP="00BD7BE9">
            <w:pPr>
              <w:spacing w:after="120"/>
              <w:jc w:val="right"/>
            </w:pPr>
            <w:r w:rsidRPr="00D43575">
              <w:t>3</w:t>
            </w:r>
            <w:r w:rsidR="00603B8C">
              <w:t>5</w:t>
            </w:r>
          </w:p>
        </w:tc>
      </w:tr>
      <w:tr w:rsidR="00B6011A" w:rsidRPr="00D43575" w14:paraId="4C82C298" w14:textId="77777777" w:rsidTr="00500085">
        <w:tc>
          <w:tcPr>
            <w:tcW w:w="8373" w:type="dxa"/>
            <w:gridSpan w:val="3"/>
          </w:tcPr>
          <w:p w14:paraId="7E760D79" w14:textId="77777777" w:rsidR="00B6011A" w:rsidRPr="00D43575" w:rsidRDefault="00B6011A" w:rsidP="008B2CC1">
            <w:pPr>
              <w:tabs>
                <w:tab w:val="right" w:pos="1080"/>
                <w:tab w:val="left" w:pos="1296"/>
                <w:tab w:val="left" w:pos="1728"/>
                <w:tab w:val="left" w:pos="2160"/>
                <w:tab w:val="right" w:leader="dot" w:pos="9360"/>
              </w:tabs>
              <w:spacing w:after="120"/>
              <w:ind w:left="1296"/>
              <w:rPr>
                <w:kern w:val="14"/>
                <w:szCs w:val="20"/>
              </w:rPr>
            </w:pPr>
            <w:r w:rsidRPr="00D43575">
              <w:rPr>
                <w:kern w:val="14"/>
                <w:szCs w:val="20"/>
              </w:rPr>
              <w:t>Artículo 11: Empleo</w:t>
            </w:r>
            <w:r w:rsidRPr="00D43575">
              <w:rPr>
                <w:spacing w:val="60"/>
                <w:sz w:val="17"/>
              </w:rPr>
              <w:tab/>
            </w:r>
          </w:p>
        </w:tc>
        <w:tc>
          <w:tcPr>
            <w:tcW w:w="774" w:type="dxa"/>
            <w:vAlign w:val="bottom"/>
          </w:tcPr>
          <w:p w14:paraId="11EFDF82" w14:textId="77777777" w:rsidR="00B6011A" w:rsidRPr="00D43575" w:rsidRDefault="00500085" w:rsidP="00500085">
            <w:pPr>
              <w:spacing w:after="120"/>
              <w:jc w:val="right"/>
            </w:pPr>
            <w:r w:rsidRPr="00D43575">
              <w:t>130</w:t>
            </w:r>
            <w:r w:rsidR="002660A3" w:rsidRPr="00D43575">
              <w:t>–</w:t>
            </w:r>
            <w:r w:rsidRPr="00D43575">
              <w:t>138</w:t>
            </w:r>
          </w:p>
        </w:tc>
        <w:tc>
          <w:tcPr>
            <w:tcW w:w="783" w:type="dxa"/>
            <w:vAlign w:val="bottom"/>
          </w:tcPr>
          <w:p w14:paraId="3A5E3E24" w14:textId="6897808D" w:rsidR="00B6011A" w:rsidRPr="00D43575" w:rsidRDefault="00E659EC" w:rsidP="00BD7BE9">
            <w:pPr>
              <w:spacing w:after="120"/>
              <w:jc w:val="right"/>
            </w:pPr>
            <w:r w:rsidRPr="00D43575">
              <w:t>4</w:t>
            </w:r>
            <w:r w:rsidR="00603B8C">
              <w:t>8</w:t>
            </w:r>
          </w:p>
        </w:tc>
      </w:tr>
      <w:tr w:rsidR="00B6011A" w:rsidRPr="00D43575" w14:paraId="01B78B1E" w14:textId="77777777" w:rsidTr="00500085">
        <w:tc>
          <w:tcPr>
            <w:tcW w:w="8373" w:type="dxa"/>
            <w:gridSpan w:val="3"/>
          </w:tcPr>
          <w:p w14:paraId="4F70210D" w14:textId="77777777" w:rsidR="00B6011A" w:rsidRPr="00D43575" w:rsidRDefault="00B6011A" w:rsidP="008B2CC1">
            <w:pPr>
              <w:tabs>
                <w:tab w:val="right" w:pos="1080"/>
                <w:tab w:val="left" w:pos="1296"/>
                <w:tab w:val="left" w:pos="1728"/>
                <w:tab w:val="left" w:pos="2160"/>
                <w:tab w:val="right" w:leader="dot" w:pos="9360"/>
              </w:tabs>
              <w:spacing w:after="120"/>
              <w:ind w:left="1296"/>
              <w:rPr>
                <w:kern w:val="14"/>
                <w:szCs w:val="20"/>
              </w:rPr>
            </w:pPr>
            <w:r w:rsidRPr="00D43575">
              <w:rPr>
                <w:kern w:val="14"/>
                <w:szCs w:val="20"/>
              </w:rPr>
              <w:t>Artículo 12: Salud</w:t>
            </w:r>
            <w:r w:rsidRPr="00D43575">
              <w:rPr>
                <w:spacing w:val="60"/>
                <w:sz w:val="17"/>
              </w:rPr>
              <w:tab/>
            </w:r>
          </w:p>
        </w:tc>
        <w:tc>
          <w:tcPr>
            <w:tcW w:w="774" w:type="dxa"/>
            <w:vAlign w:val="bottom"/>
          </w:tcPr>
          <w:p w14:paraId="1BB0D5C7" w14:textId="77777777" w:rsidR="00B6011A" w:rsidRPr="00D43575" w:rsidRDefault="00500085" w:rsidP="00500085">
            <w:pPr>
              <w:spacing w:after="120"/>
              <w:jc w:val="right"/>
            </w:pPr>
            <w:r w:rsidRPr="00D43575">
              <w:t>139</w:t>
            </w:r>
            <w:r w:rsidR="002660A3" w:rsidRPr="00D43575">
              <w:t>–</w:t>
            </w:r>
            <w:r w:rsidRPr="00D43575">
              <w:t>151</w:t>
            </w:r>
          </w:p>
        </w:tc>
        <w:tc>
          <w:tcPr>
            <w:tcW w:w="783" w:type="dxa"/>
            <w:vAlign w:val="bottom"/>
          </w:tcPr>
          <w:p w14:paraId="6A05F5E7" w14:textId="545C2E97" w:rsidR="00B6011A" w:rsidRPr="00D43575" w:rsidRDefault="00E659EC" w:rsidP="00BD7BE9">
            <w:pPr>
              <w:spacing w:after="120"/>
              <w:jc w:val="right"/>
            </w:pPr>
            <w:r w:rsidRPr="00D43575">
              <w:t>5</w:t>
            </w:r>
            <w:r w:rsidR="00603B8C">
              <w:t>2</w:t>
            </w:r>
          </w:p>
        </w:tc>
      </w:tr>
      <w:tr w:rsidR="00B6011A" w:rsidRPr="00D43575" w14:paraId="5D5768A7" w14:textId="77777777" w:rsidTr="00500085">
        <w:tc>
          <w:tcPr>
            <w:tcW w:w="8373" w:type="dxa"/>
            <w:gridSpan w:val="3"/>
          </w:tcPr>
          <w:p w14:paraId="7960BC76" w14:textId="77777777" w:rsidR="00B6011A" w:rsidRPr="00D43575" w:rsidRDefault="00B6011A" w:rsidP="008B2CC1">
            <w:pPr>
              <w:tabs>
                <w:tab w:val="right" w:pos="1080"/>
                <w:tab w:val="left" w:pos="1296"/>
                <w:tab w:val="left" w:pos="1728"/>
                <w:tab w:val="left" w:pos="2160"/>
                <w:tab w:val="right" w:leader="dot" w:pos="9360"/>
              </w:tabs>
              <w:spacing w:after="120"/>
              <w:ind w:left="1296"/>
              <w:rPr>
                <w:kern w:val="14"/>
                <w:szCs w:val="20"/>
              </w:rPr>
            </w:pPr>
            <w:r w:rsidRPr="00D43575">
              <w:rPr>
                <w:kern w:val="14"/>
                <w:szCs w:val="20"/>
              </w:rPr>
              <w:t>Artículo 13: Prestaciones económicas y sociales</w:t>
            </w:r>
            <w:r w:rsidRPr="00D43575">
              <w:rPr>
                <w:spacing w:val="60"/>
                <w:sz w:val="17"/>
              </w:rPr>
              <w:tab/>
            </w:r>
          </w:p>
        </w:tc>
        <w:tc>
          <w:tcPr>
            <w:tcW w:w="774" w:type="dxa"/>
            <w:vAlign w:val="bottom"/>
          </w:tcPr>
          <w:p w14:paraId="0F2AEE6A" w14:textId="77777777" w:rsidR="00B6011A" w:rsidRPr="00D43575" w:rsidRDefault="00500085" w:rsidP="00500085">
            <w:pPr>
              <w:spacing w:after="120"/>
              <w:jc w:val="right"/>
            </w:pPr>
            <w:r w:rsidRPr="00D43575">
              <w:t>152</w:t>
            </w:r>
            <w:r w:rsidR="002660A3" w:rsidRPr="00D43575">
              <w:t>–</w:t>
            </w:r>
            <w:r w:rsidRPr="00D43575">
              <w:t>161</w:t>
            </w:r>
          </w:p>
        </w:tc>
        <w:tc>
          <w:tcPr>
            <w:tcW w:w="783" w:type="dxa"/>
            <w:vAlign w:val="bottom"/>
          </w:tcPr>
          <w:p w14:paraId="7D090024" w14:textId="79D95421" w:rsidR="00B6011A" w:rsidRPr="00D43575" w:rsidRDefault="00E659EC" w:rsidP="00BD7BE9">
            <w:pPr>
              <w:spacing w:after="120"/>
              <w:jc w:val="right"/>
            </w:pPr>
            <w:r w:rsidRPr="00D43575">
              <w:t>5</w:t>
            </w:r>
            <w:r w:rsidR="00603B8C">
              <w:t>6</w:t>
            </w:r>
          </w:p>
        </w:tc>
      </w:tr>
      <w:tr w:rsidR="00B6011A" w:rsidRPr="00D43575" w14:paraId="35B991D4" w14:textId="77777777" w:rsidTr="00500085">
        <w:tc>
          <w:tcPr>
            <w:tcW w:w="8373" w:type="dxa"/>
            <w:gridSpan w:val="3"/>
          </w:tcPr>
          <w:p w14:paraId="7D56A701" w14:textId="77777777" w:rsidR="00B6011A" w:rsidRPr="00D43575" w:rsidRDefault="00B6011A" w:rsidP="008B2CC1">
            <w:pPr>
              <w:tabs>
                <w:tab w:val="right" w:pos="1080"/>
                <w:tab w:val="left" w:pos="1296"/>
                <w:tab w:val="left" w:pos="1728"/>
                <w:tab w:val="left" w:pos="2160"/>
                <w:tab w:val="right" w:leader="dot" w:pos="9360"/>
              </w:tabs>
              <w:spacing w:after="120"/>
              <w:ind w:left="1296"/>
              <w:rPr>
                <w:kern w:val="14"/>
                <w:szCs w:val="20"/>
              </w:rPr>
            </w:pPr>
            <w:r w:rsidRPr="00D43575">
              <w:rPr>
                <w:kern w:val="14"/>
                <w:szCs w:val="20"/>
              </w:rPr>
              <w:t>Artículo 14: La mujer de las zonas rurales</w:t>
            </w:r>
            <w:r w:rsidRPr="00D43575">
              <w:rPr>
                <w:spacing w:val="60"/>
                <w:sz w:val="17"/>
              </w:rPr>
              <w:tab/>
            </w:r>
          </w:p>
        </w:tc>
        <w:tc>
          <w:tcPr>
            <w:tcW w:w="774" w:type="dxa"/>
            <w:vAlign w:val="bottom"/>
          </w:tcPr>
          <w:p w14:paraId="0051D77D" w14:textId="77777777" w:rsidR="00B6011A" w:rsidRPr="00D43575" w:rsidRDefault="00500085" w:rsidP="00500085">
            <w:pPr>
              <w:spacing w:after="120"/>
              <w:jc w:val="right"/>
            </w:pPr>
            <w:r w:rsidRPr="00D43575">
              <w:t>162</w:t>
            </w:r>
          </w:p>
        </w:tc>
        <w:tc>
          <w:tcPr>
            <w:tcW w:w="783" w:type="dxa"/>
            <w:vAlign w:val="bottom"/>
          </w:tcPr>
          <w:p w14:paraId="5EC48F47" w14:textId="1196E7BA" w:rsidR="00B6011A" w:rsidRPr="00D43575" w:rsidRDefault="00E659EC" w:rsidP="00BD7BE9">
            <w:pPr>
              <w:spacing w:after="120"/>
              <w:jc w:val="right"/>
            </w:pPr>
            <w:r w:rsidRPr="00D43575">
              <w:t>5</w:t>
            </w:r>
            <w:r w:rsidR="00603B8C">
              <w:t>8</w:t>
            </w:r>
          </w:p>
        </w:tc>
      </w:tr>
      <w:tr w:rsidR="00B6011A" w:rsidRPr="00D43575" w14:paraId="1FDB486E" w14:textId="77777777" w:rsidTr="00500085">
        <w:tc>
          <w:tcPr>
            <w:tcW w:w="8373" w:type="dxa"/>
            <w:gridSpan w:val="3"/>
          </w:tcPr>
          <w:p w14:paraId="2B1C3D9F" w14:textId="77777777" w:rsidR="00B6011A" w:rsidRPr="00D43575" w:rsidRDefault="00B6011A" w:rsidP="008B2CC1">
            <w:pPr>
              <w:tabs>
                <w:tab w:val="right" w:pos="1080"/>
                <w:tab w:val="left" w:pos="1296"/>
                <w:tab w:val="left" w:pos="1728"/>
                <w:tab w:val="left" w:pos="2160"/>
                <w:tab w:val="right" w:leader="dot" w:pos="9360"/>
              </w:tabs>
              <w:spacing w:after="120"/>
              <w:ind w:left="1296"/>
              <w:rPr>
                <w:kern w:val="14"/>
                <w:szCs w:val="20"/>
              </w:rPr>
            </w:pPr>
            <w:r w:rsidRPr="00D43575">
              <w:rPr>
                <w:kern w:val="14"/>
                <w:szCs w:val="20"/>
              </w:rPr>
              <w:t>Artículo 15: Derechos civiles</w:t>
            </w:r>
            <w:r w:rsidRPr="00D43575">
              <w:rPr>
                <w:spacing w:val="60"/>
                <w:sz w:val="17"/>
              </w:rPr>
              <w:tab/>
            </w:r>
          </w:p>
        </w:tc>
        <w:tc>
          <w:tcPr>
            <w:tcW w:w="774" w:type="dxa"/>
            <w:vAlign w:val="bottom"/>
          </w:tcPr>
          <w:p w14:paraId="7574BACD" w14:textId="77777777" w:rsidR="00B6011A" w:rsidRPr="00D43575" w:rsidRDefault="00500085" w:rsidP="00500085">
            <w:pPr>
              <w:spacing w:after="120"/>
              <w:jc w:val="right"/>
            </w:pPr>
            <w:r w:rsidRPr="00D43575">
              <w:t>163</w:t>
            </w:r>
          </w:p>
        </w:tc>
        <w:tc>
          <w:tcPr>
            <w:tcW w:w="783" w:type="dxa"/>
            <w:vAlign w:val="bottom"/>
          </w:tcPr>
          <w:p w14:paraId="1A2F339A" w14:textId="5D85E316" w:rsidR="00B6011A" w:rsidRPr="00D43575" w:rsidRDefault="00E659EC" w:rsidP="00BD7BE9">
            <w:pPr>
              <w:spacing w:after="120"/>
              <w:jc w:val="right"/>
            </w:pPr>
            <w:r w:rsidRPr="00D43575">
              <w:t>5</w:t>
            </w:r>
            <w:r w:rsidR="00603B8C">
              <w:t>8</w:t>
            </w:r>
          </w:p>
        </w:tc>
      </w:tr>
      <w:tr w:rsidR="00B6011A" w:rsidRPr="00D43575" w14:paraId="70297B59" w14:textId="77777777" w:rsidTr="00500085">
        <w:tc>
          <w:tcPr>
            <w:tcW w:w="8373" w:type="dxa"/>
            <w:gridSpan w:val="3"/>
          </w:tcPr>
          <w:p w14:paraId="3A766141" w14:textId="77777777" w:rsidR="00B6011A" w:rsidRPr="00D43575" w:rsidRDefault="00B6011A" w:rsidP="008B2CC1">
            <w:pPr>
              <w:tabs>
                <w:tab w:val="right" w:pos="1080"/>
                <w:tab w:val="left" w:pos="1296"/>
                <w:tab w:val="left" w:pos="1728"/>
                <w:tab w:val="left" w:pos="2160"/>
                <w:tab w:val="right" w:leader="dot" w:pos="9360"/>
              </w:tabs>
              <w:spacing w:after="120"/>
              <w:ind w:left="1296"/>
              <w:rPr>
                <w:kern w:val="14"/>
                <w:szCs w:val="20"/>
              </w:rPr>
            </w:pPr>
            <w:r w:rsidRPr="00D43575">
              <w:rPr>
                <w:kern w:val="14"/>
                <w:szCs w:val="20"/>
              </w:rPr>
              <w:t>Artículo 16: Matrimonio y relaciones familiares</w:t>
            </w:r>
            <w:r w:rsidRPr="00D43575">
              <w:rPr>
                <w:spacing w:val="60"/>
                <w:sz w:val="17"/>
              </w:rPr>
              <w:tab/>
            </w:r>
          </w:p>
        </w:tc>
        <w:tc>
          <w:tcPr>
            <w:tcW w:w="774" w:type="dxa"/>
            <w:vAlign w:val="bottom"/>
          </w:tcPr>
          <w:p w14:paraId="6A7DC46A" w14:textId="77777777" w:rsidR="00B6011A" w:rsidRPr="00D43575" w:rsidRDefault="00500085" w:rsidP="00500085">
            <w:pPr>
              <w:spacing w:after="120"/>
              <w:jc w:val="right"/>
            </w:pPr>
            <w:r w:rsidRPr="00D43575">
              <w:t>164</w:t>
            </w:r>
            <w:r w:rsidR="002660A3" w:rsidRPr="00D43575">
              <w:t>–</w:t>
            </w:r>
            <w:r w:rsidRPr="00D43575">
              <w:t>174</w:t>
            </w:r>
          </w:p>
        </w:tc>
        <w:tc>
          <w:tcPr>
            <w:tcW w:w="783" w:type="dxa"/>
            <w:vAlign w:val="bottom"/>
          </w:tcPr>
          <w:p w14:paraId="75E5137C" w14:textId="57AE40E0" w:rsidR="00B6011A" w:rsidRPr="00D43575" w:rsidRDefault="00E659EC" w:rsidP="00BD7BE9">
            <w:pPr>
              <w:spacing w:after="120"/>
              <w:jc w:val="right"/>
            </w:pPr>
            <w:r w:rsidRPr="00D43575">
              <w:t>5</w:t>
            </w:r>
            <w:r w:rsidR="00603B8C">
              <w:t>8</w:t>
            </w:r>
          </w:p>
        </w:tc>
      </w:tr>
      <w:tr w:rsidR="00B6011A" w:rsidRPr="00D43575" w14:paraId="2D39379E" w14:textId="77777777" w:rsidTr="00500085">
        <w:tc>
          <w:tcPr>
            <w:tcW w:w="8373" w:type="dxa"/>
            <w:gridSpan w:val="3"/>
          </w:tcPr>
          <w:p w14:paraId="026DF68E" w14:textId="32C8F5EB" w:rsidR="00B6011A" w:rsidRPr="00D43575" w:rsidRDefault="00B6011A" w:rsidP="00350D29">
            <w:pPr>
              <w:tabs>
                <w:tab w:val="right" w:pos="1080"/>
                <w:tab w:val="right" w:leader="dot" w:pos="9360"/>
              </w:tabs>
              <w:spacing w:after="120" w:line="240" w:lineRule="auto"/>
              <w:ind w:left="1080"/>
              <w:rPr>
                <w:szCs w:val="24"/>
              </w:rPr>
            </w:pPr>
            <w:r w:rsidRPr="00D43575">
              <w:rPr>
                <w:szCs w:val="24"/>
              </w:rPr>
              <w:t>Parte III</w:t>
            </w:r>
            <w:r w:rsidR="00083383" w:rsidRPr="00D43575">
              <w:rPr>
                <w:szCs w:val="24"/>
              </w:rPr>
              <w:t>.</w:t>
            </w:r>
            <w:r w:rsidRPr="00D43575">
              <w:rPr>
                <w:szCs w:val="24"/>
              </w:rPr>
              <w:t xml:space="preserve"> Retos y orientaciones futuras</w:t>
            </w:r>
            <w:r w:rsidRPr="00D43575">
              <w:rPr>
                <w:spacing w:val="60"/>
                <w:sz w:val="17"/>
              </w:rPr>
              <w:tab/>
            </w:r>
          </w:p>
        </w:tc>
        <w:tc>
          <w:tcPr>
            <w:tcW w:w="774" w:type="dxa"/>
            <w:vAlign w:val="bottom"/>
          </w:tcPr>
          <w:p w14:paraId="4F984461" w14:textId="77777777" w:rsidR="00B6011A" w:rsidRPr="00D43575" w:rsidRDefault="00500085" w:rsidP="00500085">
            <w:pPr>
              <w:spacing w:after="120"/>
              <w:jc w:val="right"/>
            </w:pPr>
            <w:r w:rsidRPr="00D43575">
              <w:t>175</w:t>
            </w:r>
            <w:r w:rsidR="002660A3" w:rsidRPr="00D43575">
              <w:t>–</w:t>
            </w:r>
            <w:r w:rsidRPr="00D43575">
              <w:t>184</w:t>
            </w:r>
          </w:p>
        </w:tc>
        <w:tc>
          <w:tcPr>
            <w:tcW w:w="783" w:type="dxa"/>
            <w:vAlign w:val="bottom"/>
          </w:tcPr>
          <w:p w14:paraId="1F84302F" w14:textId="6C290BB1" w:rsidR="00B6011A" w:rsidRPr="00D43575" w:rsidRDefault="00E659EC" w:rsidP="00BD7BE9">
            <w:pPr>
              <w:spacing w:after="120"/>
              <w:jc w:val="right"/>
            </w:pPr>
            <w:r w:rsidRPr="00D43575">
              <w:t>6</w:t>
            </w:r>
            <w:r w:rsidR="00603B8C">
              <w:t>1</w:t>
            </w:r>
          </w:p>
        </w:tc>
      </w:tr>
      <w:tr w:rsidR="00B6011A" w:rsidRPr="00D43575" w14:paraId="7FE3D675" w14:textId="77777777" w:rsidTr="00500085">
        <w:tc>
          <w:tcPr>
            <w:tcW w:w="8373" w:type="dxa"/>
            <w:gridSpan w:val="3"/>
          </w:tcPr>
          <w:p w14:paraId="07177940" w14:textId="77777777" w:rsidR="00B6011A" w:rsidRPr="00D43575" w:rsidRDefault="00B6011A" w:rsidP="00350D29">
            <w:pPr>
              <w:tabs>
                <w:tab w:val="right" w:pos="1080"/>
                <w:tab w:val="right" w:leader="dot" w:pos="9360"/>
              </w:tabs>
              <w:spacing w:after="120" w:line="240" w:lineRule="auto"/>
              <w:ind w:left="1080"/>
              <w:rPr>
                <w:szCs w:val="24"/>
              </w:rPr>
            </w:pPr>
            <w:r w:rsidRPr="00D43575">
              <w:rPr>
                <w:szCs w:val="24"/>
              </w:rPr>
              <w:t>Conclusión</w:t>
            </w:r>
            <w:r w:rsidRPr="00D43575">
              <w:rPr>
                <w:spacing w:val="60"/>
                <w:sz w:val="17"/>
              </w:rPr>
              <w:tab/>
            </w:r>
          </w:p>
        </w:tc>
        <w:tc>
          <w:tcPr>
            <w:tcW w:w="774" w:type="dxa"/>
            <w:vAlign w:val="bottom"/>
          </w:tcPr>
          <w:p w14:paraId="2A933F5A" w14:textId="77777777" w:rsidR="00B6011A" w:rsidRPr="00D43575" w:rsidRDefault="00500085" w:rsidP="00500085">
            <w:pPr>
              <w:spacing w:after="120"/>
              <w:jc w:val="right"/>
            </w:pPr>
            <w:r w:rsidRPr="00D43575">
              <w:t>185</w:t>
            </w:r>
          </w:p>
        </w:tc>
        <w:tc>
          <w:tcPr>
            <w:tcW w:w="783" w:type="dxa"/>
            <w:vAlign w:val="bottom"/>
          </w:tcPr>
          <w:p w14:paraId="6DF234E3" w14:textId="022DE135" w:rsidR="00B6011A" w:rsidRPr="00D43575" w:rsidRDefault="00E659EC" w:rsidP="00BD7BE9">
            <w:pPr>
              <w:spacing w:after="120"/>
              <w:jc w:val="right"/>
            </w:pPr>
            <w:r w:rsidRPr="00D43575">
              <w:t>6</w:t>
            </w:r>
            <w:r w:rsidR="00603B8C">
              <w:t>3</w:t>
            </w:r>
          </w:p>
        </w:tc>
      </w:tr>
      <w:tr w:rsidR="00B6011A" w:rsidRPr="00D43575" w14:paraId="527C0A87" w14:textId="77777777" w:rsidTr="00500085">
        <w:tc>
          <w:tcPr>
            <w:tcW w:w="8373" w:type="dxa"/>
            <w:gridSpan w:val="3"/>
          </w:tcPr>
          <w:p w14:paraId="62A73938" w14:textId="77777777" w:rsidR="00B6011A" w:rsidRPr="00D43575" w:rsidRDefault="00B6011A" w:rsidP="00A55ED0">
            <w:pPr>
              <w:tabs>
                <w:tab w:val="right" w:pos="1080"/>
                <w:tab w:val="right" w:leader="dot" w:pos="9360"/>
              </w:tabs>
              <w:spacing w:after="120" w:line="240" w:lineRule="auto"/>
              <w:ind w:left="1080" w:hanging="540"/>
              <w:rPr>
                <w:szCs w:val="24"/>
              </w:rPr>
            </w:pPr>
            <w:r w:rsidRPr="00D43575">
              <w:rPr>
                <w:szCs w:val="24"/>
              </w:rPr>
              <w:t>Anexos</w:t>
            </w:r>
          </w:p>
        </w:tc>
        <w:tc>
          <w:tcPr>
            <w:tcW w:w="774" w:type="dxa"/>
            <w:vAlign w:val="bottom"/>
          </w:tcPr>
          <w:p w14:paraId="444AF6C8" w14:textId="77777777" w:rsidR="00B6011A" w:rsidRPr="00D43575" w:rsidRDefault="00B6011A" w:rsidP="00500085">
            <w:pPr>
              <w:spacing w:after="120"/>
              <w:jc w:val="right"/>
            </w:pPr>
          </w:p>
        </w:tc>
        <w:tc>
          <w:tcPr>
            <w:tcW w:w="783" w:type="dxa"/>
            <w:vAlign w:val="bottom"/>
          </w:tcPr>
          <w:p w14:paraId="0AEA1D8B" w14:textId="77777777" w:rsidR="00B6011A" w:rsidRPr="00D43575" w:rsidRDefault="00B6011A" w:rsidP="00BD7BE9">
            <w:pPr>
              <w:spacing w:after="120"/>
              <w:jc w:val="right"/>
            </w:pPr>
          </w:p>
        </w:tc>
      </w:tr>
      <w:tr w:rsidR="00B6011A" w:rsidRPr="00D43575" w14:paraId="1C0CDF1F" w14:textId="77777777" w:rsidTr="00500085">
        <w:tc>
          <w:tcPr>
            <w:tcW w:w="8373" w:type="dxa"/>
            <w:gridSpan w:val="3"/>
          </w:tcPr>
          <w:p w14:paraId="7BACBD3F" w14:textId="26166F27" w:rsidR="00B6011A" w:rsidRPr="00D43575" w:rsidRDefault="00B6011A" w:rsidP="003737A1">
            <w:pPr>
              <w:tabs>
                <w:tab w:val="right" w:pos="1080"/>
                <w:tab w:val="left" w:pos="1296"/>
                <w:tab w:val="left" w:pos="1728"/>
                <w:tab w:val="left" w:pos="2160"/>
                <w:tab w:val="right" w:leader="dot" w:pos="9360"/>
              </w:tabs>
              <w:spacing w:after="120"/>
              <w:ind w:left="1729" w:hanging="431"/>
              <w:rPr>
                <w:kern w:val="14"/>
                <w:szCs w:val="20"/>
              </w:rPr>
            </w:pPr>
            <w:r w:rsidRPr="00D43575">
              <w:rPr>
                <w:kern w:val="14"/>
                <w:szCs w:val="20"/>
              </w:rPr>
              <w:t>1</w:t>
            </w:r>
            <w:r w:rsidR="00083383" w:rsidRPr="00D43575">
              <w:rPr>
                <w:kern w:val="14"/>
                <w:szCs w:val="20"/>
              </w:rPr>
              <w:t>.</w:t>
            </w:r>
            <w:r w:rsidRPr="00D43575">
              <w:rPr>
                <w:kern w:val="14"/>
                <w:szCs w:val="20"/>
              </w:rPr>
              <w:tab/>
              <w:t>La Constitución de Qatar</w:t>
            </w:r>
          </w:p>
        </w:tc>
        <w:tc>
          <w:tcPr>
            <w:tcW w:w="774" w:type="dxa"/>
            <w:vAlign w:val="bottom"/>
          </w:tcPr>
          <w:p w14:paraId="2CE522C8" w14:textId="77777777" w:rsidR="00B6011A" w:rsidRPr="00D43575" w:rsidRDefault="00B6011A" w:rsidP="00500085">
            <w:pPr>
              <w:spacing w:after="120"/>
              <w:jc w:val="right"/>
            </w:pPr>
          </w:p>
        </w:tc>
        <w:tc>
          <w:tcPr>
            <w:tcW w:w="783" w:type="dxa"/>
            <w:vAlign w:val="bottom"/>
          </w:tcPr>
          <w:p w14:paraId="6D742719" w14:textId="77777777" w:rsidR="00B6011A" w:rsidRPr="00D43575" w:rsidRDefault="00B6011A" w:rsidP="00BD7BE9">
            <w:pPr>
              <w:spacing w:after="120"/>
              <w:jc w:val="right"/>
            </w:pPr>
          </w:p>
        </w:tc>
      </w:tr>
      <w:tr w:rsidR="00B6011A" w:rsidRPr="00D43575" w14:paraId="29BE39CC" w14:textId="77777777" w:rsidTr="00500085">
        <w:tc>
          <w:tcPr>
            <w:tcW w:w="8373" w:type="dxa"/>
            <w:gridSpan w:val="3"/>
          </w:tcPr>
          <w:p w14:paraId="34D8779D" w14:textId="7D3ECD24" w:rsidR="00B6011A" w:rsidRPr="00D43575" w:rsidRDefault="00B6011A" w:rsidP="003737A1">
            <w:pPr>
              <w:tabs>
                <w:tab w:val="right" w:pos="1080"/>
                <w:tab w:val="left" w:pos="1296"/>
                <w:tab w:val="left" w:pos="1728"/>
                <w:tab w:val="left" w:pos="2160"/>
                <w:tab w:val="right" w:leader="dot" w:pos="9360"/>
              </w:tabs>
              <w:spacing w:after="120"/>
              <w:ind w:left="1729" w:hanging="431"/>
              <w:rPr>
                <w:kern w:val="14"/>
                <w:szCs w:val="20"/>
              </w:rPr>
            </w:pPr>
            <w:r w:rsidRPr="00D43575">
              <w:rPr>
                <w:kern w:val="14"/>
                <w:szCs w:val="20"/>
              </w:rPr>
              <w:t>2</w:t>
            </w:r>
            <w:r w:rsidR="00083383" w:rsidRPr="00D43575">
              <w:rPr>
                <w:kern w:val="14"/>
                <w:szCs w:val="20"/>
              </w:rPr>
              <w:t>.</w:t>
            </w:r>
            <w:r w:rsidRPr="00D43575">
              <w:rPr>
                <w:kern w:val="14"/>
                <w:szCs w:val="20"/>
              </w:rPr>
              <w:tab/>
              <w:t>Visión Nacional de Qatar 2030</w:t>
            </w:r>
          </w:p>
        </w:tc>
        <w:tc>
          <w:tcPr>
            <w:tcW w:w="774" w:type="dxa"/>
            <w:vAlign w:val="bottom"/>
          </w:tcPr>
          <w:p w14:paraId="6F718338" w14:textId="77777777" w:rsidR="00B6011A" w:rsidRPr="00D43575" w:rsidRDefault="00B6011A" w:rsidP="00500085">
            <w:pPr>
              <w:spacing w:after="120"/>
              <w:jc w:val="right"/>
            </w:pPr>
          </w:p>
        </w:tc>
        <w:tc>
          <w:tcPr>
            <w:tcW w:w="783" w:type="dxa"/>
            <w:vAlign w:val="bottom"/>
          </w:tcPr>
          <w:p w14:paraId="70C3FC98" w14:textId="77777777" w:rsidR="00B6011A" w:rsidRPr="00D43575" w:rsidRDefault="00B6011A" w:rsidP="00BD7BE9">
            <w:pPr>
              <w:spacing w:after="120"/>
              <w:jc w:val="right"/>
            </w:pPr>
          </w:p>
        </w:tc>
      </w:tr>
      <w:tr w:rsidR="00B6011A" w:rsidRPr="00D43575" w14:paraId="34338CE1" w14:textId="77777777" w:rsidTr="00500085">
        <w:tc>
          <w:tcPr>
            <w:tcW w:w="8373" w:type="dxa"/>
            <w:gridSpan w:val="3"/>
          </w:tcPr>
          <w:p w14:paraId="01BC1437" w14:textId="50ABD614" w:rsidR="00B6011A" w:rsidRPr="00D43575" w:rsidRDefault="00B6011A" w:rsidP="003737A1">
            <w:pPr>
              <w:tabs>
                <w:tab w:val="right" w:pos="1080"/>
                <w:tab w:val="left" w:pos="1296"/>
                <w:tab w:val="left" w:pos="1728"/>
                <w:tab w:val="left" w:pos="2160"/>
                <w:tab w:val="right" w:leader="dot" w:pos="9360"/>
              </w:tabs>
              <w:spacing w:after="120"/>
              <w:ind w:left="1729" w:hanging="431"/>
              <w:rPr>
                <w:kern w:val="14"/>
                <w:szCs w:val="20"/>
              </w:rPr>
            </w:pPr>
            <w:r w:rsidRPr="00D43575">
              <w:rPr>
                <w:kern w:val="14"/>
                <w:szCs w:val="20"/>
              </w:rPr>
              <w:t>3</w:t>
            </w:r>
            <w:r w:rsidR="00083383" w:rsidRPr="00D43575">
              <w:rPr>
                <w:kern w:val="14"/>
                <w:szCs w:val="20"/>
              </w:rPr>
              <w:t>.</w:t>
            </w:r>
            <w:r w:rsidRPr="00D43575">
              <w:rPr>
                <w:kern w:val="14"/>
                <w:szCs w:val="20"/>
              </w:rPr>
              <w:tab/>
              <w:t>Estrategia nacional de desarrollo 2011</w:t>
            </w:r>
            <w:r w:rsidR="00083383" w:rsidRPr="00D43575">
              <w:rPr>
                <w:kern w:val="14"/>
                <w:szCs w:val="20"/>
              </w:rPr>
              <w:noBreakHyphen/>
            </w:r>
            <w:r w:rsidRPr="00D43575">
              <w:rPr>
                <w:kern w:val="14"/>
                <w:szCs w:val="20"/>
              </w:rPr>
              <w:t>2016</w:t>
            </w:r>
          </w:p>
        </w:tc>
        <w:tc>
          <w:tcPr>
            <w:tcW w:w="774" w:type="dxa"/>
            <w:vAlign w:val="bottom"/>
          </w:tcPr>
          <w:p w14:paraId="276031F0" w14:textId="77777777" w:rsidR="00B6011A" w:rsidRPr="00D43575" w:rsidRDefault="00B6011A" w:rsidP="00500085">
            <w:pPr>
              <w:spacing w:after="120"/>
              <w:jc w:val="right"/>
            </w:pPr>
          </w:p>
        </w:tc>
        <w:tc>
          <w:tcPr>
            <w:tcW w:w="783" w:type="dxa"/>
            <w:vAlign w:val="bottom"/>
          </w:tcPr>
          <w:p w14:paraId="30688142" w14:textId="77777777" w:rsidR="00B6011A" w:rsidRPr="00D43575" w:rsidRDefault="00B6011A" w:rsidP="00BD7BE9">
            <w:pPr>
              <w:spacing w:after="120"/>
              <w:jc w:val="right"/>
            </w:pPr>
          </w:p>
        </w:tc>
      </w:tr>
      <w:tr w:rsidR="00B6011A" w:rsidRPr="00D43575" w14:paraId="0B834FB2" w14:textId="77777777" w:rsidTr="00500085">
        <w:tc>
          <w:tcPr>
            <w:tcW w:w="8373" w:type="dxa"/>
            <w:gridSpan w:val="3"/>
          </w:tcPr>
          <w:p w14:paraId="38B06DA7" w14:textId="278A3D23" w:rsidR="00B6011A" w:rsidRPr="00D43575" w:rsidRDefault="00B6011A" w:rsidP="003737A1">
            <w:pPr>
              <w:tabs>
                <w:tab w:val="right" w:pos="1080"/>
                <w:tab w:val="left" w:pos="1296"/>
                <w:tab w:val="left" w:pos="1728"/>
                <w:tab w:val="left" w:pos="2160"/>
                <w:tab w:val="right" w:leader="dot" w:pos="9360"/>
              </w:tabs>
              <w:spacing w:after="120"/>
              <w:ind w:left="1729" w:hanging="431"/>
              <w:rPr>
                <w:kern w:val="14"/>
                <w:szCs w:val="20"/>
              </w:rPr>
            </w:pPr>
            <w:r w:rsidRPr="00D43575">
              <w:rPr>
                <w:kern w:val="14"/>
                <w:szCs w:val="20"/>
              </w:rPr>
              <w:t>4</w:t>
            </w:r>
            <w:r w:rsidR="00083383" w:rsidRPr="00D43575">
              <w:rPr>
                <w:kern w:val="14"/>
                <w:szCs w:val="20"/>
              </w:rPr>
              <w:t>.</w:t>
            </w:r>
            <w:r w:rsidRPr="00D43575">
              <w:rPr>
                <w:kern w:val="14"/>
                <w:szCs w:val="20"/>
              </w:rPr>
              <w:tab/>
              <w:t>Capítulo IV: Sistema de asistencia sanitaria integrado y amplio Estrategia Nacional de Desarrollo 2018</w:t>
            </w:r>
            <w:r w:rsidR="00083383" w:rsidRPr="00D43575">
              <w:rPr>
                <w:kern w:val="14"/>
                <w:szCs w:val="20"/>
              </w:rPr>
              <w:noBreakHyphen/>
            </w:r>
            <w:r w:rsidRPr="00D43575">
              <w:rPr>
                <w:kern w:val="14"/>
                <w:szCs w:val="20"/>
              </w:rPr>
              <w:t>2022</w:t>
            </w:r>
          </w:p>
        </w:tc>
        <w:tc>
          <w:tcPr>
            <w:tcW w:w="774" w:type="dxa"/>
            <w:vAlign w:val="bottom"/>
          </w:tcPr>
          <w:p w14:paraId="636B784E" w14:textId="77777777" w:rsidR="00B6011A" w:rsidRPr="00D43575" w:rsidRDefault="00B6011A" w:rsidP="00500085">
            <w:pPr>
              <w:spacing w:after="120"/>
              <w:jc w:val="right"/>
            </w:pPr>
          </w:p>
        </w:tc>
        <w:tc>
          <w:tcPr>
            <w:tcW w:w="783" w:type="dxa"/>
            <w:vAlign w:val="bottom"/>
          </w:tcPr>
          <w:p w14:paraId="2CF343F8" w14:textId="77777777" w:rsidR="00B6011A" w:rsidRPr="00D43575" w:rsidRDefault="00B6011A" w:rsidP="00BD7BE9">
            <w:pPr>
              <w:spacing w:after="120"/>
              <w:jc w:val="right"/>
            </w:pPr>
          </w:p>
        </w:tc>
      </w:tr>
    </w:tbl>
    <w:p w14:paraId="479527E5" w14:textId="381599F9" w:rsidR="008D2F10" w:rsidRPr="00D43575" w:rsidRDefault="008D2A50" w:rsidP="00FC6BA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50" w:hanging="1267"/>
        <w:rPr>
          <w:szCs w:val="20"/>
        </w:rPr>
      </w:pPr>
      <w:r w:rsidRPr="00D43575">
        <w:rPr>
          <w:szCs w:val="20"/>
        </w:rPr>
        <w:lastRenderedPageBreak/>
        <w:tab/>
      </w:r>
      <w:r w:rsidRPr="00D43575">
        <w:rPr>
          <w:szCs w:val="20"/>
        </w:rPr>
        <w:tab/>
      </w:r>
      <w:r w:rsidR="008D2F10" w:rsidRPr="00D43575">
        <w:rPr>
          <w:szCs w:val="20"/>
        </w:rPr>
        <w:t>Segundo informe periódico de Qatar sobre la aplicación de la Convención sobre la Eliminación de Todas las</w:t>
      </w:r>
      <w:r w:rsidR="00FC6BA7" w:rsidRPr="00D43575">
        <w:rPr>
          <w:szCs w:val="20"/>
        </w:rPr>
        <w:t> </w:t>
      </w:r>
      <w:r w:rsidR="008D2F10" w:rsidRPr="00D43575">
        <w:rPr>
          <w:szCs w:val="20"/>
        </w:rPr>
        <w:t>Formas de Discriminación contra la Mujer</w:t>
      </w:r>
    </w:p>
    <w:p w14:paraId="402859ED" w14:textId="77777777" w:rsidR="008D2F10" w:rsidRPr="00D43575" w:rsidRDefault="008D2F10" w:rsidP="008D2F10">
      <w:pPr>
        <w:pStyle w:val="SingleTxt"/>
        <w:spacing w:after="0" w:line="120" w:lineRule="exact"/>
        <w:rPr>
          <w:sz w:val="10"/>
        </w:rPr>
      </w:pPr>
    </w:p>
    <w:p w14:paraId="670EBBDA" w14:textId="77777777" w:rsidR="008D2F10" w:rsidRPr="00D43575" w:rsidRDefault="008D2F10" w:rsidP="008D2F10">
      <w:pPr>
        <w:pStyle w:val="SingleTxt"/>
        <w:spacing w:after="0" w:line="120" w:lineRule="exact"/>
        <w:rPr>
          <w:sz w:val="10"/>
        </w:rPr>
      </w:pPr>
    </w:p>
    <w:p w14:paraId="3B498378" w14:textId="77777777" w:rsidR="008D2F10" w:rsidRPr="00D43575" w:rsidRDefault="008D2F10" w:rsidP="008D2A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D43575">
        <w:rPr>
          <w:szCs w:val="20"/>
        </w:rPr>
        <w:tab/>
      </w:r>
      <w:r w:rsidRPr="00D43575">
        <w:rPr>
          <w:szCs w:val="20"/>
        </w:rPr>
        <w:tab/>
        <w:t>Introducción</w:t>
      </w:r>
    </w:p>
    <w:p w14:paraId="0E45744E" w14:textId="77777777" w:rsidR="008D2F10" w:rsidRPr="00D43575" w:rsidRDefault="008D2F10" w:rsidP="008D2F10">
      <w:pPr>
        <w:pStyle w:val="SingleTxt"/>
        <w:spacing w:after="0" w:line="120" w:lineRule="exact"/>
        <w:rPr>
          <w:sz w:val="10"/>
        </w:rPr>
      </w:pPr>
    </w:p>
    <w:p w14:paraId="198B826B" w14:textId="77777777" w:rsidR="008D2F10" w:rsidRPr="00D43575" w:rsidRDefault="008D2F10" w:rsidP="008D2F10">
      <w:pPr>
        <w:pStyle w:val="SingleTxt"/>
        <w:spacing w:after="0" w:line="120" w:lineRule="exact"/>
        <w:rPr>
          <w:sz w:val="10"/>
        </w:rPr>
      </w:pPr>
    </w:p>
    <w:p w14:paraId="1817118C" w14:textId="11111533" w:rsidR="008D2F10" w:rsidRPr="00D43575" w:rsidRDefault="008D2F10" w:rsidP="001D1AD0">
      <w:pPr>
        <w:pStyle w:val="SingleTxt"/>
        <w:numPr>
          <w:ilvl w:val="0"/>
          <w:numId w:val="10"/>
        </w:numPr>
        <w:ind w:left="1267" w:firstLine="0"/>
      </w:pPr>
      <w:r w:rsidRPr="00D43575">
        <w:t>Para comenzar este segundo informe periódico sobre la aplicación de la Convención sobre la Eliminación de Todas las Formas de Discriminación contra la Mujer, el Estado de Qatar desea confirmar su compromiso de cumplir las obligaciones que le incumben en virtud de todas las convenciones internacionales en las que es parte</w:t>
      </w:r>
      <w:r w:rsidR="00083383" w:rsidRPr="00D43575">
        <w:t>.</w:t>
      </w:r>
      <w:r w:rsidRPr="00D43575">
        <w:t xml:space="preserve"> El Estado de Qatar se adhirió a la Convención sobre la Eliminación de Todas las Formas de Discriminación contra la Mujer el 24 de marzo de 2009</w:t>
      </w:r>
      <w:r w:rsidR="00083383" w:rsidRPr="00D43575">
        <w:t>.</w:t>
      </w:r>
      <w:r w:rsidRPr="00D43575">
        <w:t xml:space="preserve"> El Decreto núm</w:t>
      </w:r>
      <w:r w:rsidR="00083383" w:rsidRPr="00D43575">
        <w:t>.</w:t>
      </w:r>
      <w:r w:rsidRPr="00D43575">
        <w:t xml:space="preserve"> 28 de 2009, por el que se aprueba su adhesión a la Convención, se promulgó el 23 de junio de 2009</w:t>
      </w:r>
      <w:r w:rsidR="00083383" w:rsidRPr="00D43575">
        <w:t>.</w:t>
      </w:r>
      <w:r w:rsidRPr="00D43575">
        <w:t xml:space="preserve"> El artículo 1 de este decreto establece que la Convención tendrá fuerza de ley de conformidad con el artículo 68 de la Constitución de Qatar, teniendo presentes las reservas y declaraciones que figuran en el instrumento de adhesión</w:t>
      </w:r>
      <w:r w:rsidR="00083383" w:rsidRPr="00D43575">
        <w:t>.</w:t>
      </w:r>
      <w:r w:rsidRPr="00D43575">
        <w:t xml:space="preserve"> La Convención se publicó en el Boletín Oficial, núm</w:t>
      </w:r>
      <w:r w:rsidR="00083383" w:rsidRPr="00D43575">
        <w:t xml:space="preserve">. </w:t>
      </w:r>
      <w:r w:rsidRPr="00D43575">
        <w:t>8, de 23 de junio de 2009</w:t>
      </w:r>
      <w:r w:rsidR="00083383" w:rsidRPr="00D43575">
        <w:t>.</w:t>
      </w:r>
    </w:p>
    <w:p w14:paraId="4808F70F" w14:textId="2588003C" w:rsidR="008D2F10" w:rsidRPr="00D43575" w:rsidRDefault="008D2F10" w:rsidP="001D1AD0">
      <w:pPr>
        <w:pStyle w:val="SingleTxt"/>
        <w:numPr>
          <w:ilvl w:val="0"/>
          <w:numId w:val="10"/>
        </w:numPr>
        <w:ind w:left="1267" w:firstLine="0"/>
      </w:pPr>
      <w:r w:rsidRPr="00D43575">
        <w:t>En noviembre de 2011, el Estado de Qatar presentó su informe inicial sobre sus obligaciones y compromisos respecto de la Convención sobre la Eliminación de Todas las Formas de Discriminación contra la Mujer, y en febrero de 2014 lo presentó ante el Comité para la Eliminación de la Discriminación contra la Mujer, durante su 57º período de sesiones</w:t>
      </w:r>
      <w:r w:rsidR="00083383" w:rsidRPr="00D43575">
        <w:t>.</w:t>
      </w:r>
    </w:p>
    <w:p w14:paraId="1AFAD411" w14:textId="526FD823" w:rsidR="008D2F10" w:rsidRPr="00D43575" w:rsidRDefault="008D2F10" w:rsidP="001D1AD0">
      <w:pPr>
        <w:pStyle w:val="SingleTxt"/>
        <w:numPr>
          <w:ilvl w:val="0"/>
          <w:numId w:val="10"/>
        </w:numPr>
        <w:ind w:left="1267" w:firstLine="0"/>
      </w:pPr>
      <w:r w:rsidRPr="00D43575">
        <w:t>En el momento de presentar este informe, cuatro mujeres qataríes son miembros por primera vez del Consejo Consultivo (</w:t>
      </w:r>
      <w:r w:rsidRPr="00D43575">
        <w:rPr>
          <w:i/>
        </w:rPr>
        <w:t>shura</w:t>
      </w:r>
      <w:r w:rsidRPr="00D43575">
        <w:t>)</w:t>
      </w:r>
      <w:r w:rsidR="00083383" w:rsidRPr="00D43575">
        <w:t>.</w:t>
      </w:r>
      <w:r w:rsidRPr="00D43575">
        <w:t xml:space="preserve"> Este avance refleja el interés de los líderes de Qatar por apoyar la participación de la mujer en todas las esferas de la vida, incluido el ámbito legislativo, y por alentar a que se siga avanzando en pro de la plena participación política de la mujer de conformidad con el artículo 34 de la Constitución de Qatar, que garantiza la igualdad de derechos y deberes de todos los ciudadanos</w:t>
      </w:r>
      <w:r w:rsidR="00083383" w:rsidRPr="00D43575">
        <w:t>.</w:t>
      </w:r>
      <w:r w:rsidRPr="00D43575">
        <w:t xml:space="preserve"> Asimismo, una mujer ha sido nombrada portavoz oficial del Ministerio de Relaciones Exteriores</w:t>
      </w:r>
      <w:r w:rsidR="00083383" w:rsidRPr="00D43575">
        <w:t>.</w:t>
      </w:r>
      <w:r w:rsidRPr="00D43575">
        <w:t xml:space="preserve"> Se trata de la primera mujer qatarí que ocupa este puesto</w:t>
      </w:r>
      <w:r w:rsidR="00083383" w:rsidRPr="00D43575">
        <w:t>.</w:t>
      </w:r>
    </w:p>
    <w:p w14:paraId="23A64CF2" w14:textId="77777777" w:rsidR="008D2F10" w:rsidRPr="00D43575" w:rsidRDefault="008D2F10" w:rsidP="008D2F10">
      <w:pPr>
        <w:pStyle w:val="SingleTxt"/>
        <w:spacing w:after="0" w:line="120" w:lineRule="exact"/>
        <w:rPr>
          <w:sz w:val="10"/>
        </w:rPr>
      </w:pPr>
    </w:p>
    <w:p w14:paraId="3DE29F4E"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Metodología para la elaboración del informe</w:t>
      </w:r>
    </w:p>
    <w:p w14:paraId="3A064070" w14:textId="77777777" w:rsidR="008D2F10" w:rsidRPr="00D43575" w:rsidRDefault="008D2F10" w:rsidP="008D2F10">
      <w:pPr>
        <w:pStyle w:val="SingleTxt"/>
        <w:spacing w:after="0" w:line="120" w:lineRule="exact"/>
        <w:rPr>
          <w:sz w:val="10"/>
        </w:rPr>
      </w:pPr>
    </w:p>
    <w:p w14:paraId="1CE2DF02" w14:textId="1DC274AE" w:rsidR="008D2F10" w:rsidRPr="007D60C1" w:rsidRDefault="008D2F10" w:rsidP="001D1AD0">
      <w:pPr>
        <w:pStyle w:val="SingleTxt"/>
        <w:numPr>
          <w:ilvl w:val="0"/>
          <w:numId w:val="10"/>
        </w:numPr>
        <w:ind w:left="1267" w:firstLine="0"/>
      </w:pPr>
      <w:r w:rsidRPr="00D43575">
        <w:t>El Estado de Qatar tiene el honor de presentar su segundo informe periódico ante el Comité para la Eliminación de la Discriminación contra la Mujer de conformidad con lo dispuesto en el artículo 18 de la Convención sobre la Eliminación de Todas las Formas de Discriminación contra la Mujer, que tiene alcance internacional, relativo al seguimiento de su aplicación</w:t>
      </w:r>
      <w:r w:rsidR="00083383" w:rsidRPr="00D43575">
        <w:t>.</w:t>
      </w:r>
      <w:r w:rsidRPr="00D43575">
        <w:t xml:space="preserve"> Para redactar el informe, el Estado de Qatar se ha basado en la </w:t>
      </w:r>
      <w:r w:rsidR="00F652D5" w:rsidRPr="00D43575">
        <w:t>“</w:t>
      </w:r>
      <w:r w:rsidRPr="00D43575">
        <w:t>Compilación de directrices relativas a la forma y el contenido de los informes que deben presentar los Estados partes en los tratados internacionales de derechos humanos</w:t>
      </w:r>
      <w:r w:rsidR="00F652D5" w:rsidRPr="00D43575">
        <w:t>”</w:t>
      </w:r>
      <w:r w:rsidRPr="007D60C1">
        <w:rPr>
          <w:vertAlign w:val="superscript"/>
        </w:rPr>
        <w:footnoteReference w:id="1"/>
      </w:r>
      <w:r w:rsidR="00083383" w:rsidRPr="007D60C1">
        <w:t>.</w:t>
      </w:r>
      <w:r w:rsidRPr="007D60C1">
        <w:t xml:space="preserve"> A continuación, se expone la metodología utilizada:</w:t>
      </w:r>
    </w:p>
    <w:p w14:paraId="2250A473" w14:textId="1D802CB2" w:rsidR="00083383" w:rsidRPr="00D43575" w:rsidRDefault="008D2F10" w:rsidP="008D2F10">
      <w:pPr>
        <w:pStyle w:val="SingleTxt"/>
        <w:tabs>
          <w:tab w:val="right" w:pos="1685"/>
        </w:tabs>
        <w:ind w:left="1742" w:hanging="475"/>
      </w:pPr>
      <w:r w:rsidRPr="009D5F93">
        <w:tab/>
        <w:t>–</w:t>
      </w:r>
      <w:r w:rsidRPr="009D5F93">
        <w:tab/>
        <w:t>En su reunión ordinaria núm</w:t>
      </w:r>
      <w:r w:rsidR="00083383" w:rsidRPr="009D5F93">
        <w:t>.</w:t>
      </w:r>
      <w:r w:rsidRPr="009D5F93">
        <w:t xml:space="preserve"> 13 de 2017, celebrada el 5 de abril de 2017, el Consejo de Ministros encomendó a la comisión encargada de la redacción de los informes nacionales present</w:t>
      </w:r>
      <w:r w:rsidRPr="00D43575">
        <w:t>ados en el marco del mecanismo de examen periódico universal la elaboración del segundo informe periódico del Estado de Qatar sobre la aplicación de la Convención sobre la Eliminación de Todas las Formas de Discriminación contra la Mujer</w:t>
      </w:r>
      <w:r w:rsidR="00083383" w:rsidRPr="00D43575">
        <w:t>.</w:t>
      </w:r>
      <w:r w:rsidRPr="00D43575">
        <w:t xml:space="preserve"> Debido a la importancia que otorga el Estado de Qatar a los informes periódicos presentados en el marco de los mecanismos creados en virtud de tratados, dicha comisión estuvo presidida por Su Excelencia el Ministro de Relaciones Exteriores</w:t>
      </w:r>
      <w:r w:rsidR="00083383" w:rsidRPr="00D43575">
        <w:t>.</w:t>
      </w:r>
      <w:r w:rsidRPr="00D43575">
        <w:t xml:space="preserve"> Teniendo en cuenta que se </w:t>
      </w:r>
      <w:r w:rsidRPr="00D43575">
        <w:lastRenderedPageBreak/>
        <w:t>trata de un informe nacional preparado de forma conjunta, la comisión está integrada por representantes del Ministerio de Relaciones Exteriores; el</w:t>
      </w:r>
      <w:r w:rsidR="00083383" w:rsidRPr="00D43575">
        <w:t xml:space="preserve"> </w:t>
      </w:r>
      <w:r w:rsidRPr="00D43575">
        <w:t>Consejo Consultivo; el Ministerio del Interior; el Ministerio de Justicia; el</w:t>
      </w:r>
      <w:r w:rsidR="00083383" w:rsidRPr="00D43575">
        <w:t xml:space="preserve"> </w:t>
      </w:r>
      <w:r w:rsidRPr="00D43575">
        <w:t>Ministerio de Desarrollo Administrativo, Trabajo y Asuntos Sociales; el Ministerio de Salud Pública; el Ministerio de Educación y Enseñanza Superior; y el Ministerio de Planificación del Desarrollo y Estadísticas</w:t>
      </w:r>
      <w:r w:rsidR="00083383" w:rsidRPr="00D43575">
        <w:t>.</w:t>
      </w:r>
    </w:p>
    <w:p w14:paraId="6C01A302" w14:textId="67D4A200" w:rsidR="008D2F10" w:rsidRPr="00D43575" w:rsidRDefault="008D2F10" w:rsidP="008D2F10">
      <w:pPr>
        <w:pStyle w:val="SingleTxt"/>
        <w:tabs>
          <w:tab w:val="right" w:pos="1685"/>
        </w:tabs>
        <w:ind w:left="1742" w:hanging="475"/>
      </w:pPr>
      <w:r w:rsidRPr="00D43575">
        <w:tab/>
        <w:t>–</w:t>
      </w:r>
      <w:r w:rsidRPr="00D43575">
        <w:tab/>
        <w:t>Para garantizar que el proceso de redacción integrase e incluyese a las diversas</w:t>
      </w:r>
      <w:r w:rsidR="00083383" w:rsidRPr="00D43575">
        <w:t xml:space="preserve"> </w:t>
      </w:r>
      <w:r w:rsidRPr="00D43575">
        <w:t>partes interesadas del Estado, la comisión se puso en contacto con</w:t>
      </w:r>
      <w:r w:rsidR="00083383" w:rsidRPr="00D43575">
        <w:t xml:space="preserve"> </w:t>
      </w:r>
      <w:r w:rsidRPr="00D43575">
        <w:t>más de 30</w:t>
      </w:r>
      <w:r w:rsidR="00083383" w:rsidRPr="00D43575">
        <w:t xml:space="preserve"> </w:t>
      </w:r>
      <w:r w:rsidRPr="00D43575">
        <w:t>instituciones gubernamentales y de la sociedad civil para reunir información pertinente</w:t>
      </w:r>
      <w:r w:rsidR="00083383" w:rsidRPr="00D43575">
        <w:t>.</w:t>
      </w:r>
      <w:r w:rsidRPr="00D43575">
        <w:t xml:space="preserve"> El objetivo era incluir a todos los sectores de la sociedad en la elaboración del informe</w:t>
      </w:r>
      <w:r w:rsidR="00083383" w:rsidRPr="00D43575">
        <w:t>.</w:t>
      </w:r>
    </w:p>
    <w:p w14:paraId="15D766B6" w14:textId="7EF5ACC9" w:rsidR="008D2F10" w:rsidRPr="00D43575" w:rsidRDefault="008D2F10" w:rsidP="008D2F10">
      <w:pPr>
        <w:pStyle w:val="SingleTxt"/>
        <w:tabs>
          <w:tab w:val="right" w:pos="1685"/>
        </w:tabs>
        <w:ind w:left="1742" w:hanging="475"/>
      </w:pPr>
      <w:r w:rsidRPr="00D43575">
        <w:tab/>
        <w:t>–</w:t>
      </w:r>
      <w:r w:rsidRPr="00D43575">
        <w:tab/>
        <w:t>La comisión consultó los informes y estudios relativos a los derechos de la mujer en el Estado de Qatar elaborados por diversas entidades públicas, entre ellos los informes publicados por el Comité Nacional de Derechos Humanos y por instituciones de la sociedad civil</w:t>
      </w:r>
      <w:r w:rsidR="00083383" w:rsidRPr="00D43575">
        <w:t>.</w:t>
      </w:r>
      <w:r w:rsidRPr="00D43575">
        <w:t xml:space="preserve"> También examinó los informes presentados por el Estado ante los órganos de las Naciones Unidas, en particular el informe nacional sobre la situación de los derechos humanos en el país presentado en el marco del mecanismo de examen periódico universal del Consejo de Derechos Humanos</w:t>
      </w:r>
      <w:r w:rsidR="00083383" w:rsidRPr="00D43575">
        <w:t>.</w:t>
      </w:r>
      <w:r w:rsidRPr="00D43575">
        <w:t xml:space="preserve"> El informe se redactó al mismo tiempo que el Estado presentaba sus informes periódicos tercero y cuarto ante el Comité de los Derechos del Niño durante su 75º período de sesiones, celebrado en mayo de 2017</w:t>
      </w:r>
      <w:r w:rsidR="00083383" w:rsidRPr="00D43575">
        <w:t>.</w:t>
      </w:r>
      <w:r w:rsidRPr="00D43575">
        <w:t xml:space="preserve"> Qatar también presentó su primer informe periódico en cumplimiento de la Carta Árabe de Derechos Humanos durante el 13º período de sesiones del Comité Árabe Permanente de Derechos Humanos, celebrado en mayo de 2017</w:t>
      </w:r>
      <w:r w:rsidR="00083383" w:rsidRPr="00D43575">
        <w:t>.</w:t>
      </w:r>
    </w:p>
    <w:p w14:paraId="403C1F1A" w14:textId="64C68823" w:rsidR="00083383" w:rsidRPr="009D5F93" w:rsidRDefault="008D2F10" w:rsidP="008D2F10">
      <w:pPr>
        <w:pStyle w:val="SingleTxt"/>
        <w:tabs>
          <w:tab w:val="right" w:pos="1685"/>
        </w:tabs>
        <w:ind w:left="1742" w:hanging="475"/>
      </w:pPr>
      <w:r w:rsidRPr="00D43575">
        <w:tab/>
        <w:t>–</w:t>
      </w:r>
      <w:r w:rsidRPr="00D43575">
        <w:tab/>
        <w:t>El informe se divide en tres partes</w:t>
      </w:r>
      <w:r w:rsidR="00083383" w:rsidRPr="00D43575">
        <w:t>.</w:t>
      </w:r>
      <w:r w:rsidRPr="00D43575">
        <w:t xml:space="preserve"> La parte I incluye datos básicos sobre el Estado de Qatar</w:t>
      </w:r>
      <w:r w:rsidR="00083383" w:rsidRPr="00D43575">
        <w:t>.</w:t>
      </w:r>
      <w:r w:rsidRPr="00D43575">
        <w:t xml:space="preserve"> La parte II recoge información relativa a la supervisión de la aplicación de los artículos de la Convención sobre la Eliminación de Todas las Formas de Discriminación contra la Mujer de forma ordenada, del artículo 1 al</w:t>
      </w:r>
      <w:r w:rsidR="00083383" w:rsidRPr="00D43575">
        <w:t xml:space="preserve"> </w:t>
      </w:r>
      <w:r w:rsidRPr="00D43575">
        <w:t>16</w:t>
      </w:r>
      <w:r w:rsidR="00083383" w:rsidRPr="00D43575">
        <w:t>.</w:t>
      </w:r>
      <w:r w:rsidRPr="00D43575">
        <w:t xml:space="preserve"> También contiene información sobre las medidas adoptadas para aplicar las observaciones y recomendaciones formuladas por el Comité para la Eliminación de la Discriminación contra la Mujer a raíz del informe inicial del</w:t>
      </w:r>
      <w:r w:rsidR="00083383" w:rsidRPr="00D43575">
        <w:t xml:space="preserve"> </w:t>
      </w:r>
      <w:r w:rsidRPr="00D43575">
        <w:t>Estado de Qatar</w:t>
      </w:r>
      <w:r w:rsidRPr="007D60C1">
        <w:rPr>
          <w:vertAlign w:val="superscript"/>
        </w:rPr>
        <w:footnoteReference w:id="2"/>
      </w:r>
      <w:r w:rsidR="00083383" w:rsidRPr="007D60C1">
        <w:t>.</w:t>
      </w:r>
      <w:r w:rsidRPr="007D60C1">
        <w:t xml:space="preserve"> La parte III se refiere a los retos y orientaciones futuras,</w:t>
      </w:r>
      <w:r w:rsidR="00083383" w:rsidRPr="007D60C1">
        <w:t xml:space="preserve"> </w:t>
      </w:r>
      <w:r w:rsidRPr="007D60C1">
        <w:t>sección que la comisión encargada de redactar el informe consideró oportuno</w:t>
      </w:r>
      <w:r w:rsidR="00083383" w:rsidRPr="009D5F93">
        <w:t xml:space="preserve"> </w:t>
      </w:r>
      <w:r w:rsidRPr="009D5F93">
        <w:t>añadir</w:t>
      </w:r>
      <w:r w:rsidR="00083383" w:rsidRPr="009D5F93">
        <w:t>.</w:t>
      </w:r>
    </w:p>
    <w:p w14:paraId="2DC16741" w14:textId="4DD213A0" w:rsidR="008D2F10" w:rsidRPr="00D43575" w:rsidRDefault="008D2F10" w:rsidP="008D2F10">
      <w:pPr>
        <w:pStyle w:val="SingleTxt"/>
        <w:tabs>
          <w:tab w:val="right" w:pos="1685"/>
        </w:tabs>
        <w:ind w:left="1742" w:hanging="475"/>
      </w:pPr>
      <w:r w:rsidRPr="00D43575">
        <w:tab/>
        <w:t>–</w:t>
      </w:r>
      <w:r w:rsidRPr="00D43575">
        <w:tab/>
        <w:t>De conformidad con la práctica establecida y las recomendaciones de los órganos creados en virtud de tratados de derechos humanos, el informe se remitió al Comité Nacional de Derechos Humanos para que formulara comentarios y sugerencias</w:t>
      </w:r>
      <w:r w:rsidR="00083383" w:rsidRPr="00D43575">
        <w:t>.</w:t>
      </w:r>
    </w:p>
    <w:p w14:paraId="6FA2FA0F" w14:textId="0681D85C" w:rsidR="008D2F10" w:rsidRPr="00D43575" w:rsidRDefault="008D2F10" w:rsidP="008D2F10">
      <w:pPr>
        <w:pStyle w:val="SingleTxt"/>
        <w:tabs>
          <w:tab w:val="right" w:pos="1685"/>
        </w:tabs>
        <w:ind w:left="1742" w:hanging="475"/>
      </w:pPr>
      <w:r w:rsidRPr="00D43575">
        <w:tab/>
        <w:t>–</w:t>
      </w:r>
      <w:r w:rsidRPr="00D43575">
        <w:tab/>
        <w:t>La comisión ha procurado que el segundo informe periódico del Estado de Qatar sea una continuación del diálogo constructivo con el Comité para la Eliminación de la Discriminación contra la Mujer</w:t>
      </w:r>
      <w:r w:rsidR="00083383" w:rsidRPr="00D43575">
        <w:t>.</w:t>
      </w:r>
      <w:r w:rsidRPr="00D43575">
        <w:t xml:space="preserve"> Dado que se trata de un informe de seguimiento, nos abstenemos de repetir información que el Estado</w:t>
      </w:r>
      <w:r w:rsidR="00083383" w:rsidRPr="00D43575">
        <w:t xml:space="preserve"> </w:t>
      </w:r>
      <w:r w:rsidRPr="00D43575">
        <w:t>de Qatar ya proporcionó en su informe inicial</w:t>
      </w:r>
      <w:r w:rsidRPr="007D60C1">
        <w:rPr>
          <w:vertAlign w:val="superscript"/>
        </w:rPr>
        <w:footnoteReference w:id="3"/>
      </w:r>
      <w:r w:rsidRPr="007D60C1">
        <w:t xml:space="preserve"> y en su informe provisional</w:t>
      </w:r>
      <w:r w:rsidRPr="007D60C1">
        <w:rPr>
          <w:vertAlign w:val="superscript"/>
        </w:rPr>
        <w:footnoteReference w:id="4"/>
      </w:r>
      <w:r w:rsidRPr="007D60C1">
        <w:t>, los cuales incluyen datos sobre el seguimiento de las observaciones finales</w:t>
      </w:r>
      <w:r w:rsidR="00083383" w:rsidRPr="009D5F93">
        <w:t>.</w:t>
      </w:r>
      <w:r w:rsidRPr="009D5F93">
        <w:t xml:space="preserve"> El presente informe simplemente hace referencia a los datos facilitados con anterioridad en el informe inicial y añade información sobre los cambios que se han producido duran</w:t>
      </w:r>
      <w:r w:rsidRPr="00D43575">
        <w:t>te el período examinado</w:t>
      </w:r>
      <w:r w:rsidR="00083383" w:rsidRPr="00D43575">
        <w:t>.</w:t>
      </w:r>
      <w:r w:rsidRPr="00D43575">
        <w:t xml:space="preserve"> Para</w:t>
      </w:r>
      <w:r w:rsidR="00083383" w:rsidRPr="00D43575">
        <w:t xml:space="preserve"> </w:t>
      </w:r>
      <w:r w:rsidRPr="00D43575">
        <w:t>no</w:t>
      </w:r>
      <w:r w:rsidR="00083383" w:rsidRPr="00D43575">
        <w:t xml:space="preserve"> </w:t>
      </w:r>
      <w:r w:rsidRPr="00D43575">
        <w:t>repetir información, en las observaciones en torno a los artículos de la Convención se abordarán las iniciativas emprendidas por el Estado para aplicar las recomendaciones</w:t>
      </w:r>
      <w:r w:rsidR="00083383" w:rsidRPr="00D43575">
        <w:t>.</w:t>
      </w:r>
    </w:p>
    <w:p w14:paraId="5A5FFC4C" w14:textId="0979D6F4" w:rsidR="008D2F10" w:rsidRPr="00D43575" w:rsidRDefault="008D2F10" w:rsidP="001D1AD0">
      <w:pPr>
        <w:pStyle w:val="SingleTxt"/>
        <w:numPr>
          <w:ilvl w:val="0"/>
          <w:numId w:val="10"/>
        </w:numPr>
        <w:ind w:left="1267" w:firstLine="0"/>
      </w:pPr>
      <w:r w:rsidRPr="00D43575">
        <w:lastRenderedPageBreak/>
        <w:t>Con la presentación de su segundo informe periódico ante el Comité, el Estado de Qatar reafirma su disposición a colaborar plenamente con el Comité para la Eliminación de la Discriminación contra la Mujer respondiendo a todas las solicitudes de aclaración formuladas sobre la aplicación de la Convención sobre la Eliminación de Todas las Formas de Discriminación contra la Mujer</w:t>
      </w:r>
      <w:r w:rsidR="00083383" w:rsidRPr="00D43575">
        <w:t>.</w:t>
      </w:r>
      <w:r w:rsidRPr="00D43575">
        <w:t xml:space="preserve"> El Estado desea al Comité que su labor para la eliminación de todas las formas de discriminación contra la mujer siga cosechando éxitos</w:t>
      </w:r>
      <w:r w:rsidR="00083383" w:rsidRPr="00D43575">
        <w:t>.</w:t>
      </w:r>
    </w:p>
    <w:p w14:paraId="2F5ECA59" w14:textId="77777777" w:rsidR="008D2F10" w:rsidRPr="00D43575" w:rsidRDefault="008D2F10" w:rsidP="008D2F10">
      <w:pPr>
        <w:pStyle w:val="SingleTxt"/>
        <w:spacing w:after="0" w:line="120" w:lineRule="exact"/>
        <w:rPr>
          <w:sz w:val="10"/>
        </w:rPr>
      </w:pPr>
    </w:p>
    <w:p w14:paraId="628590E5" w14:textId="77777777" w:rsidR="008D2F10" w:rsidRPr="00D43575" w:rsidRDefault="008D2A50" w:rsidP="00886B5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r>
      <w:r w:rsidR="008D2F10" w:rsidRPr="00D43575">
        <w:rPr>
          <w:bCs w:val="0"/>
          <w:szCs w:val="20"/>
        </w:rPr>
        <w:t>Parte I</w:t>
      </w:r>
      <w:r w:rsidRPr="00D43575">
        <w:rPr>
          <w:bCs w:val="0"/>
          <w:szCs w:val="20"/>
        </w:rPr>
        <w:br/>
        <w:t>D</w:t>
      </w:r>
      <w:r w:rsidR="008D2F10" w:rsidRPr="00D43575">
        <w:rPr>
          <w:bCs w:val="0"/>
          <w:szCs w:val="20"/>
        </w:rPr>
        <w:t>atos básicos sobre el Estado de Qatar</w:t>
      </w:r>
    </w:p>
    <w:p w14:paraId="391495DB" w14:textId="77777777" w:rsidR="00911F53" w:rsidRPr="00D43575" w:rsidRDefault="00911F53" w:rsidP="008D2F10">
      <w:pPr>
        <w:pStyle w:val="SingleTxt"/>
        <w:spacing w:after="0" w:line="120" w:lineRule="exact"/>
        <w:rPr>
          <w:sz w:val="10"/>
        </w:rPr>
      </w:pPr>
    </w:p>
    <w:p w14:paraId="65C5C547" w14:textId="420F41A2" w:rsidR="008D2F10" w:rsidRPr="00D43575" w:rsidRDefault="008D2F10" w:rsidP="001D1AD0">
      <w:pPr>
        <w:pStyle w:val="SingleTxt"/>
        <w:numPr>
          <w:ilvl w:val="0"/>
          <w:numId w:val="10"/>
        </w:numPr>
        <w:ind w:left="1267" w:firstLine="0"/>
      </w:pPr>
      <w:r w:rsidRPr="00D43575">
        <w:t>En esta sección, el informe presenta información básica sobre el Estado de Qatar</w:t>
      </w:r>
      <w:r w:rsidR="00083383" w:rsidRPr="00D43575">
        <w:t>.</w:t>
      </w:r>
      <w:r w:rsidRPr="00D43575">
        <w:t xml:space="preserve"> A tal efecto, remite a la información contenida en su informe anterior, en la sección titulada </w:t>
      </w:r>
      <w:r w:rsidR="00F652D5" w:rsidRPr="00D43575">
        <w:t>“</w:t>
      </w:r>
      <w:r w:rsidRPr="00D43575">
        <w:t>Documento básico común</w:t>
      </w:r>
      <w:r w:rsidR="00F652D5" w:rsidRPr="00D43575">
        <w:t>”</w:t>
      </w:r>
      <w:r w:rsidR="00083383" w:rsidRPr="00D43575">
        <w:t>.</w:t>
      </w:r>
      <w:r w:rsidRPr="00D43575">
        <w:t xml:space="preserve"> El Estado parte también desea presentar la siguiente información actualizada</w:t>
      </w:r>
      <w:r w:rsidR="00083383" w:rsidRPr="00D43575">
        <w:t>.</w:t>
      </w:r>
    </w:p>
    <w:p w14:paraId="6F2E2303" w14:textId="77777777" w:rsidR="008D2F10" w:rsidRPr="00D43575" w:rsidRDefault="008D2F10" w:rsidP="008D2F10">
      <w:pPr>
        <w:pStyle w:val="SingleTxt"/>
        <w:spacing w:after="0" w:line="120" w:lineRule="exact"/>
        <w:rPr>
          <w:sz w:val="10"/>
        </w:rPr>
      </w:pPr>
    </w:p>
    <w:p w14:paraId="58020B58" w14:textId="77777777" w:rsidR="008D2F10" w:rsidRPr="00D43575" w:rsidRDefault="008D2F10" w:rsidP="008D2F10">
      <w:pPr>
        <w:pStyle w:val="SingleTxt"/>
        <w:spacing w:after="0" w:line="120" w:lineRule="exact"/>
        <w:rPr>
          <w:sz w:val="10"/>
        </w:rPr>
      </w:pPr>
    </w:p>
    <w:p w14:paraId="617A267A" w14:textId="1C6BE92E" w:rsidR="008D2F10" w:rsidRPr="00D43575" w:rsidRDefault="005E4E8F" w:rsidP="005E4E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D43575">
        <w:rPr>
          <w:szCs w:val="20"/>
        </w:rPr>
        <w:tab/>
      </w:r>
      <w:r w:rsidR="008D2F10" w:rsidRPr="00D43575">
        <w:rPr>
          <w:szCs w:val="20"/>
        </w:rPr>
        <w:t>A</w:t>
      </w:r>
      <w:r w:rsidR="00083383" w:rsidRPr="00D43575">
        <w:rPr>
          <w:szCs w:val="20"/>
        </w:rPr>
        <w:t>.</w:t>
      </w:r>
      <w:r w:rsidR="008D2F10" w:rsidRPr="00D43575">
        <w:rPr>
          <w:szCs w:val="20"/>
        </w:rPr>
        <w:tab/>
        <w:t>Población</w:t>
      </w:r>
    </w:p>
    <w:p w14:paraId="26230BA9" w14:textId="77777777" w:rsidR="008D2F10" w:rsidRPr="00D43575" w:rsidRDefault="008D2F10" w:rsidP="008D2F10">
      <w:pPr>
        <w:pStyle w:val="SingleTxt"/>
        <w:spacing w:after="0" w:line="120" w:lineRule="exact"/>
        <w:rPr>
          <w:sz w:val="10"/>
        </w:rPr>
      </w:pPr>
    </w:p>
    <w:p w14:paraId="2983171B" w14:textId="77777777" w:rsidR="008D2F10" w:rsidRPr="00D43575" w:rsidRDefault="008D2F10" w:rsidP="008D2F10">
      <w:pPr>
        <w:pStyle w:val="SingleTxt"/>
        <w:spacing w:after="0" w:line="120" w:lineRule="exact"/>
        <w:rPr>
          <w:sz w:val="10"/>
        </w:rPr>
      </w:pPr>
    </w:p>
    <w:p w14:paraId="251A2FF1" w14:textId="2B22B873" w:rsidR="008D2F10" w:rsidRPr="00D43575" w:rsidRDefault="008D2F10" w:rsidP="001D1AD0">
      <w:pPr>
        <w:pStyle w:val="SingleTxt"/>
        <w:numPr>
          <w:ilvl w:val="0"/>
          <w:numId w:val="10"/>
        </w:numPr>
        <w:ind w:left="1267" w:firstLine="0"/>
      </w:pPr>
      <w:r w:rsidRPr="00D43575">
        <w:t>A finales de septiembre de 2017, la población total del Estado se cifraba en 2</w:t>
      </w:r>
      <w:r w:rsidR="00083383" w:rsidRPr="00D43575">
        <w:t>.</w:t>
      </w:r>
      <w:r w:rsidRPr="00D43575">
        <w:t>634</w:t>
      </w:r>
      <w:r w:rsidR="00083383" w:rsidRPr="00D43575">
        <w:t>.</w:t>
      </w:r>
      <w:r w:rsidRPr="00D43575">
        <w:t>234 personas, concretamente 1</w:t>
      </w:r>
      <w:r w:rsidR="00083383" w:rsidRPr="00D43575">
        <w:t>.</w:t>
      </w:r>
      <w:r w:rsidRPr="00D43575">
        <w:t>974</w:t>
      </w:r>
      <w:r w:rsidR="00083383" w:rsidRPr="00D43575">
        <w:t>.</w:t>
      </w:r>
      <w:r w:rsidRPr="00D43575">
        <w:t>041 hombres, es decir, el 75% del total, y 660</w:t>
      </w:r>
      <w:r w:rsidR="00083383" w:rsidRPr="00D43575">
        <w:t>.</w:t>
      </w:r>
      <w:r w:rsidRPr="00D43575">
        <w:t>193 mujeres, que representan el 25%</w:t>
      </w:r>
      <w:r w:rsidR="00083383" w:rsidRPr="00D43575">
        <w:t>.</w:t>
      </w:r>
      <w:r w:rsidRPr="00D43575">
        <w:t xml:space="preserve"> Esto refleja un aumento anual del 3,2%</w:t>
      </w:r>
      <w:r w:rsidR="00083383" w:rsidRPr="00D43575">
        <w:t>.</w:t>
      </w:r>
      <w:r w:rsidRPr="00D43575">
        <w:t xml:space="preserve"> El cuadro 1 muestra el aumento de la población por sexo en el Estado de Qatar desde 2015</w:t>
      </w:r>
      <w:r w:rsidR="00083383" w:rsidRPr="00D43575">
        <w:t>.</w:t>
      </w:r>
      <w:r w:rsidRPr="00D43575">
        <w:t xml:space="preserve"> El aumento de las tasas de crecimiento de la población refleja el incremento de las inversiones y la potenciación del desarrollo en el país</w:t>
      </w:r>
      <w:r w:rsidR="00083383" w:rsidRPr="00D43575">
        <w:t>.</w:t>
      </w:r>
      <w:r w:rsidRPr="00D43575">
        <w:t xml:space="preserve"> El aumento de la población se debe a la afluencia de trabajadores que llegan para atender las necesidades de proyectos de infraestructura y los importantes proyectos de desarrollo</w:t>
      </w:r>
      <w:r w:rsidR="00083383" w:rsidRPr="00D43575">
        <w:t>.</w:t>
      </w:r>
      <w:r w:rsidRPr="00D43575">
        <w:t xml:space="preserve"> En la figura 1 se representa el aumento de población de 2012 a 2016</w:t>
      </w:r>
      <w:r w:rsidR="00083383" w:rsidRPr="00D43575">
        <w:t>.</w:t>
      </w:r>
    </w:p>
    <w:p w14:paraId="78ADEED0" w14:textId="77777777" w:rsidR="008D2F10" w:rsidRPr="00D43575" w:rsidRDefault="008D2F10" w:rsidP="008D2F10">
      <w:pPr>
        <w:pStyle w:val="SingleTxt"/>
        <w:spacing w:after="0" w:line="120" w:lineRule="exact"/>
        <w:rPr>
          <w:sz w:val="10"/>
        </w:rPr>
      </w:pPr>
    </w:p>
    <w:p w14:paraId="43AF9F98" w14:textId="12743143"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r>
      <w:r w:rsidR="00A92E4A">
        <w:rPr>
          <w:b w:val="0"/>
          <w:bCs w:val="0"/>
          <w:szCs w:val="20"/>
        </w:rPr>
        <w:t>Cuadro 1</w:t>
      </w:r>
      <w:r w:rsidR="005E4E8F" w:rsidRPr="00D43575">
        <w:rPr>
          <w:b w:val="0"/>
          <w:bCs w:val="0"/>
          <w:szCs w:val="20"/>
        </w:rPr>
        <w:br/>
      </w:r>
      <w:r w:rsidRPr="00D43575">
        <w:rPr>
          <w:bCs w:val="0"/>
          <w:szCs w:val="20"/>
        </w:rPr>
        <w:t>Crecimiento de la población de Qatar por sexo hasta 2015</w:t>
      </w:r>
    </w:p>
    <w:p w14:paraId="438A51C6" w14:textId="77777777" w:rsidR="008D2F10" w:rsidRPr="00D43575" w:rsidRDefault="008D2F10" w:rsidP="008D2F10">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0"/>
        <w:gridCol w:w="1830"/>
        <w:gridCol w:w="1830"/>
        <w:gridCol w:w="1830"/>
      </w:tblGrid>
      <w:tr w:rsidR="008D2F10" w:rsidRPr="00D43575" w14:paraId="55AFD5B8" w14:textId="77777777" w:rsidTr="00F66888">
        <w:trPr>
          <w:tblHeader/>
        </w:trPr>
        <w:tc>
          <w:tcPr>
            <w:tcW w:w="1830" w:type="dxa"/>
            <w:tcBorders>
              <w:top w:val="single" w:sz="4" w:space="0" w:color="auto"/>
              <w:bottom w:val="single" w:sz="12" w:space="0" w:color="auto"/>
            </w:tcBorders>
            <w:shd w:val="clear" w:color="auto" w:fill="auto"/>
            <w:vAlign w:val="bottom"/>
          </w:tcPr>
          <w:p w14:paraId="2C7004AE" w14:textId="77777777" w:rsidR="008D2F10" w:rsidRPr="00D43575" w:rsidRDefault="008D2F10" w:rsidP="002F1069">
            <w:pPr>
              <w:tabs>
                <w:tab w:val="left" w:pos="288"/>
                <w:tab w:val="left" w:pos="576"/>
                <w:tab w:val="left" w:pos="864"/>
                <w:tab w:val="left" w:pos="1152"/>
              </w:tabs>
              <w:spacing w:before="80" w:after="80" w:line="160" w:lineRule="exact"/>
              <w:ind w:right="43"/>
              <w:rPr>
                <w:rFonts w:eastAsia="Calibri"/>
                <w:i/>
                <w:sz w:val="14"/>
              </w:rPr>
            </w:pPr>
            <w:r w:rsidRPr="00D43575">
              <w:rPr>
                <w:i/>
                <w:sz w:val="14"/>
                <w:szCs w:val="20"/>
              </w:rPr>
              <w:t>Año</w:t>
            </w:r>
          </w:p>
        </w:tc>
        <w:tc>
          <w:tcPr>
            <w:tcW w:w="1830" w:type="dxa"/>
            <w:tcBorders>
              <w:top w:val="single" w:sz="4" w:space="0" w:color="auto"/>
              <w:bottom w:val="single" w:sz="12" w:space="0" w:color="auto"/>
            </w:tcBorders>
            <w:shd w:val="clear" w:color="auto" w:fill="auto"/>
            <w:vAlign w:val="bottom"/>
          </w:tcPr>
          <w:p w14:paraId="60704254" w14:textId="77777777" w:rsidR="008D2F10" w:rsidRPr="00D43575" w:rsidRDefault="008D2F10" w:rsidP="002F1069">
            <w:pPr>
              <w:tabs>
                <w:tab w:val="left" w:pos="288"/>
                <w:tab w:val="left" w:pos="576"/>
                <w:tab w:val="left" w:pos="864"/>
                <w:tab w:val="left" w:pos="1152"/>
              </w:tabs>
              <w:spacing w:before="80" w:after="80" w:line="160" w:lineRule="exact"/>
              <w:ind w:right="43"/>
              <w:jc w:val="right"/>
              <w:rPr>
                <w:rFonts w:eastAsia="Calibri"/>
                <w:i/>
                <w:sz w:val="14"/>
              </w:rPr>
            </w:pPr>
            <w:r w:rsidRPr="00D43575">
              <w:rPr>
                <w:i/>
                <w:sz w:val="14"/>
                <w:szCs w:val="20"/>
              </w:rPr>
              <w:t>Hombres</w:t>
            </w:r>
          </w:p>
        </w:tc>
        <w:tc>
          <w:tcPr>
            <w:tcW w:w="1830" w:type="dxa"/>
            <w:tcBorders>
              <w:top w:val="single" w:sz="4" w:space="0" w:color="auto"/>
              <w:bottom w:val="single" w:sz="12" w:space="0" w:color="auto"/>
            </w:tcBorders>
            <w:shd w:val="clear" w:color="auto" w:fill="auto"/>
            <w:vAlign w:val="bottom"/>
          </w:tcPr>
          <w:p w14:paraId="4DAD766B" w14:textId="77777777" w:rsidR="008D2F10" w:rsidRPr="00D43575" w:rsidRDefault="008D2F10" w:rsidP="002F1069">
            <w:pPr>
              <w:tabs>
                <w:tab w:val="left" w:pos="288"/>
                <w:tab w:val="left" w:pos="576"/>
                <w:tab w:val="left" w:pos="864"/>
                <w:tab w:val="left" w:pos="1152"/>
              </w:tabs>
              <w:spacing w:before="80" w:after="80" w:line="160" w:lineRule="exact"/>
              <w:ind w:right="43"/>
              <w:jc w:val="right"/>
              <w:rPr>
                <w:rFonts w:eastAsia="Calibri"/>
                <w:i/>
                <w:sz w:val="14"/>
              </w:rPr>
            </w:pPr>
            <w:r w:rsidRPr="00D43575">
              <w:rPr>
                <w:i/>
                <w:sz w:val="14"/>
                <w:szCs w:val="20"/>
              </w:rPr>
              <w:t>Mujeres</w:t>
            </w:r>
          </w:p>
        </w:tc>
        <w:tc>
          <w:tcPr>
            <w:tcW w:w="1830" w:type="dxa"/>
            <w:tcBorders>
              <w:top w:val="single" w:sz="4" w:space="0" w:color="auto"/>
              <w:bottom w:val="single" w:sz="12" w:space="0" w:color="auto"/>
            </w:tcBorders>
            <w:shd w:val="clear" w:color="auto" w:fill="auto"/>
            <w:vAlign w:val="bottom"/>
          </w:tcPr>
          <w:p w14:paraId="12A4C1E9" w14:textId="77777777" w:rsidR="008D2F10" w:rsidRPr="00D43575" w:rsidRDefault="008D2F10" w:rsidP="002F1069">
            <w:pPr>
              <w:tabs>
                <w:tab w:val="left" w:pos="288"/>
                <w:tab w:val="left" w:pos="576"/>
                <w:tab w:val="left" w:pos="864"/>
                <w:tab w:val="left" w:pos="1152"/>
              </w:tabs>
              <w:spacing w:before="80" w:after="80" w:line="160" w:lineRule="exact"/>
              <w:ind w:right="43"/>
              <w:jc w:val="right"/>
              <w:rPr>
                <w:rFonts w:eastAsia="Calibri"/>
                <w:i/>
                <w:sz w:val="14"/>
              </w:rPr>
            </w:pPr>
            <w:r w:rsidRPr="00D43575">
              <w:rPr>
                <w:i/>
                <w:sz w:val="14"/>
                <w:szCs w:val="20"/>
              </w:rPr>
              <w:t>Total</w:t>
            </w:r>
          </w:p>
        </w:tc>
      </w:tr>
      <w:tr w:rsidR="008D2F10" w:rsidRPr="00D43575" w14:paraId="325A9C5D" w14:textId="77777777" w:rsidTr="00BD7BE9">
        <w:trPr>
          <w:trHeight w:hRule="exact" w:val="115"/>
          <w:tblHeader/>
        </w:trPr>
        <w:tc>
          <w:tcPr>
            <w:tcW w:w="1830" w:type="dxa"/>
            <w:tcBorders>
              <w:top w:val="single" w:sz="12" w:space="0" w:color="auto"/>
            </w:tcBorders>
            <w:shd w:val="clear" w:color="auto" w:fill="auto"/>
            <w:vAlign w:val="bottom"/>
          </w:tcPr>
          <w:p w14:paraId="55A6D806"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830" w:type="dxa"/>
            <w:tcBorders>
              <w:top w:val="single" w:sz="12" w:space="0" w:color="auto"/>
            </w:tcBorders>
            <w:shd w:val="clear" w:color="auto" w:fill="auto"/>
            <w:vAlign w:val="bottom"/>
          </w:tcPr>
          <w:p w14:paraId="7CBA3265"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0E2C5331"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55803413"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D2F10" w:rsidRPr="00D43575" w14:paraId="6B06A4E2" w14:textId="77777777" w:rsidTr="00BD7BE9">
        <w:tc>
          <w:tcPr>
            <w:tcW w:w="1830" w:type="dxa"/>
            <w:shd w:val="clear" w:color="auto" w:fill="auto"/>
            <w:vAlign w:val="bottom"/>
          </w:tcPr>
          <w:p w14:paraId="592D5EFF"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1997</w:t>
            </w:r>
          </w:p>
        </w:tc>
        <w:tc>
          <w:tcPr>
            <w:tcW w:w="1830" w:type="dxa"/>
            <w:shd w:val="clear" w:color="auto" w:fill="auto"/>
            <w:vAlign w:val="bottom"/>
          </w:tcPr>
          <w:p w14:paraId="3CA233DB"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342 459</w:t>
            </w:r>
          </w:p>
        </w:tc>
        <w:tc>
          <w:tcPr>
            <w:tcW w:w="1830" w:type="dxa"/>
            <w:shd w:val="clear" w:color="auto" w:fill="auto"/>
            <w:vAlign w:val="bottom"/>
          </w:tcPr>
          <w:p w14:paraId="35AC1C85"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179 564</w:t>
            </w:r>
          </w:p>
        </w:tc>
        <w:tc>
          <w:tcPr>
            <w:tcW w:w="1830" w:type="dxa"/>
            <w:shd w:val="clear" w:color="auto" w:fill="auto"/>
            <w:vAlign w:val="bottom"/>
          </w:tcPr>
          <w:p w14:paraId="26CEEA7E"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522 023</w:t>
            </w:r>
          </w:p>
        </w:tc>
      </w:tr>
      <w:tr w:rsidR="008D2F10" w:rsidRPr="00D43575" w14:paraId="3E02F61E" w14:textId="77777777" w:rsidTr="00BD7BE9">
        <w:tc>
          <w:tcPr>
            <w:tcW w:w="1830" w:type="dxa"/>
            <w:shd w:val="clear" w:color="auto" w:fill="auto"/>
            <w:vAlign w:val="bottom"/>
          </w:tcPr>
          <w:p w14:paraId="78F06C62"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2004</w:t>
            </w:r>
          </w:p>
        </w:tc>
        <w:tc>
          <w:tcPr>
            <w:tcW w:w="1830" w:type="dxa"/>
            <w:shd w:val="clear" w:color="auto" w:fill="auto"/>
            <w:vAlign w:val="bottom"/>
          </w:tcPr>
          <w:p w14:paraId="3A7AD63A"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496 382</w:t>
            </w:r>
          </w:p>
        </w:tc>
        <w:tc>
          <w:tcPr>
            <w:tcW w:w="1830" w:type="dxa"/>
            <w:shd w:val="clear" w:color="auto" w:fill="auto"/>
            <w:vAlign w:val="bottom"/>
          </w:tcPr>
          <w:p w14:paraId="157934D5"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247 647</w:t>
            </w:r>
          </w:p>
        </w:tc>
        <w:tc>
          <w:tcPr>
            <w:tcW w:w="1830" w:type="dxa"/>
            <w:shd w:val="clear" w:color="auto" w:fill="auto"/>
            <w:vAlign w:val="bottom"/>
          </w:tcPr>
          <w:p w14:paraId="65EC86F9"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744 029</w:t>
            </w:r>
          </w:p>
        </w:tc>
      </w:tr>
      <w:tr w:rsidR="008D2F10" w:rsidRPr="00D43575" w14:paraId="3B7FC7DF" w14:textId="77777777" w:rsidTr="00BD7BE9">
        <w:tc>
          <w:tcPr>
            <w:tcW w:w="1830" w:type="dxa"/>
            <w:shd w:val="clear" w:color="auto" w:fill="auto"/>
            <w:vAlign w:val="bottom"/>
          </w:tcPr>
          <w:p w14:paraId="12A8B9D0"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2010</w:t>
            </w:r>
          </w:p>
        </w:tc>
        <w:tc>
          <w:tcPr>
            <w:tcW w:w="1830" w:type="dxa"/>
            <w:shd w:val="clear" w:color="auto" w:fill="auto"/>
            <w:vAlign w:val="bottom"/>
          </w:tcPr>
          <w:p w14:paraId="6DED1D07"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1 284 739</w:t>
            </w:r>
          </w:p>
        </w:tc>
        <w:tc>
          <w:tcPr>
            <w:tcW w:w="1830" w:type="dxa"/>
            <w:shd w:val="clear" w:color="auto" w:fill="auto"/>
            <w:vAlign w:val="bottom"/>
          </w:tcPr>
          <w:p w14:paraId="3C7F85C9"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414 696</w:t>
            </w:r>
          </w:p>
        </w:tc>
        <w:tc>
          <w:tcPr>
            <w:tcW w:w="1830" w:type="dxa"/>
            <w:shd w:val="clear" w:color="auto" w:fill="auto"/>
            <w:vAlign w:val="bottom"/>
          </w:tcPr>
          <w:p w14:paraId="033C4DC2"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1 699 435</w:t>
            </w:r>
          </w:p>
        </w:tc>
      </w:tr>
      <w:tr w:rsidR="008D2F10" w:rsidRPr="00D43575" w14:paraId="1CC03503" w14:textId="77777777" w:rsidTr="00BD7BE9">
        <w:tc>
          <w:tcPr>
            <w:tcW w:w="1830" w:type="dxa"/>
            <w:tcBorders>
              <w:bottom w:val="single" w:sz="12" w:space="0" w:color="auto"/>
            </w:tcBorders>
            <w:shd w:val="clear" w:color="auto" w:fill="auto"/>
            <w:vAlign w:val="bottom"/>
          </w:tcPr>
          <w:p w14:paraId="302378ED"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2015</w:t>
            </w:r>
          </w:p>
        </w:tc>
        <w:tc>
          <w:tcPr>
            <w:tcW w:w="1830" w:type="dxa"/>
            <w:tcBorders>
              <w:bottom w:val="single" w:sz="12" w:space="0" w:color="auto"/>
            </w:tcBorders>
            <w:shd w:val="clear" w:color="auto" w:fill="auto"/>
            <w:vAlign w:val="bottom"/>
          </w:tcPr>
          <w:p w14:paraId="5BE2EE71"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1 816 981</w:t>
            </w:r>
          </w:p>
        </w:tc>
        <w:tc>
          <w:tcPr>
            <w:tcW w:w="1830" w:type="dxa"/>
            <w:tcBorders>
              <w:bottom w:val="single" w:sz="12" w:space="0" w:color="auto"/>
            </w:tcBorders>
            <w:shd w:val="clear" w:color="auto" w:fill="auto"/>
            <w:vAlign w:val="bottom"/>
          </w:tcPr>
          <w:p w14:paraId="2BE256CB"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587 795</w:t>
            </w:r>
          </w:p>
        </w:tc>
        <w:tc>
          <w:tcPr>
            <w:tcW w:w="1830" w:type="dxa"/>
            <w:tcBorders>
              <w:bottom w:val="single" w:sz="12" w:space="0" w:color="auto"/>
            </w:tcBorders>
            <w:shd w:val="clear" w:color="auto" w:fill="auto"/>
            <w:vAlign w:val="bottom"/>
          </w:tcPr>
          <w:p w14:paraId="2528793F"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2 404 776</w:t>
            </w:r>
          </w:p>
        </w:tc>
      </w:tr>
    </w:tbl>
    <w:p w14:paraId="14BE86BD" w14:textId="77777777" w:rsidR="008D2F10" w:rsidRPr="00D43575" w:rsidRDefault="008D2F10" w:rsidP="008D2F10">
      <w:pPr>
        <w:pStyle w:val="SingleTxt"/>
        <w:spacing w:after="0" w:line="120" w:lineRule="exact"/>
        <w:rPr>
          <w:sz w:val="10"/>
        </w:rPr>
      </w:pPr>
    </w:p>
    <w:p w14:paraId="6C43C18C" w14:textId="32E0685E" w:rsidR="008D2F10" w:rsidRPr="00D43575" w:rsidRDefault="008D2F10" w:rsidP="00146B6F">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Ministerio de Planificación del Desarrollo y Estadísticas, 2015; censo de 2015</w:t>
      </w:r>
      <w:r w:rsidR="00083383" w:rsidRPr="00D43575">
        <w:rPr>
          <w:rFonts w:eastAsiaTheme="minorHAnsi"/>
          <w:iCs/>
          <w:w w:val="103"/>
          <w:kern w:val="14"/>
          <w:szCs w:val="20"/>
        </w:rPr>
        <w:t>.</w:t>
      </w:r>
    </w:p>
    <w:p w14:paraId="7E64FD3C" w14:textId="77777777" w:rsidR="008D2F10" w:rsidRPr="00D43575" w:rsidRDefault="008D2F10" w:rsidP="008D2F10">
      <w:pPr>
        <w:pStyle w:val="SingleTxt"/>
        <w:spacing w:after="0" w:line="120" w:lineRule="exact"/>
        <w:rPr>
          <w:sz w:val="10"/>
        </w:rPr>
      </w:pPr>
    </w:p>
    <w:p w14:paraId="0353DDDD" w14:textId="77777777" w:rsidR="008D2F10" w:rsidRPr="00D43575" w:rsidRDefault="008D2F10" w:rsidP="008D2F10">
      <w:pPr>
        <w:pStyle w:val="SingleTxt"/>
        <w:spacing w:after="0" w:line="120" w:lineRule="exact"/>
        <w:rPr>
          <w:sz w:val="10"/>
        </w:rPr>
      </w:pPr>
    </w:p>
    <w:p w14:paraId="43730C86" w14:textId="77777777" w:rsidR="00886B50" w:rsidRPr="00D43575" w:rsidRDefault="00886B50">
      <w:pPr>
        <w:suppressAutoHyphens w:val="0"/>
        <w:spacing w:line="240" w:lineRule="auto"/>
        <w:rPr>
          <w:b/>
          <w:spacing w:val="2"/>
          <w:kern w:val="14"/>
          <w:szCs w:val="20"/>
        </w:rPr>
      </w:pPr>
      <w:r w:rsidRPr="00D43575">
        <w:rPr>
          <w:bCs/>
          <w:szCs w:val="20"/>
        </w:rPr>
        <w:br w:type="page"/>
      </w:r>
    </w:p>
    <w:p w14:paraId="2FB45516" w14:textId="02D12209" w:rsidR="009438AD"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lastRenderedPageBreak/>
        <w:tab/>
      </w:r>
      <w:r w:rsidRPr="00D43575">
        <w:rPr>
          <w:bCs w:val="0"/>
          <w:szCs w:val="20"/>
        </w:rPr>
        <w:tab/>
      </w:r>
      <w:r w:rsidR="00A92E4A">
        <w:rPr>
          <w:b w:val="0"/>
          <w:bCs w:val="0"/>
          <w:szCs w:val="20"/>
        </w:rPr>
        <w:t>Figura 1</w:t>
      </w:r>
      <w:r w:rsidR="00BD7BE9" w:rsidRPr="00D43575">
        <w:rPr>
          <w:b w:val="0"/>
          <w:bCs w:val="0"/>
          <w:szCs w:val="20"/>
        </w:rPr>
        <w:br/>
      </w:r>
      <w:r w:rsidRPr="00D43575">
        <w:rPr>
          <w:bCs w:val="0"/>
          <w:szCs w:val="20"/>
        </w:rPr>
        <w:t xml:space="preserve">Población del Estado de Qatar </w:t>
      </w:r>
      <w:r w:rsidR="00FD39D9" w:rsidRPr="00D43575">
        <w:rPr>
          <w:bCs w:val="0"/>
          <w:szCs w:val="20"/>
        </w:rPr>
        <w:t>(en miles)</w:t>
      </w:r>
    </w:p>
    <w:p w14:paraId="343106C2" w14:textId="101B37D9" w:rsidR="008D2F10" w:rsidRPr="00D43575" w:rsidRDefault="008D2F10" w:rsidP="00FD39D9">
      <w:pPr>
        <w:pStyle w:val="SingleTxt"/>
        <w:rPr>
          <w:sz w:val="14"/>
        </w:rPr>
      </w:pPr>
      <w:r w:rsidRPr="00D43575">
        <w:rPr>
          <w:sz w:val="14"/>
        </w:rPr>
        <w:t>Período 2012</w:t>
      </w:r>
      <w:r w:rsidR="00083383" w:rsidRPr="00D43575">
        <w:rPr>
          <w:sz w:val="14"/>
        </w:rPr>
        <w:noBreakHyphen/>
      </w:r>
      <w:r w:rsidRPr="00D43575">
        <w:rPr>
          <w:sz w:val="14"/>
        </w:rPr>
        <w:t>2016</w:t>
      </w:r>
    </w:p>
    <w:p w14:paraId="57DD0B2E" w14:textId="77777777" w:rsidR="008D2F10" w:rsidRPr="00D43575" w:rsidRDefault="008D2F10" w:rsidP="003C7A59">
      <w:pPr>
        <w:pStyle w:val="SingleTxt"/>
        <w:spacing w:after="0" w:line="120" w:lineRule="exact"/>
        <w:rPr>
          <w:sz w:val="10"/>
        </w:rPr>
      </w:pPr>
    </w:p>
    <w:p w14:paraId="5602C138" w14:textId="77777777" w:rsidR="008D2F10" w:rsidRPr="007D60C1" w:rsidRDefault="008D2F10" w:rsidP="00BD7BE9">
      <w:pPr>
        <w:pStyle w:val="SingleTxt"/>
        <w:spacing w:line="240" w:lineRule="atLeast"/>
        <w:rPr>
          <w:lang w:eastAsia="es-ES"/>
        </w:rPr>
      </w:pPr>
      <w:r w:rsidRPr="000F625D">
        <w:rPr>
          <w:noProof/>
          <w:lang w:eastAsia="es-ES"/>
        </w:rPr>
        <w:drawing>
          <wp:inline distT="0" distB="0" distL="0" distR="0" wp14:anchorId="019FEF5E" wp14:editId="6FAEABC2">
            <wp:extent cx="4663440" cy="2336801"/>
            <wp:effectExtent l="0" t="0" r="381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4663440" cy="2336801"/>
                    </a:xfrm>
                    <a:prstGeom prst="rect">
                      <a:avLst/>
                    </a:prstGeom>
                    <a:noFill/>
                    <a:ln>
                      <a:noFill/>
                    </a:ln>
                  </pic:spPr>
                </pic:pic>
              </a:graphicData>
            </a:graphic>
          </wp:inline>
        </w:drawing>
      </w:r>
    </w:p>
    <w:p w14:paraId="42BB758F" w14:textId="77777777" w:rsidR="008D2F10" w:rsidRPr="009D5F93" w:rsidRDefault="008D2F10" w:rsidP="008D2F10">
      <w:pPr>
        <w:pStyle w:val="SingleTxt"/>
        <w:spacing w:after="0" w:line="120" w:lineRule="exact"/>
        <w:rPr>
          <w:sz w:val="10"/>
        </w:rPr>
      </w:pPr>
    </w:p>
    <w:p w14:paraId="2C99BE3A" w14:textId="27B1D624" w:rsidR="008D2F10"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Ministerio de Planificación del Desarrollo y Estadísticas</w:t>
      </w:r>
      <w:r w:rsidR="00083383" w:rsidRPr="00D43575">
        <w:rPr>
          <w:rFonts w:eastAsiaTheme="minorHAnsi"/>
          <w:iCs/>
          <w:w w:val="103"/>
          <w:kern w:val="14"/>
          <w:szCs w:val="20"/>
        </w:rPr>
        <w:t>.</w:t>
      </w:r>
    </w:p>
    <w:p w14:paraId="2123714B" w14:textId="77777777" w:rsidR="008D2F10" w:rsidRPr="00D43575" w:rsidRDefault="008D2F10" w:rsidP="008D2F10">
      <w:pPr>
        <w:pStyle w:val="SingleTxt"/>
        <w:spacing w:after="0" w:line="120" w:lineRule="exact"/>
        <w:rPr>
          <w:sz w:val="10"/>
        </w:rPr>
      </w:pPr>
    </w:p>
    <w:p w14:paraId="67BE02E4" w14:textId="77777777" w:rsidR="008D2F10" w:rsidRPr="00D43575" w:rsidRDefault="008D2F10" w:rsidP="008D2F10">
      <w:pPr>
        <w:pStyle w:val="SingleTxt"/>
        <w:spacing w:after="0" w:line="120" w:lineRule="exact"/>
        <w:rPr>
          <w:sz w:val="10"/>
        </w:rPr>
      </w:pPr>
    </w:p>
    <w:p w14:paraId="7F81CAF4" w14:textId="5AA586FF" w:rsidR="008D2F10" w:rsidRPr="00D43575" w:rsidRDefault="008D2F10" w:rsidP="001D1AD0">
      <w:pPr>
        <w:pStyle w:val="SingleTxt"/>
        <w:numPr>
          <w:ilvl w:val="0"/>
          <w:numId w:val="10"/>
        </w:numPr>
        <w:ind w:left="1267" w:firstLine="0"/>
      </w:pPr>
      <w:r w:rsidRPr="00D43575">
        <w:t>En el cuadro 2 se muestra la composición de la población en grupos de edad en 2016</w:t>
      </w:r>
      <w:r w:rsidR="00083383" w:rsidRPr="00D43575">
        <w:t>.</w:t>
      </w:r>
      <w:r w:rsidRPr="00D43575">
        <w:t xml:space="preserve"> La pirámide por edades de la figura 2 recoge el total de la población qatarí y extranjera y la diferencia generada por el aumento del número de trabajadores que llegan al Estado de Qatar, en particular en lo que respecta a los varones de otras nacionalidades</w:t>
      </w:r>
      <w:r w:rsidR="00083383" w:rsidRPr="00D43575">
        <w:t>.</w:t>
      </w:r>
      <w:r w:rsidRPr="00D43575">
        <w:t xml:space="preserve"> La pirámide de la figura 3 muestra la proporción entre mujeres y hombres en la población qatarí total</w:t>
      </w:r>
      <w:r w:rsidR="00083383" w:rsidRPr="00D43575">
        <w:t>.</w:t>
      </w:r>
    </w:p>
    <w:p w14:paraId="3153E296" w14:textId="77777777" w:rsidR="008D2F10" w:rsidRPr="00D43575" w:rsidRDefault="008D2F10" w:rsidP="008D2F10">
      <w:pPr>
        <w:pStyle w:val="SingleTxt"/>
        <w:spacing w:after="0" w:line="120" w:lineRule="exact"/>
        <w:rPr>
          <w:sz w:val="10"/>
        </w:rPr>
      </w:pPr>
    </w:p>
    <w:p w14:paraId="7A28565A" w14:textId="08D1B25A"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r>
      <w:r w:rsidR="00A92E4A">
        <w:rPr>
          <w:b w:val="0"/>
          <w:bCs w:val="0"/>
          <w:szCs w:val="20"/>
        </w:rPr>
        <w:t>Cuadro 2</w:t>
      </w:r>
      <w:r w:rsidR="00E35CF8" w:rsidRPr="00D43575">
        <w:rPr>
          <w:b w:val="0"/>
          <w:bCs w:val="0"/>
          <w:szCs w:val="20"/>
        </w:rPr>
        <w:br/>
      </w:r>
      <w:r w:rsidRPr="00D43575">
        <w:rPr>
          <w:bCs w:val="0"/>
          <w:szCs w:val="20"/>
        </w:rPr>
        <w:t>Distribución relativa de la población por grupos de edad amplios, nacionalidad</w:t>
      </w:r>
      <w:r w:rsidR="00083383" w:rsidRPr="00D43575">
        <w:rPr>
          <w:bCs w:val="0"/>
          <w:szCs w:val="20"/>
        </w:rPr>
        <w:t xml:space="preserve"> </w:t>
      </w:r>
      <w:r w:rsidRPr="00D43575">
        <w:rPr>
          <w:bCs w:val="0"/>
          <w:szCs w:val="20"/>
        </w:rPr>
        <w:t>y</w:t>
      </w:r>
      <w:r w:rsidR="00083383" w:rsidRPr="00D43575">
        <w:rPr>
          <w:bCs w:val="0"/>
          <w:szCs w:val="20"/>
        </w:rPr>
        <w:t xml:space="preserve"> </w:t>
      </w:r>
      <w:r w:rsidRPr="00D43575">
        <w:rPr>
          <w:bCs w:val="0"/>
          <w:szCs w:val="20"/>
        </w:rPr>
        <w:t>sexo</w:t>
      </w:r>
    </w:p>
    <w:p w14:paraId="7885ADEF" w14:textId="77777777" w:rsidR="008D2F10" w:rsidRPr="00D43575" w:rsidRDefault="008D2F10" w:rsidP="00FD39D9">
      <w:pPr>
        <w:pStyle w:val="SingleTxt"/>
        <w:rPr>
          <w:sz w:val="14"/>
        </w:rPr>
      </w:pPr>
      <w:r w:rsidRPr="00D43575">
        <w:rPr>
          <w:sz w:val="14"/>
        </w:rPr>
        <w:t>Estimaciones calculadas a mediados de año, 2016</w:t>
      </w:r>
    </w:p>
    <w:p w14:paraId="3B6E91C0" w14:textId="77777777" w:rsidR="008D2F10" w:rsidRPr="00D43575" w:rsidRDefault="008D2F10" w:rsidP="008D2F10">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20"/>
        <w:gridCol w:w="1220"/>
        <w:gridCol w:w="1220"/>
        <w:gridCol w:w="1220"/>
        <w:gridCol w:w="1220"/>
        <w:gridCol w:w="1220"/>
      </w:tblGrid>
      <w:tr w:rsidR="008D2F10" w:rsidRPr="00D43575" w14:paraId="7E3A2E0C" w14:textId="77777777" w:rsidTr="002F2C36">
        <w:trPr>
          <w:tblHeader/>
        </w:trPr>
        <w:tc>
          <w:tcPr>
            <w:tcW w:w="1220" w:type="dxa"/>
            <w:tcBorders>
              <w:top w:val="single" w:sz="4" w:space="0" w:color="auto"/>
              <w:bottom w:val="single" w:sz="12" w:space="0" w:color="auto"/>
            </w:tcBorders>
            <w:shd w:val="clear" w:color="auto" w:fill="auto"/>
            <w:vAlign w:val="bottom"/>
          </w:tcPr>
          <w:p w14:paraId="1BDA4A32" w14:textId="77777777" w:rsidR="008D2F10" w:rsidRPr="00D43575" w:rsidRDefault="008D2F10" w:rsidP="002F1069">
            <w:pPr>
              <w:tabs>
                <w:tab w:val="left" w:pos="288"/>
                <w:tab w:val="left" w:pos="576"/>
                <w:tab w:val="left" w:pos="864"/>
                <w:tab w:val="left" w:pos="1152"/>
              </w:tabs>
              <w:spacing w:before="80" w:after="80" w:line="160" w:lineRule="exact"/>
              <w:ind w:right="43"/>
              <w:rPr>
                <w:i/>
                <w:sz w:val="14"/>
                <w:szCs w:val="20"/>
              </w:rPr>
            </w:pPr>
            <w:r w:rsidRPr="00D43575">
              <w:rPr>
                <w:i/>
                <w:sz w:val="14"/>
                <w:szCs w:val="20"/>
              </w:rPr>
              <w:t>Nacionalidad</w:t>
            </w:r>
          </w:p>
        </w:tc>
        <w:tc>
          <w:tcPr>
            <w:tcW w:w="1220" w:type="dxa"/>
            <w:tcBorders>
              <w:top w:val="single" w:sz="4" w:space="0" w:color="auto"/>
              <w:bottom w:val="single" w:sz="12" w:space="0" w:color="auto"/>
            </w:tcBorders>
            <w:shd w:val="clear" w:color="auto" w:fill="auto"/>
            <w:vAlign w:val="bottom"/>
          </w:tcPr>
          <w:p w14:paraId="205D12AB" w14:textId="77777777" w:rsidR="008D2F10" w:rsidRPr="00D43575" w:rsidRDefault="008D2F10" w:rsidP="002F1069">
            <w:pPr>
              <w:tabs>
                <w:tab w:val="left" w:pos="288"/>
                <w:tab w:val="left" w:pos="576"/>
                <w:tab w:val="left" w:pos="864"/>
                <w:tab w:val="left" w:pos="1152"/>
              </w:tabs>
              <w:spacing w:before="80" w:after="80" w:line="160" w:lineRule="exact"/>
              <w:ind w:right="43"/>
              <w:rPr>
                <w:i/>
                <w:sz w:val="14"/>
                <w:szCs w:val="20"/>
              </w:rPr>
            </w:pPr>
            <w:r w:rsidRPr="00D43575">
              <w:rPr>
                <w:i/>
                <w:sz w:val="14"/>
                <w:szCs w:val="20"/>
              </w:rPr>
              <w:t>Sexo</w:t>
            </w:r>
          </w:p>
        </w:tc>
        <w:tc>
          <w:tcPr>
            <w:tcW w:w="1220" w:type="dxa"/>
            <w:tcBorders>
              <w:top w:val="single" w:sz="4" w:space="0" w:color="auto"/>
              <w:bottom w:val="single" w:sz="12" w:space="0" w:color="auto"/>
            </w:tcBorders>
            <w:shd w:val="clear" w:color="auto" w:fill="auto"/>
            <w:vAlign w:val="bottom"/>
          </w:tcPr>
          <w:p w14:paraId="2DA1EDEF" w14:textId="77777777" w:rsidR="008D2F10" w:rsidRPr="00D43575" w:rsidRDefault="008D2F10" w:rsidP="002F1069">
            <w:pPr>
              <w:tabs>
                <w:tab w:val="left" w:pos="288"/>
                <w:tab w:val="left" w:pos="576"/>
                <w:tab w:val="left" w:pos="864"/>
                <w:tab w:val="left" w:pos="1152"/>
              </w:tabs>
              <w:spacing w:before="80" w:after="80" w:line="160" w:lineRule="exact"/>
              <w:ind w:right="43"/>
              <w:jc w:val="right"/>
              <w:rPr>
                <w:rFonts w:eastAsia="Calibri"/>
                <w:i/>
                <w:sz w:val="14"/>
              </w:rPr>
            </w:pPr>
            <w:r w:rsidRPr="00D43575">
              <w:rPr>
                <w:i/>
                <w:sz w:val="14"/>
                <w:szCs w:val="20"/>
              </w:rPr>
              <w:t>De 0 a 14 años</w:t>
            </w:r>
          </w:p>
        </w:tc>
        <w:tc>
          <w:tcPr>
            <w:tcW w:w="1220" w:type="dxa"/>
            <w:tcBorders>
              <w:top w:val="single" w:sz="4" w:space="0" w:color="auto"/>
              <w:bottom w:val="single" w:sz="12" w:space="0" w:color="auto"/>
            </w:tcBorders>
            <w:shd w:val="clear" w:color="auto" w:fill="auto"/>
            <w:vAlign w:val="bottom"/>
          </w:tcPr>
          <w:p w14:paraId="3831AC10" w14:textId="77777777" w:rsidR="008D2F10" w:rsidRPr="00D43575" w:rsidRDefault="008D2F10" w:rsidP="002F1069">
            <w:pPr>
              <w:tabs>
                <w:tab w:val="left" w:pos="288"/>
                <w:tab w:val="left" w:pos="576"/>
                <w:tab w:val="left" w:pos="864"/>
                <w:tab w:val="left" w:pos="1152"/>
              </w:tabs>
              <w:spacing w:before="80" w:after="80" w:line="160" w:lineRule="exact"/>
              <w:ind w:right="43"/>
              <w:jc w:val="right"/>
              <w:rPr>
                <w:rFonts w:eastAsia="Calibri"/>
                <w:i/>
                <w:sz w:val="14"/>
              </w:rPr>
            </w:pPr>
            <w:r w:rsidRPr="00D43575">
              <w:rPr>
                <w:i/>
                <w:sz w:val="14"/>
                <w:szCs w:val="20"/>
              </w:rPr>
              <w:t>De 15 a 64 años</w:t>
            </w:r>
          </w:p>
        </w:tc>
        <w:tc>
          <w:tcPr>
            <w:tcW w:w="1220" w:type="dxa"/>
            <w:tcBorders>
              <w:top w:val="single" w:sz="4" w:space="0" w:color="auto"/>
              <w:bottom w:val="single" w:sz="12" w:space="0" w:color="auto"/>
            </w:tcBorders>
            <w:shd w:val="clear" w:color="auto" w:fill="auto"/>
            <w:vAlign w:val="bottom"/>
          </w:tcPr>
          <w:p w14:paraId="64A2AB2A" w14:textId="77777777" w:rsidR="008D2F10" w:rsidRPr="00D43575" w:rsidRDefault="008D2F10" w:rsidP="002F1069">
            <w:pPr>
              <w:tabs>
                <w:tab w:val="left" w:pos="288"/>
                <w:tab w:val="left" w:pos="576"/>
                <w:tab w:val="left" w:pos="864"/>
                <w:tab w:val="left" w:pos="1152"/>
              </w:tabs>
              <w:spacing w:before="80" w:after="80" w:line="160" w:lineRule="exact"/>
              <w:ind w:right="43"/>
              <w:jc w:val="right"/>
              <w:rPr>
                <w:rFonts w:eastAsia="Calibri"/>
                <w:i/>
                <w:sz w:val="14"/>
              </w:rPr>
            </w:pPr>
            <w:r w:rsidRPr="00D43575">
              <w:rPr>
                <w:i/>
                <w:sz w:val="14"/>
                <w:szCs w:val="20"/>
              </w:rPr>
              <w:t>De 65 años</w:t>
            </w:r>
            <w:r w:rsidR="002F2C36" w:rsidRPr="00D43575">
              <w:rPr>
                <w:i/>
                <w:sz w:val="14"/>
                <w:szCs w:val="20"/>
              </w:rPr>
              <w:br/>
            </w:r>
            <w:r w:rsidRPr="00D43575">
              <w:rPr>
                <w:i/>
                <w:sz w:val="14"/>
                <w:szCs w:val="20"/>
              </w:rPr>
              <w:t xml:space="preserve"> en adelante</w:t>
            </w:r>
          </w:p>
        </w:tc>
        <w:tc>
          <w:tcPr>
            <w:tcW w:w="1220" w:type="dxa"/>
            <w:tcBorders>
              <w:top w:val="single" w:sz="4" w:space="0" w:color="auto"/>
              <w:bottom w:val="single" w:sz="12" w:space="0" w:color="auto"/>
            </w:tcBorders>
            <w:shd w:val="clear" w:color="auto" w:fill="auto"/>
            <w:vAlign w:val="bottom"/>
          </w:tcPr>
          <w:p w14:paraId="4F8D63CA" w14:textId="77777777" w:rsidR="008D2F10" w:rsidRPr="00D43575" w:rsidRDefault="008D2F10" w:rsidP="002F2C36">
            <w:pPr>
              <w:tabs>
                <w:tab w:val="left" w:pos="288"/>
                <w:tab w:val="left" w:pos="576"/>
                <w:tab w:val="left" w:pos="864"/>
                <w:tab w:val="left" w:pos="1152"/>
              </w:tabs>
              <w:spacing w:before="80" w:after="80" w:line="160" w:lineRule="exact"/>
              <w:ind w:right="40"/>
              <w:jc w:val="right"/>
              <w:rPr>
                <w:rFonts w:eastAsia="Calibri"/>
                <w:i/>
                <w:sz w:val="14"/>
              </w:rPr>
            </w:pPr>
            <w:r w:rsidRPr="00D43575">
              <w:rPr>
                <w:i/>
                <w:sz w:val="14"/>
                <w:szCs w:val="20"/>
              </w:rPr>
              <w:t>Total</w:t>
            </w:r>
          </w:p>
        </w:tc>
      </w:tr>
      <w:tr w:rsidR="008D2F10" w:rsidRPr="00D43575" w14:paraId="049DADE7" w14:textId="77777777" w:rsidTr="002F2C36">
        <w:trPr>
          <w:trHeight w:hRule="exact" w:val="115"/>
          <w:tblHeader/>
        </w:trPr>
        <w:tc>
          <w:tcPr>
            <w:tcW w:w="1220" w:type="dxa"/>
            <w:tcBorders>
              <w:top w:val="single" w:sz="12" w:space="0" w:color="auto"/>
            </w:tcBorders>
            <w:shd w:val="clear" w:color="auto" w:fill="auto"/>
            <w:vAlign w:val="bottom"/>
          </w:tcPr>
          <w:p w14:paraId="19057142"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220" w:type="dxa"/>
            <w:tcBorders>
              <w:top w:val="single" w:sz="12" w:space="0" w:color="auto"/>
            </w:tcBorders>
            <w:shd w:val="clear" w:color="auto" w:fill="auto"/>
            <w:vAlign w:val="bottom"/>
          </w:tcPr>
          <w:p w14:paraId="00D69DDD"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1220" w:type="dxa"/>
            <w:tcBorders>
              <w:top w:val="single" w:sz="12" w:space="0" w:color="auto"/>
            </w:tcBorders>
            <w:shd w:val="clear" w:color="auto" w:fill="auto"/>
            <w:vAlign w:val="bottom"/>
          </w:tcPr>
          <w:p w14:paraId="4472D331"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041CE994"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64398B7C"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0EA90125"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8D2F10" w:rsidRPr="00D43575" w14:paraId="552DA89D" w14:textId="77777777" w:rsidTr="002F2C36">
        <w:tc>
          <w:tcPr>
            <w:tcW w:w="1220" w:type="dxa"/>
            <w:vMerge w:val="restart"/>
            <w:shd w:val="clear" w:color="auto" w:fill="auto"/>
            <w:vAlign w:val="center"/>
          </w:tcPr>
          <w:p w14:paraId="30253902"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Qataríes</w:t>
            </w:r>
          </w:p>
        </w:tc>
        <w:tc>
          <w:tcPr>
            <w:tcW w:w="1220" w:type="dxa"/>
            <w:shd w:val="clear" w:color="auto" w:fill="auto"/>
            <w:vAlign w:val="bottom"/>
          </w:tcPr>
          <w:p w14:paraId="1F08BD26"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Mujeres</w:t>
            </w:r>
          </w:p>
        </w:tc>
        <w:tc>
          <w:tcPr>
            <w:tcW w:w="1220" w:type="dxa"/>
            <w:shd w:val="clear" w:color="auto" w:fill="auto"/>
            <w:vAlign w:val="bottom"/>
          </w:tcPr>
          <w:p w14:paraId="2D4D0FDB"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36,5</w:t>
            </w:r>
          </w:p>
        </w:tc>
        <w:tc>
          <w:tcPr>
            <w:tcW w:w="1220" w:type="dxa"/>
            <w:shd w:val="clear" w:color="auto" w:fill="auto"/>
            <w:vAlign w:val="bottom"/>
          </w:tcPr>
          <w:p w14:paraId="00660F1E"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59,8</w:t>
            </w:r>
          </w:p>
        </w:tc>
        <w:tc>
          <w:tcPr>
            <w:tcW w:w="1220" w:type="dxa"/>
            <w:shd w:val="clear" w:color="auto" w:fill="auto"/>
            <w:vAlign w:val="bottom"/>
          </w:tcPr>
          <w:p w14:paraId="665E9B1B"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3,7</w:t>
            </w:r>
          </w:p>
        </w:tc>
        <w:tc>
          <w:tcPr>
            <w:tcW w:w="1220" w:type="dxa"/>
            <w:shd w:val="clear" w:color="auto" w:fill="auto"/>
            <w:vAlign w:val="bottom"/>
          </w:tcPr>
          <w:p w14:paraId="56715744"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100</w:t>
            </w:r>
          </w:p>
        </w:tc>
      </w:tr>
      <w:tr w:rsidR="008D2F10" w:rsidRPr="00D43575" w14:paraId="7AC758A7" w14:textId="77777777" w:rsidTr="002F2C36">
        <w:tc>
          <w:tcPr>
            <w:tcW w:w="1220" w:type="dxa"/>
            <w:vMerge/>
            <w:tcBorders>
              <w:bottom w:val="single" w:sz="4" w:space="0" w:color="auto"/>
            </w:tcBorders>
            <w:shd w:val="clear" w:color="auto" w:fill="auto"/>
            <w:vAlign w:val="bottom"/>
          </w:tcPr>
          <w:p w14:paraId="53AA71DD"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220" w:type="dxa"/>
            <w:tcBorders>
              <w:bottom w:val="single" w:sz="4" w:space="0" w:color="auto"/>
            </w:tcBorders>
            <w:shd w:val="clear" w:color="auto" w:fill="auto"/>
            <w:vAlign w:val="bottom"/>
          </w:tcPr>
          <w:p w14:paraId="4CDF1B87"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Hombres</w:t>
            </w:r>
          </w:p>
        </w:tc>
        <w:tc>
          <w:tcPr>
            <w:tcW w:w="1220" w:type="dxa"/>
            <w:tcBorders>
              <w:bottom w:val="single" w:sz="4" w:space="0" w:color="auto"/>
            </w:tcBorders>
            <w:shd w:val="clear" w:color="auto" w:fill="auto"/>
            <w:vAlign w:val="bottom"/>
          </w:tcPr>
          <w:p w14:paraId="262FE7A1"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38,9</w:t>
            </w:r>
          </w:p>
        </w:tc>
        <w:tc>
          <w:tcPr>
            <w:tcW w:w="1220" w:type="dxa"/>
            <w:tcBorders>
              <w:bottom w:val="single" w:sz="4" w:space="0" w:color="auto"/>
            </w:tcBorders>
            <w:shd w:val="clear" w:color="auto" w:fill="auto"/>
            <w:vAlign w:val="bottom"/>
          </w:tcPr>
          <w:p w14:paraId="16D5E04F"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57,8</w:t>
            </w:r>
          </w:p>
        </w:tc>
        <w:tc>
          <w:tcPr>
            <w:tcW w:w="1220" w:type="dxa"/>
            <w:tcBorders>
              <w:bottom w:val="single" w:sz="4" w:space="0" w:color="auto"/>
            </w:tcBorders>
            <w:shd w:val="clear" w:color="auto" w:fill="auto"/>
            <w:vAlign w:val="bottom"/>
          </w:tcPr>
          <w:p w14:paraId="260B01DB"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3,3</w:t>
            </w:r>
          </w:p>
        </w:tc>
        <w:tc>
          <w:tcPr>
            <w:tcW w:w="1220" w:type="dxa"/>
            <w:tcBorders>
              <w:bottom w:val="single" w:sz="4" w:space="0" w:color="auto"/>
            </w:tcBorders>
            <w:shd w:val="clear" w:color="auto" w:fill="auto"/>
            <w:vAlign w:val="bottom"/>
          </w:tcPr>
          <w:p w14:paraId="0F52E928"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100</w:t>
            </w:r>
          </w:p>
        </w:tc>
      </w:tr>
      <w:tr w:rsidR="008D2F10" w:rsidRPr="00D43575" w14:paraId="367CCAE1" w14:textId="77777777" w:rsidTr="002F2C36">
        <w:tc>
          <w:tcPr>
            <w:tcW w:w="1220" w:type="dxa"/>
            <w:vMerge w:val="restart"/>
            <w:tcBorders>
              <w:top w:val="single" w:sz="4" w:space="0" w:color="auto"/>
            </w:tcBorders>
            <w:shd w:val="clear" w:color="auto" w:fill="auto"/>
            <w:vAlign w:val="center"/>
          </w:tcPr>
          <w:p w14:paraId="4CA0F68E"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No qataríes</w:t>
            </w:r>
          </w:p>
        </w:tc>
        <w:tc>
          <w:tcPr>
            <w:tcW w:w="1220" w:type="dxa"/>
            <w:tcBorders>
              <w:top w:val="single" w:sz="4" w:space="0" w:color="auto"/>
            </w:tcBorders>
            <w:shd w:val="clear" w:color="auto" w:fill="auto"/>
            <w:vAlign w:val="bottom"/>
          </w:tcPr>
          <w:p w14:paraId="561F710A"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Mujeres</w:t>
            </w:r>
          </w:p>
        </w:tc>
        <w:tc>
          <w:tcPr>
            <w:tcW w:w="1220" w:type="dxa"/>
            <w:tcBorders>
              <w:top w:val="single" w:sz="4" w:space="0" w:color="auto"/>
            </w:tcBorders>
            <w:shd w:val="clear" w:color="auto" w:fill="auto"/>
            <w:vAlign w:val="bottom"/>
          </w:tcPr>
          <w:p w14:paraId="0F40631A"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24,5</w:t>
            </w:r>
          </w:p>
        </w:tc>
        <w:tc>
          <w:tcPr>
            <w:tcW w:w="1220" w:type="dxa"/>
            <w:tcBorders>
              <w:top w:val="single" w:sz="4" w:space="0" w:color="auto"/>
            </w:tcBorders>
            <w:shd w:val="clear" w:color="auto" w:fill="auto"/>
            <w:vAlign w:val="bottom"/>
          </w:tcPr>
          <w:p w14:paraId="3426A773"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74,5</w:t>
            </w:r>
          </w:p>
        </w:tc>
        <w:tc>
          <w:tcPr>
            <w:tcW w:w="1220" w:type="dxa"/>
            <w:tcBorders>
              <w:top w:val="single" w:sz="4" w:space="0" w:color="auto"/>
            </w:tcBorders>
            <w:shd w:val="clear" w:color="auto" w:fill="auto"/>
            <w:vAlign w:val="bottom"/>
          </w:tcPr>
          <w:p w14:paraId="49F2B9CC"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1,0</w:t>
            </w:r>
          </w:p>
        </w:tc>
        <w:tc>
          <w:tcPr>
            <w:tcW w:w="1220" w:type="dxa"/>
            <w:tcBorders>
              <w:top w:val="single" w:sz="4" w:space="0" w:color="auto"/>
            </w:tcBorders>
            <w:shd w:val="clear" w:color="auto" w:fill="auto"/>
            <w:vAlign w:val="bottom"/>
          </w:tcPr>
          <w:p w14:paraId="7FCEAAD6" w14:textId="77777777" w:rsidR="008D2F10" w:rsidRPr="00D43575" w:rsidRDefault="008D2F10" w:rsidP="00BD7B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100</w:t>
            </w:r>
          </w:p>
        </w:tc>
      </w:tr>
      <w:tr w:rsidR="008D2F10" w:rsidRPr="00D43575" w14:paraId="5A08AE0B" w14:textId="77777777" w:rsidTr="002F2C36">
        <w:tc>
          <w:tcPr>
            <w:tcW w:w="1220" w:type="dxa"/>
            <w:vMerge/>
            <w:tcBorders>
              <w:bottom w:val="single" w:sz="4" w:space="0" w:color="auto"/>
            </w:tcBorders>
            <w:shd w:val="clear" w:color="auto" w:fill="auto"/>
            <w:vAlign w:val="bottom"/>
          </w:tcPr>
          <w:p w14:paraId="6C7FEC62"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220" w:type="dxa"/>
            <w:tcBorders>
              <w:bottom w:val="single" w:sz="4" w:space="0" w:color="auto"/>
            </w:tcBorders>
            <w:shd w:val="clear" w:color="auto" w:fill="auto"/>
            <w:vAlign w:val="bottom"/>
          </w:tcPr>
          <w:p w14:paraId="029C52DB"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Hombres</w:t>
            </w:r>
          </w:p>
        </w:tc>
        <w:tc>
          <w:tcPr>
            <w:tcW w:w="1220" w:type="dxa"/>
            <w:tcBorders>
              <w:bottom w:val="single" w:sz="4" w:space="0" w:color="auto"/>
            </w:tcBorders>
            <w:shd w:val="clear" w:color="auto" w:fill="auto"/>
            <w:vAlign w:val="bottom"/>
          </w:tcPr>
          <w:p w14:paraId="42235AB9" w14:textId="77777777" w:rsidR="008D2F10" w:rsidRPr="00D43575" w:rsidRDefault="008D2F10" w:rsidP="002F2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6,9</w:t>
            </w:r>
          </w:p>
        </w:tc>
        <w:tc>
          <w:tcPr>
            <w:tcW w:w="1220" w:type="dxa"/>
            <w:tcBorders>
              <w:bottom w:val="single" w:sz="4" w:space="0" w:color="auto"/>
            </w:tcBorders>
            <w:shd w:val="clear" w:color="auto" w:fill="auto"/>
            <w:vAlign w:val="bottom"/>
          </w:tcPr>
          <w:p w14:paraId="615C49C4" w14:textId="77777777" w:rsidR="008D2F10" w:rsidRPr="00D43575" w:rsidRDefault="008D2F10" w:rsidP="002F2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92,4</w:t>
            </w:r>
          </w:p>
        </w:tc>
        <w:tc>
          <w:tcPr>
            <w:tcW w:w="1220" w:type="dxa"/>
            <w:tcBorders>
              <w:bottom w:val="single" w:sz="4" w:space="0" w:color="auto"/>
            </w:tcBorders>
            <w:shd w:val="clear" w:color="auto" w:fill="auto"/>
            <w:vAlign w:val="bottom"/>
          </w:tcPr>
          <w:p w14:paraId="2C86DDE3" w14:textId="77777777" w:rsidR="008D2F10" w:rsidRPr="00D43575" w:rsidRDefault="008D2F10" w:rsidP="002F2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0,7</w:t>
            </w:r>
          </w:p>
        </w:tc>
        <w:tc>
          <w:tcPr>
            <w:tcW w:w="1220" w:type="dxa"/>
            <w:tcBorders>
              <w:bottom w:val="single" w:sz="4" w:space="0" w:color="auto"/>
            </w:tcBorders>
            <w:shd w:val="clear" w:color="auto" w:fill="auto"/>
            <w:vAlign w:val="bottom"/>
          </w:tcPr>
          <w:p w14:paraId="4CFB26B4" w14:textId="77777777" w:rsidR="008D2F10" w:rsidRPr="00D43575" w:rsidRDefault="008D2F10" w:rsidP="002F2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100</w:t>
            </w:r>
          </w:p>
        </w:tc>
      </w:tr>
      <w:tr w:rsidR="008D2F10" w:rsidRPr="00D43575" w14:paraId="39990C40" w14:textId="77777777" w:rsidTr="002F2C36">
        <w:tc>
          <w:tcPr>
            <w:tcW w:w="1220" w:type="dxa"/>
            <w:vMerge w:val="restart"/>
            <w:tcBorders>
              <w:top w:val="single" w:sz="4" w:space="0" w:color="auto"/>
            </w:tcBorders>
            <w:shd w:val="clear" w:color="auto" w:fill="auto"/>
            <w:vAlign w:val="center"/>
          </w:tcPr>
          <w:p w14:paraId="1A09AFFE"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sz w:val="17"/>
              </w:rPr>
            </w:pPr>
            <w:r w:rsidRPr="00D43575">
              <w:rPr>
                <w:b/>
                <w:sz w:val="17"/>
              </w:rPr>
              <w:t>Total</w:t>
            </w:r>
          </w:p>
        </w:tc>
        <w:tc>
          <w:tcPr>
            <w:tcW w:w="1220" w:type="dxa"/>
            <w:tcBorders>
              <w:top w:val="single" w:sz="4" w:space="0" w:color="auto"/>
            </w:tcBorders>
            <w:shd w:val="clear" w:color="auto" w:fill="auto"/>
            <w:vAlign w:val="bottom"/>
          </w:tcPr>
          <w:p w14:paraId="00B16E81"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sz w:val="17"/>
              </w:rPr>
            </w:pPr>
            <w:r w:rsidRPr="00D43575">
              <w:rPr>
                <w:b/>
                <w:sz w:val="17"/>
              </w:rPr>
              <w:t>Mujeres</w:t>
            </w:r>
          </w:p>
        </w:tc>
        <w:tc>
          <w:tcPr>
            <w:tcW w:w="1220" w:type="dxa"/>
            <w:tcBorders>
              <w:top w:val="single" w:sz="4" w:space="0" w:color="auto"/>
            </w:tcBorders>
            <w:shd w:val="clear" w:color="auto" w:fill="auto"/>
            <w:vAlign w:val="bottom"/>
          </w:tcPr>
          <w:p w14:paraId="31E90C6D" w14:textId="77777777" w:rsidR="008D2F10" w:rsidRPr="00D43575" w:rsidRDefault="008D2F10" w:rsidP="002F2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D43575">
              <w:rPr>
                <w:b/>
                <w:sz w:val="17"/>
              </w:rPr>
              <w:t>27,3</w:t>
            </w:r>
          </w:p>
        </w:tc>
        <w:tc>
          <w:tcPr>
            <w:tcW w:w="1220" w:type="dxa"/>
            <w:tcBorders>
              <w:top w:val="single" w:sz="4" w:space="0" w:color="auto"/>
            </w:tcBorders>
            <w:shd w:val="clear" w:color="auto" w:fill="auto"/>
            <w:vAlign w:val="bottom"/>
          </w:tcPr>
          <w:p w14:paraId="548E88F7" w14:textId="77777777" w:rsidR="008D2F10" w:rsidRPr="00D43575" w:rsidRDefault="008D2F10" w:rsidP="002F2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D43575">
              <w:rPr>
                <w:b/>
                <w:sz w:val="17"/>
              </w:rPr>
              <w:t>71,7</w:t>
            </w:r>
          </w:p>
        </w:tc>
        <w:tc>
          <w:tcPr>
            <w:tcW w:w="1220" w:type="dxa"/>
            <w:tcBorders>
              <w:top w:val="single" w:sz="4" w:space="0" w:color="auto"/>
            </w:tcBorders>
            <w:shd w:val="clear" w:color="auto" w:fill="auto"/>
            <w:vAlign w:val="bottom"/>
          </w:tcPr>
          <w:p w14:paraId="7B294920" w14:textId="77777777" w:rsidR="008D2F10" w:rsidRPr="00D43575" w:rsidRDefault="008D2F10" w:rsidP="002F2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D43575">
              <w:rPr>
                <w:b/>
                <w:sz w:val="17"/>
              </w:rPr>
              <w:t>1,6</w:t>
            </w:r>
          </w:p>
        </w:tc>
        <w:tc>
          <w:tcPr>
            <w:tcW w:w="1220" w:type="dxa"/>
            <w:tcBorders>
              <w:top w:val="single" w:sz="4" w:space="0" w:color="auto"/>
            </w:tcBorders>
            <w:shd w:val="clear" w:color="auto" w:fill="auto"/>
            <w:vAlign w:val="bottom"/>
          </w:tcPr>
          <w:p w14:paraId="79E74D9A" w14:textId="77777777" w:rsidR="008D2F10" w:rsidRPr="00D43575" w:rsidRDefault="008D2F10" w:rsidP="002F2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D43575">
              <w:rPr>
                <w:b/>
                <w:sz w:val="17"/>
              </w:rPr>
              <w:t>100</w:t>
            </w:r>
          </w:p>
        </w:tc>
      </w:tr>
      <w:tr w:rsidR="008D2F10" w:rsidRPr="00D43575" w14:paraId="5F785AB1" w14:textId="77777777" w:rsidTr="002F2C36">
        <w:tc>
          <w:tcPr>
            <w:tcW w:w="1220" w:type="dxa"/>
            <w:vMerge/>
            <w:tcBorders>
              <w:bottom w:val="single" w:sz="12" w:space="0" w:color="auto"/>
            </w:tcBorders>
            <w:shd w:val="clear" w:color="auto" w:fill="auto"/>
            <w:vAlign w:val="bottom"/>
          </w:tcPr>
          <w:p w14:paraId="3F77BE1B"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p>
        </w:tc>
        <w:tc>
          <w:tcPr>
            <w:tcW w:w="1220" w:type="dxa"/>
            <w:tcBorders>
              <w:bottom w:val="single" w:sz="12" w:space="0" w:color="auto"/>
            </w:tcBorders>
            <w:shd w:val="clear" w:color="auto" w:fill="auto"/>
            <w:vAlign w:val="bottom"/>
          </w:tcPr>
          <w:p w14:paraId="6FC4D6E4"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sz w:val="17"/>
              </w:rPr>
            </w:pPr>
            <w:r w:rsidRPr="00D43575">
              <w:rPr>
                <w:b/>
                <w:sz w:val="17"/>
              </w:rPr>
              <w:t>Hombres</w:t>
            </w:r>
          </w:p>
        </w:tc>
        <w:tc>
          <w:tcPr>
            <w:tcW w:w="1220" w:type="dxa"/>
            <w:tcBorders>
              <w:bottom w:val="single" w:sz="12" w:space="0" w:color="auto"/>
            </w:tcBorders>
            <w:shd w:val="clear" w:color="auto" w:fill="auto"/>
            <w:vAlign w:val="bottom"/>
          </w:tcPr>
          <w:p w14:paraId="6D74D4CC" w14:textId="77777777" w:rsidR="008D2F10" w:rsidRPr="00D43575" w:rsidRDefault="008D2F10" w:rsidP="002F2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D43575">
              <w:rPr>
                <w:b/>
                <w:sz w:val="17"/>
              </w:rPr>
              <w:t>9,2</w:t>
            </w:r>
          </w:p>
        </w:tc>
        <w:tc>
          <w:tcPr>
            <w:tcW w:w="1220" w:type="dxa"/>
            <w:tcBorders>
              <w:bottom w:val="single" w:sz="12" w:space="0" w:color="auto"/>
            </w:tcBorders>
            <w:shd w:val="clear" w:color="auto" w:fill="auto"/>
            <w:vAlign w:val="bottom"/>
          </w:tcPr>
          <w:p w14:paraId="36148C92" w14:textId="77777777" w:rsidR="008D2F10" w:rsidRPr="00D43575" w:rsidRDefault="008D2F10" w:rsidP="002F2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D43575">
              <w:rPr>
                <w:b/>
                <w:sz w:val="17"/>
              </w:rPr>
              <w:t>89,8</w:t>
            </w:r>
          </w:p>
        </w:tc>
        <w:tc>
          <w:tcPr>
            <w:tcW w:w="1220" w:type="dxa"/>
            <w:tcBorders>
              <w:bottom w:val="single" w:sz="12" w:space="0" w:color="auto"/>
            </w:tcBorders>
            <w:shd w:val="clear" w:color="auto" w:fill="auto"/>
            <w:vAlign w:val="bottom"/>
          </w:tcPr>
          <w:p w14:paraId="4D619D9F" w14:textId="77777777" w:rsidR="008D2F10" w:rsidRPr="00D43575" w:rsidRDefault="008D2F10" w:rsidP="002F2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D43575">
              <w:rPr>
                <w:b/>
                <w:sz w:val="17"/>
              </w:rPr>
              <w:t>0,9</w:t>
            </w:r>
          </w:p>
        </w:tc>
        <w:tc>
          <w:tcPr>
            <w:tcW w:w="1220" w:type="dxa"/>
            <w:tcBorders>
              <w:bottom w:val="single" w:sz="12" w:space="0" w:color="auto"/>
            </w:tcBorders>
            <w:shd w:val="clear" w:color="auto" w:fill="auto"/>
            <w:vAlign w:val="bottom"/>
          </w:tcPr>
          <w:p w14:paraId="34E8BBC6" w14:textId="77777777" w:rsidR="008D2F10" w:rsidRPr="00D43575" w:rsidRDefault="008D2F10" w:rsidP="002F2C3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D43575">
              <w:rPr>
                <w:b/>
                <w:sz w:val="17"/>
              </w:rPr>
              <w:t>100</w:t>
            </w:r>
          </w:p>
        </w:tc>
      </w:tr>
    </w:tbl>
    <w:p w14:paraId="273C283F" w14:textId="77777777" w:rsidR="008D2F10" w:rsidRPr="00D43575" w:rsidRDefault="008D2F10" w:rsidP="008D2F10">
      <w:pPr>
        <w:pStyle w:val="SingleTxt"/>
        <w:spacing w:after="0" w:line="120" w:lineRule="exact"/>
        <w:rPr>
          <w:sz w:val="10"/>
        </w:rPr>
      </w:pPr>
    </w:p>
    <w:p w14:paraId="49E0BA99" w14:textId="6CECE919" w:rsidR="008D2F10"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Ministerio de Planificación del Desarrollo y Estadísticas</w:t>
      </w:r>
      <w:r w:rsidR="00083383" w:rsidRPr="00D43575">
        <w:rPr>
          <w:rFonts w:eastAsiaTheme="minorHAnsi"/>
          <w:iCs/>
          <w:w w:val="103"/>
          <w:kern w:val="14"/>
          <w:szCs w:val="20"/>
        </w:rPr>
        <w:t>.</w:t>
      </w:r>
    </w:p>
    <w:p w14:paraId="4D6364E2" w14:textId="77777777" w:rsidR="008D2F10" w:rsidRPr="00D43575" w:rsidRDefault="008D2F10" w:rsidP="008D2F10">
      <w:pPr>
        <w:pStyle w:val="SingleTxt"/>
        <w:spacing w:after="0" w:line="120" w:lineRule="exact"/>
        <w:rPr>
          <w:sz w:val="10"/>
        </w:rPr>
      </w:pPr>
    </w:p>
    <w:p w14:paraId="7922221E" w14:textId="77777777" w:rsidR="008D2F10" w:rsidRPr="00D43575" w:rsidRDefault="008D2F10" w:rsidP="008D2F10">
      <w:pPr>
        <w:pStyle w:val="SingleTxt"/>
        <w:spacing w:after="0" w:line="120" w:lineRule="exact"/>
        <w:rPr>
          <w:sz w:val="10"/>
        </w:rPr>
      </w:pPr>
    </w:p>
    <w:p w14:paraId="2D83C7F2" w14:textId="77777777" w:rsidR="00C13BE1" w:rsidRPr="00D43575" w:rsidRDefault="00C13BE1">
      <w:pPr>
        <w:suppressAutoHyphens w:val="0"/>
        <w:spacing w:line="240" w:lineRule="auto"/>
        <w:rPr>
          <w:b/>
          <w:spacing w:val="2"/>
          <w:kern w:val="14"/>
          <w:szCs w:val="20"/>
        </w:rPr>
      </w:pPr>
      <w:r w:rsidRPr="00D43575">
        <w:rPr>
          <w:bCs/>
          <w:szCs w:val="20"/>
        </w:rPr>
        <w:br w:type="page"/>
      </w:r>
    </w:p>
    <w:p w14:paraId="339A49E2" w14:textId="1A4B32A8"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lastRenderedPageBreak/>
        <w:tab/>
      </w:r>
      <w:r w:rsidRPr="00D43575">
        <w:rPr>
          <w:bCs w:val="0"/>
          <w:szCs w:val="20"/>
        </w:rPr>
        <w:tab/>
      </w:r>
      <w:r w:rsidR="00A92E4A">
        <w:rPr>
          <w:b w:val="0"/>
          <w:bCs w:val="0"/>
          <w:szCs w:val="20"/>
        </w:rPr>
        <w:t>Figura 2</w:t>
      </w:r>
      <w:r w:rsidRPr="00D43575">
        <w:rPr>
          <w:b w:val="0"/>
          <w:bCs w:val="0"/>
          <w:szCs w:val="20"/>
        </w:rPr>
        <w:t xml:space="preserve"> </w:t>
      </w:r>
      <w:r w:rsidR="00E35CF8" w:rsidRPr="00D43575">
        <w:rPr>
          <w:b w:val="0"/>
          <w:bCs w:val="0"/>
          <w:szCs w:val="20"/>
        </w:rPr>
        <w:br/>
      </w:r>
      <w:r w:rsidRPr="00D43575">
        <w:rPr>
          <w:bCs w:val="0"/>
          <w:szCs w:val="20"/>
        </w:rPr>
        <w:t>Pirámide del total de la población por edades (en miles), 2016</w:t>
      </w:r>
    </w:p>
    <w:p w14:paraId="41113B11" w14:textId="77777777" w:rsidR="008D2F10" w:rsidRPr="00D43575" w:rsidRDefault="008D2F10" w:rsidP="008D2F10">
      <w:pPr>
        <w:pStyle w:val="SingleTxt"/>
        <w:spacing w:after="0" w:line="120" w:lineRule="exact"/>
        <w:rPr>
          <w:sz w:val="10"/>
        </w:rPr>
      </w:pPr>
    </w:p>
    <w:p w14:paraId="4D13DE75" w14:textId="77777777" w:rsidR="008D2F10" w:rsidRPr="007D60C1" w:rsidRDefault="008D2F10" w:rsidP="002954CD">
      <w:pPr>
        <w:pStyle w:val="SingleTxt"/>
        <w:spacing w:line="240" w:lineRule="atLeast"/>
        <w:jc w:val="left"/>
        <w:rPr>
          <w:lang w:eastAsia="es-ES"/>
        </w:rPr>
      </w:pPr>
      <w:r w:rsidRPr="000F625D">
        <w:rPr>
          <w:noProof/>
          <w:lang w:eastAsia="es-ES"/>
        </w:rPr>
        <w:drawing>
          <wp:inline distT="0" distB="0" distL="0" distR="0" wp14:anchorId="1B001DAD" wp14:editId="6E7F3FF3">
            <wp:extent cx="2668826" cy="298094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2668826" cy="2980944"/>
                    </a:xfrm>
                    <a:prstGeom prst="rect">
                      <a:avLst/>
                    </a:prstGeom>
                    <a:noFill/>
                    <a:ln>
                      <a:noFill/>
                    </a:ln>
                    <a:extLst>
                      <a:ext uri="{53640926-AAD7-44D8-BBD7-CCE9431645EC}">
                        <a14:shadowObscured xmlns:a14="http://schemas.microsoft.com/office/drawing/2010/main"/>
                      </a:ext>
                    </a:extLst>
                  </pic:spPr>
                </pic:pic>
              </a:graphicData>
            </a:graphic>
          </wp:inline>
        </w:drawing>
      </w:r>
    </w:p>
    <w:p w14:paraId="0E49FBD5" w14:textId="77777777" w:rsidR="00991348" w:rsidRPr="009D5F93" w:rsidRDefault="00991348" w:rsidP="00991348">
      <w:pPr>
        <w:pStyle w:val="SingleTxt"/>
        <w:spacing w:after="0" w:line="120" w:lineRule="exact"/>
        <w:rPr>
          <w:sz w:val="10"/>
        </w:rPr>
      </w:pPr>
    </w:p>
    <w:p w14:paraId="474EDF3D" w14:textId="3169B806" w:rsidR="008D2F10"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Ministerio de Planificación del Desarrollo y Estadísticas</w:t>
      </w:r>
      <w:r w:rsidR="00083383" w:rsidRPr="00D43575">
        <w:rPr>
          <w:rFonts w:eastAsiaTheme="minorHAnsi"/>
          <w:iCs/>
          <w:w w:val="103"/>
          <w:kern w:val="14"/>
          <w:szCs w:val="20"/>
        </w:rPr>
        <w:t>.</w:t>
      </w:r>
    </w:p>
    <w:p w14:paraId="37D6FE3A" w14:textId="77777777" w:rsidR="008D2F10" w:rsidRPr="00D43575" w:rsidRDefault="008D2F10" w:rsidP="008D2F10">
      <w:pPr>
        <w:pStyle w:val="SingleTxt"/>
        <w:spacing w:after="0" w:line="120" w:lineRule="exact"/>
        <w:rPr>
          <w:sz w:val="10"/>
        </w:rPr>
      </w:pPr>
    </w:p>
    <w:p w14:paraId="4DE3D375" w14:textId="77777777" w:rsidR="008D2F10" w:rsidRPr="00D43575" w:rsidRDefault="008D2F10" w:rsidP="008D2F10">
      <w:pPr>
        <w:pStyle w:val="SingleTxt"/>
        <w:spacing w:after="0" w:line="120" w:lineRule="exact"/>
        <w:rPr>
          <w:sz w:val="10"/>
        </w:rPr>
      </w:pPr>
    </w:p>
    <w:p w14:paraId="5C65814E" w14:textId="50AFB3BF" w:rsidR="00083383"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r>
      <w:r w:rsidRPr="00D43575">
        <w:rPr>
          <w:b w:val="0"/>
          <w:bCs w:val="0"/>
          <w:szCs w:val="20"/>
        </w:rPr>
        <w:t>Figura 3</w:t>
      </w:r>
      <w:bookmarkStart w:id="2" w:name="_Hlk509570228"/>
      <w:bookmarkEnd w:id="2"/>
      <w:r w:rsidR="004D0006" w:rsidRPr="00D43575">
        <w:rPr>
          <w:b w:val="0"/>
          <w:bCs w:val="0"/>
          <w:szCs w:val="20"/>
        </w:rPr>
        <w:t xml:space="preserve"> </w:t>
      </w:r>
      <w:r w:rsidR="004D0006" w:rsidRPr="00D43575">
        <w:rPr>
          <w:b w:val="0"/>
          <w:bCs w:val="0"/>
          <w:szCs w:val="20"/>
        </w:rPr>
        <w:br/>
      </w:r>
      <w:r w:rsidRPr="00D43575">
        <w:rPr>
          <w:bCs w:val="0"/>
          <w:szCs w:val="20"/>
        </w:rPr>
        <w:t>Pirámide por edades de la población qatarí (en miles), 2016</w:t>
      </w:r>
    </w:p>
    <w:p w14:paraId="3F20A919" w14:textId="6F5B73AE" w:rsidR="008D2F10" w:rsidRPr="00D43575" w:rsidRDefault="00A92E4A" w:rsidP="00AB706A">
      <w:pPr>
        <w:pStyle w:val="SingleTxt"/>
        <w:spacing w:after="0" w:line="120" w:lineRule="exact"/>
        <w:rPr>
          <w:sz w:val="10"/>
        </w:rPr>
      </w:pPr>
      <w:r w:rsidRPr="000F625D">
        <w:rPr>
          <w:rFonts w:ascii="Traditional Arabic" w:hAnsi="Traditional Arabic" w:cs="Traditional Arabic"/>
          <w:noProof/>
          <w:w w:val="100"/>
          <w:sz w:val="30"/>
          <w:szCs w:val="30"/>
          <w:rtl/>
          <w:lang w:eastAsia="es-ES"/>
        </w:rPr>
        <w:drawing>
          <wp:anchor distT="0" distB="0" distL="114300" distR="114300" simplePos="0" relativeHeight="251660288" behindDoc="1" locked="0" layoutInCell="1" allowOverlap="1" wp14:anchorId="22C53FC5" wp14:editId="06F91E14">
            <wp:simplePos x="0" y="0"/>
            <wp:positionH relativeFrom="column">
              <wp:posOffset>1082979</wp:posOffset>
            </wp:positionH>
            <wp:positionV relativeFrom="paragraph">
              <wp:posOffset>115570</wp:posOffset>
            </wp:positionV>
            <wp:extent cx="2468880" cy="2960370"/>
            <wp:effectExtent l="0" t="0" r="762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III.png"/>
                    <pic:cNvPicPr/>
                  </pic:nvPicPr>
                  <pic:blipFill>
                    <a:blip r:embed="rId18">
                      <a:extLst>
                        <a:ext uri="{28A0092B-C50C-407E-A947-70E740481C1C}">
                          <a14:useLocalDpi xmlns:a14="http://schemas.microsoft.com/office/drawing/2010/main" val="0"/>
                        </a:ext>
                      </a:extLst>
                    </a:blip>
                    <a:stretch>
                      <a:fillRect/>
                    </a:stretch>
                  </pic:blipFill>
                  <pic:spPr>
                    <a:xfrm>
                      <a:off x="0" y="0"/>
                      <a:ext cx="2468880" cy="2960370"/>
                    </a:xfrm>
                    <a:prstGeom prst="rect">
                      <a:avLst/>
                    </a:prstGeom>
                  </pic:spPr>
                </pic:pic>
              </a:graphicData>
            </a:graphic>
          </wp:anchor>
        </w:drawing>
      </w:r>
    </w:p>
    <w:p w14:paraId="6303FF0B" w14:textId="3C7F0123" w:rsidR="008D2F10" w:rsidRPr="007D60C1" w:rsidRDefault="008D2F10" w:rsidP="0007153F">
      <w:pPr>
        <w:pStyle w:val="SingleTxt"/>
        <w:spacing w:line="240" w:lineRule="atLeast"/>
        <w:jc w:val="center"/>
        <w:rPr>
          <w:rtl/>
          <w:lang w:eastAsia="es-ES"/>
        </w:rPr>
      </w:pPr>
    </w:p>
    <w:p w14:paraId="2B5C3678" w14:textId="18F2FA2D" w:rsidR="008D2F10" w:rsidRPr="009D5F93"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rPr>
      </w:pPr>
      <w:r w:rsidRPr="009D5F93">
        <w:rPr>
          <w:rFonts w:eastAsiaTheme="minorHAnsi"/>
          <w:i/>
          <w:iCs/>
          <w:w w:val="103"/>
          <w:kern w:val="14"/>
          <w:szCs w:val="20"/>
        </w:rPr>
        <w:t xml:space="preserve">Fuente: </w:t>
      </w:r>
      <w:r w:rsidRPr="009D5F93">
        <w:rPr>
          <w:rFonts w:eastAsiaTheme="minorHAnsi"/>
          <w:iCs/>
          <w:w w:val="103"/>
          <w:kern w:val="14"/>
          <w:szCs w:val="20"/>
        </w:rPr>
        <w:t>Ministerio de Planificación del Desarrollo y Estadísticas</w:t>
      </w:r>
      <w:r w:rsidR="00083383" w:rsidRPr="009D5F93">
        <w:rPr>
          <w:rFonts w:eastAsiaTheme="minorHAnsi"/>
          <w:iCs/>
          <w:w w:val="103"/>
          <w:kern w:val="14"/>
          <w:szCs w:val="20"/>
        </w:rPr>
        <w:t>.</w:t>
      </w:r>
    </w:p>
    <w:p w14:paraId="0BA25B89" w14:textId="77777777" w:rsidR="008D2F10" w:rsidRPr="00D43575" w:rsidRDefault="008D2F10" w:rsidP="008D2F10">
      <w:pPr>
        <w:pStyle w:val="SingleTxt"/>
        <w:spacing w:after="0" w:line="120" w:lineRule="exact"/>
        <w:rPr>
          <w:sz w:val="10"/>
        </w:rPr>
      </w:pPr>
    </w:p>
    <w:p w14:paraId="6E9E4440" w14:textId="77777777" w:rsidR="008D2F10" w:rsidRPr="00D43575" w:rsidRDefault="008D2F10" w:rsidP="008D2F10">
      <w:pPr>
        <w:pStyle w:val="SingleTxt"/>
        <w:spacing w:after="0" w:line="120" w:lineRule="exact"/>
        <w:rPr>
          <w:sz w:val="10"/>
        </w:rPr>
      </w:pPr>
    </w:p>
    <w:p w14:paraId="571D64D5" w14:textId="0BA90DBD" w:rsidR="00083383" w:rsidRPr="00D43575" w:rsidRDefault="008D2F10" w:rsidP="001D1AD0">
      <w:pPr>
        <w:pStyle w:val="SingleTxt"/>
        <w:keepLines/>
        <w:numPr>
          <w:ilvl w:val="0"/>
          <w:numId w:val="10"/>
        </w:numPr>
        <w:ind w:left="1267" w:firstLine="0"/>
      </w:pPr>
      <w:r w:rsidRPr="00D43575">
        <w:lastRenderedPageBreak/>
        <w:t>Una comparación de las figuras 2 y 3 revela, por consiguiente, que la distribución por edad y sexo de la población extranjera es atípica, mientras que la población qatarí tiene una distribución natural</w:t>
      </w:r>
      <w:r w:rsidR="00083383" w:rsidRPr="00D43575">
        <w:t>.</w:t>
      </w:r>
      <w:r w:rsidRPr="00D43575">
        <w:t xml:space="preserve"> La mayor parte de la población del Estado se concentra en el grupo de 15 a 64 años y sus componentes son principalmente varones extranjeros</w:t>
      </w:r>
      <w:r w:rsidR="00083383" w:rsidRPr="00D43575">
        <w:t>.</w:t>
      </w:r>
      <w:r w:rsidRPr="00D43575">
        <w:t xml:space="preserve"> La población qatarí, por su parte, puede clasificarse a la vista de su distribución por edad como una sociedad joven, en la que predominan los niños y jóvenes menores de 15 años y en la que la proporción de mayores de 65 años es escasa</w:t>
      </w:r>
      <w:r w:rsidR="00083383" w:rsidRPr="00D43575">
        <w:t>.</w:t>
      </w:r>
    </w:p>
    <w:p w14:paraId="36ED443D" w14:textId="3D1E8692" w:rsidR="008D2F10" w:rsidRPr="00D43575" w:rsidRDefault="008D2F10" w:rsidP="008D2F10">
      <w:pPr>
        <w:pStyle w:val="SingleTxt"/>
        <w:spacing w:after="0" w:line="120" w:lineRule="exact"/>
        <w:rPr>
          <w:sz w:val="10"/>
        </w:rPr>
      </w:pPr>
    </w:p>
    <w:p w14:paraId="475F965A" w14:textId="77777777" w:rsidR="008D2F10" w:rsidRPr="00D43575" w:rsidRDefault="008D2F10" w:rsidP="008D2F10">
      <w:pPr>
        <w:pStyle w:val="SingleTxt"/>
        <w:spacing w:after="0" w:line="120" w:lineRule="exact"/>
        <w:rPr>
          <w:sz w:val="10"/>
        </w:rPr>
      </w:pPr>
    </w:p>
    <w:p w14:paraId="3917CB65" w14:textId="3B117DCA" w:rsidR="008D2F10" w:rsidRPr="00D43575" w:rsidRDefault="007A5201" w:rsidP="007A52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D43575">
        <w:rPr>
          <w:szCs w:val="20"/>
        </w:rPr>
        <w:tab/>
      </w:r>
      <w:r w:rsidR="008D2F10" w:rsidRPr="00D43575">
        <w:rPr>
          <w:szCs w:val="20"/>
        </w:rPr>
        <w:t>B</w:t>
      </w:r>
      <w:r w:rsidR="00083383" w:rsidRPr="00D43575">
        <w:rPr>
          <w:szCs w:val="20"/>
        </w:rPr>
        <w:t>.</w:t>
      </w:r>
      <w:r w:rsidR="008D2F10" w:rsidRPr="00D43575">
        <w:rPr>
          <w:szCs w:val="20"/>
        </w:rPr>
        <w:tab/>
        <w:t>Indicadores económicos y sociales</w:t>
      </w:r>
    </w:p>
    <w:p w14:paraId="60E2AD38" w14:textId="77777777" w:rsidR="008D2F10" w:rsidRPr="00D43575" w:rsidRDefault="008D2F10" w:rsidP="008D2F10">
      <w:pPr>
        <w:pStyle w:val="SingleTxt"/>
        <w:spacing w:after="0" w:line="120" w:lineRule="exact"/>
        <w:rPr>
          <w:sz w:val="10"/>
        </w:rPr>
      </w:pPr>
    </w:p>
    <w:p w14:paraId="731C1AC7" w14:textId="77777777" w:rsidR="008D2F10" w:rsidRPr="00D43575" w:rsidRDefault="008D2F10" w:rsidP="008D2F10">
      <w:pPr>
        <w:pStyle w:val="SingleTxt"/>
        <w:spacing w:after="0" w:line="120" w:lineRule="exact"/>
        <w:rPr>
          <w:sz w:val="10"/>
        </w:rPr>
      </w:pPr>
    </w:p>
    <w:p w14:paraId="183C318B" w14:textId="43EE3E57" w:rsidR="008D2F10" w:rsidRPr="00D43575" w:rsidRDefault="008D2F10" w:rsidP="001D1AD0">
      <w:pPr>
        <w:pStyle w:val="SingleTxt"/>
        <w:numPr>
          <w:ilvl w:val="0"/>
          <w:numId w:val="10"/>
        </w:numPr>
        <w:ind w:left="1267" w:firstLine="0"/>
      </w:pPr>
      <w:r w:rsidRPr="00D43575">
        <w:t>Las estadísticas más recientes indican que el Estado de Qatar vive una etapa de avance extraordinario hacia el desarrollo global y pleno</w:t>
      </w:r>
      <w:r w:rsidR="00083383" w:rsidRPr="00D43575">
        <w:t>.</w:t>
      </w:r>
      <w:r w:rsidRPr="00D43575">
        <w:t xml:space="preserve"> Las estimaciones sobre el producto interno bruto (PIB) real registraron un crecimiento del 2,2% en 2016, lo que supone 796</w:t>
      </w:r>
      <w:r w:rsidR="00083383" w:rsidRPr="00D43575">
        <w:t>.</w:t>
      </w:r>
      <w:r w:rsidRPr="00D43575">
        <w:t>000 millones de riales qataríes, frente a 779</w:t>
      </w:r>
      <w:r w:rsidR="00083383" w:rsidRPr="00D43575">
        <w:t>.</w:t>
      </w:r>
      <w:r w:rsidRPr="00D43575">
        <w:t>000 millones en 2015</w:t>
      </w:r>
      <w:r w:rsidR="00083383" w:rsidRPr="00D43575">
        <w:t>.</w:t>
      </w:r>
      <w:r w:rsidRPr="00D43575">
        <w:t xml:space="preserve"> Qatar se encuentra entre los países con un nivel muy alto de desarrollo humano y ocupa el puesto 33º en la clasificación mundial según el índice de desarrollo humano del </w:t>
      </w:r>
      <w:r w:rsidRPr="00D43575">
        <w:rPr>
          <w:i/>
        </w:rPr>
        <w:t>Informe sobre desarrollo humano</w:t>
      </w:r>
      <w:r w:rsidRPr="00D43575">
        <w:t xml:space="preserve"> de 2016, publicado por el Programa de las Naciones Unidas para el Desarrollo (PNUD)</w:t>
      </w:r>
      <w:r w:rsidR="00083383" w:rsidRPr="00D43575">
        <w:t>.</w:t>
      </w:r>
      <w:r w:rsidRPr="00D43575">
        <w:t xml:space="preserve"> El puesto que ocupa da cuenta de los progresos notables y constantes realizados por Qatar en la esfera del desarrollo humano</w:t>
      </w:r>
      <w:r w:rsidR="00083383" w:rsidRPr="00D43575">
        <w:t>.</w:t>
      </w:r>
      <w:r w:rsidRPr="00D43575">
        <w:t xml:space="preserve"> El informe indica que Qatar mejoró su índice de desarrollo humano, pasando del 0,855, según el informe de 2015, al 0,856, según el de 2016</w:t>
      </w:r>
      <w:r w:rsidR="00083383" w:rsidRPr="00D43575">
        <w:t>.</w:t>
      </w:r>
      <w:r w:rsidRPr="00D43575">
        <w:t xml:space="preserve"> Esto pone de manifiesto los progresos registrados en el PIB y en materia de educación y salud</w:t>
      </w:r>
      <w:r w:rsidR="00083383" w:rsidRPr="00D43575">
        <w:t>.</w:t>
      </w:r>
      <w:r w:rsidRPr="00D43575">
        <w:t xml:space="preserve"> En materia educativa, el informe señala un aumento de la tasa de alfabetismo de adultos para ambos sexos, la cual pasó del 96,7% en el informe de 2015 al 97,8% en el de 2016</w:t>
      </w:r>
      <w:r w:rsidR="00083383" w:rsidRPr="00D43575">
        <w:t>.</w:t>
      </w:r>
      <w:r w:rsidRPr="00D43575">
        <w:t xml:space="preserve"> También se produjo un aumento de los índices de matriculación en la educación superior entre las personas en edad universitaria del 16%, según el informe de 2016, al 14% en 2015</w:t>
      </w:r>
      <w:r w:rsidR="00083383" w:rsidRPr="00D43575">
        <w:t>.</w:t>
      </w:r>
      <w:r w:rsidRPr="00D43575">
        <w:t xml:space="preserve"> En lo que se refiere a los ingresos per cápita respecto del ingreso nacional bruto (INB), el informe indica que el Estado de Qatar registró un aumento de 66,18 dólares de los Estados Unidos en 2015 </w:t>
      </w:r>
      <w:r w:rsidR="00170894" w:rsidRPr="00D43575">
        <w:t>y de</w:t>
      </w:r>
      <w:r w:rsidRPr="00D43575">
        <w:t xml:space="preserve"> 57,82 en 2016</w:t>
      </w:r>
      <w:r w:rsidR="00083383" w:rsidRPr="00D43575">
        <w:t>.</w:t>
      </w:r>
      <w:r w:rsidRPr="00D43575">
        <w:t xml:space="preserve"> Igualmente, la tasa de participación en la fuerza de trabajo de los mayores de 15 años alcanzó el 84,6% (más que Noruega, que ocupó el primer lugar en el índice de desarrollo humano de 2016)</w:t>
      </w:r>
      <w:r w:rsidR="00083383" w:rsidRPr="00D43575">
        <w:t>.</w:t>
      </w:r>
      <w:r w:rsidRPr="00D43575">
        <w:t xml:space="preserve"> Disminuyó la tasa de desempleo juvenil (personas de 15 a 24 años) del 1,1% en 2015 al 0,8% en 2016</w:t>
      </w:r>
      <w:r w:rsidR="00083383" w:rsidRPr="00D43575">
        <w:t>.</w:t>
      </w:r>
      <w:r w:rsidRPr="00D43575">
        <w:t xml:space="preserve"> El informe determinó que el porcentaje de usuarios de Internet había aumentado, del 91,5% en 2015 al 92,9% en 2016</w:t>
      </w:r>
      <w:r w:rsidR="00083383" w:rsidRPr="00D43575">
        <w:t>.</w:t>
      </w:r>
      <w:r w:rsidRPr="00D43575">
        <w:t xml:space="preserve"> Aunque entre 2010 y 2015 descendió a 2,1 nacidos vivos por mujer, la tasa global de fecundidad de las mujeres en edad reproductiva del país continúa</w:t>
      </w:r>
      <w:r w:rsidR="00083383" w:rsidRPr="00D43575">
        <w:t xml:space="preserve"> </w:t>
      </w:r>
      <w:r w:rsidRPr="00D43575">
        <w:t>siendo alta en comparación con la de Noruega (1,8), Hong Kong (1,2) y Singapur (1,2)</w:t>
      </w:r>
      <w:r w:rsidR="00083383" w:rsidRPr="00D43575">
        <w:t>.</w:t>
      </w:r>
    </w:p>
    <w:p w14:paraId="545EAC70" w14:textId="21A86D77" w:rsidR="00083383" w:rsidRPr="00D43575" w:rsidRDefault="008D2F10" w:rsidP="001D1AD0">
      <w:pPr>
        <w:pStyle w:val="SingleTxt"/>
        <w:numPr>
          <w:ilvl w:val="0"/>
          <w:numId w:val="10"/>
        </w:numPr>
        <w:ind w:left="1267" w:firstLine="0"/>
      </w:pPr>
      <w:r w:rsidRPr="00D43575">
        <w:t>En 2016 la partida del gasto público total destinada a educación se situaba en el 10,5%</w:t>
      </w:r>
      <w:r w:rsidR="00083383" w:rsidRPr="00D43575">
        <w:t>.</w:t>
      </w:r>
      <w:r w:rsidRPr="00D43575">
        <w:t xml:space="preserve"> El gasto en salud se mantuvo en el 10,8% del total del gasto público en</w:t>
      </w:r>
      <w:r w:rsidR="00083383" w:rsidRPr="00D43575">
        <w:t xml:space="preserve"> </w:t>
      </w:r>
      <w:r w:rsidRPr="00D43575">
        <w:t>2016, mientras que el gasto en protección social ascendió al 0,83% en ese mismo</w:t>
      </w:r>
      <w:r w:rsidR="00083383" w:rsidRPr="00D43575">
        <w:t xml:space="preserve"> </w:t>
      </w:r>
      <w:r w:rsidRPr="00D43575">
        <w:t>año</w:t>
      </w:r>
      <w:r w:rsidR="00083383" w:rsidRPr="00D43575">
        <w:t>.</w:t>
      </w:r>
    </w:p>
    <w:p w14:paraId="75E830FD" w14:textId="1DB21865" w:rsidR="008D2F10" w:rsidRPr="00D43575" w:rsidRDefault="008D2F10" w:rsidP="008D2F10">
      <w:pPr>
        <w:pStyle w:val="SingleTxt"/>
        <w:spacing w:after="0" w:line="120" w:lineRule="exact"/>
        <w:rPr>
          <w:sz w:val="10"/>
        </w:rPr>
      </w:pPr>
    </w:p>
    <w:p w14:paraId="67AC5A8F"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Objetivos de desarrollo</w:t>
      </w:r>
    </w:p>
    <w:p w14:paraId="5A1B1B81" w14:textId="77777777" w:rsidR="008D2F10" w:rsidRPr="00D43575" w:rsidRDefault="008D2F10" w:rsidP="008D2F10">
      <w:pPr>
        <w:pStyle w:val="SingleTxt"/>
        <w:spacing w:after="0" w:line="120" w:lineRule="exact"/>
        <w:rPr>
          <w:sz w:val="10"/>
        </w:rPr>
      </w:pPr>
    </w:p>
    <w:p w14:paraId="5CFB11DB" w14:textId="29EEE386" w:rsidR="008D2F10" w:rsidRPr="00D43575" w:rsidRDefault="008D2F10" w:rsidP="001D1AD0">
      <w:pPr>
        <w:pStyle w:val="SingleTxt"/>
        <w:numPr>
          <w:ilvl w:val="0"/>
          <w:numId w:val="10"/>
        </w:numPr>
        <w:ind w:left="1267" w:firstLine="0"/>
      </w:pPr>
      <w:r w:rsidRPr="00D43575">
        <w:t>Qatar se ha comprometido con la evaluación de sus progresos en la aplicación de los Objetivos de Desarrollo del Milenio</w:t>
      </w:r>
      <w:r w:rsidR="00083383" w:rsidRPr="00D43575">
        <w:t>.</w:t>
      </w:r>
      <w:r w:rsidRPr="00D43575">
        <w:t xml:space="preserve"> Ha publicado cinco informes de seguimiento, el último en enero de 2017</w:t>
      </w:r>
      <w:r w:rsidR="00083383" w:rsidRPr="00D43575">
        <w:t>.</w:t>
      </w:r>
      <w:r w:rsidRPr="00D43575">
        <w:t xml:space="preserve"> Este quinto informe revela que el Estado de Qatar ha cumplido con la mayoría de los Objetivos de Desarrollo del Milenio y ha realizado progresos tangibles en aquellos que todavía no se han alcanzado</w:t>
      </w:r>
      <w:r w:rsidR="00083383" w:rsidRPr="00D43575">
        <w:t>.</w:t>
      </w:r>
      <w:r w:rsidRPr="00D43575">
        <w:t xml:space="preserve"> Las principales conclusiones de este informe son las siguientes:</w:t>
      </w:r>
    </w:p>
    <w:p w14:paraId="26E8F147" w14:textId="2B73F906" w:rsidR="008D2F10" w:rsidRPr="00D43575" w:rsidRDefault="008D2F10" w:rsidP="008D2F10">
      <w:pPr>
        <w:pStyle w:val="SingleTxt"/>
        <w:tabs>
          <w:tab w:val="right" w:pos="1685"/>
        </w:tabs>
        <w:ind w:left="1742" w:hanging="475"/>
      </w:pPr>
      <w:r w:rsidRPr="00D43575">
        <w:tab/>
        <w:t>–</w:t>
      </w:r>
      <w:r w:rsidRPr="00D43575">
        <w:tab/>
        <w:t>No hay casos de pobreza</w:t>
      </w:r>
      <w:r w:rsidR="00083383" w:rsidRPr="00D43575">
        <w:t>.</w:t>
      </w:r>
      <w:r w:rsidRPr="00D43575">
        <w:t xml:space="preserve"> El Estado ha estado en condiciones de brindar</w:t>
      </w:r>
      <w:r w:rsidR="00083383" w:rsidRPr="00D43575">
        <w:t xml:space="preserve"> </w:t>
      </w:r>
      <w:r w:rsidRPr="00D43575">
        <w:t>buenas condiciones de vida para todos los ciudadanos y residentes en</w:t>
      </w:r>
      <w:r w:rsidR="00083383" w:rsidRPr="00D43575">
        <w:t xml:space="preserve"> </w:t>
      </w:r>
      <w:r w:rsidRPr="00D43575">
        <w:t>su</w:t>
      </w:r>
      <w:r w:rsidR="00083383" w:rsidRPr="00D43575">
        <w:t xml:space="preserve"> </w:t>
      </w:r>
      <w:r w:rsidRPr="00D43575">
        <w:t>territorio</w:t>
      </w:r>
      <w:r w:rsidR="00083383" w:rsidRPr="00D43575">
        <w:t>.</w:t>
      </w:r>
    </w:p>
    <w:p w14:paraId="517CE7CA" w14:textId="7B6A69C3" w:rsidR="008D2F10" w:rsidRPr="00D43575" w:rsidRDefault="008D2F10" w:rsidP="008D2F10">
      <w:pPr>
        <w:pStyle w:val="SingleTxt"/>
        <w:tabs>
          <w:tab w:val="right" w:pos="1685"/>
        </w:tabs>
        <w:ind w:left="1742" w:hanging="475"/>
      </w:pPr>
      <w:r w:rsidRPr="00D43575">
        <w:tab/>
        <w:t>–</w:t>
      </w:r>
      <w:r w:rsidRPr="00D43575">
        <w:tab/>
        <w:t>Qatar está cerca de lograr el segundo Objetivo relativo a la consecución de la enseñanza primaria universal para todos los niños y las niñas antes de 2015 (la</w:t>
      </w:r>
      <w:r w:rsidR="00083383" w:rsidRPr="00D43575">
        <w:t xml:space="preserve"> </w:t>
      </w:r>
      <w:r w:rsidRPr="00D43575">
        <w:lastRenderedPageBreak/>
        <w:t>tasa de asistencia escolar en la educación primaria para uno y otro sexo supera el 91%)</w:t>
      </w:r>
      <w:r w:rsidR="00083383" w:rsidRPr="00D43575">
        <w:t>.</w:t>
      </w:r>
    </w:p>
    <w:p w14:paraId="3FD516A9" w14:textId="0CC9C847" w:rsidR="008D2F10" w:rsidRPr="00D43575" w:rsidRDefault="008D2F10" w:rsidP="008D2F10">
      <w:pPr>
        <w:pStyle w:val="SingleTxt"/>
        <w:tabs>
          <w:tab w:val="right" w:pos="1685"/>
        </w:tabs>
        <w:ind w:left="1742" w:hanging="475"/>
      </w:pPr>
      <w:r w:rsidRPr="00D43575">
        <w:tab/>
        <w:t>–</w:t>
      </w:r>
      <w:r w:rsidRPr="00D43575">
        <w:tab/>
        <w:t>Qatar ha registrado importantes avances de cara a la consecución del tercer Objetivo sobre la igualdad de género, con una tasa de paridad de género en la enseñanza superior de 1,94</w:t>
      </w:r>
      <w:r w:rsidR="00083383" w:rsidRPr="00D43575">
        <w:t>.</w:t>
      </w:r>
    </w:p>
    <w:p w14:paraId="533C0776" w14:textId="2683155E" w:rsidR="00083383" w:rsidRPr="00D43575" w:rsidRDefault="008D2F10" w:rsidP="008D2F10">
      <w:pPr>
        <w:pStyle w:val="SingleTxt"/>
        <w:tabs>
          <w:tab w:val="right" w:pos="1685"/>
        </w:tabs>
        <w:ind w:left="1742" w:hanging="475"/>
      </w:pPr>
      <w:r w:rsidRPr="00D43575">
        <w:tab/>
        <w:t>–</w:t>
      </w:r>
      <w:r w:rsidRPr="00D43575">
        <w:tab/>
        <w:t>El Estado ha logrado el cuarto Objetivo de reducir la mortalidad en la niñez, reduciendo en dos terceras partes la mortalidad de los niños menores de</w:t>
      </w:r>
      <w:r w:rsidR="00083383" w:rsidRPr="00D43575">
        <w:t xml:space="preserve"> </w:t>
      </w:r>
      <w:r w:rsidRPr="00D43575">
        <w:t>5</w:t>
      </w:r>
      <w:r w:rsidR="00083383" w:rsidRPr="00D43575">
        <w:t xml:space="preserve"> </w:t>
      </w:r>
      <w:r w:rsidRPr="00D43575">
        <w:t>años</w:t>
      </w:r>
      <w:r w:rsidR="00083383" w:rsidRPr="00D43575">
        <w:t>.</w:t>
      </w:r>
    </w:p>
    <w:p w14:paraId="7BD55279" w14:textId="1E755307" w:rsidR="008D2F10" w:rsidRPr="00D43575" w:rsidRDefault="008D2F10" w:rsidP="008D2F10">
      <w:pPr>
        <w:pStyle w:val="SingleTxt"/>
        <w:tabs>
          <w:tab w:val="right" w:pos="1685"/>
        </w:tabs>
        <w:ind w:left="1742" w:hanging="475"/>
      </w:pPr>
      <w:r w:rsidRPr="00D43575">
        <w:tab/>
        <w:t>–</w:t>
      </w:r>
      <w:r w:rsidRPr="00D43575">
        <w:tab/>
        <w:t>Qatar también ha sobrepasado la meta de reducir la mortalidad materna en tres cuartas partes</w:t>
      </w:r>
      <w:r w:rsidR="00083383" w:rsidRPr="00D43575">
        <w:t>.</w:t>
      </w:r>
    </w:p>
    <w:p w14:paraId="41C9F873" w14:textId="73442AB2" w:rsidR="008D2F10" w:rsidRPr="00D43575" w:rsidRDefault="008D2F10" w:rsidP="008D2F10">
      <w:pPr>
        <w:pStyle w:val="SingleTxt"/>
        <w:tabs>
          <w:tab w:val="right" w:pos="1685"/>
        </w:tabs>
        <w:ind w:left="1742" w:hanging="475"/>
      </w:pPr>
      <w:r w:rsidRPr="00D43575">
        <w:tab/>
        <w:t>–</w:t>
      </w:r>
      <w:r w:rsidRPr="00D43575">
        <w:tab/>
        <w:t>El Estado ha logrado eliminar la malaria y otras enfermedades, cumpliendo así la meta incluida en los Objetivos de Desarrollo del Milenio</w:t>
      </w:r>
      <w:r w:rsidR="00083383" w:rsidRPr="00D43575">
        <w:t>.</w:t>
      </w:r>
    </w:p>
    <w:p w14:paraId="7C4D1D6E" w14:textId="038744EB" w:rsidR="008D2F10" w:rsidRPr="00D43575" w:rsidRDefault="008D2F10" w:rsidP="008D2F10">
      <w:pPr>
        <w:pStyle w:val="SingleTxt"/>
        <w:tabs>
          <w:tab w:val="right" w:pos="1685"/>
        </w:tabs>
        <w:ind w:left="1742" w:hanging="475"/>
      </w:pPr>
      <w:r w:rsidRPr="00D43575">
        <w:tab/>
        <w:t>–</w:t>
      </w:r>
      <w:r w:rsidRPr="00D43575">
        <w:tab/>
        <w:t>El Estado de Qatar ha logrado la mayoría de las metas en relación con la garantía de la sostenibilidad ambiental</w:t>
      </w:r>
      <w:r w:rsidR="00083383" w:rsidRPr="00D43575">
        <w:t>.</w:t>
      </w:r>
    </w:p>
    <w:p w14:paraId="356EF401" w14:textId="77777777" w:rsidR="008D2F10" w:rsidRPr="00D43575" w:rsidRDefault="008D2F10" w:rsidP="008D2F10">
      <w:pPr>
        <w:pStyle w:val="SingleTxt"/>
        <w:spacing w:after="0" w:line="120" w:lineRule="exact"/>
        <w:rPr>
          <w:sz w:val="10"/>
        </w:rPr>
      </w:pPr>
    </w:p>
    <w:p w14:paraId="7C93ABB1" w14:textId="77777777" w:rsidR="008D2F10" w:rsidRPr="00D43575" w:rsidRDefault="008D2F10" w:rsidP="008D2F10">
      <w:pPr>
        <w:pStyle w:val="SingleTxt"/>
        <w:spacing w:after="0" w:line="120" w:lineRule="exact"/>
        <w:rPr>
          <w:sz w:val="10"/>
        </w:rPr>
      </w:pPr>
    </w:p>
    <w:p w14:paraId="482EA3A1" w14:textId="74BCF364" w:rsidR="008D2F10" w:rsidRPr="00D43575" w:rsidRDefault="00F71490" w:rsidP="00F714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D43575">
        <w:rPr>
          <w:szCs w:val="20"/>
        </w:rPr>
        <w:tab/>
      </w:r>
      <w:r w:rsidR="008D2F10" w:rsidRPr="00D43575">
        <w:rPr>
          <w:szCs w:val="20"/>
        </w:rPr>
        <w:t>C</w:t>
      </w:r>
      <w:r w:rsidR="00083383" w:rsidRPr="00D43575">
        <w:rPr>
          <w:szCs w:val="20"/>
        </w:rPr>
        <w:t>.</w:t>
      </w:r>
      <w:r w:rsidR="008D2F10" w:rsidRPr="00D43575">
        <w:rPr>
          <w:szCs w:val="20"/>
        </w:rPr>
        <w:tab/>
        <w:t>El Estado de Qatar a través de los indicadores internacionales</w:t>
      </w:r>
    </w:p>
    <w:p w14:paraId="40483AEB" w14:textId="77777777" w:rsidR="008D2F10" w:rsidRPr="00D43575" w:rsidRDefault="008D2F10" w:rsidP="008D2F10">
      <w:pPr>
        <w:pStyle w:val="SingleTxt"/>
        <w:spacing w:after="0" w:line="120" w:lineRule="exact"/>
        <w:rPr>
          <w:sz w:val="10"/>
        </w:rPr>
      </w:pPr>
    </w:p>
    <w:p w14:paraId="2E0924A3" w14:textId="77777777" w:rsidR="008D2F10" w:rsidRPr="00D43575" w:rsidRDefault="008D2F10" w:rsidP="008D2F10">
      <w:pPr>
        <w:pStyle w:val="SingleTxt"/>
        <w:spacing w:after="0" w:line="120" w:lineRule="exact"/>
        <w:rPr>
          <w:sz w:val="10"/>
        </w:rPr>
      </w:pPr>
    </w:p>
    <w:p w14:paraId="2FCF3DD5" w14:textId="263AC991" w:rsidR="008D2F10" w:rsidRPr="00D43575" w:rsidRDefault="008D2F10" w:rsidP="001D1AD0">
      <w:pPr>
        <w:pStyle w:val="SingleTxt"/>
        <w:numPr>
          <w:ilvl w:val="0"/>
          <w:numId w:val="10"/>
        </w:numPr>
        <w:ind w:left="1267" w:firstLine="0"/>
      </w:pPr>
      <w:r w:rsidRPr="00D43575">
        <w:t xml:space="preserve">Como se señaló anteriormente, el Estado de Qatar está a la cabeza de los Estados Árabes en el puesto 33º de la clasificación mundial del </w:t>
      </w:r>
      <w:r w:rsidRPr="00D43575">
        <w:rPr>
          <w:i/>
        </w:rPr>
        <w:t>Informe sobre desarrollo humano</w:t>
      </w:r>
      <w:r w:rsidRPr="00D43575">
        <w:t xml:space="preserve"> de 2016 publicado por el PNUD</w:t>
      </w:r>
      <w:r w:rsidR="00083383" w:rsidRPr="00D43575">
        <w:t>.</w:t>
      </w:r>
      <w:r w:rsidRPr="00D43575">
        <w:t xml:space="preserve"> Además, figura en el puesto 25º del mundo y el 2º entre los Estados Árabes del índice de competitividad mundial de 2017</w:t>
      </w:r>
      <w:r w:rsidR="00083383" w:rsidRPr="00D43575">
        <w:noBreakHyphen/>
      </w:r>
      <w:r w:rsidRPr="00D43575">
        <w:t>2018</w:t>
      </w:r>
      <w:r w:rsidR="00083383" w:rsidRPr="00D43575">
        <w:t>.</w:t>
      </w:r>
      <w:r w:rsidRPr="00D43575">
        <w:t xml:space="preserve"> Este índice mide los factores que contribuyen a aumentar la productividad y la prosperidad en 138 Estados de todo el mundo</w:t>
      </w:r>
      <w:r w:rsidR="00083383" w:rsidRPr="00D43575">
        <w:t>.</w:t>
      </w:r>
      <w:r w:rsidRPr="00D43575">
        <w:t xml:space="preserve"> Entre los estándares empleados para ello cabe destacar la infraestructura, la educación, la capacitación, la eficiencia y el tamaño del mercado de trabajo, y el desarrollo de los</w:t>
      </w:r>
      <w:r w:rsidR="00083383" w:rsidRPr="00D43575">
        <w:t xml:space="preserve"> </w:t>
      </w:r>
      <w:r w:rsidRPr="00D43575">
        <w:t>mercados financieros</w:t>
      </w:r>
      <w:r w:rsidR="00083383" w:rsidRPr="00D43575">
        <w:t>.</w:t>
      </w:r>
    </w:p>
    <w:p w14:paraId="3C83EC32" w14:textId="4527A9A6" w:rsidR="008D2F10" w:rsidRPr="00D43575" w:rsidRDefault="008D2F10" w:rsidP="001D1AD0">
      <w:pPr>
        <w:pStyle w:val="SingleTxt"/>
        <w:numPr>
          <w:ilvl w:val="0"/>
          <w:numId w:val="10"/>
        </w:numPr>
        <w:ind w:left="1267" w:firstLine="0"/>
      </w:pPr>
      <w:r w:rsidRPr="00D43575">
        <w:t>Qatar ocupó el 2º puesto entre los Estados Árabes y el 31º a nivel mundial en el índice de percepción de la corrupción de 2016 publicado por Transparency International</w:t>
      </w:r>
      <w:r w:rsidR="00083383" w:rsidRPr="00D43575">
        <w:t>.</w:t>
      </w:r>
      <w:r w:rsidRPr="00D43575">
        <w:t xml:space="preserve"> Esta organización elabora un informe anual titulado </w:t>
      </w:r>
      <w:r w:rsidR="00F652D5" w:rsidRPr="00D43575">
        <w:t>“</w:t>
      </w:r>
      <w:r w:rsidRPr="00D43575">
        <w:t>Índice de Percepción de la Corrupción</w:t>
      </w:r>
      <w:r w:rsidR="00F652D5" w:rsidRPr="00D43575">
        <w:t>”</w:t>
      </w:r>
      <w:r w:rsidRPr="00D43575">
        <w:t xml:space="preserve"> que recoge las puntuaciones obtenidas por los Estados y su clasificación sobre la base de las percepciones en torno a la prevalencia de la corrupción en el sector público</w:t>
      </w:r>
      <w:r w:rsidR="00083383" w:rsidRPr="00D43575">
        <w:t>.</w:t>
      </w:r>
    </w:p>
    <w:p w14:paraId="2C090F82" w14:textId="47CCC233" w:rsidR="008D2F10" w:rsidRPr="00D43575" w:rsidRDefault="008D2F10" w:rsidP="001D1AD0">
      <w:pPr>
        <w:pStyle w:val="SingleTxt"/>
        <w:numPr>
          <w:ilvl w:val="0"/>
          <w:numId w:val="10"/>
        </w:numPr>
        <w:ind w:left="1267" w:firstLine="0"/>
      </w:pPr>
      <w:r w:rsidRPr="00D43575">
        <w:t>Según el informe de 2016 sobre la competitividad de las economías árabes, publicado por el Fondo Monetario Árabe, el Estado de Qatar ocupó el primer puesto entre los Estados Árabes en la lucha contra la corrupción administrativa</w:t>
      </w:r>
      <w:r w:rsidR="00083383" w:rsidRPr="00D43575">
        <w:t>.</w:t>
      </w:r>
      <w:r w:rsidRPr="00D43575">
        <w:t xml:space="preserve"> Este informe puso de relieve que el puesto tan elevado logrado por el Estado fue el resultado de los esfuerzos del Gobierno, como la creación del Centro para el Estado de Derecho y la Lucha contra la Corrupción</w:t>
      </w:r>
      <w:r w:rsidR="00083383" w:rsidRPr="00D43575">
        <w:t>.</w:t>
      </w:r>
      <w:r w:rsidRPr="00D43575">
        <w:t xml:space="preserve"> Este centro ha contribuido a crear conciencia y a forjar alianzas con fines de sensibilización en el ámbito de la lucha contra la corrupción administrativa</w:t>
      </w:r>
      <w:r w:rsidR="00083383" w:rsidRPr="00D43575">
        <w:t>.</w:t>
      </w:r>
      <w:r w:rsidRPr="00D43575">
        <w:t xml:space="preserve"> El informe se centra en la medida en que los funcionarios públicos logran objetivos concretos y en el alcance de la corrupción administrativa en el poder judicial</w:t>
      </w:r>
      <w:r w:rsidR="00083383" w:rsidRPr="00D43575">
        <w:t>.</w:t>
      </w:r>
      <w:r w:rsidRPr="00D43575">
        <w:t xml:space="preserve"> También mide hasta qué punto el Estado va a luchar contra la corrupción</w:t>
      </w:r>
      <w:r w:rsidR="00083383" w:rsidRPr="00D43575">
        <w:t>.</w:t>
      </w:r>
    </w:p>
    <w:p w14:paraId="72A4C3CB" w14:textId="46A08FEA" w:rsidR="008D2F10" w:rsidRPr="00D43575" w:rsidRDefault="008D2F10" w:rsidP="001D1AD0">
      <w:pPr>
        <w:pStyle w:val="SingleTxt"/>
        <w:keepLines/>
        <w:numPr>
          <w:ilvl w:val="0"/>
          <w:numId w:val="10"/>
        </w:numPr>
        <w:ind w:left="1267" w:firstLine="0"/>
      </w:pPr>
      <w:r w:rsidRPr="00D43575">
        <w:t>Qatar ocupó el primer puesto entre los países del golfo Pérsico y el segundo en la región del Oriente Medio y Norte de África, según el índice de Basilea de lucha contra el blanqueo de dinero de 2017, que clasifica a los Estados en función de los riesgos de blanqueo de dinero y financiación del terrorismo, evaluando el modo en que se hace frente a dichos riesgos en cada Estado</w:t>
      </w:r>
      <w:r w:rsidR="00083383" w:rsidRPr="00D43575">
        <w:t>.</w:t>
      </w:r>
    </w:p>
    <w:p w14:paraId="35F82D38" w14:textId="31C71185" w:rsidR="008D2F10" w:rsidRPr="00D43575" w:rsidRDefault="008D2F10" w:rsidP="001D1AD0">
      <w:pPr>
        <w:pStyle w:val="SingleTxt"/>
        <w:numPr>
          <w:ilvl w:val="0"/>
          <w:numId w:val="10"/>
        </w:numPr>
        <w:ind w:left="1267" w:firstLine="0"/>
      </w:pPr>
      <w:r w:rsidRPr="00D43575">
        <w:t>Por otro lado, figuró el segundo en la lista de los 24 Estados más seguros del mundo de acuerdo con el informe anual publicado en 2015 por la organización Swiss Golden Visa</w:t>
      </w:r>
      <w:r w:rsidR="00083383" w:rsidRPr="00D43575">
        <w:t>.</w:t>
      </w:r>
      <w:r w:rsidRPr="00D43575">
        <w:t xml:space="preserve"> Según esa organización, el Estado de Qatar ocupó el primer puesto en tres categorías: la seguridad frente al terrorismo (no se han producido atentados terroristas), el desempleo y el riesgo de desastres</w:t>
      </w:r>
      <w:r w:rsidR="00083383" w:rsidRPr="00D43575">
        <w:t>.</w:t>
      </w:r>
    </w:p>
    <w:p w14:paraId="0CEB9B88" w14:textId="6E6EA90C" w:rsidR="008D2F10" w:rsidRPr="00D43575" w:rsidRDefault="008D2F10" w:rsidP="001D1AD0">
      <w:pPr>
        <w:pStyle w:val="SingleTxt"/>
        <w:numPr>
          <w:ilvl w:val="0"/>
          <w:numId w:val="10"/>
        </w:numPr>
        <w:ind w:left="1267" w:firstLine="0"/>
      </w:pPr>
      <w:r w:rsidRPr="00D43575">
        <w:lastRenderedPageBreak/>
        <w:t>El Estado de Qatar está a la cabeza de los Estados Árabes en el puesto 30º del índice de paz mundial de 2017, publicado por Institute for Economics and Peace, que se dedica al estudio de la paz social y la estabilidad en los Estados del mundo</w:t>
      </w:r>
      <w:r w:rsidR="00083383" w:rsidRPr="00D43575">
        <w:t>.</w:t>
      </w:r>
      <w:r w:rsidRPr="00D43575">
        <w:t xml:space="preserve"> La clasificación depende de una serie de criterios, entre ellos los conflictos internos y externos, el nivel de seguridad, la tasa de delincuencia y los gastos militares</w:t>
      </w:r>
      <w:r w:rsidR="00083383" w:rsidRPr="00D43575">
        <w:t>.</w:t>
      </w:r>
    </w:p>
    <w:p w14:paraId="45BA703F" w14:textId="11C42332" w:rsidR="008D2F10" w:rsidRPr="00D43575" w:rsidRDefault="008D2F10" w:rsidP="001D1AD0">
      <w:pPr>
        <w:pStyle w:val="SingleTxt"/>
        <w:numPr>
          <w:ilvl w:val="0"/>
          <w:numId w:val="10"/>
        </w:numPr>
        <w:ind w:left="1267" w:firstLine="0"/>
      </w:pPr>
      <w:r w:rsidRPr="00D43575">
        <w:t>El Estado de Qatar ocupó el séptimo lugar de la clasificación mundial de países con las tasas de delincuencia más bajas, según el índice de criminalidad de 2016</w:t>
      </w:r>
      <w:r w:rsidR="00083383" w:rsidRPr="00D43575">
        <w:t>.</w:t>
      </w:r>
      <w:r w:rsidRPr="00D43575">
        <w:t xml:space="preserve"> Este índice mide semestralmente la criminalidad en 117 Estados</w:t>
      </w:r>
      <w:r w:rsidR="00083383" w:rsidRPr="00D43575">
        <w:t>.</w:t>
      </w:r>
      <w:r w:rsidRPr="00D43575">
        <w:t xml:space="preserve"> El Estado de Qatar figuró el último entre los países de la región del Oriente Medio en lo referente a las tasas de delincuencia en este mismo índice</w:t>
      </w:r>
      <w:r w:rsidR="00083383" w:rsidRPr="00D43575">
        <w:t>.</w:t>
      </w:r>
    </w:p>
    <w:p w14:paraId="1C70F170" w14:textId="47B07310" w:rsidR="008D2F10" w:rsidRPr="00D43575" w:rsidRDefault="008D2F10" w:rsidP="001D1AD0">
      <w:pPr>
        <w:pStyle w:val="SingleTxt"/>
        <w:numPr>
          <w:ilvl w:val="0"/>
          <w:numId w:val="10"/>
        </w:numPr>
        <w:ind w:left="1267" w:firstLine="0"/>
      </w:pPr>
      <w:r w:rsidRPr="00D43575">
        <w:t>Por otro lado, ocupó el primer puesto en el indicador de igualdad de género en las oportunidades comerciales del informe de Global Entrepreneurship Monitor de 2016, una iniciativa internacional pionera para supervisar y comparar el alcance del emprendimiento en 65 Estados</w:t>
      </w:r>
      <w:r w:rsidR="00083383" w:rsidRPr="00D43575">
        <w:t>.</w:t>
      </w:r>
      <w:r w:rsidRPr="00D43575">
        <w:t xml:space="preserve"> De su publicación se encargan varias universidades prestigiosas, incluido el Babson College</w:t>
      </w:r>
      <w:r w:rsidR="00083383" w:rsidRPr="00D43575">
        <w:t>.</w:t>
      </w:r>
      <w:r w:rsidRPr="00D43575">
        <w:t xml:space="preserve"> El Estado también ocupó el puesto 12º en el índice de actividad emprendedora en fase inicial entre hombres y mujeres</w:t>
      </w:r>
      <w:r w:rsidR="00083383" w:rsidRPr="00D43575">
        <w:t>.</w:t>
      </w:r>
    </w:p>
    <w:p w14:paraId="656D8DE0" w14:textId="45DE5A7C" w:rsidR="00083383" w:rsidRPr="00D43575" w:rsidRDefault="008D2F10" w:rsidP="001D1AD0">
      <w:pPr>
        <w:pStyle w:val="SingleTxt"/>
        <w:numPr>
          <w:ilvl w:val="0"/>
          <w:numId w:val="10"/>
        </w:numPr>
        <w:ind w:left="1267" w:firstLine="0"/>
      </w:pPr>
      <w:r w:rsidRPr="00D43575">
        <w:t>Por segundo año consecutivo, Qatar se situó en el puesto 83º de entre 190</w:t>
      </w:r>
      <w:r w:rsidR="00083383" w:rsidRPr="00D43575">
        <w:t xml:space="preserve"> </w:t>
      </w:r>
      <w:r w:rsidRPr="00D43575">
        <w:t>Estados de todo el mundo en el índice sobre la facilidad para hacer negocios, publicado por el Banco Mundial</w:t>
      </w:r>
      <w:r w:rsidR="00083383" w:rsidRPr="00D43575">
        <w:t>.</w:t>
      </w:r>
      <w:r w:rsidRPr="00D43575">
        <w:t xml:space="preserve"> Qatar mantuvo su clasificación en 2017, a pesar de las dificultades económicas y políticas a las que se enfrentó tras el sitio opresivo impuesto el 5 de junio de 2016</w:t>
      </w:r>
      <w:r w:rsidR="00083383" w:rsidRPr="00D43575">
        <w:t>.</w:t>
      </w:r>
    </w:p>
    <w:p w14:paraId="5C4F7078" w14:textId="40F72C5C" w:rsidR="008D2F10" w:rsidRPr="00D43575" w:rsidRDefault="008D2F10" w:rsidP="008D2F10">
      <w:pPr>
        <w:pStyle w:val="SingleTxt"/>
        <w:spacing w:after="0" w:line="120" w:lineRule="exact"/>
        <w:rPr>
          <w:sz w:val="10"/>
        </w:rPr>
      </w:pPr>
    </w:p>
    <w:p w14:paraId="6E9A9816" w14:textId="77777777" w:rsidR="008D2F10" w:rsidRPr="00D43575" w:rsidRDefault="008D2F10" w:rsidP="008D2F10">
      <w:pPr>
        <w:pStyle w:val="SingleTxt"/>
        <w:spacing w:after="0" w:line="120" w:lineRule="exact"/>
        <w:rPr>
          <w:sz w:val="10"/>
        </w:rPr>
      </w:pPr>
    </w:p>
    <w:p w14:paraId="3BC984CB" w14:textId="48E9222A" w:rsidR="008D2F10" w:rsidRPr="00D43575" w:rsidRDefault="00F71490" w:rsidP="00F714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D43575">
        <w:rPr>
          <w:szCs w:val="20"/>
        </w:rPr>
        <w:tab/>
      </w:r>
      <w:r w:rsidR="008D2F10" w:rsidRPr="00D43575">
        <w:rPr>
          <w:szCs w:val="20"/>
        </w:rPr>
        <w:t>D</w:t>
      </w:r>
      <w:r w:rsidR="00083383" w:rsidRPr="00D43575">
        <w:rPr>
          <w:szCs w:val="20"/>
        </w:rPr>
        <w:t>.</w:t>
      </w:r>
      <w:r w:rsidR="008D2F10" w:rsidRPr="00D43575">
        <w:rPr>
          <w:szCs w:val="20"/>
        </w:rPr>
        <w:tab/>
        <w:t>Estructura constitucional, política y jurídica del Estado</w:t>
      </w:r>
    </w:p>
    <w:p w14:paraId="3CF842E0" w14:textId="77777777" w:rsidR="008D2F10" w:rsidRPr="00D43575" w:rsidRDefault="008D2F10" w:rsidP="008D2F10">
      <w:pPr>
        <w:pStyle w:val="SingleTxt"/>
        <w:spacing w:after="0" w:line="120" w:lineRule="exact"/>
        <w:rPr>
          <w:sz w:val="10"/>
        </w:rPr>
      </w:pPr>
    </w:p>
    <w:p w14:paraId="1B2A7121" w14:textId="77777777" w:rsidR="008D2F10" w:rsidRPr="00D43575" w:rsidRDefault="008D2F10" w:rsidP="008D2F10">
      <w:pPr>
        <w:pStyle w:val="SingleTxt"/>
        <w:spacing w:after="0" w:line="120" w:lineRule="exact"/>
        <w:rPr>
          <w:sz w:val="10"/>
        </w:rPr>
      </w:pPr>
    </w:p>
    <w:p w14:paraId="4642CC17" w14:textId="038BF50D" w:rsidR="008D2F10" w:rsidRPr="00D43575" w:rsidRDefault="008D2F10" w:rsidP="001D1AD0">
      <w:pPr>
        <w:pStyle w:val="SingleTxt"/>
        <w:numPr>
          <w:ilvl w:val="0"/>
          <w:numId w:val="10"/>
        </w:numPr>
        <w:ind w:left="1267" w:firstLine="0"/>
      </w:pPr>
      <w:r w:rsidRPr="00D43575">
        <w:t>Respecto a este tema, el presente informe remite a la información de los párrafos 31 a 48 del informe anterior del Estado parte</w:t>
      </w:r>
      <w:r w:rsidR="00083383" w:rsidRPr="00D43575">
        <w:t>.</w:t>
      </w:r>
    </w:p>
    <w:p w14:paraId="0B9C64AD" w14:textId="77777777" w:rsidR="008D2F10" w:rsidRPr="00D43575" w:rsidRDefault="008D2F10" w:rsidP="008D2F10">
      <w:pPr>
        <w:pStyle w:val="SingleTxt"/>
        <w:spacing w:after="0" w:line="120" w:lineRule="exact"/>
        <w:rPr>
          <w:sz w:val="10"/>
        </w:rPr>
      </w:pPr>
    </w:p>
    <w:p w14:paraId="09CEFDEB" w14:textId="77777777" w:rsidR="008D2F10" w:rsidRPr="00D43575" w:rsidRDefault="008D2F10" w:rsidP="008D2F10">
      <w:pPr>
        <w:pStyle w:val="SingleTxt"/>
        <w:spacing w:after="0" w:line="120" w:lineRule="exact"/>
        <w:rPr>
          <w:sz w:val="10"/>
        </w:rPr>
      </w:pPr>
    </w:p>
    <w:p w14:paraId="64EFD545" w14:textId="042B1D11" w:rsidR="008D2F10" w:rsidRPr="00D43575" w:rsidRDefault="00F71490" w:rsidP="00FC6B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370" w:hanging="1267"/>
        <w:rPr>
          <w:szCs w:val="20"/>
        </w:rPr>
      </w:pPr>
      <w:r w:rsidRPr="00D43575">
        <w:rPr>
          <w:szCs w:val="20"/>
        </w:rPr>
        <w:tab/>
      </w:r>
      <w:r w:rsidR="008D2F10" w:rsidRPr="00D43575">
        <w:rPr>
          <w:szCs w:val="20"/>
        </w:rPr>
        <w:t>E</w:t>
      </w:r>
      <w:r w:rsidR="00083383" w:rsidRPr="00D43575">
        <w:rPr>
          <w:szCs w:val="20"/>
        </w:rPr>
        <w:t>.</w:t>
      </w:r>
      <w:r w:rsidR="008D2F10" w:rsidRPr="00D43575">
        <w:rPr>
          <w:szCs w:val="20"/>
        </w:rPr>
        <w:tab/>
        <w:t>Marco general para la protección y promoción de los</w:t>
      </w:r>
      <w:r w:rsidR="00083383" w:rsidRPr="00D43575">
        <w:rPr>
          <w:szCs w:val="20"/>
        </w:rPr>
        <w:t xml:space="preserve"> </w:t>
      </w:r>
      <w:r w:rsidR="008D2F10" w:rsidRPr="00D43575">
        <w:rPr>
          <w:szCs w:val="20"/>
        </w:rPr>
        <w:t>derechos</w:t>
      </w:r>
      <w:r w:rsidR="00083383" w:rsidRPr="00D43575">
        <w:rPr>
          <w:szCs w:val="20"/>
        </w:rPr>
        <w:t xml:space="preserve"> </w:t>
      </w:r>
      <w:r w:rsidR="008D2F10" w:rsidRPr="00D43575">
        <w:rPr>
          <w:szCs w:val="20"/>
        </w:rPr>
        <w:t>humanos</w:t>
      </w:r>
    </w:p>
    <w:p w14:paraId="5FD59B0C" w14:textId="77777777" w:rsidR="008D2F10" w:rsidRPr="00D43575" w:rsidRDefault="008D2F10" w:rsidP="008D2F10">
      <w:pPr>
        <w:pStyle w:val="SingleTxt"/>
        <w:spacing w:after="0" w:line="120" w:lineRule="exact"/>
        <w:rPr>
          <w:sz w:val="10"/>
        </w:rPr>
      </w:pPr>
    </w:p>
    <w:p w14:paraId="20A9F32D" w14:textId="77777777" w:rsidR="008D2F10" w:rsidRPr="00D43575" w:rsidRDefault="008D2F10" w:rsidP="008D2F10">
      <w:pPr>
        <w:pStyle w:val="SingleTxt"/>
        <w:spacing w:after="0" w:line="120" w:lineRule="exact"/>
        <w:rPr>
          <w:sz w:val="10"/>
        </w:rPr>
      </w:pPr>
    </w:p>
    <w:p w14:paraId="32E2DAB1" w14:textId="6652D453" w:rsidR="008D2F10" w:rsidRPr="00D43575" w:rsidRDefault="008D2F10" w:rsidP="001D1AD0">
      <w:pPr>
        <w:pStyle w:val="SingleTxt"/>
        <w:numPr>
          <w:ilvl w:val="0"/>
          <w:numId w:val="10"/>
        </w:numPr>
        <w:ind w:left="1267" w:firstLine="0"/>
      </w:pPr>
      <w:r w:rsidRPr="00D43575">
        <w:t>Respecto a este tema, el presente informe remite a la información de los párrafos 49 a 99 del informe anterior del Estado parte</w:t>
      </w:r>
      <w:r w:rsidR="00083383" w:rsidRPr="00D43575">
        <w:t>.</w:t>
      </w:r>
      <w:r w:rsidRPr="00D43575">
        <w:t xml:space="preserve"> El Estado parte también desea presentar la siguiente información actualizada</w:t>
      </w:r>
      <w:r w:rsidR="00083383" w:rsidRPr="00D43575">
        <w:t>.</w:t>
      </w:r>
    </w:p>
    <w:p w14:paraId="43EC8DDE" w14:textId="5E4BA23C" w:rsidR="008D2F10" w:rsidRPr="00D43575" w:rsidRDefault="008D2F10" w:rsidP="008D2F10">
      <w:pPr>
        <w:pStyle w:val="SingleTxt"/>
        <w:spacing w:after="0" w:line="120" w:lineRule="exact"/>
        <w:rPr>
          <w:sz w:val="10"/>
        </w:rPr>
      </w:pPr>
    </w:p>
    <w:p w14:paraId="01A64B60" w14:textId="2AE6A92C" w:rsidR="008D2F10" w:rsidRPr="00D43575" w:rsidRDefault="004D0006"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008D2F10" w:rsidRPr="00D43575">
        <w:rPr>
          <w:bCs w:val="0"/>
          <w:szCs w:val="20"/>
        </w:rPr>
        <w:t>I</w:t>
      </w:r>
      <w:r w:rsidR="00083383" w:rsidRPr="00D43575">
        <w:rPr>
          <w:bCs w:val="0"/>
          <w:szCs w:val="20"/>
        </w:rPr>
        <w:t>.</w:t>
      </w:r>
      <w:r w:rsidR="008D2F10" w:rsidRPr="00D43575">
        <w:rPr>
          <w:bCs w:val="0"/>
          <w:szCs w:val="20"/>
        </w:rPr>
        <w:tab/>
        <w:t>Salvaguardias legales en materia de derechos humanos</w:t>
      </w:r>
    </w:p>
    <w:p w14:paraId="63A65ABE" w14:textId="77777777" w:rsidR="008D2F10" w:rsidRPr="00D43575" w:rsidRDefault="008D2F10" w:rsidP="008D2F10">
      <w:pPr>
        <w:pStyle w:val="SingleTxt"/>
        <w:spacing w:after="0" w:line="120" w:lineRule="exact"/>
        <w:rPr>
          <w:sz w:val="10"/>
        </w:rPr>
      </w:pPr>
    </w:p>
    <w:p w14:paraId="19A818D9" w14:textId="61027AF1" w:rsidR="00083383" w:rsidRPr="00D43575" w:rsidRDefault="008D2F10" w:rsidP="001D1AD0">
      <w:pPr>
        <w:pStyle w:val="SingleTxt"/>
        <w:numPr>
          <w:ilvl w:val="0"/>
          <w:numId w:val="10"/>
        </w:numPr>
        <w:ind w:left="1267" w:firstLine="0"/>
      </w:pPr>
      <w:r w:rsidRPr="00D43575">
        <w:t>Desde la presentación del primer informe, el Estado parte ha trabajado para promover los derechos y libertades fundamentales garantizados por la Constitución</w:t>
      </w:r>
      <w:r w:rsidR="00083383" w:rsidRPr="00D43575">
        <w:t>.</w:t>
      </w:r>
      <w:r w:rsidRPr="00D43575">
        <w:t xml:space="preserve"> Para ello, ha aprobado una serie de leyes nacionales, como, por ejemplo, las</w:t>
      </w:r>
      <w:r w:rsidR="00083383" w:rsidRPr="00D43575">
        <w:t xml:space="preserve"> </w:t>
      </w:r>
      <w:r w:rsidRPr="00D43575">
        <w:t>siguientes:</w:t>
      </w:r>
    </w:p>
    <w:p w14:paraId="5464D621" w14:textId="7EAFEFD2" w:rsidR="008D2F10" w:rsidRPr="00D43575" w:rsidRDefault="008D2F10" w:rsidP="008D2F10">
      <w:pPr>
        <w:pStyle w:val="SingleTxt"/>
        <w:tabs>
          <w:tab w:val="right" w:pos="1685"/>
        </w:tabs>
        <w:ind w:left="1742" w:hanging="475"/>
      </w:pPr>
      <w:r w:rsidRPr="00D43575">
        <w:tab/>
        <w:t>–</w:t>
      </w:r>
      <w:r w:rsidRPr="00D43575">
        <w:tab/>
        <w:t>Ley de los Trabajadores Domésticos (núm</w:t>
      </w:r>
      <w:r w:rsidR="00083383" w:rsidRPr="00D43575">
        <w:t>.</w:t>
      </w:r>
      <w:r w:rsidRPr="00D43575">
        <w:t xml:space="preserve"> 15/2017), que brinda protección jurídica a los empleados domésticos de conformidad con lo dispuesto en el Convenio sobre las Trabajadoras y los Trabajadores Domésticos, 2011 (núm</w:t>
      </w:r>
      <w:r w:rsidR="00083383" w:rsidRPr="00D43575">
        <w:t xml:space="preserve">. </w:t>
      </w:r>
      <w:r w:rsidRPr="00D43575">
        <w:t>189) de la Organización Internacional del Trabajo (OIT) y con arreglo a otras normas internacionales pertinentes;</w:t>
      </w:r>
    </w:p>
    <w:p w14:paraId="3B779152" w14:textId="7F41A8E7" w:rsidR="008D2F10" w:rsidRPr="00D43575" w:rsidRDefault="008D2F10" w:rsidP="008D2F10">
      <w:pPr>
        <w:pStyle w:val="SingleTxt"/>
        <w:tabs>
          <w:tab w:val="right" w:pos="1685"/>
        </w:tabs>
        <w:ind w:left="1742" w:hanging="475"/>
      </w:pPr>
      <w:r w:rsidRPr="00D43575">
        <w:tab/>
        <w:t>–</w:t>
      </w:r>
      <w:r w:rsidRPr="00D43575">
        <w:tab/>
        <w:t>Ley núm</w:t>
      </w:r>
      <w:r w:rsidR="00083383" w:rsidRPr="00D43575">
        <w:t>.</w:t>
      </w:r>
      <w:r w:rsidRPr="00D43575">
        <w:t xml:space="preserve"> 1/2017, que modifica ciertas disposiciones de la Ley de la Entrada, la Salida y la Residencia de los Trabajadores Migrantes (núm</w:t>
      </w:r>
      <w:r w:rsidR="00083383" w:rsidRPr="00D43575">
        <w:t>.</w:t>
      </w:r>
      <w:r w:rsidRPr="00D43575">
        <w:t xml:space="preserve"> 21/2015) relativas a la libertad para abandonar el territorio del Estado;</w:t>
      </w:r>
    </w:p>
    <w:p w14:paraId="750ECEC1" w14:textId="47C8AC0C" w:rsidR="008D2F10" w:rsidRPr="00D43575" w:rsidRDefault="008D2F10" w:rsidP="008D2F10">
      <w:pPr>
        <w:pStyle w:val="SingleTxt"/>
        <w:tabs>
          <w:tab w:val="right" w:pos="1685"/>
        </w:tabs>
        <w:ind w:left="1742" w:hanging="475"/>
      </w:pPr>
      <w:r w:rsidRPr="00D43575">
        <w:tab/>
        <w:t>–</w:t>
      </w:r>
      <w:r w:rsidRPr="00D43575">
        <w:tab/>
        <w:t>Una ley que modifica parte del articulado de la Ley del Trabajo (núm</w:t>
      </w:r>
      <w:r w:rsidR="00083383" w:rsidRPr="00D43575">
        <w:t xml:space="preserve">. </w:t>
      </w:r>
      <w:r w:rsidRPr="00D43575">
        <w:t xml:space="preserve">14/2004), aprobada por el Consejo de Ministros el 19 de octubre de 2016, para establecer </w:t>
      </w:r>
      <w:r w:rsidRPr="00D43575">
        <w:lastRenderedPageBreak/>
        <w:t>una o varias comisiones que diriman las controversias generadas por esa ley o por el contrato de trabajo;</w:t>
      </w:r>
    </w:p>
    <w:p w14:paraId="541EA564" w14:textId="72FD770D" w:rsidR="008D2F10" w:rsidRPr="00D43575" w:rsidRDefault="008D2F10" w:rsidP="008D2F10">
      <w:pPr>
        <w:pStyle w:val="SingleTxt"/>
        <w:tabs>
          <w:tab w:val="right" w:pos="1685"/>
        </w:tabs>
        <w:ind w:left="1742" w:hanging="475"/>
      </w:pPr>
      <w:r w:rsidRPr="00D43575">
        <w:tab/>
        <w:t>–</w:t>
      </w:r>
      <w:r w:rsidRPr="00D43575">
        <w:tab/>
        <w:t>Ley de la Salud Mental (núm</w:t>
      </w:r>
      <w:r w:rsidR="00083383" w:rsidRPr="00D43575">
        <w:t>.</w:t>
      </w:r>
      <w:r w:rsidRPr="00D43575">
        <w:t xml:space="preserve"> 16/2016), que define los derechos terapéuticos universales, como el derecho del paciente a recibir el tratamiento necesario con arreglo a criterios médicos reconocidos, y respeta la autonomía y la privacidad de este;</w:t>
      </w:r>
    </w:p>
    <w:p w14:paraId="36BBE118" w14:textId="589603CB" w:rsidR="008D2F10" w:rsidRPr="00D43575" w:rsidRDefault="008D2F10" w:rsidP="008D2F10">
      <w:pPr>
        <w:pStyle w:val="SingleTxt"/>
        <w:tabs>
          <w:tab w:val="right" w:pos="1685"/>
        </w:tabs>
        <w:ind w:left="1742" w:hanging="475"/>
      </w:pPr>
      <w:r w:rsidRPr="00D43575">
        <w:tab/>
        <w:t>–</w:t>
      </w:r>
      <w:r w:rsidRPr="00D43575">
        <w:tab/>
        <w:t>Ley de la Protección de la Privacidad de los Datos Personales (núm</w:t>
      </w:r>
      <w:r w:rsidR="00083383" w:rsidRPr="00D43575">
        <w:t>.</w:t>
      </w:r>
      <w:r w:rsidRPr="00D43575">
        <w:t xml:space="preserve"> 13/2016);</w:t>
      </w:r>
    </w:p>
    <w:p w14:paraId="5A041BCA" w14:textId="7462FDBC" w:rsidR="00083383" w:rsidRPr="00D43575" w:rsidRDefault="008D2F10" w:rsidP="008D2F10">
      <w:pPr>
        <w:pStyle w:val="SingleTxt"/>
        <w:tabs>
          <w:tab w:val="right" w:pos="1685"/>
        </w:tabs>
        <w:ind w:left="1742" w:hanging="475"/>
      </w:pPr>
      <w:r w:rsidRPr="00D43575">
        <w:tab/>
        <w:t>–</w:t>
      </w:r>
      <w:r w:rsidRPr="00D43575">
        <w:tab/>
        <w:t>Ley del Funcionariado Civil (núm</w:t>
      </w:r>
      <w:r w:rsidR="00083383" w:rsidRPr="00D43575">
        <w:t>.</w:t>
      </w:r>
      <w:r w:rsidRPr="00D43575">
        <w:t xml:space="preserve"> 15/2016), que afirma el principio de igualdad y no discriminación entre los funcionarios en derechos y deberes;</w:t>
      </w:r>
    </w:p>
    <w:p w14:paraId="6C8ECACD" w14:textId="070188CF" w:rsidR="008D2F10" w:rsidRPr="00D43575" w:rsidRDefault="008D2F10" w:rsidP="008D2F10">
      <w:pPr>
        <w:pStyle w:val="SingleTxt"/>
        <w:tabs>
          <w:tab w:val="right" w:pos="1685"/>
        </w:tabs>
        <w:ind w:left="1742" w:hanging="475"/>
      </w:pPr>
      <w:r w:rsidRPr="00D43575">
        <w:tab/>
        <w:t>–</w:t>
      </w:r>
      <w:r w:rsidRPr="00D43575">
        <w:tab/>
        <w:t>Ley núm</w:t>
      </w:r>
      <w:r w:rsidR="00083383" w:rsidRPr="00D43575">
        <w:t>.</w:t>
      </w:r>
      <w:r w:rsidRPr="00D43575">
        <w:t xml:space="preserve"> 22/2015, por la que se modifica parte del articulado del Código Penal (Ley núm</w:t>
      </w:r>
      <w:r w:rsidR="00083383" w:rsidRPr="00D43575">
        <w:t>.</w:t>
      </w:r>
      <w:r w:rsidRPr="00D43575">
        <w:t xml:space="preserve"> 11/2004);</w:t>
      </w:r>
    </w:p>
    <w:p w14:paraId="3D071D99" w14:textId="4F0DB86F" w:rsidR="008D2F10" w:rsidRPr="00D43575" w:rsidRDefault="008D2F10" w:rsidP="008D2F10">
      <w:pPr>
        <w:pStyle w:val="SingleTxt"/>
        <w:tabs>
          <w:tab w:val="right" w:pos="1685"/>
        </w:tabs>
        <w:ind w:left="1742" w:hanging="475"/>
      </w:pPr>
      <w:r w:rsidRPr="00D43575">
        <w:tab/>
        <w:t>–</w:t>
      </w:r>
      <w:r w:rsidRPr="00D43575">
        <w:tab/>
        <w:t>Ley núm</w:t>
      </w:r>
      <w:r w:rsidR="00083383" w:rsidRPr="00D43575">
        <w:t>.</w:t>
      </w:r>
      <w:r w:rsidRPr="00D43575">
        <w:t xml:space="preserve"> 12/2015, que modifica ciertas disposiciones del Decreto Ley núm</w:t>
      </w:r>
      <w:r w:rsidR="00083383" w:rsidRPr="00D43575">
        <w:t>.</w:t>
      </w:r>
      <w:r w:rsidRPr="00D43575">
        <w:t xml:space="preserve"> 17/2010, relativo al Comité Nacional de Derechos Humanos, para aumentar su autonomía y proporcionarle a dicho Comité y a sus miembros salvaguardias jurídicas sólidas;</w:t>
      </w:r>
    </w:p>
    <w:p w14:paraId="55074BA0" w14:textId="4F6F2C27" w:rsidR="008D2F10" w:rsidRPr="009D5F93" w:rsidRDefault="008D2F10" w:rsidP="008D2F10">
      <w:pPr>
        <w:pStyle w:val="SingleTxt"/>
        <w:tabs>
          <w:tab w:val="right" w:pos="1685"/>
        </w:tabs>
        <w:ind w:left="1742" w:hanging="475"/>
      </w:pPr>
      <w:r w:rsidRPr="00D43575">
        <w:tab/>
        <w:t>–</w:t>
      </w:r>
      <w:r w:rsidRPr="00D43575">
        <w:tab/>
        <w:t xml:space="preserve">Decreto </w:t>
      </w:r>
      <w:r w:rsidR="009D5F93">
        <w:t>del Emir</w:t>
      </w:r>
      <w:r w:rsidR="009D5F93" w:rsidRPr="009D5F93">
        <w:t xml:space="preserve"> </w:t>
      </w:r>
      <w:r w:rsidRPr="009D5F93">
        <w:t>núm</w:t>
      </w:r>
      <w:r w:rsidR="00083383" w:rsidRPr="009D5F93">
        <w:t>.</w:t>
      </w:r>
      <w:r w:rsidRPr="009D5F93">
        <w:t xml:space="preserve"> 6/2015, que reorganiza la Autoridad de Control Administrativo y Transparencia con miras a lograr un mayor grado de integridad y transparencia en la administración pública y luchar contra la corrupción en todas sus formas y manifestaciones;</w:t>
      </w:r>
    </w:p>
    <w:p w14:paraId="13ED1930" w14:textId="0EB0CB98" w:rsidR="008D2F10" w:rsidRPr="00D43575" w:rsidRDefault="008D2F10" w:rsidP="008D2F10">
      <w:pPr>
        <w:pStyle w:val="SingleTxt"/>
        <w:tabs>
          <w:tab w:val="right" w:pos="1685"/>
        </w:tabs>
        <w:ind w:left="1742" w:hanging="475"/>
      </w:pPr>
      <w:r w:rsidRPr="009D5F93">
        <w:tab/>
        <w:t>–</w:t>
      </w:r>
      <w:r w:rsidRPr="009D5F93">
        <w:tab/>
        <w:t>Ley núm</w:t>
      </w:r>
      <w:r w:rsidR="00083383" w:rsidRPr="009D5F93">
        <w:t>.</w:t>
      </w:r>
      <w:r w:rsidRPr="009D5F93">
        <w:t xml:space="preserve"> 1/2015, por la que se modifica lo dispuesto en la Ley del Trabajo (núm</w:t>
      </w:r>
      <w:r w:rsidR="00083383" w:rsidRPr="00D43575">
        <w:t>.</w:t>
      </w:r>
      <w:r w:rsidRPr="00D43575">
        <w:t xml:space="preserve"> 14/2004) en relación con la protección del salario;</w:t>
      </w:r>
    </w:p>
    <w:p w14:paraId="09EBF4AC" w14:textId="73CD1653" w:rsidR="008D2F10" w:rsidRPr="00D43575" w:rsidRDefault="008D2F10" w:rsidP="008D2F10">
      <w:pPr>
        <w:pStyle w:val="SingleTxt"/>
        <w:tabs>
          <w:tab w:val="right" w:pos="1685"/>
        </w:tabs>
        <w:ind w:left="1742" w:hanging="475"/>
      </w:pPr>
      <w:r w:rsidRPr="00D43575">
        <w:tab/>
        <w:t>–</w:t>
      </w:r>
      <w:r w:rsidRPr="00D43575">
        <w:tab/>
        <w:t>Decisión núm</w:t>
      </w:r>
      <w:r w:rsidR="00083383" w:rsidRPr="00D43575">
        <w:t>.</w:t>
      </w:r>
      <w:r w:rsidRPr="00D43575">
        <w:t xml:space="preserve"> 18/2014 del Ministro de Trabajo y Asuntos Sociales, que</w:t>
      </w:r>
      <w:r w:rsidR="00083383" w:rsidRPr="00D43575">
        <w:t xml:space="preserve"> </w:t>
      </w:r>
      <w:r w:rsidRPr="00D43575">
        <w:t>determina los parámetros de una vivienda adecuada para los trabajadores</w:t>
      </w:r>
      <w:r w:rsidR="00083383" w:rsidRPr="00D43575">
        <w:t>.</w:t>
      </w:r>
      <w:r w:rsidRPr="00D43575">
        <w:t xml:space="preserve"> La decisión se ajusta a los requisitos internacionales de alojamiento para los</w:t>
      </w:r>
      <w:r w:rsidR="00083383" w:rsidRPr="00D43575">
        <w:t xml:space="preserve"> </w:t>
      </w:r>
      <w:r w:rsidRPr="00D43575">
        <w:t>trabajadores</w:t>
      </w:r>
      <w:r w:rsidR="00083383" w:rsidRPr="00D43575">
        <w:t>.</w:t>
      </w:r>
    </w:p>
    <w:p w14:paraId="3C1620BC" w14:textId="77F4B98C" w:rsidR="008D2F10" w:rsidRPr="00D43575" w:rsidRDefault="008D2F10" w:rsidP="008D2F10">
      <w:pPr>
        <w:pStyle w:val="SingleTxt"/>
        <w:tabs>
          <w:tab w:val="right" w:pos="1685"/>
        </w:tabs>
        <w:ind w:left="1742" w:hanging="475"/>
      </w:pPr>
      <w:r w:rsidRPr="00D43575">
        <w:tab/>
        <w:t>–</w:t>
      </w:r>
      <w:r w:rsidRPr="00D43575">
        <w:tab/>
        <w:t>Ley de Lucha contra la Ciberdelincuencia (núm</w:t>
      </w:r>
      <w:r w:rsidR="00083383" w:rsidRPr="00D43575">
        <w:t>.</w:t>
      </w:r>
      <w:r w:rsidRPr="00D43575">
        <w:t xml:space="preserve"> 14/2014);</w:t>
      </w:r>
    </w:p>
    <w:p w14:paraId="37F29341" w14:textId="4344164A" w:rsidR="008D2F10" w:rsidRPr="00D43575" w:rsidRDefault="008D2F10" w:rsidP="008D2F10">
      <w:pPr>
        <w:pStyle w:val="SingleTxt"/>
        <w:tabs>
          <w:tab w:val="right" w:pos="1685"/>
        </w:tabs>
        <w:ind w:left="1742" w:hanging="475"/>
      </w:pPr>
      <w:r w:rsidRPr="00D43575">
        <w:tab/>
        <w:t>–</w:t>
      </w:r>
      <w:r w:rsidRPr="00D43575">
        <w:tab/>
        <w:t>Ley núm</w:t>
      </w:r>
      <w:r w:rsidR="00083383" w:rsidRPr="00D43575">
        <w:t>.</w:t>
      </w:r>
      <w:r w:rsidRPr="00D43575">
        <w:t xml:space="preserve"> 12/2013, que modifica algunas disposiciones de la Ley Contencioso</w:t>
      </w:r>
      <w:r w:rsidR="00083383" w:rsidRPr="00D43575">
        <w:noBreakHyphen/>
      </w:r>
      <w:r w:rsidRPr="00D43575">
        <w:t>Administrativa (núm</w:t>
      </w:r>
      <w:r w:rsidR="00083383" w:rsidRPr="00D43575">
        <w:t>.</w:t>
      </w:r>
      <w:r w:rsidRPr="00D43575">
        <w:t xml:space="preserve"> 7/2007);</w:t>
      </w:r>
    </w:p>
    <w:p w14:paraId="7007FEF9" w14:textId="7E480B39" w:rsidR="008D2F10" w:rsidRPr="00D43575" w:rsidRDefault="008D2F10" w:rsidP="008D2F10">
      <w:pPr>
        <w:pStyle w:val="SingleTxt"/>
        <w:tabs>
          <w:tab w:val="right" w:pos="1685"/>
        </w:tabs>
        <w:ind w:left="1742" w:hanging="475"/>
      </w:pPr>
      <w:r w:rsidRPr="00D43575">
        <w:tab/>
        <w:t>–</w:t>
      </w:r>
      <w:r w:rsidRPr="00D43575">
        <w:tab/>
        <w:t>Ley del Seguro Sanitario y Social (núm</w:t>
      </w:r>
      <w:r w:rsidR="00083383" w:rsidRPr="00D43575">
        <w:t>.</w:t>
      </w:r>
      <w:r w:rsidRPr="00D43575">
        <w:t xml:space="preserve"> 7/2013), que tiene por objeto instaurar un plan de seguro médico obligatorio y asegurar la prestación de servicios básicos de salud a todos los nacionales del Estado, a los residentes extranjeros y a los visitantes;</w:t>
      </w:r>
    </w:p>
    <w:p w14:paraId="7DCD98E7" w14:textId="2DC75D12" w:rsidR="008D2F10" w:rsidRPr="00D43575" w:rsidRDefault="008D2F10" w:rsidP="008D2F10">
      <w:pPr>
        <w:pStyle w:val="SingleTxt"/>
        <w:tabs>
          <w:tab w:val="right" w:pos="1685"/>
        </w:tabs>
        <w:ind w:left="1742" w:hanging="475"/>
      </w:pPr>
      <w:r w:rsidRPr="00D43575">
        <w:tab/>
        <w:t>–</w:t>
      </w:r>
      <w:r w:rsidRPr="00D43575">
        <w:tab/>
        <w:t>Ley del Fondo de la Salud y la Educación (núm</w:t>
      </w:r>
      <w:r w:rsidR="00083383" w:rsidRPr="00D43575">
        <w:t>.</w:t>
      </w:r>
      <w:r w:rsidRPr="00D43575">
        <w:t xml:space="preserve"> 6/2013), por la que se trata de proporcionar recursos financieros sostenibles para apoyar la educación y los servicios médicos y a los organismos que prestan estos servicios;</w:t>
      </w:r>
    </w:p>
    <w:p w14:paraId="536FDF43" w14:textId="6BCCA71A" w:rsidR="008D2F10" w:rsidRPr="00D43575" w:rsidRDefault="008D2F10" w:rsidP="008D2F10">
      <w:pPr>
        <w:pStyle w:val="SingleTxt"/>
        <w:tabs>
          <w:tab w:val="right" w:pos="1685"/>
        </w:tabs>
        <w:ind w:left="1742" w:hanging="475"/>
      </w:pPr>
      <w:r w:rsidRPr="00D43575">
        <w:tab/>
        <w:t>–</w:t>
      </w:r>
      <w:r w:rsidRPr="00D43575">
        <w:tab/>
        <w:t>Ley de la Trata de Personas (núm</w:t>
      </w:r>
      <w:r w:rsidR="00083383" w:rsidRPr="00D43575">
        <w:t>.</w:t>
      </w:r>
      <w:r w:rsidRPr="00D43575">
        <w:t xml:space="preserve"> 15/2011)</w:t>
      </w:r>
      <w:r w:rsidR="00083383" w:rsidRPr="00D43575">
        <w:t>.</w:t>
      </w:r>
    </w:p>
    <w:p w14:paraId="05D4E53C" w14:textId="77777777" w:rsidR="008D2F10" w:rsidRPr="00D43575" w:rsidRDefault="008D2F10" w:rsidP="008D2F10">
      <w:pPr>
        <w:pStyle w:val="SingleTxt"/>
        <w:spacing w:after="0" w:line="120" w:lineRule="exact"/>
        <w:rPr>
          <w:sz w:val="10"/>
        </w:rPr>
      </w:pPr>
    </w:p>
    <w:p w14:paraId="536AE4BF" w14:textId="41A39721" w:rsidR="008D2F10" w:rsidRPr="00D43575" w:rsidRDefault="006524E5"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008D2F10" w:rsidRPr="00D43575">
        <w:rPr>
          <w:bCs w:val="0"/>
          <w:szCs w:val="20"/>
        </w:rPr>
        <w:t>II</w:t>
      </w:r>
      <w:r w:rsidR="00083383" w:rsidRPr="00D43575">
        <w:rPr>
          <w:bCs w:val="0"/>
          <w:szCs w:val="20"/>
        </w:rPr>
        <w:t>.</w:t>
      </w:r>
      <w:r w:rsidR="008D2F10" w:rsidRPr="00D43575">
        <w:rPr>
          <w:bCs w:val="0"/>
          <w:szCs w:val="20"/>
        </w:rPr>
        <w:tab/>
        <w:t>Adhesión a los tratados internacionales de derechos humanos</w:t>
      </w:r>
    </w:p>
    <w:p w14:paraId="46D644D5" w14:textId="77777777" w:rsidR="008D2F10" w:rsidRPr="00D43575" w:rsidRDefault="008D2F10" w:rsidP="008D2F10">
      <w:pPr>
        <w:pStyle w:val="SingleTxt"/>
        <w:spacing w:after="0" w:line="120" w:lineRule="exact"/>
        <w:rPr>
          <w:sz w:val="10"/>
        </w:rPr>
      </w:pPr>
    </w:p>
    <w:p w14:paraId="251B8A3B" w14:textId="77777777" w:rsidR="008D2F10" w:rsidRPr="00D43575" w:rsidRDefault="008D2F10" w:rsidP="001D1AD0">
      <w:pPr>
        <w:pStyle w:val="SingleTxt"/>
        <w:numPr>
          <w:ilvl w:val="0"/>
          <w:numId w:val="10"/>
        </w:numPr>
        <w:ind w:left="1267" w:firstLine="0"/>
      </w:pPr>
      <w:r w:rsidRPr="00D43575">
        <w:t>Con miras a reforzar su marco legislativo de derechos humanos, Qatar se ha adherido a los siguientes tratados y convenciones internacionales y regionales de derechos humanos y los ha ratificado:</w:t>
      </w:r>
    </w:p>
    <w:p w14:paraId="2C92ADA9" w14:textId="77777777" w:rsidR="008D2F10" w:rsidRPr="00D43575" w:rsidRDefault="008D2F10" w:rsidP="008D2F10">
      <w:pPr>
        <w:pStyle w:val="SingleTxt"/>
        <w:tabs>
          <w:tab w:val="right" w:pos="1685"/>
        </w:tabs>
        <w:ind w:left="1742" w:hanging="475"/>
      </w:pPr>
      <w:r w:rsidRPr="00D43575">
        <w:tab/>
        <w:t>–</w:t>
      </w:r>
      <w:r w:rsidRPr="00D43575">
        <w:tab/>
        <w:t>La Convención Árabe para la Protección de los Derechos de Autor y los Derechos Conexos, en 2015;</w:t>
      </w:r>
    </w:p>
    <w:p w14:paraId="121CF707" w14:textId="77777777" w:rsidR="008D2F10" w:rsidRPr="00D43575" w:rsidRDefault="008D2F10" w:rsidP="008D2F10">
      <w:pPr>
        <w:pStyle w:val="SingleTxt"/>
        <w:tabs>
          <w:tab w:val="right" w:pos="1685"/>
        </w:tabs>
        <w:ind w:left="1742" w:hanging="475"/>
      </w:pPr>
      <w:r w:rsidRPr="00D43575">
        <w:tab/>
        <w:t>–</w:t>
      </w:r>
      <w:r w:rsidRPr="00D43575">
        <w:tab/>
        <w:t>El Convenio Internacional para la Represión de los Actos de Terrorismo Nuclear, en 2014;</w:t>
      </w:r>
    </w:p>
    <w:p w14:paraId="7C3D77B8" w14:textId="77777777" w:rsidR="008D2F10" w:rsidRPr="00D43575" w:rsidRDefault="008D2F10" w:rsidP="008D2F10">
      <w:pPr>
        <w:pStyle w:val="SingleTxt"/>
        <w:tabs>
          <w:tab w:val="right" w:pos="1685"/>
        </w:tabs>
        <w:ind w:left="1742" w:hanging="475"/>
      </w:pPr>
      <w:r w:rsidRPr="00D43575">
        <w:lastRenderedPageBreak/>
        <w:tab/>
        <w:t>–</w:t>
      </w:r>
      <w:r w:rsidRPr="00D43575">
        <w:tab/>
        <w:t>La Convención Árabe sobre la Lucha contra el Blanqueo de Dinero y la Financiación del Terrorismo, en 2012;</w:t>
      </w:r>
    </w:p>
    <w:p w14:paraId="5D26C62D" w14:textId="77777777" w:rsidR="008D2F10" w:rsidRPr="00D43575" w:rsidRDefault="008D2F10" w:rsidP="008D2F10">
      <w:pPr>
        <w:pStyle w:val="SingleTxt"/>
        <w:tabs>
          <w:tab w:val="right" w:pos="1685"/>
        </w:tabs>
        <w:ind w:left="1742" w:hanging="475"/>
      </w:pPr>
      <w:r w:rsidRPr="00D43575">
        <w:tab/>
        <w:t>–</w:t>
      </w:r>
      <w:r w:rsidRPr="00D43575">
        <w:tab/>
        <w:t>La Convención sobre la Protección y Promoción de la Diversidad de las Expresiones Culturales, en 2009;</w:t>
      </w:r>
    </w:p>
    <w:p w14:paraId="338DA1C3" w14:textId="0E7DFB82" w:rsidR="008D2F10" w:rsidRPr="00D43575" w:rsidRDefault="008D2F10" w:rsidP="008D2F10">
      <w:pPr>
        <w:pStyle w:val="SingleTxt"/>
        <w:tabs>
          <w:tab w:val="right" w:pos="1685"/>
        </w:tabs>
        <w:ind w:left="1742" w:hanging="475"/>
      </w:pPr>
      <w:r w:rsidRPr="00D43575">
        <w:tab/>
        <w:t>–</w:t>
      </w:r>
      <w:r w:rsidRPr="00D43575">
        <w:tab/>
        <w:t>En el momento actual, el Estado de Qatar está estudiando la posibilidad de ratificar otros instrumentos de derechos humanos, entre ellos el Pacto Internacional de Derechos Civiles y Políticos y el Pacto Internacional de Derechos Económicos, Sociales y Culturales</w:t>
      </w:r>
      <w:r w:rsidR="00083383" w:rsidRPr="00D43575">
        <w:t>.</w:t>
      </w:r>
    </w:p>
    <w:p w14:paraId="5B838184" w14:textId="77777777" w:rsidR="008D2F10" w:rsidRPr="00D43575" w:rsidRDefault="008D2F10" w:rsidP="00911F53">
      <w:pPr>
        <w:pStyle w:val="SingleTxt"/>
        <w:spacing w:after="0" w:line="120" w:lineRule="exact"/>
        <w:rPr>
          <w:sz w:val="10"/>
        </w:rPr>
      </w:pPr>
    </w:p>
    <w:p w14:paraId="5F0C9053" w14:textId="66F95C23" w:rsidR="008D2F10" w:rsidRPr="00D43575" w:rsidRDefault="006524E5" w:rsidP="00FC6BA7">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3640"/>
        <w:rPr>
          <w:bCs w:val="0"/>
          <w:szCs w:val="20"/>
        </w:rPr>
      </w:pPr>
      <w:r w:rsidRPr="00D43575">
        <w:rPr>
          <w:bCs w:val="0"/>
          <w:szCs w:val="20"/>
        </w:rPr>
        <w:tab/>
      </w:r>
      <w:r w:rsidR="008D2F10" w:rsidRPr="00D43575">
        <w:rPr>
          <w:bCs w:val="0"/>
          <w:szCs w:val="20"/>
        </w:rPr>
        <w:t>III</w:t>
      </w:r>
      <w:r w:rsidR="00083383" w:rsidRPr="00D43575">
        <w:rPr>
          <w:bCs w:val="0"/>
          <w:szCs w:val="20"/>
        </w:rPr>
        <w:t>.</w:t>
      </w:r>
      <w:r w:rsidR="008D2F10" w:rsidRPr="00D43575">
        <w:rPr>
          <w:bCs w:val="0"/>
          <w:szCs w:val="20"/>
        </w:rPr>
        <w:tab/>
        <w:t>Marco institucional para la promoción y la protección de los derechos humanos</w:t>
      </w:r>
    </w:p>
    <w:p w14:paraId="0009A529" w14:textId="77777777" w:rsidR="008D2F10" w:rsidRPr="00D43575" w:rsidRDefault="008D2F10" w:rsidP="008D2F10">
      <w:pPr>
        <w:pStyle w:val="SingleTxt"/>
        <w:spacing w:after="0" w:line="120" w:lineRule="exact"/>
        <w:rPr>
          <w:sz w:val="10"/>
        </w:rPr>
      </w:pPr>
    </w:p>
    <w:p w14:paraId="3BEEE1F4" w14:textId="37A3A5A1" w:rsidR="00083383" w:rsidRPr="00D43575" w:rsidRDefault="008D2F10" w:rsidP="001D1AD0">
      <w:pPr>
        <w:pStyle w:val="SingleTxt"/>
        <w:numPr>
          <w:ilvl w:val="0"/>
          <w:numId w:val="10"/>
        </w:numPr>
        <w:ind w:left="1267" w:firstLine="0"/>
      </w:pPr>
      <w:r w:rsidRPr="00D43575">
        <w:t>La creación de diversas instituciones gubernamentales y no gubernamentales para la promoción y protección de los derechos humanos, que son universales, indivisibles y están relacionados entre sí, atestigua el interés del Estado por las</w:t>
      </w:r>
      <w:r w:rsidR="00083383" w:rsidRPr="00D43575">
        <w:t xml:space="preserve"> </w:t>
      </w:r>
      <w:r w:rsidRPr="00D43575">
        <w:t>cuestiones de derechos humanos</w:t>
      </w:r>
      <w:r w:rsidR="00083383" w:rsidRPr="00D43575">
        <w:t>.</w:t>
      </w:r>
      <w:r w:rsidRPr="00D43575">
        <w:t xml:space="preserve"> A este respecto cabe destacar las siguientes actuaciones:</w:t>
      </w:r>
    </w:p>
    <w:p w14:paraId="1D773478" w14:textId="19ECC69B" w:rsidR="00083383" w:rsidRPr="00D43575" w:rsidRDefault="007D5836" w:rsidP="007D5836">
      <w:pPr>
        <w:pStyle w:val="SingleTxt"/>
        <w:tabs>
          <w:tab w:val="right" w:pos="1685"/>
        </w:tabs>
        <w:ind w:left="1742" w:hanging="475"/>
      </w:pPr>
      <w:r w:rsidRPr="00D43575">
        <w:tab/>
        <w:t>•</w:t>
      </w:r>
      <w:r w:rsidRPr="00D43575">
        <w:tab/>
      </w:r>
      <w:r w:rsidR="008D2F10" w:rsidRPr="00D43575">
        <w:t>El Consejo Supremo de Asuntos de la Familia ha sido disuelto</w:t>
      </w:r>
      <w:r w:rsidR="00083383" w:rsidRPr="00D43575">
        <w:t>.</w:t>
      </w:r>
      <w:r w:rsidR="008D2F10" w:rsidRPr="00D43575">
        <w:t xml:space="preserve"> Sus competencias se han asignado al Ministerio de Desarrollo Administrativo, Trabajo y Asuntos Sociales</w:t>
      </w:r>
      <w:r w:rsidR="00083383" w:rsidRPr="00D43575">
        <w:t>.</w:t>
      </w:r>
      <w:r w:rsidR="008D2F10" w:rsidRPr="00D43575">
        <w:t xml:space="preserve"> De conformidad con el principio que establece que debe haber un organismo público superior encargado de las cuestiones de la familia y, en particular, de la mujer, este Ministerio se ocupa de mejorar la situación en esta área, con arreglo al proyecto integral de desarrollo de la Visión Nacional de Qatar 2030</w:t>
      </w:r>
      <w:r w:rsidR="00083383" w:rsidRPr="00D43575">
        <w:t>.</w:t>
      </w:r>
      <w:r w:rsidR="008D2F10" w:rsidRPr="00D43575">
        <w:t xml:space="preserve"> El Departamento de Asuntos de la Familia del Ministerio se encarga de todo lo relativo a las cuestiones de la mujer</w:t>
      </w:r>
      <w:r w:rsidR="00083383" w:rsidRPr="00D43575">
        <w:t>.</w:t>
      </w:r>
      <w:r w:rsidR="008D2F10" w:rsidRPr="00D43575">
        <w:t xml:space="preserve"> Su objetivo es mejorar la condición y el papel de las mujeres en la sociedad, promover su adelanto y preservar la fuerza y la cohesión de las familias que se adhieren a la ética y los valores religiosos y son un modelo a seguir</w:t>
      </w:r>
      <w:r w:rsidR="00083383" w:rsidRPr="00D43575">
        <w:t>.</w:t>
      </w:r>
      <w:r w:rsidR="008D2F10" w:rsidRPr="00D43575">
        <w:t xml:space="preserve"> Su labor contribuye a la puesta en marcha de las estrategias, los planes y las políticas nacionales relativas a la mujer</w:t>
      </w:r>
      <w:r w:rsidR="00083383" w:rsidRPr="00D43575">
        <w:t>.</w:t>
      </w:r>
      <w:r w:rsidR="008D2F10" w:rsidRPr="00D43575">
        <w:t xml:space="preserve"> Además, tiene la responsabilidad de facilitar asistencia social, elaborar y ejecutar los programas de desarrollo social y realizar su seguimiento, en colaboración con las partes pertinentes</w:t>
      </w:r>
      <w:r w:rsidR="00083383" w:rsidRPr="00D43575">
        <w:t>.</w:t>
      </w:r>
    </w:p>
    <w:p w14:paraId="1670696F" w14:textId="50B81AB6" w:rsidR="008D2F10" w:rsidRPr="00D43575" w:rsidRDefault="007D5836" w:rsidP="007D5836">
      <w:pPr>
        <w:pStyle w:val="SingleTxt"/>
        <w:tabs>
          <w:tab w:val="right" w:pos="1685"/>
        </w:tabs>
        <w:ind w:left="1742" w:hanging="475"/>
      </w:pPr>
      <w:r w:rsidRPr="00D43575">
        <w:tab/>
        <w:t>•</w:t>
      </w:r>
      <w:r w:rsidRPr="00D43575">
        <w:tab/>
      </w:r>
      <w:r w:rsidR="008D2F10" w:rsidRPr="00D43575">
        <w:t>En 2010 el Comité Nacional de Derechos Humanos recibió por primera vez una acreditación A del Comité Internacional de Coordinación de las Instituciones Nacionales para la Promoción y la Protección de los Derechos Humanos (CIC) con sede en Ginebra</w:t>
      </w:r>
      <w:r w:rsidR="00083383" w:rsidRPr="00D43575">
        <w:t>.</w:t>
      </w:r>
      <w:r w:rsidR="008D2F10" w:rsidRPr="00D43575">
        <w:t xml:space="preserve"> En 2015 le fue otorgada de nuevo dicha</w:t>
      </w:r>
      <w:r w:rsidR="00083383" w:rsidRPr="00D43575">
        <w:t xml:space="preserve"> </w:t>
      </w:r>
      <w:r w:rsidR="008D2F10" w:rsidRPr="00D43575">
        <w:t>acreditación</w:t>
      </w:r>
      <w:r w:rsidR="00083383" w:rsidRPr="00D43575">
        <w:t>.</w:t>
      </w:r>
    </w:p>
    <w:p w14:paraId="7189739B" w14:textId="6C3F2034" w:rsidR="008D2F10" w:rsidRPr="00D43575" w:rsidRDefault="007D5836" w:rsidP="007D5836">
      <w:pPr>
        <w:pStyle w:val="SingleTxt"/>
        <w:tabs>
          <w:tab w:val="right" w:pos="1685"/>
        </w:tabs>
        <w:ind w:left="1742" w:hanging="475"/>
      </w:pPr>
      <w:r w:rsidRPr="00D43575">
        <w:tab/>
        <w:t>•</w:t>
      </w:r>
      <w:r w:rsidRPr="00D43575">
        <w:tab/>
      </w:r>
      <w:r w:rsidR="008D2F10" w:rsidRPr="00D43575">
        <w:t>En 2016 se estableció el Comité Nacional sobre la Trata de Personas con el fin de coordinar los esfuerzos nacionales para vigilar y combatir todas las formas de trata de personas</w:t>
      </w:r>
      <w:r w:rsidR="00083383" w:rsidRPr="00D43575">
        <w:t>.</w:t>
      </w:r>
      <w:r w:rsidR="008D2F10" w:rsidRPr="00D43575">
        <w:t xml:space="preserve"> Entre las responsabilidades de este Comité cabe destacar la preparación de un plan nacional sobre la trata de personas y la elaboración y publicación de un informe anual sobre las iniciativas nacionales encaminadas a</w:t>
      </w:r>
      <w:r w:rsidR="00083383" w:rsidRPr="00D43575">
        <w:t xml:space="preserve"> </w:t>
      </w:r>
      <w:r w:rsidR="008D2F10" w:rsidRPr="00D43575">
        <w:t>combatirla</w:t>
      </w:r>
      <w:r w:rsidR="00083383" w:rsidRPr="00D43575">
        <w:t>.</w:t>
      </w:r>
    </w:p>
    <w:p w14:paraId="4124E88F" w14:textId="432988CB" w:rsidR="008D2F10" w:rsidRPr="00D43575" w:rsidRDefault="007D5836" w:rsidP="007D5836">
      <w:pPr>
        <w:pStyle w:val="SingleTxt"/>
        <w:tabs>
          <w:tab w:val="right" w:pos="1685"/>
        </w:tabs>
        <w:ind w:left="1742" w:hanging="475"/>
      </w:pPr>
      <w:r w:rsidRPr="00D43575">
        <w:tab/>
        <w:t>•</w:t>
      </w:r>
      <w:r w:rsidRPr="00D43575">
        <w:tab/>
      </w:r>
      <w:r w:rsidR="008D2F10" w:rsidRPr="00D43575">
        <w:t>La Qatar Social Work Foundation, creada en 2013, es una institución de alto nivel cuyo directorio ejecutivo supervisa y vigila la labor de los organismos responsables de la labor social en el Estado</w:t>
      </w:r>
      <w:r w:rsidR="00083383" w:rsidRPr="00D43575">
        <w:t>.</w:t>
      </w:r>
      <w:r w:rsidR="008D2F10" w:rsidRPr="00D43575">
        <w:t xml:space="preserve"> La organización formula y elabora planes, programas, políticas y estrategias orientadas hacia el logro de los objetivos de las instituciones de la sociedad civil y el seguimiento de su aplicación, en cooperación y coordinación con ministerios y organismos gubernamentales y con entidades públicas y privadas, tanto en el país como en</w:t>
      </w:r>
      <w:r w:rsidR="00083383" w:rsidRPr="00D43575">
        <w:t xml:space="preserve"> </w:t>
      </w:r>
      <w:r w:rsidR="008D2F10" w:rsidRPr="00D43575">
        <w:t>el extranjero</w:t>
      </w:r>
      <w:r w:rsidR="00083383" w:rsidRPr="00D43575">
        <w:t>.</w:t>
      </w:r>
      <w:r w:rsidR="008D2F10" w:rsidRPr="00D43575">
        <w:t xml:space="preserve"> Incluye los siguientes componentes: 1) el Centro de Rehabilitación y Protección Social (Centro Aman), cuyo objetivo es proteger a los niños y las mujeres contra la violencia familiar; 2) el Centro de Información Familiar </w:t>
      </w:r>
      <w:r w:rsidR="008D2F10" w:rsidRPr="00D43575">
        <w:lastRenderedPageBreak/>
        <w:t>(Centro Wifaq); 3) el Centro para el Cuidado de Huérfanos; 4) el Centro para el Empoderamiento y el Cuidado de las Personas de Edad; 5) el Centro Shafallah para las Personas con Necesidades Especiales; 6) el Centro de Desarrollo Social; y 7) la iniciativa Best Buddies</w:t>
      </w:r>
      <w:r w:rsidR="00083383" w:rsidRPr="00D43575">
        <w:t>.</w:t>
      </w:r>
    </w:p>
    <w:p w14:paraId="3FFA9B7A" w14:textId="432E6463" w:rsidR="008D2F10" w:rsidRPr="00D43575" w:rsidRDefault="007D5836" w:rsidP="007D5836">
      <w:pPr>
        <w:pStyle w:val="SingleTxt"/>
        <w:tabs>
          <w:tab w:val="right" w:pos="1685"/>
        </w:tabs>
        <w:ind w:left="1742" w:hanging="475"/>
      </w:pPr>
      <w:r w:rsidRPr="00D43575">
        <w:tab/>
        <w:t>•</w:t>
      </w:r>
      <w:r w:rsidRPr="00D43575">
        <w:tab/>
      </w:r>
      <w:r w:rsidR="008D2F10" w:rsidRPr="00D43575">
        <w:t>La Fundación Educación ante Todo se fundó en 2012 y su misión es dar a los niños acceso a la educación en zonas pobres o que sufran conflictos armados</w:t>
      </w:r>
      <w:r w:rsidR="00083383" w:rsidRPr="00D43575">
        <w:t>.</w:t>
      </w:r>
    </w:p>
    <w:p w14:paraId="0C2B75E2" w14:textId="556D624F" w:rsidR="008D2F10" w:rsidRPr="00D43575" w:rsidRDefault="007D5836" w:rsidP="007D5836">
      <w:pPr>
        <w:pStyle w:val="SingleTxt"/>
        <w:tabs>
          <w:tab w:val="right" w:pos="1685"/>
        </w:tabs>
        <w:ind w:left="1742" w:hanging="475"/>
      </w:pPr>
      <w:r w:rsidRPr="00D43575">
        <w:tab/>
        <w:t>•</w:t>
      </w:r>
      <w:r w:rsidRPr="00D43575">
        <w:tab/>
      </w:r>
      <w:r w:rsidR="008D2F10" w:rsidRPr="00D43575">
        <w:t>La Comisión Nacional de Derecho Internacional Humanitario, constituida mediante la resolución del Consejo de Ministros núm</w:t>
      </w:r>
      <w:r w:rsidR="00083383" w:rsidRPr="00D43575">
        <w:t>.</w:t>
      </w:r>
      <w:r w:rsidR="008D2F10" w:rsidRPr="00D43575">
        <w:t xml:space="preserve"> 27/2012, presenta recomendaciones al Estado sobre la aplicación y difusión del derecho internacional humanitario</w:t>
      </w:r>
      <w:r w:rsidR="00083383" w:rsidRPr="00D43575">
        <w:t>.</w:t>
      </w:r>
    </w:p>
    <w:p w14:paraId="7A561B6A" w14:textId="46C9F1C5" w:rsidR="008D2F10" w:rsidRPr="00D43575" w:rsidRDefault="007D5836" w:rsidP="007D5836">
      <w:pPr>
        <w:pStyle w:val="SingleTxt"/>
        <w:tabs>
          <w:tab w:val="right" w:pos="1685"/>
        </w:tabs>
        <w:ind w:left="1742" w:hanging="475"/>
      </w:pPr>
      <w:r w:rsidRPr="00D43575">
        <w:tab/>
        <w:t>•</w:t>
      </w:r>
      <w:r w:rsidRPr="00D43575">
        <w:tab/>
      </w:r>
      <w:r w:rsidR="008D2F10" w:rsidRPr="00D43575">
        <w:t>El Comité Permanente de Emergencias, constituido en virtud de la resolución del Consejo de Ministros núm</w:t>
      </w:r>
      <w:r w:rsidR="00083383" w:rsidRPr="00D43575">
        <w:t>.</w:t>
      </w:r>
      <w:r w:rsidR="008D2F10" w:rsidRPr="00D43575">
        <w:t xml:space="preserve"> 14/2011, realiza estudios y elabora planes y procedimientos para responder a las situaciones de desastre natural, socorrer sin tardanza a los damnificados, asegurar los transportes y las comunicaciones y diseñar planes de divulgación y difundirlos en los medios de comunicación</w:t>
      </w:r>
      <w:r w:rsidR="00083383" w:rsidRPr="00D43575">
        <w:t>.</w:t>
      </w:r>
    </w:p>
    <w:p w14:paraId="5466BA2D" w14:textId="04CE8E10" w:rsidR="008D2F10" w:rsidRPr="00D43575" w:rsidRDefault="007D5836" w:rsidP="007D5836">
      <w:pPr>
        <w:pStyle w:val="SingleTxt"/>
        <w:tabs>
          <w:tab w:val="right" w:pos="1685"/>
        </w:tabs>
        <w:ind w:left="1742" w:hanging="475"/>
      </w:pPr>
      <w:r w:rsidRPr="00D43575">
        <w:tab/>
        <w:t>•</w:t>
      </w:r>
      <w:r w:rsidRPr="00D43575">
        <w:tab/>
      </w:r>
      <w:r w:rsidR="008D2F10" w:rsidRPr="00D43575">
        <w:t>La Comisión Nacional sobre el Cambio Climático y para un Desarrollo Limpio fue constituida en virtud de la decisión del Consejo de Ministros núm</w:t>
      </w:r>
      <w:r w:rsidR="00083383" w:rsidRPr="00D43575">
        <w:t>.</w:t>
      </w:r>
      <w:r w:rsidR="008D2F10" w:rsidRPr="00D43575">
        <w:t xml:space="preserve"> 15/2011</w:t>
      </w:r>
      <w:r w:rsidR="00083383" w:rsidRPr="00D43575">
        <w:t>.</w:t>
      </w:r>
      <w:r w:rsidR="008D2F10" w:rsidRPr="00D43575">
        <w:t xml:space="preserve"> Su objetivo es hacer un seguimiento de las recomendaciones formuladas en las reuniones de la Conferencia de las Partes en la Convención Marco de las Naciones Unidas sobre el Cambio Climático y su Protocolo de Kyoto y garantizar el cumplimiento de los compromisos contraídos en virtud de ambos instrumentos</w:t>
      </w:r>
      <w:r w:rsidR="00083383" w:rsidRPr="00D43575">
        <w:t>.</w:t>
      </w:r>
    </w:p>
    <w:p w14:paraId="0401362E" w14:textId="102413EB" w:rsidR="008D2F10" w:rsidRPr="00D43575" w:rsidRDefault="007D5836" w:rsidP="007D5836">
      <w:pPr>
        <w:pStyle w:val="SingleTxt"/>
        <w:tabs>
          <w:tab w:val="right" w:pos="1685"/>
        </w:tabs>
        <w:ind w:left="1742" w:hanging="475"/>
      </w:pPr>
      <w:r w:rsidRPr="00D43575">
        <w:tab/>
        <w:t>•</w:t>
      </w:r>
      <w:r w:rsidRPr="00D43575">
        <w:tab/>
      </w:r>
      <w:r w:rsidR="008D2F10" w:rsidRPr="00D43575">
        <w:t>El Comité Nacional de Seguridad y Salud Ocupacional, establecido en virtud de la resolución del Consejo de Ministros núm</w:t>
      </w:r>
      <w:r w:rsidR="00083383" w:rsidRPr="00D43575">
        <w:t>.</w:t>
      </w:r>
      <w:r w:rsidR="008D2F10" w:rsidRPr="00D43575">
        <w:t xml:space="preserve"> 16/2011, propone políticas, programas y regulaciones nacionales en materia de seguridad y salud ocupacional</w:t>
      </w:r>
      <w:r w:rsidR="00083383" w:rsidRPr="00D43575">
        <w:t>.</w:t>
      </w:r>
    </w:p>
    <w:p w14:paraId="3D88306B" w14:textId="76FDB6B2" w:rsidR="008D2F10" w:rsidRPr="00D43575" w:rsidRDefault="007D5836" w:rsidP="007D5836">
      <w:pPr>
        <w:pStyle w:val="SingleTxt"/>
        <w:tabs>
          <w:tab w:val="right" w:pos="1685"/>
        </w:tabs>
        <w:ind w:left="1742" w:hanging="475"/>
      </w:pPr>
      <w:r w:rsidRPr="00D43575">
        <w:tab/>
        <w:t>•</w:t>
      </w:r>
      <w:r w:rsidRPr="00D43575">
        <w:tab/>
      </w:r>
      <w:r w:rsidR="008D2F10" w:rsidRPr="00D43575">
        <w:t xml:space="preserve">La Autoridad de Control Administrativo y Transparencia, instituida en virtud del Decreto </w:t>
      </w:r>
      <w:r w:rsidR="009D5F93">
        <w:t>del Emir</w:t>
      </w:r>
      <w:r w:rsidR="009D5F93" w:rsidRPr="009D5F93">
        <w:t xml:space="preserve"> </w:t>
      </w:r>
      <w:r w:rsidR="008D2F10" w:rsidRPr="009D5F93">
        <w:t>núm</w:t>
      </w:r>
      <w:r w:rsidR="00083383" w:rsidRPr="009D5F93">
        <w:t>.</w:t>
      </w:r>
      <w:r w:rsidR="008D2F10" w:rsidRPr="009D5F93">
        <w:t xml:space="preserve"> 75/2011, ejerce funciones de control, vela por la transparencia y la integridad y lucha contra la corrupción en todas sus forma</w:t>
      </w:r>
      <w:r w:rsidR="008D2F10" w:rsidRPr="00D43575">
        <w:t>s y manifestaciones</w:t>
      </w:r>
      <w:r w:rsidR="00083383" w:rsidRPr="00D43575">
        <w:t>.</w:t>
      </w:r>
    </w:p>
    <w:p w14:paraId="686AAEFA" w14:textId="449F3A98" w:rsidR="008D2F10" w:rsidRPr="00D43575" w:rsidRDefault="007D5836" w:rsidP="007D5836">
      <w:pPr>
        <w:pStyle w:val="SingleTxt"/>
        <w:tabs>
          <w:tab w:val="right" w:pos="1685"/>
        </w:tabs>
        <w:ind w:left="1742" w:hanging="475"/>
      </w:pPr>
      <w:r w:rsidRPr="00D43575">
        <w:tab/>
        <w:t>•</w:t>
      </w:r>
      <w:r w:rsidRPr="00D43575">
        <w:tab/>
      </w:r>
      <w:r w:rsidR="008D2F10" w:rsidRPr="00D43575">
        <w:t>El Comité Nacional para la Alianza de Civilizaciones se creó en virtud de la resolución del Consejo de Ministros núm</w:t>
      </w:r>
      <w:r w:rsidR="00083383" w:rsidRPr="00D43575">
        <w:t>.</w:t>
      </w:r>
      <w:r w:rsidR="008D2F10" w:rsidRPr="00D43575">
        <w:t xml:space="preserve"> 8/2010 y su objetivo es combatir la intolerancia e inculcar los valores de la tolerancia, la solidaridad y la paz entre los pueblos del mundo, y promover el desarrollo humano</w:t>
      </w:r>
      <w:r w:rsidR="00083383" w:rsidRPr="00D43575">
        <w:t>.</w:t>
      </w:r>
    </w:p>
    <w:p w14:paraId="5FC7AAEC" w14:textId="21ABE520" w:rsidR="008D2F10" w:rsidRPr="00D43575" w:rsidRDefault="007D5836" w:rsidP="007D5836">
      <w:pPr>
        <w:pStyle w:val="SingleTxt"/>
        <w:tabs>
          <w:tab w:val="right" w:pos="1685"/>
        </w:tabs>
        <w:ind w:left="1742" w:hanging="475"/>
      </w:pPr>
      <w:r w:rsidRPr="00D43575">
        <w:tab/>
        <w:t>•</w:t>
      </w:r>
      <w:r w:rsidRPr="00D43575">
        <w:tab/>
      </w:r>
      <w:r w:rsidR="008D2F10" w:rsidRPr="00D43575">
        <w:t>La iniciativa Silatech, que se puso en marcha en 2008, tiene por objeto ampliar las oportunidades de empleo para los jóvenes árabes</w:t>
      </w:r>
      <w:r w:rsidR="00083383" w:rsidRPr="00D43575">
        <w:t>.</w:t>
      </w:r>
      <w:r w:rsidR="008D2F10" w:rsidRPr="00D43575">
        <w:t xml:space="preserve"> Sus programas abarcan actualmente a 16 países árabes</w:t>
      </w:r>
      <w:r w:rsidR="00083383" w:rsidRPr="00D43575">
        <w:t>.</w:t>
      </w:r>
    </w:p>
    <w:p w14:paraId="09F5147A" w14:textId="77777777" w:rsidR="008D2F10" w:rsidRPr="00D43575" w:rsidRDefault="008D2F10" w:rsidP="008D2F10">
      <w:pPr>
        <w:pStyle w:val="SingleTxt"/>
        <w:spacing w:after="0" w:line="120" w:lineRule="exact"/>
        <w:rPr>
          <w:sz w:val="10"/>
        </w:rPr>
      </w:pPr>
    </w:p>
    <w:p w14:paraId="1A1F3FA6" w14:textId="3FE29DDD" w:rsidR="008D2F10" w:rsidRPr="00D43575" w:rsidRDefault="006524E5"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008D2F10" w:rsidRPr="00D43575">
        <w:rPr>
          <w:bCs w:val="0"/>
          <w:szCs w:val="20"/>
        </w:rPr>
        <w:t>IV</w:t>
      </w:r>
      <w:r w:rsidR="00083383" w:rsidRPr="00D43575">
        <w:rPr>
          <w:bCs w:val="0"/>
          <w:szCs w:val="20"/>
        </w:rPr>
        <w:t>.</w:t>
      </w:r>
      <w:r w:rsidR="008D2F10" w:rsidRPr="00D43575">
        <w:rPr>
          <w:bCs w:val="0"/>
          <w:szCs w:val="20"/>
        </w:rPr>
        <w:tab/>
        <w:t>Avances en las políticas y estrategias</w:t>
      </w:r>
    </w:p>
    <w:p w14:paraId="3BD9870A" w14:textId="77777777" w:rsidR="008D2F10" w:rsidRPr="00D43575" w:rsidRDefault="008D2F10" w:rsidP="008D2F10">
      <w:pPr>
        <w:pStyle w:val="SingleTxt"/>
        <w:spacing w:after="0" w:line="120" w:lineRule="exact"/>
        <w:rPr>
          <w:sz w:val="10"/>
        </w:rPr>
      </w:pPr>
    </w:p>
    <w:p w14:paraId="231E6C44" w14:textId="5B4E9440" w:rsidR="008D2F10" w:rsidRPr="00D43575" w:rsidRDefault="008D2F10" w:rsidP="001D1AD0">
      <w:pPr>
        <w:pStyle w:val="SingleTxt"/>
        <w:numPr>
          <w:ilvl w:val="0"/>
          <w:numId w:val="10"/>
        </w:numPr>
        <w:ind w:left="1267" w:firstLine="0"/>
      </w:pPr>
      <w:r w:rsidRPr="00D43575">
        <w:t>El Estado de Qatar ha prestado una atención cada vez mayor a los derechos humanos</w:t>
      </w:r>
      <w:r w:rsidR="00083383" w:rsidRPr="00D43575">
        <w:t>.</w:t>
      </w:r>
      <w:r w:rsidRPr="00D43575">
        <w:t xml:space="preserve"> En ese sentido, ha adoptado medidas legislativas, judiciales, administrativas y de otra índole para hacer efectivos estos derechos y proporcionar los medios para consolidarlos, desarrollarlos y actualizarlos en el marco del desarrollo social integral</w:t>
      </w:r>
      <w:r w:rsidR="00083383" w:rsidRPr="00D43575">
        <w:t>.</w:t>
      </w:r>
      <w:r w:rsidRPr="00D43575">
        <w:t xml:space="preserve"> Este interés por los derechos humanos se sustenta en una serie de documentos nacionales básicos, principalmente la Visión Nacional de Qatar 2030, la I Estrategia Nacional de Desarrollo 2011</w:t>
      </w:r>
      <w:r w:rsidR="00FC6BA7" w:rsidRPr="00D43575">
        <w:noBreakHyphen/>
      </w:r>
      <w:r w:rsidRPr="00D43575">
        <w:t>2016 y la II Estrategia Nacional de Desarrollo 2018</w:t>
      </w:r>
      <w:r w:rsidR="00FC6BA7" w:rsidRPr="00D43575">
        <w:noBreakHyphen/>
      </w:r>
      <w:r w:rsidRPr="00D43575">
        <w:t>2022, así como en otros documentos relativos a estrategias sectoriales</w:t>
      </w:r>
      <w:r w:rsidR="00083383" w:rsidRPr="00D43575">
        <w:t>.</w:t>
      </w:r>
      <w:r w:rsidRPr="00D43575">
        <w:t xml:space="preserve"> Esos referentes proporcionan un entorno propicio y sólido para la defensa de los derechos humanos que se ajusta al enfoque invocado en los tratados y las </w:t>
      </w:r>
      <w:r w:rsidRPr="00D43575">
        <w:lastRenderedPageBreak/>
        <w:t>convenciones internacionales</w:t>
      </w:r>
      <w:r w:rsidR="00083383" w:rsidRPr="00D43575">
        <w:t>.</w:t>
      </w:r>
      <w:r w:rsidRPr="00D43575">
        <w:t xml:space="preserve"> Entre estas políticas y estrategias conviene señalar las siguientes:</w:t>
      </w:r>
    </w:p>
    <w:p w14:paraId="612C3A2D" w14:textId="4F84D50E" w:rsidR="008D2F10" w:rsidRPr="00D43575" w:rsidRDefault="008D2F10" w:rsidP="008D2F10">
      <w:pPr>
        <w:pStyle w:val="SingleTxt"/>
        <w:tabs>
          <w:tab w:val="right" w:pos="1685"/>
        </w:tabs>
        <w:ind w:left="1742" w:hanging="475"/>
      </w:pPr>
      <w:r w:rsidRPr="00D43575">
        <w:tab/>
        <w:t>–</w:t>
      </w:r>
      <w:r w:rsidRPr="00D43575">
        <w:tab/>
        <w:t>La Estrategia para el Mercado de Trabajo 2011</w:t>
      </w:r>
      <w:r w:rsidR="00083383" w:rsidRPr="00D43575">
        <w:noBreakHyphen/>
      </w:r>
      <w:r w:rsidRPr="00D43575">
        <w:t>2016 busca garantizar la disponibilidad de trabajadores cualificados y capaces de satisfacer las prioridades nacionales de desarrollo;</w:t>
      </w:r>
    </w:p>
    <w:p w14:paraId="78C0C981" w14:textId="7E18E59F" w:rsidR="008D2F10" w:rsidRPr="00D43575" w:rsidRDefault="008D2F10" w:rsidP="008D2F10">
      <w:pPr>
        <w:pStyle w:val="SingleTxt"/>
        <w:tabs>
          <w:tab w:val="right" w:pos="1685"/>
        </w:tabs>
        <w:ind w:left="1742" w:hanging="475"/>
      </w:pPr>
      <w:r w:rsidRPr="00D43575">
        <w:tab/>
        <w:t>–</w:t>
      </w:r>
      <w:r w:rsidRPr="00D43575">
        <w:tab/>
        <w:t>La Estrategia para la Cohesión Familiar y el Empoderamiento de la Mujer (2011</w:t>
      </w:r>
      <w:r w:rsidR="00083383" w:rsidRPr="00D43575">
        <w:noBreakHyphen/>
      </w:r>
      <w:r w:rsidRPr="00D43575">
        <w:t>2016) pretende reforzar la cohesión familiar, racionalizar el empleo de la mano de obra nacional, reducir los casos de violencia doméstica y proporcionar protección y apoyo a las familias afectadas, apoyar y empoderar a las familias económica y socialmente vulnerables, ayudar a las mujeres a</w:t>
      </w:r>
      <w:r w:rsidR="00083383" w:rsidRPr="00D43575">
        <w:t xml:space="preserve"> </w:t>
      </w:r>
      <w:r w:rsidRPr="00D43575">
        <w:t>conciliar su vida laboral y familiar y empoderar a la mujer en todos los</w:t>
      </w:r>
      <w:r w:rsidR="00083383" w:rsidRPr="00D43575">
        <w:t xml:space="preserve"> </w:t>
      </w:r>
      <w:r w:rsidRPr="00D43575">
        <w:t>ámbitos;</w:t>
      </w:r>
    </w:p>
    <w:p w14:paraId="16FF4F0E" w14:textId="40D9A5FA" w:rsidR="008D2F10" w:rsidRPr="00D43575" w:rsidRDefault="008D2F10" w:rsidP="008D2F10">
      <w:pPr>
        <w:pStyle w:val="SingleTxt"/>
        <w:tabs>
          <w:tab w:val="right" w:pos="1685"/>
        </w:tabs>
        <w:ind w:left="1742" w:hanging="475"/>
      </w:pPr>
      <w:r w:rsidRPr="00D43575">
        <w:tab/>
        <w:t>–</w:t>
      </w:r>
      <w:r w:rsidRPr="00D43575">
        <w:tab/>
        <w:t>La Estrategia Nacional de la Salud (2017</w:t>
      </w:r>
      <w:r w:rsidR="00083383" w:rsidRPr="00D43575">
        <w:noBreakHyphen/>
      </w:r>
      <w:r w:rsidRPr="00D43575">
        <w:t>2022) tiene como objetivo lograr mejores resultados en materia de salud, ofrecer una atención más amplia y prestar mejores servicios;</w:t>
      </w:r>
    </w:p>
    <w:p w14:paraId="5B8882DB" w14:textId="2734D6C3" w:rsidR="008D2F10" w:rsidRPr="00D43575" w:rsidRDefault="008D2F10" w:rsidP="008D2F10">
      <w:pPr>
        <w:pStyle w:val="SingleTxt"/>
        <w:tabs>
          <w:tab w:val="right" w:pos="1685"/>
        </w:tabs>
        <w:ind w:left="1742" w:hanging="475"/>
      </w:pPr>
      <w:r w:rsidRPr="00D43575">
        <w:tab/>
        <w:t>–</w:t>
      </w:r>
      <w:r w:rsidRPr="00D43575">
        <w:tab/>
        <w:t>La Estrategia Nacional de Atención Primaria de la Salud (2013</w:t>
      </w:r>
      <w:r w:rsidR="00083383" w:rsidRPr="00D43575">
        <w:noBreakHyphen/>
      </w:r>
      <w:r w:rsidRPr="00D43575">
        <w:t>2018) propone un sistema integral y de excelencia de atención de la salud para afrontar los retos sanitarios futuros y ofrecer una respuesta;</w:t>
      </w:r>
    </w:p>
    <w:p w14:paraId="1F11034C" w14:textId="27DE2B34" w:rsidR="008D2F10" w:rsidRPr="00D43575" w:rsidRDefault="008D2F10" w:rsidP="008D2F10">
      <w:pPr>
        <w:pStyle w:val="SingleTxt"/>
        <w:tabs>
          <w:tab w:val="right" w:pos="1685"/>
        </w:tabs>
        <w:ind w:left="1742" w:hanging="475"/>
      </w:pPr>
      <w:r w:rsidRPr="00D43575">
        <w:tab/>
        <w:t>–</w:t>
      </w:r>
      <w:r w:rsidRPr="00D43575">
        <w:tab/>
        <w:t>La Estrategia Nacional de Educación y Formación (2011</w:t>
      </w:r>
      <w:r w:rsidR="00083383" w:rsidRPr="00D43575">
        <w:noBreakHyphen/>
      </w:r>
      <w:r w:rsidRPr="00D43575">
        <w:t>2016) tiene como objetivo lograr un sistema educativo a la altura de los mejores del mundo;</w:t>
      </w:r>
    </w:p>
    <w:p w14:paraId="6AB83820" w14:textId="650AA9D6" w:rsidR="008D2F10" w:rsidRPr="00D43575" w:rsidRDefault="008D2F10" w:rsidP="008D2F10">
      <w:pPr>
        <w:pStyle w:val="SingleTxt"/>
        <w:tabs>
          <w:tab w:val="right" w:pos="1685"/>
        </w:tabs>
        <w:ind w:left="1742" w:hanging="475"/>
      </w:pPr>
      <w:r w:rsidRPr="00D43575">
        <w:tab/>
        <w:t>–</w:t>
      </w:r>
      <w:r w:rsidRPr="00D43575">
        <w:tab/>
        <w:t>La Estrategia para la Protección Social (2011</w:t>
      </w:r>
      <w:r w:rsidR="00083383" w:rsidRPr="00D43575">
        <w:noBreakHyphen/>
      </w:r>
      <w:r w:rsidRPr="00D43575">
        <w:t>2016) pretende renovar el compromiso del Estado con los valores y principios árabes e islámicos, proteger a la familia qatarí y convertirla en el eje central del desarrollo social;</w:t>
      </w:r>
    </w:p>
    <w:p w14:paraId="384E0256" w14:textId="718E2962" w:rsidR="008D2F10" w:rsidRPr="00D43575" w:rsidRDefault="008D2F10" w:rsidP="008D2F10">
      <w:pPr>
        <w:pStyle w:val="SingleTxt"/>
        <w:tabs>
          <w:tab w:val="right" w:pos="1685"/>
        </w:tabs>
        <w:ind w:left="1742" w:hanging="475"/>
      </w:pPr>
      <w:r w:rsidRPr="00D43575">
        <w:tab/>
        <w:t>–</w:t>
      </w:r>
      <w:r w:rsidRPr="00D43575">
        <w:tab/>
        <w:t>La Estrategia Nacional de Seguridad Vial (2013</w:t>
      </w:r>
      <w:r w:rsidR="00083383" w:rsidRPr="00D43575">
        <w:noBreakHyphen/>
      </w:r>
      <w:r w:rsidRPr="00D43575">
        <w:t>2022) tiene como objetivo reducir el número de víctimas de los accidentes de tráfico y las cifras anuales de muertos a consecuencia de esos accidentes;</w:t>
      </w:r>
    </w:p>
    <w:p w14:paraId="0DDB4D34" w14:textId="2D16C2C1" w:rsidR="008D2F10" w:rsidRPr="00D43575" w:rsidRDefault="008D2F10" w:rsidP="008D2F10">
      <w:pPr>
        <w:pStyle w:val="SingleTxt"/>
        <w:tabs>
          <w:tab w:val="right" w:pos="1685"/>
        </w:tabs>
        <w:ind w:left="1742" w:hanging="475"/>
      </w:pPr>
      <w:r w:rsidRPr="00D43575">
        <w:tab/>
        <w:t>–</w:t>
      </w:r>
      <w:r w:rsidRPr="00D43575">
        <w:tab/>
        <w:t>La Estrategia Nacional para el Autismo (2017</w:t>
      </w:r>
      <w:r w:rsidR="00083383" w:rsidRPr="00D43575">
        <w:noBreakHyphen/>
      </w:r>
      <w:r w:rsidRPr="00D43575">
        <w:t>2021) busca elaborar un enfoque amplio e integrado para la atención a las personas autistas de todas las</w:t>
      </w:r>
      <w:r w:rsidR="00083383" w:rsidRPr="00D43575">
        <w:t xml:space="preserve"> </w:t>
      </w:r>
      <w:r w:rsidRPr="00D43575">
        <w:t>edades;</w:t>
      </w:r>
    </w:p>
    <w:p w14:paraId="312D841B" w14:textId="7B51DC0D" w:rsidR="008D2F10" w:rsidRPr="00D43575" w:rsidRDefault="008D2F10" w:rsidP="00217E8A">
      <w:pPr>
        <w:pStyle w:val="SingleTxt"/>
        <w:tabs>
          <w:tab w:val="right" w:pos="1685"/>
        </w:tabs>
        <w:ind w:left="1742" w:hanging="475"/>
      </w:pPr>
      <w:r w:rsidRPr="00D43575">
        <w:tab/>
        <w:t>–</w:t>
      </w:r>
      <w:r w:rsidRPr="00D43575">
        <w:tab/>
        <w:t>La Estrategia Nacional de Población (2017</w:t>
      </w:r>
      <w:r w:rsidR="00083383" w:rsidRPr="00D43575">
        <w:noBreakHyphen/>
      </w:r>
      <w:r w:rsidRPr="00D43575">
        <w:t>2022) tiene como objetivo controlar la elevada tasa de crecimiento de la población y reducir el impacto de los cambios en su composición; incluye una política de población que se centra en las cuestiones relacionadas con las mujeres y los niños, cuyo objetivo primordial es apoyar la participación social de las mujeres y crear las</w:t>
      </w:r>
      <w:r w:rsidR="00083383" w:rsidRPr="00D43575">
        <w:t xml:space="preserve"> </w:t>
      </w:r>
      <w:r w:rsidRPr="00D43575">
        <w:t>condiciones necesarias para aumentar su participación en la fuerza de trabajo, así como preservar la cohesión familiar y garantizar un entorno seguro para los niños</w:t>
      </w:r>
      <w:r w:rsidR="00083383" w:rsidRPr="00D43575">
        <w:t>.</w:t>
      </w:r>
    </w:p>
    <w:p w14:paraId="3A31CCD6" w14:textId="77777777" w:rsidR="008D2F10" w:rsidRPr="00D43575" w:rsidRDefault="008D2F10" w:rsidP="008D2F10">
      <w:pPr>
        <w:pStyle w:val="SingleTxt"/>
        <w:spacing w:after="0" w:line="120" w:lineRule="exact"/>
        <w:rPr>
          <w:sz w:val="10"/>
        </w:rPr>
      </w:pPr>
    </w:p>
    <w:p w14:paraId="238BFD18" w14:textId="0BE05702" w:rsidR="008D2F10" w:rsidRPr="00D43575" w:rsidRDefault="006524E5"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008D2F10" w:rsidRPr="00D43575">
        <w:rPr>
          <w:bCs w:val="0"/>
          <w:szCs w:val="20"/>
        </w:rPr>
        <w:t>V</w:t>
      </w:r>
      <w:r w:rsidR="00083383" w:rsidRPr="00D43575">
        <w:rPr>
          <w:bCs w:val="0"/>
          <w:szCs w:val="20"/>
        </w:rPr>
        <w:t>.</w:t>
      </w:r>
      <w:r w:rsidR="008D2F10" w:rsidRPr="00D43575">
        <w:rPr>
          <w:bCs w:val="0"/>
          <w:szCs w:val="20"/>
        </w:rPr>
        <w:tab/>
        <w:t>Avances en el ámbito de la cooperación internacional</w:t>
      </w:r>
    </w:p>
    <w:p w14:paraId="4C7942E8" w14:textId="77777777" w:rsidR="008D2F10" w:rsidRPr="00D43575" w:rsidRDefault="008D2F10" w:rsidP="008D2F10">
      <w:pPr>
        <w:pStyle w:val="SingleTxt"/>
        <w:spacing w:after="0" w:line="120" w:lineRule="exact"/>
        <w:rPr>
          <w:sz w:val="10"/>
        </w:rPr>
      </w:pPr>
    </w:p>
    <w:p w14:paraId="6308992B" w14:textId="0C6A20C1" w:rsidR="008D2F10" w:rsidRPr="00D43575" w:rsidRDefault="008D2F10" w:rsidP="001D1AD0">
      <w:pPr>
        <w:pStyle w:val="SingleTxt"/>
        <w:numPr>
          <w:ilvl w:val="0"/>
          <w:numId w:val="10"/>
        </w:numPr>
        <w:ind w:left="1267" w:firstLine="0"/>
      </w:pPr>
      <w:r w:rsidRPr="00D43575">
        <w:t>El Estado ha continuado acogiendo conferencias y foros mundiales relacionados con el desarrollo, la democracia, los derechos humanos y la promoción de la cultura de la paz</w:t>
      </w:r>
      <w:r w:rsidR="00083383" w:rsidRPr="00D43575">
        <w:t>.</w:t>
      </w:r>
      <w:r w:rsidRPr="00D43575">
        <w:t xml:space="preserve"> El Gobierno acoge anualmente el Foro de Doha, la Conferencia de Diálogo Interconfesional y el Foro Estados Unidos</w:t>
      </w:r>
      <w:r w:rsidR="00083383" w:rsidRPr="00D43575">
        <w:noBreakHyphen/>
      </w:r>
      <w:r w:rsidRPr="00D43575">
        <w:t>Mundo Islámico</w:t>
      </w:r>
      <w:r w:rsidR="00083383" w:rsidRPr="00D43575">
        <w:t>.</w:t>
      </w:r>
      <w:r w:rsidRPr="00D43575">
        <w:t xml:space="preserve"> En 2011 organizó el Cuarto Foro Mundial de la Alianza de Civilizaciones de las Naciones Unidas</w:t>
      </w:r>
      <w:r w:rsidR="00083383" w:rsidRPr="00D43575">
        <w:t>.</w:t>
      </w:r>
      <w:r w:rsidRPr="00D43575">
        <w:t xml:space="preserve"> Asimismo, en marzo de 2014 acogió la Reunión de Doha para la Promoción de la Libertad Religiosa mediante la Cooperación Interconfesional, en el marco del Proceso de Estambul para la Lucha contra la Intolerancia, la Discriminación y la Incitación al Odio o a la Violencia por Motivos de Religión o de Creencias</w:t>
      </w:r>
      <w:r w:rsidR="00083383" w:rsidRPr="00D43575">
        <w:t>.</w:t>
      </w:r>
      <w:r w:rsidRPr="00D43575">
        <w:t xml:space="preserve"> En 2015 organizó el 13º Congreso de las Naciones Unidas sobre Prevención del Delito y Justicia Penal, que dio lugar a la Declaración de Doha</w:t>
      </w:r>
      <w:r w:rsidR="00083383" w:rsidRPr="00D43575">
        <w:t>.</w:t>
      </w:r>
      <w:r w:rsidRPr="00D43575">
        <w:t xml:space="preserve"> Además, ha proporcionado 49 millones de dólares de los Estados Unidos a la Oficina de las Naciones Unidas contra la Droga y el Delito (UNODC) para ejecutar sus programas de capacitación sobre la Declaración de Doha, los cuales se prolongarán hasta 2020</w:t>
      </w:r>
      <w:r w:rsidR="00083383" w:rsidRPr="00D43575">
        <w:t>.</w:t>
      </w:r>
      <w:r w:rsidRPr="00D43575">
        <w:t xml:space="preserve"> En enero de 2016, Qatar organizó una </w:t>
      </w:r>
      <w:r w:rsidRPr="00D43575">
        <w:lastRenderedPageBreak/>
        <w:t>conferencia regional sobre el papel que desempeña la Oficina del Alto Comisionado de las Naciones Unidas para los Derechos Humanos (ACNUDH) en la promoción y protección de los derechos humanos en la región árabe y, en abril del mismo año, acogió el Foro Regional de Asia de las Naciones Unidas sobre las Empresas y los Derechos Humanos</w:t>
      </w:r>
      <w:r w:rsidR="00083383" w:rsidRPr="00D43575">
        <w:t>.</w:t>
      </w:r>
      <w:r w:rsidRPr="00D43575">
        <w:t xml:space="preserve"> En febrero de 2017, organizó una conferencia internacional sobre los enfoques de derechos humanos para hacer frente a las situaciones de conflicto en la</w:t>
      </w:r>
      <w:r w:rsidR="00083383" w:rsidRPr="00D43575">
        <w:t xml:space="preserve"> </w:t>
      </w:r>
      <w:r w:rsidRPr="00D43575">
        <w:t>región árabe</w:t>
      </w:r>
      <w:r w:rsidR="00083383" w:rsidRPr="00D43575">
        <w:t>.</w:t>
      </w:r>
    </w:p>
    <w:p w14:paraId="5BE8ED1F" w14:textId="39360F8A" w:rsidR="008D2F10" w:rsidRPr="00D43575" w:rsidRDefault="008D2F10" w:rsidP="001D1AD0">
      <w:pPr>
        <w:pStyle w:val="SingleTxt"/>
        <w:numPr>
          <w:ilvl w:val="0"/>
          <w:numId w:val="10"/>
        </w:numPr>
        <w:ind w:left="1267" w:firstLine="0"/>
      </w:pPr>
      <w:r w:rsidRPr="00D43575">
        <w:t xml:space="preserve">Qatar acoge el Centro de las Naciones Unidas de Capacitación y Documentación sobre Derechos Humanos para Asia Sudoccidental y la Región Árabe, que fue establecido en aplicación de la resolución </w:t>
      </w:r>
      <w:hyperlink r:id="rId19" w:history="1">
        <w:r w:rsidRPr="007D60C1">
          <w:rPr>
            <w:rStyle w:val="Hyperlink"/>
          </w:rPr>
          <w:t>60/153</w:t>
        </w:r>
      </w:hyperlink>
      <w:r w:rsidRPr="007D60C1">
        <w:t xml:space="preserve"> de la Asamblea General de las Naciones Unidas</w:t>
      </w:r>
      <w:r w:rsidR="00083383" w:rsidRPr="009D5F93">
        <w:t>.</w:t>
      </w:r>
      <w:r w:rsidRPr="009D5F93">
        <w:t xml:space="preserve"> Este centro, situado en Doha, realiza actividades de capacitación y documentación siguiendo las normas internacionale</w:t>
      </w:r>
      <w:r w:rsidRPr="00D43575">
        <w:t>s de derechos humanos y apoya las iniciativas puestas en marcha en la región por los Gobiernos, los organismos y programas de las Naciones Unidas, las instituciones nacionales dedicadas a los derechos humanos y las organizaciones no gubernamentales, con el</w:t>
      </w:r>
      <w:r w:rsidR="00083383" w:rsidRPr="00D43575">
        <w:t xml:space="preserve"> </w:t>
      </w:r>
      <w:r w:rsidRPr="00D43575">
        <w:t>auspicio de la Oficina del Alto Comisionado de las Naciones Unidas para los</w:t>
      </w:r>
      <w:r w:rsidR="00083383" w:rsidRPr="00D43575">
        <w:t xml:space="preserve"> </w:t>
      </w:r>
      <w:r w:rsidRPr="00D43575">
        <w:t>Derechos Humanos</w:t>
      </w:r>
      <w:r w:rsidR="00083383" w:rsidRPr="00D43575">
        <w:t>.</w:t>
      </w:r>
    </w:p>
    <w:p w14:paraId="11DDAAB0" w14:textId="026DA2CF" w:rsidR="008D2F10" w:rsidRPr="00D43575" w:rsidRDefault="008D2F10" w:rsidP="00217E8A">
      <w:pPr>
        <w:pStyle w:val="SingleTxt"/>
        <w:keepLines/>
        <w:numPr>
          <w:ilvl w:val="0"/>
          <w:numId w:val="10"/>
        </w:numPr>
        <w:ind w:left="1267" w:firstLine="0"/>
      </w:pPr>
      <w:r w:rsidRPr="00D43575">
        <w:t>El Estado de Qatar procura desarrollar y perfeccionar su labor en el cumplimiento de los derechos humanos, no solo reforzando la protección constitucional y las garantías jurídicas, sino también desarrollando un marco institucional para la promoción y la protección de los derechos humanos, intercambiando conocimientos especializados con otros Estados y creando capacidad nacional a través de la asistencia técnica proporcionada por los mecanismos de derechos humanos de las Naciones Unidas</w:t>
      </w:r>
      <w:r w:rsidR="00083383" w:rsidRPr="00D43575">
        <w:t>.</w:t>
      </w:r>
      <w:r w:rsidRPr="00D43575">
        <w:t xml:space="preserve"> Así lo ha confirmado la invitación permanente abierta a los titulares de mandatos especiales</w:t>
      </w:r>
      <w:r w:rsidR="00083383" w:rsidRPr="00D43575">
        <w:t>.</w:t>
      </w:r>
      <w:r w:rsidRPr="00D43575">
        <w:t xml:space="preserve"> El Gobierno recibió en noviembre de 2013 al Relator Especial sobre los derechos humanos de los migrantes, en enero de 2014 al Relator Especial sobre la independencia de los magistrados y abogados, en marzo de 2014 a los miembros de la delegación del Subcomité de Derechos Humanos del Parlamento Europeo y en enero de 2016 al Alto Comisionado de las Naciones Unidas para los Derechos Humanos</w:t>
      </w:r>
      <w:r w:rsidR="00083383" w:rsidRPr="00D43575">
        <w:t>.</w:t>
      </w:r>
      <w:r w:rsidRPr="00D43575">
        <w:t xml:space="preserve"> El Estado también ha recibido a numerosas organizaciones no gubernamentales (ONG) que trabajan en favor de los derechos humanos, como Human Rights Watch, que visitó Qatar en 2012 y en 2014, Amnistía Internacional, que lo visitó en 2013, 2014, 2015 y 2016, y la Confederación Sindical Internacional, que lo hizo en 2014</w:t>
      </w:r>
      <w:r w:rsidR="00083383" w:rsidRPr="00D43575">
        <w:t>.</w:t>
      </w:r>
    </w:p>
    <w:p w14:paraId="7FE9CF0A" w14:textId="3FFFAC75" w:rsidR="008D2F10" w:rsidRPr="00D43575" w:rsidRDefault="008D2F10" w:rsidP="001D1AD0">
      <w:pPr>
        <w:pStyle w:val="SingleTxt"/>
        <w:numPr>
          <w:ilvl w:val="0"/>
          <w:numId w:val="10"/>
        </w:numPr>
        <w:ind w:left="1267" w:firstLine="0"/>
      </w:pPr>
      <w:r w:rsidRPr="00D43575">
        <w:t>Qatar ha participado activamente en la creación de una alianza mundial para el desarrollo y tiene la consideración de país donante y socio influyente en la asistencia internacional para el desarrollo, cuya prestación constituye un pilar fundamental de la política exterior del país</w:t>
      </w:r>
      <w:r w:rsidR="00083383" w:rsidRPr="00D43575">
        <w:t>.</w:t>
      </w:r>
      <w:r w:rsidRPr="00D43575">
        <w:t xml:space="preserve"> La asistencia exterior supuso en 2015 el 0,78% del PIB del Estado y ya alcanza a más de 110 países de Asia, África y otras regiones del mundo</w:t>
      </w:r>
      <w:r w:rsidR="00083383" w:rsidRPr="00D43575">
        <w:t>.</w:t>
      </w:r>
      <w:r w:rsidRPr="00D43575">
        <w:t xml:space="preserve"> Entre 2012 y 2016, las ayudas gubernamentales destinadas a la asistencia humanitaria y el desarrollo sumaron 14</w:t>
      </w:r>
      <w:r w:rsidR="00083383" w:rsidRPr="00D43575">
        <w:t>.</w:t>
      </w:r>
      <w:r w:rsidRPr="00D43575">
        <w:t>765</w:t>
      </w:r>
      <w:r w:rsidR="00083383" w:rsidRPr="00D43575">
        <w:t>.</w:t>
      </w:r>
      <w:r w:rsidRPr="00D43575">
        <w:t>695</w:t>
      </w:r>
      <w:r w:rsidR="00083383" w:rsidRPr="00D43575">
        <w:t>.</w:t>
      </w:r>
      <w:r w:rsidRPr="00D43575">
        <w:t>287 riales qataríes</w:t>
      </w:r>
      <w:r w:rsidR="00083383" w:rsidRPr="00D43575">
        <w:t>.</w:t>
      </w:r>
    </w:p>
    <w:p w14:paraId="47B8C02C" w14:textId="4DD9C299" w:rsidR="008D2F10" w:rsidRPr="00D43575" w:rsidRDefault="008D2F10" w:rsidP="001D1AD0">
      <w:pPr>
        <w:pStyle w:val="SingleTxt"/>
        <w:numPr>
          <w:ilvl w:val="0"/>
          <w:numId w:val="10"/>
        </w:numPr>
        <w:ind w:left="1267" w:firstLine="0"/>
      </w:pPr>
      <w:r w:rsidRPr="00D43575">
        <w:t>El Estado, además de proporcionar asistencia humanitaria y para el desarrollo, lleva a cabo iniciativas humanitarias y de desarrollo a nivel internacional</w:t>
      </w:r>
      <w:r w:rsidR="00083383" w:rsidRPr="00D43575">
        <w:t>.</w:t>
      </w:r>
      <w:r w:rsidRPr="00D43575">
        <w:t xml:space="preserve"> Entre otras, ha puesto en marcha las siguientes:</w:t>
      </w:r>
    </w:p>
    <w:p w14:paraId="15B13679" w14:textId="77777777" w:rsidR="008D2F10" w:rsidRPr="00D43575" w:rsidRDefault="005044A1" w:rsidP="005044A1">
      <w:pPr>
        <w:pStyle w:val="SingleTxt"/>
        <w:tabs>
          <w:tab w:val="right" w:pos="1685"/>
        </w:tabs>
        <w:ind w:left="1742" w:hanging="475"/>
      </w:pPr>
      <w:r w:rsidRPr="00D43575">
        <w:tab/>
        <w:t>•</w:t>
      </w:r>
      <w:r w:rsidRPr="00D43575">
        <w:tab/>
      </w:r>
      <w:r w:rsidR="008D2F10" w:rsidRPr="00D43575">
        <w:t>La Iniciativa HOPEFOR, planteada en junio de 2010, que busca mejorar la eficacia y la coordinación de los recursos de defensa militar y civil en la respuesta a los desastres naturales;</w:t>
      </w:r>
    </w:p>
    <w:p w14:paraId="4A83754E" w14:textId="77777777" w:rsidR="008D2F10" w:rsidRPr="00D43575" w:rsidRDefault="005044A1" w:rsidP="005044A1">
      <w:pPr>
        <w:pStyle w:val="SingleTxt"/>
        <w:tabs>
          <w:tab w:val="right" w:pos="1685"/>
        </w:tabs>
        <w:ind w:left="1742" w:hanging="475"/>
      </w:pPr>
      <w:r w:rsidRPr="00D43575">
        <w:tab/>
        <w:t>•</w:t>
      </w:r>
      <w:r w:rsidRPr="00D43575">
        <w:tab/>
      </w:r>
      <w:r w:rsidR="008D2F10" w:rsidRPr="00D43575">
        <w:t>La iniciativa para la protección de la educación en situaciones de inseguridad y conflicto armado (la anterior Fundación Educación ante Todo), que tiene como objetivo proteger, apoyar y promover el derecho a la educación en las zonas que se encuentran en situaciones de crisis, conflicto o guerra o que corren el peligro de enfrentarse a situaciones de ese tipo;</w:t>
      </w:r>
    </w:p>
    <w:p w14:paraId="303817C4" w14:textId="38C6D621" w:rsidR="008D2F10" w:rsidRPr="00D43575" w:rsidRDefault="005044A1" w:rsidP="005044A1">
      <w:pPr>
        <w:pStyle w:val="SingleTxt"/>
        <w:tabs>
          <w:tab w:val="right" w:pos="1685"/>
        </w:tabs>
        <w:ind w:left="1742" w:hanging="475"/>
      </w:pPr>
      <w:r w:rsidRPr="00D43575">
        <w:lastRenderedPageBreak/>
        <w:tab/>
        <w:t>•</w:t>
      </w:r>
      <w:r w:rsidRPr="00D43575">
        <w:tab/>
      </w:r>
      <w:r w:rsidR="008D2F10" w:rsidRPr="00D43575">
        <w:t>La iniciativa Al</w:t>
      </w:r>
      <w:r w:rsidR="00083383" w:rsidRPr="00D43575">
        <w:noBreakHyphen/>
      </w:r>
      <w:r w:rsidR="008D2F10" w:rsidRPr="00D43575">
        <w:t>Fakhoora, que busca apoyar y proteger a los estudiantes y las escuelas en las zonas en conflicto de todo el mundo, sobre todo en Gaza;</w:t>
      </w:r>
    </w:p>
    <w:p w14:paraId="72F4794A" w14:textId="1D5D3BB5" w:rsidR="008D2F10" w:rsidRPr="00D43575" w:rsidRDefault="005044A1" w:rsidP="005044A1">
      <w:pPr>
        <w:pStyle w:val="SingleTxt"/>
        <w:tabs>
          <w:tab w:val="right" w:pos="1685"/>
        </w:tabs>
        <w:ind w:left="1742" w:hanging="475"/>
      </w:pPr>
      <w:r w:rsidRPr="00D43575">
        <w:tab/>
        <w:t>•</w:t>
      </w:r>
      <w:r w:rsidRPr="00D43575">
        <w:tab/>
      </w:r>
      <w:r w:rsidR="008D2F10" w:rsidRPr="00D43575">
        <w:t>La iniciativa mundial Educa a un Niño, que pretende reducir el número de niños que han perdido su derecho a la educación en todo el mundo debido a los conflictos, las guerras y los desastres naturales, así como ayudar a los niños que viven en barrios marginales de las zonas urbanas y en zonas rurales remotas, y grupos que pueden enfrentarse a dificultades especiales para acceder a la educación, como las niñas, las personas con discapacidad y las</w:t>
      </w:r>
      <w:r w:rsidR="00083383" w:rsidRPr="00D43575">
        <w:t xml:space="preserve"> </w:t>
      </w:r>
      <w:r w:rsidR="008D2F10" w:rsidRPr="00D43575">
        <w:t>minorías;</w:t>
      </w:r>
    </w:p>
    <w:p w14:paraId="27DE09D7" w14:textId="77777777" w:rsidR="008D2F10" w:rsidRPr="00D43575" w:rsidRDefault="005044A1" w:rsidP="005044A1">
      <w:pPr>
        <w:pStyle w:val="SingleTxt"/>
        <w:tabs>
          <w:tab w:val="right" w:pos="1685"/>
        </w:tabs>
        <w:ind w:left="1742" w:hanging="475"/>
      </w:pPr>
      <w:r w:rsidRPr="00D43575">
        <w:tab/>
        <w:t>•</w:t>
      </w:r>
      <w:r w:rsidRPr="00D43575">
        <w:tab/>
      </w:r>
      <w:r w:rsidR="008D2F10" w:rsidRPr="00D43575">
        <w:t>La Fundación para el Desarrollo Social de Qatar y Mauritania, cuyas actividades abarcan programas para erradicar el analfabetismo, especialmente entre los niños, mediante su educación y formación, así como creando microempresas para ayudarlos;</w:t>
      </w:r>
    </w:p>
    <w:p w14:paraId="0C2C3D9F" w14:textId="67B18B3A" w:rsidR="008D2F10" w:rsidRPr="00D43575" w:rsidRDefault="005044A1" w:rsidP="005044A1">
      <w:pPr>
        <w:pStyle w:val="SingleTxt"/>
        <w:tabs>
          <w:tab w:val="right" w:pos="1685"/>
        </w:tabs>
        <w:ind w:left="1742" w:hanging="475"/>
      </w:pPr>
      <w:r w:rsidRPr="00D43575">
        <w:tab/>
        <w:t>•</w:t>
      </w:r>
      <w:r w:rsidRPr="00D43575">
        <w:tab/>
      </w:r>
      <w:r w:rsidR="008D2F10" w:rsidRPr="00D43575">
        <w:t>El Fondo de Desarrollo de Qatar, que tiene como objetivo ayudar a los países árabes y a otros países en desarrollo a desarrollar sus economías y ejecutar programas en la materia</w:t>
      </w:r>
      <w:r w:rsidR="00083383" w:rsidRPr="00D43575">
        <w:t>.</w:t>
      </w:r>
    </w:p>
    <w:p w14:paraId="6A24502A" w14:textId="77777777" w:rsidR="006E1CF2" w:rsidRPr="006E1CF2" w:rsidRDefault="006E1CF2" w:rsidP="006E1C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szCs w:val="20"/>
        </w:rPr>
      </w:pPr>
    </w:p>
    <w:p w14:paraId="4FEC108D" w14:textId="77777777" w:rsidR="006E1CF2" w:rsidRPr="006E1CF2" w:rsidRDefault="006E1CF2" w:rsidP="006E1C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szCs w:val="20"/>
        </w:rPr>
      </w:pPr>
    </w:p>
    <w:p w14:paraId="1844BF4D" w14:textId="490E980D" w:rsidR="008D2F10" w:rsidRPr="00D43575" w:rsidRDefault="00BD1B96" w:rsidP="00BD1B9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D43575">
        <w:rPr>
          <w:szCs w:val="20"/>
        </w:rPr>
        <w:tab/>
      </w:r>
      <w:r w:rsidR="008D2F10" w:rsidRPr="00D43575">
        <w:rPr>
          <w:szCs w:val="20"/>
        </w:rPr>
        <w:t>F</w:t>
      </w:r>
      <w:r w:rsidR="00083383" w:rsidRPr="00D43575">
        <w:rPr>
          <w:szCs w:val="20"/>
        </w:rPr>
        <w:t>.</w:t>
      </w:r>
      <w:r w:rsidR="008D2F10" w:rsidRPr="00D43575">
        <w:rPr>
          <w:szCs w:val="20"/>
        </w:rPr>
        <w:tab/>
        <w:t>Posición de Qatar sobre las reservas y declaraciones</w:t>
      </w:r>
    </w:p>
    <w:p w14:paraId="206BABD7" w14:textId="77777777" w:rsidR="008D2F10" w:rsidRPr="00D43575" w:rsidRDefault="008D2F10" w:rsidP="008D2F10">
      <w:pPr>
        <w:pStyle w:val="SingleTxt"/>
        <w:spacing w:after="0" w:line="120" w:lineRule="exact"/>
        <w:rPr>
          <w:sz w:val="10"/>
        </w:rPr>
      </w:pPr>
    </w:p>
    <w:p w14:paraId="5DAC19CA" w14:textId="77777777" w:rsidR="008D2F10" w:rsidRPr="00D43575" w:rsidRDefault="008D2F10" w:rsidP="008D2F10">
      <w:pPr>
        <w:pStyle w:val="SingleTxt"/>
        <w:spacing w:after="0" w:line="120" w:lineRule="exact"/>
        <w:rPr>
          <w:sz w:val="10"/>
        </w:rPr>
      </w:pPr>
    </w:p>
    <w:p w14:paraId="2E664D8D" w14:textId="6C15EAA0" w:rsidR="008D2F10" w:rsidRPr="00D43575" w:rsidRDefault="008D2F10" w:rsidP="001D1AD0">
      <w:pPr>
        <w:pStyle w:val="SingleTxt"/>
        <w:numPr>
          <w:ilvl w:val="0"/>
          <w:numId w:val="10"/>
        </w:numPr>
        <w:ind w:left="1267" w:firstLine="0"/>
      </w:pPr>
      <w:r w:rsidRPr="00D43575">
        <w:t>Cuando se adhirió a la Convención sobre la Eliminación de Todas las Formas de Discriminación contra la Mujer, el Estado de Qatar trató de formular reservas concretas y evitar las reservas generales o a artículos completos, como muestra de su compromiso de poner en vigor las disposiciones de la Convención</w:t>
      </w:r>
      <w:r w:rsidR="00083383" w:rsidRPr="00D43575">
        <w:t>.</w:t>
      </w:r>
    </w:p>
    <w:p w14:paraId="25B9D4AB" w14:textId="7DE445F0" w:rsidR="008D2F10" w:rsidRPr="00D43575" w:rsidRDefault="008D2F10" w:rsidP="00217E8A">
      <w:pPr>
        <w:pStyle w:val="SingleTxt"/>
        <w:numPr>
          <w:ilvl w:val="0"/>
          <w:numId w:val="10"/>
        </w:numPr>
        <w:ind w:left="1267" w:firstLine="0"/>
      </w:pPr>
      <w:r w:rsidRPr="00D43575">
        <w:t>El Comité para la Eliminación de la Discriminación contra la Mujer formuló recomendaciones al Estado con respecto a la retirada de las reservas a la Convención a raíz del informe inicial del Estado parte</w:t>
      </w:r>
      <w:r w:rsidR="00083383" w:rsidRPr="00D43575">
        <w:t>.</w:t>
      </w:r>
      <w:r w:rsidRPr="00D43575">
        <w:t xml:space="preserve"> Cabe señalar que en los últimos años Qatar ha comenzado a aplicar una política estratégica respecto de las reservas generales con miras a examinarlas</w:t>
      </w:r>
      <w:r w:rsidR="00083383" w:rsidRPr="00D43575">
        <w:t>.</w:t>
      </w:r>
      <w:r w:rsidRPr="00D43575">
        <w:t xml:space="preserve"> Qatar decidió abandonar totalmente el planteamiento de formular reservas generales cuando se adhirió a la Convención, y limitó sus reservas a artículos concretos, exponiendo sus motivos</w:t>
      </w:r>
      <w:r w:rsidR="00083383" w:rsidRPr="00D43575">
        <w:t>.</w:t>
      </w:r>
      <w:r w:rsidRPr="00D43575">
        <w:t xml:space="preserve"> Actualmente, no ha retirado ni modificado dichas reservas</w:t>
      </w:r>
      <w:r w:rsidR="00083383" w:rsidRPr="00D43575">
        <w:t>.</w:t>
      </w:r>
      <w:r w:rsidRPr="00D43575">
        <w:t xml:space="preserve"> El Estado parte estudiará la posibilidad de examinarlas más adelante</w:t>
      </w:r>
      <w:r w:rsidR="00083383" w:rsidRPr="00D43575">
        <w:t>.</w:t>
      </w:r>
      <w:r w:rsidRPr="00D43575">
        <w:t xml:space="preserve"> Además, remite a las declaraciones y los motivos recogidos al respecto en su informe inicial</w:t>
      </w:r>
      <w:r w:rsidR="00083383" w:rsidRPr="00D43575">
        <w:t>.</w:t>
      </w:r>
    </w:p>
    <w:p w14:paraId="652071AC" w14:textId="77777777" w:rsidR="008D2F10" w:rsidRPr="00D43575" w:rsidRDefault="008D2F10" w:rsidP="001D1AD0">
      <w:pPr>
        <w:pStyle w:val="SingleTxt"/>
        <w:numPr>
          <w:ilvl w:val="0"/>
          <w:numId w:val="10"/>
        </w:numPr>
        <w:ind w:left="1267" w:firstLine="0"/>
      </w:pPr>
      <w:r w:rsidRPr="00D43575">
        <w:t>El Estado ha adoptado las siguientes medidas en el contexto del examen de sus reservas a las convenciones internacionales de derechos humanos:</w:t>
      </w:r>
    </w:p>
    <w:p w14:paraId="28B5AD40" w14:textId="3250A7E1" w:rsidR="008D2F10" w:rsidRPr="00D43575" w:rsidRDefault="005044A1" w:rsidP="005044A1">
      <w:pPr>
        <w:pStyle w:val="SingleTxt"/>
        <w:tabs>
          <w:tab w:val="right" w:pos="1685"/>
        </w:tabs>
        <w:ind w:left="1742" w:hanging="475"/>
      </w:pPr>
      <w:r w:rsidRPr="00D43575">
        <w:tab/>
        <w:t>•</w:t>
      </w:r>
      <w:r w:rsidRPr="00D43575">
        <w:tab/>
      </w:r>
      <w:r w:rsidR="008D2F10" w:rsidRPr="00D43575">
        <w:t>Ha retirado sus reservas a los artículos 21 y 22, en respuesta a la recomendación del Comité contra la Tortura</w:t>
      </w:r>
      <w:r w:rsidR="00083383" w:rsidRPr="00D43575">
        <w:t>.</w:t>
      </w:r>
      <w:r w:rsidR="008D2F10" w:rsidRPr="00D43575">
        <w:t xml:space="preserve"> Por otro lado, ha sustituido su reserva general a la Convención sobre la Eliminación de Todas las Formas de Discriminación contra la Mujer con una reserva parcial a los artículos 1 y 16</w:t>
      </w:r>
      <w:r w:rsidR="00083383" w:rsidRPr="00D43575">
        <w:t>.</w:t>
      </w:r>
    </w:p>
    <w:p w14:paraId="5CC43AF4" w14:textId="436F15CF" w:rsidR="008D2F10" w:rsidRPr="00D43575" w:rsidRDefault="005044A1" w:rsidP="005044A1">
      <w:pPr>
        <w:pStyle w:val="SingleTxt"/>
        <w:tabs>
          <w:tab w:val="right" w:pos="1685"/>
        </w:tabs>
        <w:ind w:left="1742" w:hanging="475"/>
      </w:pPr>
      <w:r w:rsidRPr="00D43575">
        <w:tab/>
        <w:t>•</w:t>
      </w:r>
      <w:r w:rsidRPr="00D43575">
        <w:tab/>
      </w:r>
      <w:r w:rsidR="008D2F10" w:rsidRPr="00D43575">
        <w:t xml:space="preserve">El Estado parte también ha retirado su reserva general al Protocolo Facultativo de la Convención sobre los Derechos del Niño relativo a la venta de niños, la prostitución infantil y la utilización de niños en la pornografía, y ha retirado parcialmente su reserva general a la Convención sobre los Derechos del Niño acerca de cualesquiera disposiciones que vayan en contra de los principios de la </w:t>
      </w:r>
      <w:r w:rsidR="008D2F10" w:rsidRPr="00D43575">
        <w:rPr>
          <w:i/>
        </w:rPr>
        <w:t>sharia</w:t>
      </w:r>
      <w:r w:rsidR="00083383" w:rsidRPr="00D43575">
        <w:t>.</w:t>
      </w:r>
      <w:r w:rsidR="008D2F10" w:rsidRPr="00D43575">
        <w:t xml:space="preserve"> La nueva reserva se aplica a los artículos 2 y 14 de esta Convención, en respuesta a las recomendaciones del Comité de los Derechos del Niño</w:t>
      </w:r>
      <w:r w:rsidR="00083383" w:rsidRPr="00D43575">
        <w:t>.</w:t>
      </w:r>
    </w:p>
    <w:p w14:paraId="6F168026" w14:textId="77777777" w:rsidR="008D2F10" w:rsidRPr="00D43575" w:rsidRDefault="008D2F10" w:rsidP="008D2F10">
      <w:pPr>
        <w:pStyle w:val="SingleTxt"/>
        <w:spacing w:after="0" w:line="120" w:lineRule="exact"/>
        <w:rPr>
          <w:sz w:val="10"/>
        </w:rPr>
      </w:pPr>
    </w:p>
    <w:p w14:paraId="73058CE4" w14:textId="38EDC691" w:rsidR="00083383" w:rsidRPr="00D43575" w:rsidRDefault="008D2F10" w:rsidP="00FC6BA7">
      <w:pPr>
        <w:pStyle w:val="H23"/>
        <w:tabs>
          <w:tab w:val="left" w:pos="1742"/>
          <w:tab w:val="left" w:pos="2218"/>
          <w:tab w:val="left" w:pos="2693"/>
          <w:tab w:val="left" w:pos="3182"/>
          <w:tab w:val="left" w:pos="3658"/>
          <w:tab w:val="left" w:pos="4133"/>
          <w:tab w:val="left" w:pos="4622"/>
          <w:tab w:val="left" w:pos="5098"/>
          <w:tab w:val="left" w:pos="5573"/>
          <w:tab w:val="left" w:pos="6048"/>
        </w:tabs>
        <w:ind w:right="2110"/>
        <w:rPr>
          <w:bCs w:val="0"/>
          <w:szCs w:val="20"/>
        </w:rPr>
      </w:pPr>
      <w:r w:rsidRPr="00D43575">
        <w:rPr>
          <w:bCs w:val="0"/>
          <w:szCs w:val="20"/>
        </w:rPr>
        <w:lastRenderedPageBreak/>
        <w:tab/>
      </w:r>
      <w:r w:rsidRPr="00D43575">
        <w:rPr>
          <w:bCs w:val="0"/>
          <w:szCs w:val="20"/>
        </w:rPr>
        <w:tab/>
        <w:t>Parte II</w:t>
      </w:r>
      <w:r w:rsidR="008D2A50" w:rsidRPr="00D43575">
        <w:rPr>
          <w:bCs w:val="0"/>
          <w:szCs w:val="20"/>
        </w:rPr>
        <w:t xml:space="preserve"> </w:t>
      </w:r>
      <w:r w:rsidR="008D2A50" w:rsidRPr="00D43575">
        <w:rPr>
          <w:bCs w:val="0"/>
          <w:szCs w:val="20"/>
        </w:rPr>
        <w:br/>
      </w:r>
      <w:r w:rsidRPr="00D43575">
        <w:rPr>
          <w:bCs w:val="0"/>
          <w:szCs w:val="20"/>
        </w:rPr>
        <w:t>Supervisión de la aplicación de los artículos de la Convención sobre la</w:t>
      </w:r>
      <w:r w:rsidR="00FC6BA7" w:rsidRPr="00D43575">
        <w:rPr>
          <w:bCs w:val="0"/>
          <w:szCs w:val="20"/>
        </w:rPr>
        <w:t> </w:t>
      </w:r>
      <w:r w:rsidRPr="00D43575">
        <w:rPr>
          <w:bCs w:val="0"/>
          <w:szCs w:val="20"/>
        </w:rPr>
        <w:t>Eliminación de Todas las Formas de</w:t>
      </w:r>
      <w:r w:rsidR="00083383" w:rsidRPr="00D43575">
        <w:rPr>
          <w:bCs w:val="0"/>
          <w:szCs w:val="20"/>
        </w:rPr>
        <w:t xml:space="preserve"> </w:t>
      </w:r>
      <w:r w:rsidRPr="00D43575">
        <w:rPr>
          <w:bCs w:val="0"/>
          <w:szCs w:val="20"/>
        </w:rPr>
        <w:t>Discriminación contra la Mujer y cumplimiento de las</w:t>
      </w:r>
      <w:r w:rsidR="00083383" w:rsidRPr="00D43575">
        <w:rPr>
          <w:bCs w:val="0"/>
          <w:szCs w:val="20"/>
        </w:rPr>
        <w:t xml:space="preserve"> </w:t>
      </w:r>
      <w:r w:rsidRPr="00D43575">
        <w:rPr>
          <w:bCs w:val="0"/>
          <w:szCs w:val="20"/>
        </w:rPr>
        <w:t>observaciones y recomendaciones del Comité</w:t>
      </w:r>
    </w:p>
    <w:p w14:paraId="0AA25D2B" w14:textId="01249219" w:rsidR="00FA6729" w:rsidRPr="00D43575" w:rsidRDefault="00FA6729" w:rsidP="00FC6BA7">
      <w:pPr>
        <w:pStyle w:val="SingleTxt"/>
        <w:keepNext/>
        <w:keepLines/>
        <w:spacing w:after="0" w:line="120" w:lineRule="exact"/>
        <w:rPr>
          <w:sz w:val="10"/>
        </w:rPr>
      </w:pPr>
    </w:p>
    <w:p w14:paraId="11DCFBD0" w14:textId="0EAD5074" w:rsidR="008D2F10" w:rsidRPr="00D43575" w:rsidRDefault="008D2F10" w:rsidP="00FC6BA7">
      <w:pPr>
        <w:pStyle w:val="SingleTxt"/>
        <w:keepNext/>
        <w:keepLines/>
        <w:numPr>
          <w:ilvl w:val="0"/>
          <w:numId w:val="10"/>
        </w:numPr>
        <w:ind w:left="1267" w:firstLine="0"/>
      </w:pPr>
      <w:r w:rsidRPr="00D43575">
        <w:t>En esta parte del informe, se incluyen observaciones sobre los artículos de la Convención sobre la Eliminación de Todas las Formas de Discriminación contra la Mujer y el cumplimiento de las observaciones y recomendaciones del Comité sobre el informe inicial del Estado parte</w:t>
      </w:r>
      <w:r w:rsidR="00083383" w:rsidRPr="00D43575">
        <w:t>.</w:t>
      </w:r>
      <w:r w:rsidRPr="00D43575">
        <w:t xml:space="preserve"> También se describe el marco constitucional y legislativo para la aplicación de la Convención y se facilita información estadística, institucional y sobre procedimientos relativa a su aplicación sobre el terreno</w:t>
      </w:r>
      <w:r w:rsidR="00083383" w:rsidRPr="00D43575">
        <w:t>.</w:t>
      </w:r>
      <w:r w:rsidRPr="00D43575">
        <w:t xml:space="preserve"> Se ha procurado abordar la cuestión de los artículos y las recomendaciones sin repetir información en la medida de lo posible</w:t>
      </w:r>
      <w:r w:rsidR="00083383" w:rsidRPr="00D43575">
        <w:t>.</w:t>
      </w:r>
    </w:p>
    <w:p w14:paraId="65B50F16" w14:textId="77777777" w:rsidR="008D2F10" w:rsidRPr="00D43575" w:rsidRDefault="008D2F10" w:rsidP="008D2F10">
      <w:pPr>
        <w:pStyle w:val="SingleTxt"/>
        <w:spacing w:after="0" w:line="120" w:lineRule="exact"/>
        <w:rPr>
          <w:sz w:val="10"/>
        </w:rPr>
      </w:pPr>
    </w:p>
    <w:p w14:paraId="0FA9BF33" w14:textId="77777777" w:rsidR="008D2F10" w:rsidRPr="00D43575" w:rsidRDefault="008D2F10" w:rsidP="00FC6BA7">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2110"/>
        <w:rPr>
          <w:bCs w:val="0"/>
          <w:szCs w:val="20"/>
        </w:rPr>
      </w:pPr>
      <w:r w:rsidRPr="00D43575">
        <w:rPr>
          <w:bCs w:val="0"/>
          <w:szCs w:val="20"/>
        </w:rPr>
        <w:tab/>
      </w:r>
      <w:r w:rsidRPr="00D43575">
        <w:rPr>
          <w:bCs w:val="0"/>
          <w:szCs w:val="20"/>
        </w:rPr>
        <w:tab/>
        <w:t>Artículos 1 y 2: Enfoque de Qatar para hacer frente a la discriminación y promover la igualdad de género</w:t>
      </w:r>
    </w:p>
    <w:p w14:paraId="7E18B4B5" w14:textId="77777777" w:rsidR="008D2F10" w:rsidRPr="00D43575" w:rsidRDefault="008D2F10" w:rsidP="008D2F10">
      <w:pPr>
        <w:pStyle w:val="SingleTxt"/>
        <w:spacing w:after="0" w:line="120" w:lineRule="exact"/>
        <w:rPr>
          <w:sz w:val="10"/>
        </w:rPr>
      </w:pPr>
    </w:p>
    <w:p w14:paraId="14D971E7" w14:textId="20FA502A" w:rsidR="008D2F10" w:rsidRPr="00D43575" w:rsidRDefault="008D2F10" w:rsidP="001D1AD0">
      <w:pPr>
        <w:pStyle w:val="SingleTxt"/>
        <w:numPr>
          <w:ilvl w:val="0"/>
          <w:numId w:val="10"/>
        </w:numPr>
        <w:ind w:left="1267" w:firstLine="0"/>
      </w:pPr>
      <w:r w:rsidRPr="00D43575">
        <w:t>Se está prestando una atención más amplia y profunda a la condición de la mujer en el marco legislativo</w:t>
      </w:r>
      <w:r w:rsidR="00083383" w:rsidRPr="00D43575">
        <w:t>.</w:t>
      </w:r>
      <w:r w:rsidRPr="00D43575">
        <w:t xml:space="preserve"> Las leyes y la legislación vigentes en el Estado de Qatar han ido evolucionando para apoyar la cohesión de la familia qatarí, proteger a sus miembros y preservar sus valores tradicionales, sin dejar de seguir el ritmo de los progresos y el espíritu de la época</w:t>
      </w:r>
      <w:r w:rsidR="00083383" w:rsidRPr="00D43575">
        <w:t>.</w:t>
      </w:r>
      <w:r w:rsidRPr="00D43575">
        <w:t xml:space="preserve"> En concreto, se ha actualizado la legislación en materia de derechos humanos y se han elaborado y promulgado leyes de protección de los derechos de la mujer</w:t>
      </w:r>
      <w:r w:rsidR="00083383" w:rsidRPr="00D43575">
        <w:t>.</w:t>
      </w:r>
      <w:r w:rsidRPr="00D43575">
        <w:t xml:space="preserve"> Las mujeres qataríes han podido ejercer todos sus derechos, tal como se especifica en las siguientes disposiciones:</w:t>
      </w:r>
    </w:p>
    <w:p w14:paraId="74F35EFD" w14:textId="4CBBA7BE" w:rsidR="008D2F10" w:rsidRPr="00D43575" w:rsidRDefault="008D2F10" w:rsidP="008D2F10">
      <w:pPr>
        <w:pStyle w:val="SingleTxt"/>
        <w:tabs>
          <w:tab w:val="right" w:pos="1685"/>
        </w:tabs>
        <w:ind w:left="1742" w:hanging="475"/>
      </w:pPr>
      <w:r w:rsidRPr="00D43575">
        <w:tab/>
        <w:t>–</w:t>
      </w:r>
      <w:r w:rsidRPr="00D43575">
        <w:tab/>
        <w:t xml:space="preserve">El artículo 34 de la Constitución Permanente del Estado dispone que </w:t>
      </w:r>
      <w:r w:rsidR="00F652D5" w:rsidRPr="00D43575">
        <w:t>“</w:t>
      </w:r>
      <w:r w:rsidRPr="00D43575">
        <w:t>los ciudadanos son iguales en lo que a derechos y deberes públicos se refiere</w:t>
      </w:r>
      <w:r w:rsidR="00F652D5" w:rsidRPr="00D43575">
        <w:t>”</w:t>
      </w:r>
      <w:r w:rsidR="00083383" w:rsidRPr="00D43575">
        <w:t>.</w:t>
      </w:r>
      <w:r w:rsidRPr="00D43575">
        <w:t xml:space="preserve"> El artículo 35 establece que </w:t>
      </w:r>
      <w:r w:rsidR="00F652D5" w:rsidRPr="00D43575">
        <w:t>“</w:t>
      </w:r>
      <w:r w:rsidRPr="00D43575">
        <w:t>todas las personas son iguales ante la ley y no podrá hacerse discriminación alguna por motivos de género, raza, idioma o religión</w:t>
      </w:r>
      <w:r w:rsidR="00F652D5" w:rsidRPr="00D43575">
        <w:t>”</w:t>
      </w:r>
      <w:r w:rsidR="00083383" w:rsidRPr="00D43575">
        <w:t>.</w:t>
      </w:r>
    </w:p>
    <w:p w14:paraId="37901954" w14:textId="7E261725" w:rsidR="008D2F10" w:rsidRPr="00D43575" w:rsidRDefault="008D2F10" w:rsidP="008D2F10">
      <w:pPr>
        <w:pStyle w:val="SingleTxt"/>
        <w:tabs>
          <w:tab w:val="right" w:pos="1685"/>
        </w:tabs>
        <w:ind w:left="1742" w:hanging="475"/>
      </w:pPr>
      <w:r w:rsidRPr="00D43575">
        <w:tab/>
        <w:t>–</w:t>
      </w:r>
      <w:r w:rsidRPr="00D43575">
        <w:tab/>
        <w:t>El artículo 23 de la Constitución garantiza el derecho de todos a la salud y el artículo 25, el derecho a la educación</w:t>
      </w:r>
      <w:r w:rsidR="00083383" w:rsidRPr="00D43575">
        <w:t>.</w:t>
      </w:r>
    </w:p>
    <w:p w14:paraId="53C023DB" w14:textId="678F592F" w:rsidR="00083383" w:rsidRPr="00D43575" w:rsidRDefault="008D2F10" w:rsidP="008D2F10">
      <w:pPr>
        <w:pStyle w:val="SingleTxt"/>
        <w:tabs>
          <w:tab w:val="right" w:pos="1685"/>
        </w:tabs>
        <w:ind w:left="1742" w:hanging="475"/>
      </w:pPr>
      <w:r w:rsidRPr="00D43575">
        <w:tab/>
        <w:t>–</w:t>
      </w:r>
      <w:r w:rsidRPr="00D43575">
        <w:tab/>
        <w:t>La Constitución de Qatar consagra el derecho de voto</w:t>
      </w:r>
      <w:r w:rsidR="00083383" w:rsidRPr="00D43575">
        <w:t>.</w:t>
      </w:r>
      <w:r w:rsidRPr="00D43575">
        <w:t xml:space="preserve"> El artículo 42 dispone que </w:t>
      </w:r>
      <w:r w:rsidR="00F652D5" w:rsidRPr="00D43575">
        <w:t>“</w:t>
      </w:r>
      <w:r w:rsidRPr="00D43575">
        <w:t>el Estado garantiza a todos los ciudadanos el derecho de voto y el derecho a presentarse a elecciones de conformidad con lo dispuesto en la</w:t>
      </w:r>
      <w:r w:rsidR="00083383" w:rsidRPr="00D43575">
        <w:t xml:space="preserve"> </w:t>
      </w:r>
      <w:r w:rsidRPr="00D43575">
        <w:t>legislación</w:t>
      </w:r>
      <w:r w:rsidR="00F652D5" w:rsidRPr="00D43575">
        <w:t>”</w:t>
      </w:r>
      <w:r w:rsidR="00083383" w:rsidRPr="00D43575">
        <w:t>.</w:t>
      </w:r>
    </w:p>
    <w:p w14:paraId="64543CEF" w14:textId="24584CDD" w:rsidR="008D2F10" w:rsidRPr="00D43575" w:rsidRDefault="008D2F10" w:rsidP="008D2F10">
      <w:pPr>
        <w:pStyle w:val="SingleTxt"/>
        <w:tabs>
          <w:tab w:val="right" w:pos="1685"/>
        </w:tabs>
        <w:ind w:left="1742" w:hanging="475"/>
      </w:pPr>
      <w:r w:rsidRPr="00D43575">
        <w:tab/>
        <w:t>–</w:t>
      </w:r>
      <w:r w:rsidRPr="00D43575">
        <w:tab/>
        <w:t>La Constitución de Qatar también consagra el derecho a la educación</w:t>
      </w:r>
      <w:r w:rsidR="00083383" w:rsidRPr="00D43575">
        <w:t>.</w:t>
      </w:r>
      <w:r w:rsidRPr="00D43575">
        <w:t xml:space="preserve"> El artículo 49 dispone que </w:t>
      </w:r>
      <w:r w:rsidR="00F652D5" w:rsidRPr="00D43575">
        <w:t>“</w:t>
      </w:r>
      <w:r w:rsidRPr="00D43575">
        <w:t>todo ciudadano tiene derecho a la educación</w:t>
      </w:r>
      <w:r w:rsidR="00083383" w:rsidRPr="00D43575">
        <w:t>.</w:t>
      </w:r>
      <w:r w:rsidRPr="00D43575">
        <w:t xml:space="preserve"> El</w:t>
      </w:r>
      <w:r w:rsidR="00083383" w:rsidRPr="00D43575">
        <w:t xml:space="preserve"> </w:t>
      </w:r>
      <w:r w:rsidRPr="00D43575">
        <w:t>Estado velará por que la educación general sea obligatoria y gratuita con arreglo a lo dispuesto en las leyes y en los reglamentos en vigor en el Estado</w:t>
      </w:r>
      <w:r w:rsidR="00F652D5" w:rsidRPr="00D43575">
        <w:t>”</w:t>
      </w:r>
      <w:r w:rsidR="00083383" w:rsidRPr="00D43575">
        <w:t>.</w:t>
      </w:r>
    </w:p>
    <w:p w14:paraId="0EB290E4" w14:textId="38C85B09" w:rsidR="008D2F10" w:rsidRPr="00D43575" w:rsidRDefault="008D2F10" w:rsidP="001D1AD0">
      <w:pPr>
        <w:pStyle w:val="SingleTxt"/>
        <w:numPr>
          <w:ilvl w:val="0"/>
          <w:numId w:val="10"/>
        </w:numPr>
        <w:ind w:left="1267" w:firstLine="0"/>
      </w:pPr>
      <w:r w:rsidRPr="00D43575">
        <w:t>En consonancia con el compromiso de la legislación de Qatar de velar por los</w:t>
      </w:r>
      <w:r w:rsidR="00083383" w:rsidRPr="00D43575">
        <w:t xml:space="preserve"> </w:t>
      </w:r>
      <w:r w:rsidRPr="00D43575">
        <w:t>intereses de la mujer, desde que se presentó el informe inicial se ha aprobado una serie de decisiones y leyes que garantizan sus derechos</w:t>
      </w:r>
      <w:r w:rsidR="00083383" w:rsidRPr="00D43575">
        <w:t>.</w:t>
      </w:r>
      <w:r w:rsidRPr="00D43575">
        <w:t xml:space="preserve"> Cabe mencionar los</w:t>
      </w:r>
      <w:r w:rsidR="00083383" w:rsidRPr="00D43575">
        <w:t xml:space="preserve"> </w:t>
      </w:r>
      <w:r w:rsidRPr="00D43575">
        <w:t>siguientes:</w:t>
      </w:r>
    </w:p>
    <w:p w14:paraId="736D3C2A" w14:textId="7E56C565" w:rsidR="008D2F10" w:rsidRPr="00D43575" w:rsidRDefault="005C1F56" w:rsidP="005C1F56">
      <w:pPr>
        <w:pStyle w:val="SingleTxt"/>
        <w:tabs>
          <w:tab w:val="right" w:pos="1685"/>
        </w:tabs>
        <w:ind w:left="1742" w:hanging="475"/>
      </w:pPr>
      <w:r w:rsidRPr="00D43575">
        <w:tab/>
        <w:t>•</w:t>
      </w:r>
      <w:r w:rsidRPr="00D43575">
        <w:tab/>
      </w:r>
      <w:r w:rsidR="008D2F10" w:rsidRPr="00D43575">
        <w:t xml:space="preserve">El Decreto </w:t>
      </w:r>
      <w:r w:rsidR="009D5F93">
        <w:t>del Emir</w:t>
      </w:r>
      <w:r w:rsidR="009D5F93" w:rsidRPr="009D5F93">
        <w:t xml:space="preserve"> </w:t>
      </w:r>
      <w:r w:rsidR="008D2F10" w:rsidRPr="009D5F93">
        <w:t>núm</w:t>
      </w:r>
      <w:r w:rsidR="00083383" w:rsidRPr="009D5F93">
        <w:t>.</w:t>
      </w:r>
      <w:r w:rsidR="008D2F10" w:rsidRPr="009D5F93">
        <w:t xml:space="preserve"> 22/2017, que prevé el nombramiento de cuatro mujeres qataríes como miembros del Consejo Consultivo</w:t>
      </w:r>
      <w:r w:rsidR="00083383" w:rsidRPr="00D43575">
        <w:t>.</w:t>
      </w:r>
      <w:r w:rsidR="008D2F10" w:rsidRPr="00D43575">
        <w:t xml:space="preserve"> Ello pone de manifiesto que el Estado cree en la importancia del papel de la mujer en el sistema legislativo y su apoyo a los derechos de la mujer consagrados en la</w:t>
      </w:r>
      <w:r w:rsidR="00083383" w:rsidRPr="00D43575">
        <w:t xml:space="preserve"> </w:t>
      </w:r>
      <w:r w:rsidR="008D2F10" w:rsidRPr="00D43575">
        <w:t>Constitución</w:t>
      </w:r>
      <w:r w:rsidR="00083383" w:rsidRPr="00D43575">
        <w:t>.</w:t>
      </w:r>
    </w:p>
    <w:p w14:paraId="40AA0015" w14:textId="5644F2C9" w:rsidR="008D2F10" w:rsidRPr="00D43575" w:rsidRDefault="005C1F56" w:rsidP="005C1F56">
      <w:pPr>
        <w:pStyle w:val="SingleTxt"/>
        <w:tabs>
          <w:tab w:val="right" w:pos="1685"/>
        </w:tabs>
        <w:ind w:left="1742" w:hanging="475"/>
      </w:pPr>
      <w:r w:rsidRPr="00D43575">
        <w:tab/>
        <w:t>•</w:t>
      </w:r>
      <w:r w:rsidRPr="00D43575">
        <w:tab/>
      </w:r>
      <w:r w:rsidR="008D2F10" w:rsidRPr="00D43575">
        <w:t>La Ley del Funcionariado Civil (núm</w:t>
      </w:r>
      <w:r w:rsidR="00083383" w:rsidRPr="00D43575">
        <w:t>.</w:t>
      </w:r>
      <w:r w:rsidR="008D2F10" w:rsidRPr="00D43575">
        <w:t xml:space="preserve"> 15/2016) contiene disposiciones sobre la igualdad de derechos y deberes entre el hombre y la mujer</w:t>
      </w:r>
      <w:r w:rsidR="00083383" w:rsidRPr="00D43575">
        <w:t>.</w:t>
      </w:r>
    </w:p>
    <w:p w14:paraId="799FA20B" w14:textId="0EDB3BC4" w:rsidR="00083383" w:rsidRPr="007D60C1" w:rsidRDefault="008D2F10" w:rsidP="001D1AD0">
      <w:pPr>
        <w:pStyle w:val="SingleTxt"/>
        <w:numPr>
          <w:ilvl w:val="0"/>
          <w:numId w:val="10"/>
        </w:numPr>
        <w:ind w:left="1267" w:firstLine="0"/>
      </w:pPr>
      <w:r w:rsidRPr="00D43575">
        <w:lastRenderedPageBreak/>
        <w:t>Además de la Convención sobre la Eliminación de Todas las Formas de Discriminación contra la Mujer, el Estado de Qatar se ha adherido a varias convenciones internacionales relativas a los derechos de la mujer</w:t>
      </w:r>
      <w:r w:rsidRPr="007D60C1">
        <w:rPr>
          <w:vertAlign w:val="superscript"/>
        </w:rPr>
        <w:footnoteReference w:id="5"/>
      </w:r>
      <w:r w:rsidR="00083383" w:rsidRPr="007D60C1">
        <w:t>.</w:t>
      </w:r>
    </w:p>
    <w:p w14:paraId="17EEE882" w14:textId="0D2C5AAF" w:rsidR="008D2F10" w:rsidRPr="009D5F93" w:rsidRDefault="008D2F10" w:rsidP="008D2F10">
      <w:pPr>
        <w:pStyle w:val="SingleTxt"/>
        <w:spacing w:after="0" w:line="120" w:lineRule="exact"/>
        <w:rPr>
          <w:sz w:val="10"/>
        </w:rPr>
      </w:pPr>
    </w:p>
    <w:p w14:paraId="435A8B88"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Cumplimiento de las recomendaciones sobre los artículos 1 y 2</w:t>
      </w:r>
    </w:p>
    <w:p w14:paraId="03A7C51D" w14:textId="77777777" w:rsidR="008D2F10" w:rsidRPr="00D43575" w:rsidRDefault="008D2F10" w:rsidP="008D2F10">
      <w:pPr>
        <w:pStyle w:val="SingleTxt"/>
        <w:spacing w:after="0" w:line="120" w:lineRule="exact"/>
        <w:rPr>
          <w:sz w:val="10"/>
        </w:rPr>
      </w:pPr>
    </w:p>
    <w:p w14:paraId="5641A1CE"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Definición de discriminación contra la mujer</w:t>
      </w:r>
    </w:p>
    <w:p w14:paraId="2EE9457C" w14:textId="77777777" w:rsidR="008D2F10" w:rsidRPr="00D43575" w:rsidRDefault="008D2F10" w:rsidP="008D2F10">
      <w:pPr>
        <w:pStyle w:val="SingleTxt"/>
        <w:spacing w:after="0" w:line="120" w:lineRule="exact"/>
        <w:rPr>
          <w:sz w:val="10"/>
        </w:rPr>
      </w:pPr>
    </w:p>
    <w:p w14:paraId="534892DB" w14:textId="70BFBC85" w:rsidR="00083383" w:rsidRPr="00D43575" w:rsidRDefault="008D2F10" w:rsidP="001D1AD0">
      <w:pPr>
        <w:pStyle w:val="SingleTxt"/>
        <w:numPr>
          <w:ilvl w:val="0"/>
          <w:numId w:val="10"/>
        </w:numPr>
        <w:ind w:left="1267" w:firstLine="0"/>
      </w:pPr>
      <w:r w:rsidRPr="00D43575">
        <w:t>La Constitución Permanente de Qatar es la base fundamental de todos los demás instrumentos legislativos</w:t>
      </w:r>
      <w:r w:rsidR="00083383" w:rsidRPr="00D43575">
        <w:t>.</w:t>
      </w:r>
      <w:r w:rsidRPr="00D43575">
        <w:t xml:space="preserve"> Por consiguiente, ningún instrumento legislativo podrá contravenir lo dispuesto en materia de igualdad en los artículos 34 y 35 mencionados anteriormente</w:t>
      </w:r>
      <w:r w:rsidR="00083383" w:rsidRPr="00D43575">
        <w:t>.</w:t>
      </w:r>
      <w:r w:rsidRPr="00D43575">
        <w:t xml:space="preserve"> El marco jurídico del Estado, es decir la Constitución y las leyes nacionales, se ajusta a la definición de discriminación contra la mujer que recoge el artículo 1, párrafo 1, de la Convención</w:t>
      </w:r>
      <w:r w:rsidR="00083383" w:rsidRPr="00D43575">
        <w:t>.</w:t>
      </w:r>
      <w:r w:rsidRPr="00D43575">
        <w:t xml:space="preserve"> Las leyes contienen disposiciones relativas a la igualdad de género, tal y como establece la Constitución, a fin de asegurar el cumplimiento de todo lo dispuesto en los instrumentos legislativos para lograr la igualdad y garantizarla</w:t>
      </w:r>
      <w:r w:rsidR="00083383" w:rsidRPr="00D43575">
        <w:t>.</w:t>
      </w:r>
    </w:p>
    <w:p w14:paraId="28ACB1A3" w14:textId="7C188238" w:rsidR="008D2F10" w:rsidRPr="00D43575" w:rsidRDefault="008D2F10" w:rsidP="008D2F10">
      <w:pPr>
        <w:pStyle w:val="SingleTxt"/>
        <w:spacing w:after="0" w:line="120" w:lineRule="exact"/>
        <w:rPr>
          <w:sz w:val="10"/>
        </w:rPr>
      </w:pPr>
    </w:p>
    <w:p w14:paraId="04278AC4"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Revisión de la legislación y las leyes</w:t>
      </w:r>
    </w:p>
    <w:p w14:paraId="7C033ECA" w14:textId="77777777" w:rsidR="008D2F10" w:rsidRPr="00D43575" w:rsidRDefault="008D2F10" w:rsidP="008D2F10">
      <w:pPr>
        <w:pStyle w:val="SingleTxt"/>
        <w:spacing w:after="0" w:line="120" w:lineRule="exact"/>
        <w:rPr>
          <w:sz w:val="10"/>
        </w:rPr>
      </w:pPr>
    </w:p>
    <w:p w14:paraId="238CD76D" w14:textId="61DFA1E9" w:rsidR="008D2F10" w:rsidRPr="00D43575" w:rsidRDefault="008D2F10" w:rsidP="001D1AD0">
      <w:pPr>
        <w:pStyle w:val="SingleTxt"/>
        <w:numPr>
          <w:ilvl w:val="0"/>
          <w:numId w:val="10"/>
        </w:numPr>
        <w:ind w:left="1267" w:firstLine="0"/>
      </w:pPr>
      <w:r w:rsidRPr="00D43575">
        <w:t>El Estado trabaja de manera constante para actualizar y desarrollar periódicamente su marco legislativo en todas las esferas</w:t>
      </w:r>
      <w:r w:rsidR="00083383" w:rsidRPr="00D43575">
        <w:t>.</w:t>
      </w:r>
      <w:r w:rsidRPr="00D43575">
        <w:t xml:space="preserve"> Además, está decidido a cumplir todas sus obligaciones internacionales que emanan de los convenios e instrumentos internacionales a los que se ha adherido</w:t>
      </w:r>
      <w:r w:rsidR="00083383" w:rsidRPr="00D43575">
        <w:t>.</w:t>
      </w:r>
      <w:r w:rsidRPr="00D43575">
        <w:t xml:space="preserve"> Para ello, armoniza de forma continua los instrumentos legislativos nacionales a la luz de lo dispuesto en dichos acuerdos e instrumentos internacionales y regionales</w:t>
      </w:r>
      <w:r w:rsidR="00083383" w:rsidRPr="00D43575">
        <w:t>.</w:t>
      </w:r>
      <w:r w:rsidRPr="00D43575">
        <w:t xml:space="preserve"> Cabe señalar que el Decreto </w:t>
      </w:r>
      <w:r w:rsidR="009D5F93">
        <w:t>del Emir</w:t>
      </w:r>
      <w:r w:rsidR="009D5F93" w:rsidRPr="009D5F93">
        <w:t xml:space="preserve"> </w:t>
      </w:r>
      <w:r w:rsidRPr="009D5F93">
        <w:t>núm</w:t>
      </w:r>
      <w:r w:rsidR="00083383" w:rsidRPr="009D5F93">
        <w:t>.</w:t>
      </w:r>
      <w:r w:rsidRPr="009D5F93">
        <w:t xml:space="preserve"> 33/2000, en su versión enmendada, regula el proceso de elaboración de instrumentos legislativos en el Estado</w:t>
      </w:r>
      <w:r w:rsidR="00083383" w:rsidRPr="009D5F93">
        <w:t>.</w:t>
      </w:r>
      <w:r w:rsidRPr="009D5F93">
        <w:t xml:space="preserve"> Esta labor de armonización corre a cargo de los ministerios y los organismos pertinentes del Estado, en coordinación con el departamento legislativo de la secretaría del Consejo de Ministros</w:t>
      </w:r>
      <w:r w:rsidR="00083383" w:rsidRPr="00D43575">
        <w:t>.</w:t>
      </w:r>
    </w:p>
    <w:p w14:paraId="6D3136CE" w14:textId="77777777" w:rsidR="00217E8A" w:rsidRPr="00D43575" w:rsidRDefault="00217E8A" w:rsidP="00217E8A">
      <w:pPr>
        <w:pStyle w:val="SingleTxt"/>
        <w:spacing w:after="0" w:line="120" w:lineRule="exact"/>
        <w:rPr>
          <w:sz w:val="10"/>
        </w:rPr>
      </w:pPr>
    </w:p>
    <w:p w14:paraId="14105E3F"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Artículo 3: Derechos y libertades fundamentales</w:t>
      </w:r>
    </w:p>
    <w:p w14:paraId="52FC4F75" w14:textId="77777777" w:rsidR="008D2F10" w:rsidRPr="00D43575" w:rsidRDefault="008D2F10" w:rsidP="008D2F10">
      <w:pPr>
        <w:pStyle w:val="SingleTxt"/>
        <w:spacing w:after="0" w:line="120" w:lineRule="exact"/>
        <w:rPr>
          <w:sz w:val="10"/>
        </w:rPr>
      </w:pPr>
    </w:p>
    <w:p w14:paraId="34811AAA" w14:textId="09029FFE" w:rsidR="008D2F10" w:rsidRPr="00D43575" w:rsidRDefault="008D2F10" w:rsidP="001D1AD0">
      <w:pPr>
        <w:pStyle w:val="SingleTxt"/>
        <w:numPr>
          <w:ilvl w:val="0"/>
          <w:numId w:val="10"/>
        </w:numPr>
        <w:ind w:left="1267" w:firstLine="0"/>
      </w:pPr>
      <w:r w:rsidRPr="00D43575">
        <w:t>El Estado de Qatar ha tomado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r w:rsidR="00083383" w:rsidRPr="00D43575">
        <w:t>.</w:t>
      </w:r>
      <w:r w:rsidRPr="00D43575">
        <w:t xml:space="preserve"> Tras examinar todos los instrumentos legislativos pertinentes en vigor en el Estado de Qatar, consideramos que no incluyen ninguna condición o circunstancia discriminatoria entre la mujer y el hombre</w:t>
      </w:r>
      <w:r w:rsidR="00083383" w:rsidRPr="00D43575">
        <w:t>.</w:t>
      </w:r>
      <w:r w:rsidRPr="00D43575">
        <w:t xml:space="preserve"> De conformidad con el artículo 35 de la Constitución, ninguna de las leyes mencionadas en el párrafo 24 incluye ningún tipo de discriminación entre el hombre y la mujer</w:t>
      </w:r>
      <w:r w:rsidR="00083383" w:rsidRPr="00D43575">
        <w:t>.</w:t>
      </w:r>
    </w:p>
    <w:p w14:paraId="57E8B975" w14:textId="5DC21390" w:rsidR="008D2F10" w:rsidRPr="00D43575" w:rsidRDefault="008D2F10" w:rsidP="001D1AD0">
      <w:pPr>
        <w:pStyle w:val="SingleTxt"/>
        <w:numPr>
          <w:ilvl w:val="0"/>
          <w:numId w:val="10"/>
        </w:numPr>
        <w:ind w:left="1267" w:firstLine="0"/>
      </w:pPr>
      <w:r w:rsidRPr="00D43575">
        <w:t>La Visión Nacional de Qatar 2030 tiene como objetivo construir una sociedad que promueva la justicia y la igualdad</w:t>
      </w:r>
      <w:r w:rsidR="00083383" w:rsidRPr="00D43575">
        <w:t>.</w:t>
      </w:r>
      <w:r w:rsidRPr="00D43575">
        <w:t xml:space="preserve"> Encarna los principios de la Constitución Permanente, que protege a la población y vela por las libertades individuales, promueve la ética, los valores y tradiciones religiosos y la identidad cultural, y garantiza la seguridad, la estabilidad y la igualdad de oportunidades</w:t>
      </w:r>
      <w:r w:rsidR="00083383" w:rsidRPr="00D43575">
        <w:t>.</w:t>
      </w:r>
      <w:r w:rsidRPr="00D43575">
        <w:t xml:space="preserve"> Además, se sustenta en cuatro pilares: el desarrollo humano; el desarrollo social; el desarrollo económico; y el desarrollo ambiental</w:t>
      </w:r>
      <w:r w:rsidR="00083383" w:rsidRPr="00D43575">
        <w:t>.</w:t>
      </w:r>
      <w:r w:rsidRPr="00D43575">
        <w:t xml:space="preserve"> El pilar del desarrollo social aspira a lograr la cohesión de las familias que cuidan de sus miembros y preservan la ética y los valores religiosos y los ideales humanos</w:t>
      </w:r>
      <w:r w:rsidR="00083383" w:rsidRPr="00D43575">
        <w:t>.</w:t>
      </w:r>
      <w:r w:rsidRPr="00D43575">
        <w:t xml:space="preserve"> La Visión Nacional de Qatar 2030 promueve un sistema de protección social eficaz que cree en los derechos civiles de todos los ciudadanos qataríes y les garantiza unos ingresos suficientes para llevar una vida </w:t>
      </w:r>
      <w:r w:rsidRPr="00D43575">
        <w:lastRenderedPageBreak/>
        <w:t>saludable con dignidad</w:t>
      </w:r>
      <w:r w:rsidR="00083383" w:rsidRPr="00D43575">
        <w:t>.</w:t>
      </w:r>
      <w:r w:rsidRPr="00D43575">
        <w:t xml:space="preserve"> El proyecto hace un llamamiento para perfeccionar las capacidades de las mujeres, a fin de que puedan participar plenamente en la vida política y económica del Estado, en especial ocupando puestos decisorios</w:t>
      </w:r>
      <w:r w:rsidR="00083383" w:rsidRPr="00D43575">
        <w:t>.</w:t>
      </w:r>
    </w:p>
    <w:p w14:paraId="161FA535" w14:textId="77777777" w:rsidR="008D2F10" w:rsidRPr="00D43575" w:rsidRDefault="008D2F10" w:rsidP="001D1AD0">
      <w:pPr>
        <w:pStyle w:val="SingleTxt"/>
        <w:numPr>
          <w:ilvl w:val="0"/>
          <w:numId w:val="10"/>
        </w:numPr>
        <w:ind w:left="1267" w:firstLine="0"/>
      </w:pPr>
      <w:r w:rsidRPr="00D43575">
        <w:t>El Estado ha adoptado una serie de medidas en el plano político y de procedimiento para garantizar la protección y la promoción de los derechos de la mujer, entre otras, las siguientes:</w:t>
      </w:r>
    </w:p>
    <w:p w14:paraId="5711A4B7" w14:textId="24C0D14F" w:rsidR="008D2F10" w:rsidRPr="00D43575" w:rsidRDefault="00A315DF" w:rsidP="00A315DF">
      <w:pPr>
        <w:pStyle w:val="SingleTxt"/>
        <w:tabs>
          <w:tab w:val="right" w:pos="1685"/>
        </w:tabs>
        <w:ind w:left="1742" w:hanging="475"/>
      </w:pPr>
      <w:r w:rsidRPr="00D43575">
        <w:tab/>
        <w:t>•</w:t>
      </w:r>
      <w:r w:rsidRPr="00D43575">
        <w:tab/>
      </w:r>
      <w:r w:rsidR="008D2F10" w:rsidRPr="00D43575">
        <w:t>Se han establecido mecanismos nacionales en lo tocante a las cuestiones relacionadas con la mujer que han contribuido al disfrute de la igualdad y la igualdad de oportunidades en el ámbito de la formulación de políticas y la ejecución de los programas</w:t>
      </w:r>
      <w:r w:rsidR="00083383" w:rsidRPr="00D43575">
        <w:t>.</w:t>
      </w:r>
    </w:p>
    <w:p w14:paraId="5AE8DEBD" w14:textId="3E3BB339" w:rsidR="008D2F10" w:rsidRPr="00D43575" w:rsidRDefault="00A315DF" w:rsidP="00A315DF">
      <w:pPr>
        <w:pStyle w:val="SingleTxt"/>
        <w:tabs>
          <w:tab w:val="right" w:pos="1685"/>
        </w:tabs>
        <w:ind w:left="1742" w:hanging="475"/>
      </w:pPr>
      <w:r w:rsidRPr="00D43575">
        <w:tab/>
        <w:t>•</w:t>
      </w:r>
      <w:r w:rsidRPr="00D43575">
        <w:tab/>
      </w:r>
      <w:r w:rsidR="008D2F10" w:rsidRPr="00D43575">
        <w:t>Se han revisado las leyes nacionales que discriminan a la mujer y se han modificado de acuerdo con los instrumentos internacionales, y se han presentado también proyectos de ley que promueven la igualdad de oportunidades y tienen en cuenta el género</w:t>
      </w:r>
      <w:r w:rsidR="00083383" w:rsidRPr="00D43575">
        <w:t>.</w:t>
      </w:r>
    </w:p>
    <w:p w14:paraId="32B5E5D5" w14:textId="1D0D5CCA" w:rsidR="008D2F10" w:rsidRPr="00D43575" w:rsidRDefault="00A315DF" w:rsidP="00A315DF">
      <w:pPr>
        <w:pStyle w:val="SingleTxt"/>
        <w:tabs>
          <w:tab w:val="right" w:pos="1685"/>
        </w:tabs>
        <w:ind w:left="1742" w:hanging="475"/>
      </w:pPr>
      <w:r w:rsidRPr="00D43575">
        <w:tab/>
        <w:t>•</w:t>
      </w:r>
      <w:r w:rsidRPr="00D43575">
        <w:tab/>
      </w:r>
      <w:r w:rsidR="008D2F10" w:rsidRPr="00D43575">
        <w:t>El Estado presta asistencia jurídica y para la rehabilitación psicológica de manera gratuita y ofrece albergues a las mujeres víctimas de la violencia</w:t>
      </w:r>
      <w:r w:rsidR="00083383" w:rsidRPr="00D43575">
        <w:t>.</w:t>
      </w:r>
    </w:p>
    <w:p w14:paraId="073EE8CF" w14:textId="2F476C74" w:rsidR="008D2F10" w:rsidRPr="00D43575" w:rsidRDefault="00A315DF" w:rsidP="00A315DF">
      <w:pPr>
        <w:pStyle w:val="SingleTxt"/>
        <w:tabs>
          <w:tab w:val="right" w:pos="1685"/>
        </w:tabs>
        <w:ind w:left="1742" w:hanging="475"/>
      </w:pPr>
      <w:r w:rsidRPr="00D43575">
        <w:tab/>
        <w:t>•</w:t>
      </w:r>
      <w:r w:rsidRPr="00D43575">
        <w:tab/>
      </w:r>
      <w:r w:rsidR="008D2F10" w:rsidRPr="00D43575">
        <w:t>Se han dedicado más esfuerzos al desglose por sexo de las estadísticas</w:t>
      </w:r>
      <w:r w:rsidR="00083383" w:rsidRPr="00D43575">
        <w:t>.</w:t>
      </w:r>
    </w:p>
    <w:p w14:paraId="13760B2B" w14:textId="5AF720F2" w:rsidR="008D2F10" w:rsidRPr="00D43575" w:rsidRDefault="00A315DF" w:rsidP="00A315DF">
      <w:pPr>
        <w:pStyle w:val="SingleTxt"/>
        <w:tabs>
          <w:tab w:val="right" w:pos="1685"/>
        </w:tabs>
        <w:ind w:left="1742" w:hanging="475"/>
      </w:pPr>
      <w:r w:rsidRPr="00D43575">
        <w:tab/>
        <w:t>•</w:t>
      </w:r>
      <w:r w:rsidRPr="00D43575">
        <w:tab/>
      </w:r>
      <w:r w:rsidR="008D2F10" w:rsidRPr="00D43575">
        <w:t>Se han asignado fondos para la ejecución de programas destinados a propiciar la igualdad y la igualdad de oportunidades</w:t>
      </w:r>
      <w:r w:rsidR="00083383" w:rsidRPr="00D43575">
        <w:t>.</w:t>
      </w:r>
    </w:p>
    <w:p w14:paraId="2A74BDB9" w14:textId="09473521" w:rsidR="00083383" w:rsidRPr="00D43575" w:rsidRDefault="00A315DF" w:rsidP="00A315DF">
      <w:pPr>
        <w:pStyle w:val="SingleTxt"/>
        <w:tabs>
          <w:tab w:val="right" w:pos="1685"/>
        </w:tabs>
        <w:ind w:left="1742" w:hanging="475"/>
      </w:pPr>
      <w:r w:rsidRPr="00D43575">
        <w:tab/>
        <w:t>•</w:t>
      </w:r>
      <w:r w:rsidRPr="00D43575">
        <w:tab/>
      </w:r>
      <w:r w:rsidR="008D2F10" w:rsidRPr="00D43575">
        <w:t>Ha aumentado la proporción de mujeres nombradas para puestos decisorios</w:t>
      </w:r>
      <w:r w:rsidR="00083383" w:rsidRPr="00D43575">
        <w:t>.</w:t>
      </w:r>
    </w:p>
    <w:p w14:paraId="6C8FB665" w14:textId="738E063B" w:rsidR="008D2F10" w:rsidRPr="00D43575" w:rsidRDefault="00A315DF" w:rsidP="00A315DF">
      <w:pPr>
        <w:pStyle w:val="SingleTxt"/>
        <w:tabs>
          <w:tab w:val="right" w:pos="1685"/>
        </w:tabs>
        <w:ind w:left="1742" w:hanging="475"/>
      </w:pPr>
      <w:r w:rsidRPr="00D43575">
        <w:tab/>
        <w:t>•</w:t>
      </w:r>
      <w:r w:rsidRPr="00D43575">
        <w:tab/>
      </w:r>
      <w:r w:rsidR="008D2F10" w:rsidRPr="00D43575">
        <w:t>Se ha incorporado una perspectiva de género en los programas de reforma económica y social</w:t>
      </w:r>
      <w:r w:rsidR="00083383" w:rsidRPr="00D43575">
        <w:t>.</w:t>
      </w:r>
    </w:p>
    <w:p w14:paraId="6055435D" w14:textId="3B62B8D4" w:rsidR="008D2F10" w:rsidRPr="00D43575" w:rsidRDefault="00A315DF" w:rsidP="00A315DF">
      <w:pPr>
        <w:pStyle w:val="SingleTxt"/>
        <w:tabs>
          <w:tab w:val="right" w:pos="1685"/>
        </w:tabs>
        <w:ind w:left="1742" w:hanging="475"/>
      </w:pPr>
      <w:r w:rsidRPr="00D43575">
        <w:tab/>
        <w:t>•</w:t>
      </w:r>
      <w:r w:rsidRPr="00D43575">
        <w:tab/>
      </w:r>
      <w:r w:rsidR="008D2F10" w:rsidRPr="00D43575">
        <w:t>El Estado ha cooperado en las esferas del empoderamiento de las mujeres y la igualdad de género y ha intercambiado información y mejores prácticas al respecto con diversos organismos que se ocupan de los asuntos de la mujer, como la Comisión Económica y Social para Asia Occidental (CESPAO)</w:t>
      </w:r>
      <w:r w:rsidR="00083383" w:rsidRPr="00D43575">
        <w:t>.</w:t>
      </w:r>
    </w:p>
    <w:p w14:paraId="42063E98" w14:textId="77777777" w:rsidR="008D2F10" w:rsidRPr="00D43575" w:rsidRDefault="008D2F10" w:rsidP="008D2F10">
      <w:pPr>
        <w:pStyle w:val="SingleTxt"/>
        <w:spacing w:after="0" w:line="120" w:lineRule="exact"/>
        <w:rPr>
          <w:sz w:val="10"/>
        </w:rPr>
      </w:pPr>
    </w:p>
    <w:p w14:paraId="049C3812"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Cumplimiento de las recomendaciones sobre el artículo 3</w:t>
      </w:r>
    </w:p>
    <w:p w14:paraId="781FBEC3" w14:textId="77777777" w:rsidR="008D2F10" w:rsidRPr="00D43575" w:rsidRDefault="008D2F10" w:rsidP="008D2F10">
      <w:pPr>
        <w:pStyle w:val="SingleTxt"/>
        <w:spacing w:after="0" w:line="120" w:lineRule="exact"/>
        <w:rPr>
          <w:sz w:val="10"/>
        </w:rPr>
      </w:pPr>
    </w:p>
    <w:p w14:paraId="74E62FD4" w14:textId="2AEBDB7D" w:rsidR="008D2F10" w:rsidRPr="00D43575" w:rsidRDefault="008D2F10" w:rsidP="00FC6BA7">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2920"/>
        <w:rPr>
          <w:bCs w:val="0"/>
          <w:szCs w:val="20"/>
        </w:rPr>
      </w:pPr>
      <w:r w:rsidRPr="00D43575">
        <w:rPr>
          <w:bCs w:val="0"/>
          <w:szCs w:val="20"/>
        </w:rPr>
        <w:tab/>
      </w:r>
      <w:r w:rsidRPr="00D43575">
        <w:rPr>
          <w:bCs w:val="0"/>
          <w:szCs w:val="20"/>
        </w:rPr>
        <w:tab/>
        <w:t>Establecimiento de una dependencia del Gobierno encargada de las cuestiones de</w:t>
      </w:r>
      <w:r w:rsidR="00083383" w:rsidRPr="00D43575">
        <w:rPr>
          <w:bCs w:val="0"/>
          <w:szCs w:val="20"/>
        </w:rPr>
        <w:t xml:space="preserve"> </w:t>
      </w:r>
      <w:r w:rsidRPr="00D43575">
        <w:rPr>
          <w:bCs w:val="0"/>
          <w:szCs w:val="20"/>
        </w:rPr>
        <w:t>la mujer</w:t>
      </w:r>
    </w:p>
    <w:p w14:paraId="3DC5D4EC" w14:textId="77777777" w:rsidR="008D2F10" w:rsidRPr="00D43575" w:rsidRDefault="008D2F10" w:rsidP="008D2F10">
      <w:pPr>
        <w:pStyle w:val="SingleTxt"/>
        <w:spacing w:after="0" w:line="120" w:lineRule="exact"/>
        <w:rPr>
          <w:sz w:val="10"/>
        </w:rPr>
      </w:pPr>
    </w:p>
    <w:p w14:paraId="698633C7" w14:textId="5B5348FA" w:rsidR="008D2F10" w:rsidRPr="007D60C1" w:rsidRDefault="008D2F10" w:rsidP="001D1AD0">
      <w:pPr>
        <w:pStyle w:val="SingleTxt"/>
        <w:numPr>
          <w:ilvl w:val="0"/>
          <w:numId w:val="10"/>
        </w:numPr>
        <w:ind w:left="1267" w:firstLine="0"/>
      </w:pPr>
      <w:r w:rsidRPr="00D43575">
        <w:t xml:space="preserve">De conformidad con el Decreto </w:t>
      </w:r>
      <w:r w:rsidR="009D5F93">
        <w:t>del Emir</w:t>
      </w:r>
      <w:r w:rsidR="009D5F93" w:rsidRPr="009D5F93">
        <w:t xml:space="preserve"> </w:t>
      </w:r>
      <w:r w:rsidRPr="009D5F93">
        <w:t>núm</w:t>
      </w:r>
      <w:r w:rsidR="00083383" w:rsidRPr="009D5F93">
        <w:t>.</w:t>
      </w:r>
      <w:r w:rsidRPr="009D5F93">
        <w:t xml:space="preserve"> 4/2016, se ha creado un Departamento de Asuntos de la Familia dentro del Ministerio de Desarrollo Administrativo, Trabajo y Asuntos Sociales, lo que pone de manifiesto el interés del Go</w:t>
      </w:r>
      <w:r w:rsidRPr="00D43575">
        <w:t>bierno por contar con un órgano gubernamental nacional superior responsable de los asuntos de la familia y, en particular, de las mujeres</w:t>
      </w:r>
      <w:r w:rsidRPr="007D60C1">
        <w:rPr>
          <w:vertAlign w:val="superscript"/>
        </w:rPr>
        <w:footnoteReference w:id="6"/>
      </w:r>
      <w:r w:rsidR="00083383" w:rsidRPr="007D60C1">
        <w:t>.</w:t>
      </w:r>
    </w:p>
    <w:p w14:paraId="073125A3" w14:textId="43115CD5" w:rsidR="00083383" w:rsidRPr="00D43575" w:rsidRDefault="008D2F10" w:rsidP="001D1AD0">
      <w:pPr>
        <w:pStyle w:val="SingleTxt"/>
        <w:numPr>
          <w:ilvl w:val="0"/>
          <w:numId w:val="10"/>
        </w:numPr>
        <w:ind w:left="1267" w:firstLine="0"/>
      </w:pPr>
      <w:r w:rsidRPr="009D5F93">
        <w:t>En 2016 y 2017, el Departamento de Asuntos de la Familia llevó a cabo numerosas iniciativas y actividades operaciona</w:t>
      </w:r>
      <w:r w:rsidRPr="00D43575">
        <w:t>les encaminadas a proteger y fortalecer los derechos de la mujer</w:t>
      </w:r>
      <w:r w:rsidR="00083383" w:rsidRPr="00D43575">
        <w:t>.</w:t>
      </w:r>
      <w:r w:rsidRPr="00D43575">
        <w:t xml:space="preserve"> Entre ellas cabe destacar la organización de talleres y programas de capacitación para familias productivas sobre la creación de empresas familiares, la participación en festivales nacionales y de la herencia cultural, la supervisión de una serie de mostradores de venta para las familias productivas autorizadas por los organismos patrocinadores, la participación en actividades pertinentes en el extranjero, la creación en 2017 de un premio de incentivo para familias productivas y la ejecución de programas en pro de la cohesión de la familia y para sensibilizar sobre el papel de los valores en su seno</w:t>
      </w:r>
      <w:r w:rsidR="00083383" w:rsidRPr="00D43575">
        <w:t>.</w:t>
      </w:r>
    </w:p>
    <w:p w14:paraId="05396EBC" w14:textId="3FB085A9" w:rsidR="00083383" w:rsidRPr="007D60C1" w:rsidRDefault="008D2F10" w:rsidP="001D1AD0">
      <w:pPr>
        <w:pStyle w:val="SingleTxt"/>
        <w:numPr>
          <w:ilvl w:val="0"/>
          <w:numId w:val="10"/>
        </w:numPr>
        <w:ind w:left="1267" w:firstLine="0"/>
      </w:pPr>
      <w:r w:rsidRPr="00D43575">
        <w:lastRenderedPageBreak/>
        <w:t>La Qatar Social Work Foundation, creada en 2013, es una institución de alto nivel cuyo directorio ejecutivo supervisa y vigila a las instituciones y los centros responsables de la labor social en el Estado</w:t>
      </w:r>
      <w:r w:rsidRPr="007D60C1">
        <w:rPr>
          <w:vertAlign w:val="superscript"/>
        </w:rPr>
        <w:footnoteReference w:id="7"/>
      </w:r>
      <w:r w:rsidR="00083383" w:rsidRPr="007D60C1">
        <w:t>.</w:t>
      </w:r>
    </w:p>
    <w:p w14:paraId="6B7FA862" w14:textId="037D9E95" w:rsidR="008D2F10" w:rsidRPr="009D5F93" w:rsidRDefault="008D2F10" w:rsidP="008D2F10">
      <w:pPr>
        <w:pStyle w:val="SingleTxt"/>
        <w:spacing w:after="0" w:line="120" w:lineRule="exact"/>
        <w:rPr>
          <w:sz w:val="10"/>
        </w:rPr>
      </w:pPr>
    </w:p>
    <w:p w14:paraId="1B6B9856"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Promoción del ideal de la Convención</w:t>
      </w:r>
    </w:p>
    <w:p w14:paraId="09BFE1E7" w14:textId="77777777" w:rsidR="008D2F10" w:rsidRPr="00D43575" w:rsidRDefault="008D2F10" w:rsidP="008D2F10">
      <w:pPr>
        <w:pStyle w:val="SingleTxt"/>
        <w:spacing w:after="0" w:line="120" w:lineRule="exact"/>
        <w:rPr>
          <w:sz w:val="10"/>
        </w:rPr>
      </w:pPr>
    </w:p>
    <w:p w14:paraId="214A1969" w14:textId="569C2063" w:rsidR="008D2F10" w:rsidRPr="00D43575" w:rsidRDefault="008D2F10" w:rsidP="001D1AD0">
      <w:pPr>
        <w:pStyle w:val="SingleTxt"/>
        <w:numPr>
          <w:ilvl w:val="0"/>
          <w:numId w:val="10"/>
        </w:numPr>
        <w:ind w:left="1267" w:firstLine="0"/>
      </w:pPr>
      <w:r w:rsidRPr="00D43575">
        <w:t>El Centro de Estudios Jurídicos y Judiciales del Ministerio de Justicia participa en la formación de jueces, fiscales, fiscales adjuntos y demás personal jurídico de los organismos públicos para desarrollar y actualizar sus capacidades y aptitudes teóricas y prácticas</w:t>
      </w:r>
      <w:r w:rsidR="00083383" w:rsidRPr="00D43575">
        <w:t>.</w:t>
      </w:r>
      <w:r w:rsidRPr="00D43575">
        <w:t xml:space="preserve"> Asimismo, imparte formación a auxiliares judiciales y agentes de la policía judicial, a fin de garantizar que realicen las tareas que se les ha encomendado</w:t>
      </w:r>
      <w:r w:rsidR="00083383" w:rsidRPr="00D43575">
        <w:t>.</w:t>
      </w:r>
      <w:r w:rsidRPr="00D43575">
        <w:t xml:space="preserve"> Organiza seminarios, encuentros y simposios jurídicos, publica revistas e imparte diversos programas de formación en coordinación con funcionarios de la Dirección de Formación</w:t>
      </w:r>
      <w:r w:rsidR="00083383" w:rsidRPr="00D43575">
        <w:t>.</w:t>
      </w:r>
      <w:r w:rsidRPr="00D43575">
        <w:t xml:space="preserve"> Como parte del cumplimiento de las recomendaciones citadas con anterioridad, el Centro de Estudios Jurídicos y Judiciales se ha comprometido a elaborar programas de estudios y libros de texto</w:t>
      </w:r>
      <w:r w:rsidR="00083383" w:rsidRPr="00D43575">
        <w:t xml:space="preserve"> </w:t>
      </w:r>
      <w:r w:rsidRPr="00D43575">
        <w:t>sobre los derechos humanos, los convenios internacionales pertinentes y los instrumentos jurídicos nacionales para los formadores del centro de forma circunstancial y periódica, dirigidos a jueces, fiscales, abogados y demás personal jurídico de cualquier organismo público, así como a los miembros de la policía</w:t>
      </w:r>
      <w:r w:rsidR="00083383" w:rsidRPr="00D43575">
        <w:t>.</w:t>
      </w:r>
      <w:r w:rsidRPr="00D43575">
        <w:t xml:space="preserve"> Para ello, imparte cursos de capacitación obligatorios o especializados</w:t>
      </w:r>
      <w:r w:rsidR="00083383" w:rsidRPr="00D43575">
        <w:t>.</w:t>
      </w:r>
    </w:p>
    <w:p w14:paraId="32BD975A" w14:textId="2CB535BC" w:rsidR="008D2F10" w:rsidRPr="00D43575" w:rsidRDefault="008D2F10" w:rsidP="001D1AD0">
      <w:pPr>
        <w:pStyle w:val="SingleTxt"/>
        <w:numPr>
          <w:ilvl w:val="0"/>
          <w:numId w:val="10"/>
        </w:numPr>
        <w:ind w:left="1267" w:firstLine="0"/>
      </w:pPr>
      <w:r w:rsidRPr="00D43575">
        <w:t>El Comité Nacional de Derechos Humanos organiza programas de sensibilización permanentes sobre los derechos de la mujer a través de cursos de capacitación, talleres y seminarios que están dirigidos a los estudiantes de ambos sexos de las escuelas y las universidades</w:t>
      </w:r>
      <w:r w:rsidR="00083383" w:rsidRPr="00D43575">
        <w:t>.</w:t>
      </w:r>
      <w:r w:rsidRPr="00D43575">
        <w:t xml:space="preserve"> En 2015 y 2016 el Comité celebró una serie de simposios dirigidos a alumnas de enseñanza secundaria y preparatoria</w:t>
      </w:r>
      <w:r w:rsidR="00083383" w:rsidRPr="00D43575">
        <w:t>.</w:t>
      </w:r>
      <w:r w:rsidRPr="00D43575">
        <w:t xml:space="preserve"> También creó una suerte de </w:t>
      </w:r>
      <w:r w:rsidR="00F652D5" w:rsidRPr="00D43575">
        <w:t>“</w:t>
      </w:r>
      <w:r w:rsidRPr="00D43575">
        <w:t>centro de asistencia jurídica</w:t>
      </w:r>
      <w:r w:rsidR="00F652D5" w:rsidRPr="00D43575">
        <w:t>”</w:t>
      </w:r>
      <w:r w:rsidRPr="00D43575">
        <w:t xml:space="preserve"> con estudiantes de la Facultad de Derecho de la Universidad de Qatar, a fin de que se familiarizaran con</w:t>
      </w:r>
      <w:r w:rsidR="00083383" w:rsidRPr="00D43575">
        <w:t xml:space="preserve"> </w:t>
      </w:r>
      <w:r w:rsidRPr="00D43575">
        <w:t>la Convención sobre la Eliminación de Todas las Formas de Discriminación contra la Mujer</w:t>
      </w:r>
      <w:r w:rsidR="00083383" w:rsidRPr="00D43575">
        <w:t>.</w:t>
      </w:r>
    </w:p>
    <w:p w14:paraId="199C3EF0" w14:textId="174DAE7A" w:rsidR="00083383" w:rsidRPr="00D43575" w:rsidRDefault="008D2F10" w:rsidP="001D1AD0">
      <w:pPr>
        <w:pStyle w:val="SingleTxt"/>
        <w:numPr>
          <w:ilvl w:val="0"/>
          <w:numId w:val="10"/>
        </w:numPr>
        <w:ind w:left="1267" w:firstLine="0"/>
      </w:pPr>
      <w:r w:rsidRPr="00D43575">
        <w:t>Las organizaciones de la sociedad civil, en colaboración con el Comité Nacional de Derechos Humanos, imparten cursos de formación continua y talleres para promover la aplicación de la Convención sobre la Eliminación de Todas las Formas de Discriminación contra la Mujer, la Convención sobre los Derechos de las Personas con Discapacidad y el Protocolo contra la Trata de Personas, para mejorar el conocimiento de dichas convenciones y formar al personal pertinente de los organismos encargados de hacer cumplir la ley, la Fiscalía, el personal judicial y la policía, así como a abogados y profesionales de los medios de comunicación</w:t>
      </w:r>
      <w:r w:rsidR="00083383" w:rsidRPr="00D43575">
        <w:t>.</w:t>
      </w:r>
      <w:r w:rsidRPr="00D43575">
        <w:t xml:space="preserve"> Por ejemplo, en febrero de 2016, el Comité impartió un curso de capacitación sobre una serie de cuestiones relativas a los derechos humanos, incluidos los derechos de la mujer, al Comando General de las Fuerzas Armadas de Qatar</w:t>
      </w:r>
      <w:r w:rsidR="00083383" w:rsidRPr="00D43575">
        <w:t>.</w:t>
      </w:r>
      <w:r w:rsidRPr="00D43575">
        <w:t xml:space="preserve"> En abril de 2016, organizó un taller sobre la legislación interna, incluidas las leyes relativas a la mujer, y la perspectiva del Comité Nacional de Derechos Humanos al respecto, dirigido al personal encargado de hacer cumplir la ley en la policía, la Fiscalía y los</w:t>
      </w:r>
      <w:r w:rsidR="00083383" w:rsidRPr="00D43575">
        <w:t xml:space="preserve"> </w:t>
      </w:r>
      <w:r w:rsidRPr="00D43575">
        <w:t>tribunales</w:t>
      </w:r>
      <w:r w:rsidR="00083383" w:rsidRPr="00D43575">
        <w:t>.</w:t>
      </w:r>
    </w:p>
    <w:p w14:paraId="55EF7961" w14:textId="0759C30B" w:rsidR="008D2F10" w:rsidRPr="00D43575" w:rsidRDefault="008D2F10" w:rsidP="008D2F10">
      <w:pPr>
        <w:pStyle w:val="SingleTxt"/>
        <w:spacing w:after="0" w:line="120" w:lineRule="exact"/>
        <w:rPr>
          <w:sz w:val="10"/>
        </w:rPr>
      </w:pPr>
    </w:p>
    <w:p w14:paraId="5F105D65"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Artículo 4: Medidas especiales</w:t>
      </w:r>
    </w:p>
    <w:p w14:paraId="11DBDFC2" w14:textId="77777777" w:rsidR="008D2F10" w:rsidRPr="00D43575" w:rsidRDefault="008D2F10" w:rsidP="008D2F10">
      <w:pPr>
        <w:pStyle w:val="SingleTxt"/>
        <w:spacing w:after="0" w:line="120" w:lineRule="exact"/>
        <w:rPr>
          <w:sz w:val="10"/>
        </w:rPr>
      </w:pPr>
    </w:p>
    <w:p w14:paraId="6B9CC5C6" w14:textId="3697D324" w:rsidR="00083383" w:rsidRPr="00D43575" w:rsidRDefault="008D2F10" w:rsidP="001D1AD0">
      <w:pPr>
        <w:pStyle w:val="SingleTxt"/>
        <w:numPr>
          <w:ilvl w:val="0"/>
          <w:numId w:val="10"/>
        </w:numPr>
        <w:ind w:left="1267" w:firstLine="0"/>
      </w:pPr>
      <w:r w:rsidRPr="00D43575">
        <w:t>Las políticas relacionadas con la mujer y la familia forman parte, junto con otras dimensiones del desarrollo humano y social, de las políticas sociales nacionales integradas del Estado de Qatar, que están respaldadas por acciones combinadas puestas en marcha por el Gobierno y la sociedad civil para promover un desarrollo social y humano que sea sostenible desde el punto de vista económico y ambiental</w:t>
      </w:r>
      <w:r w:rsidR="00083383" w:rsidRPr="00D43575">
        <w:t>.</w:t>
      </w:r>
      <w:r w:rsidRPr="00D43575">
        <w:t xml:space="preserve"> En un entorno de rápida modernización, la I y la II Estrategia Nacional de Desarrollo están destinadas a lograr el ideal nacional de Qatar de crear una sociedad solidaria, </w:t>
      </w:r>
      <w:r w:rsidRPr="00D43575">
        <w:lastRenderedPageBreak/>
        <w:t>cohesionado y justa</w:t>
      </w:r>
      <w:r w:rsidR="00083383" w:rsidRPr="00D43575">
        <w:t>.</w:t>
      </w:r>
      <w:r w:rsidRPr="00D43575">
        <w:t xml:space="preserve"> Para lograrlo, la estrategia en su conjunto está orientada a la creación de instituciones y mecanismos eficaces para promover la cohesión de la familia, mejorar las capacidades de la mujer y contribuir a su empoderamiento</w:t>
      </w:r>
      <w:r w:rsidR="00083383" w:rsidRPr="00D43575">
        <w:t>.</w:t>
      </w:r>
    </w:p>
    <w:p w14:paraId="033AEEC7" w14:textId="53A4DFE3" w:rsidR="00083383" w:rsidRPr="00D43575" w:rsidRDefault="008D2F10" w:rsidP="001D1AD0">
      <w:pPr>
        <w:pStyle w:val="SingleTxt"/>
        <w:numPr>
          <w:ilvl w:val="0"/>
          <w:numId w:val="10"/>
        </w:numPr>
        <w:ind w:left="1267" w:firstLine="0"/>
      </w:pPr>
      <w:r w:rsidRPr="00D43575">
        <w:t>La I y la II Estrategia Nacional de Desarrollo se centran en la cuestión del empoderamiento de la mujer</w:t>
      </w:r>
      <w:r w:rsidR="00083383" w:rsidRPr="00D43575">
        <w:t>.</w:t>
      </w:r>
      <w:r w:rsidRPr="00D43575">
        <w:t xml:space="preserve"> En particular, hacen hincapié en la igualdad entre el hombre y la mujer y la importancia de superar los estereotipos sobre el papel de la mujer en la sociedad, a fin de contribuir con los progresos en el ámbito del empoderamiento de la mujer</w:t>
      </w:r>
      <w:r w:rsidR="00083383" w:rsidRPr="00D43575">
        <w:t>.</w:t>
      </w:r>
      <w:r w:rsidRPr="00D43575">
        <w:t xml:space="preserve"> También se centran en la maternidad y la infancia, a través de la creación de varios programas destinados a proteger la maternidad</w:t>
      </w:r>
      <w:r w:rsidR="00083383" w:rsidRPr="00D43575">
        <w:t>.</w:t>
      </w:r>
    </w:p>
    <w:p w14:paraId="1337FE3A" w14:textId="785C2D18" w:rsidR="008D2F10" w:rsidRPr="00D43575" w:rsidRDefault="008D2F10" w:rsidP="008D2F10">
      <w:pPr>
        <w:pStyle w:val="SingleTxt"/>
        <w:spacing w:after="0" w:line="120" w:lineRule="exact"/>
        <w:rPr>
          <w:sz w:val="10"/>
        </w:rPr>
      </w:pPr>
    </w:p>
    <w:p w14:paraId="11212D2B"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Cumplimiento de las recomendaciones sobre el artículo 3</w:t>
      </w:r>
    </w:p>
    <w:p w14:paraId="40CE8896" w14:textId="77777777" w:rsidR="008D2F10" w:rsidRPr="00D43575" w:rsidRDefault="008D2F10" w:rsidP="008D2F10">
      <w:pPr>
        <w:pStyle w:val="SingleTxt"/>
        <w:spacing w:after="0" w:line="120" w:lineRule="exact"/>
        <w:rPr>
          <w:sz w:val="10"/>
        </w:rPr>
      </w:pPr>
    </w:p>
    <w:p w14:paraId="4E5AC4A6" w14:textId="77777777" w:rsidR="008D2F10" w:rsidRPr="00D43575" w:rsidRDefault="008D2F10" w:rsidP="00FC6BA7">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2740"/>
        <w:rPr>
          <w:bCs w:val="0"/>
          <w:szCs w:val="20"/>
        </w:rPr>
      </w:pPr>
      <w:r w:rsidRPr="00D43575">
        <w:rPr>
          <w:bCs w:val="0"/>
          <w:szCs w:val="20"/>
        </w:rPr>
        <w:tab/>
      </w:r>
      <w:r w:rsidRPr="00D43575">
        <w:rPr>
          <w:bCs w:val="0"/>
          <w:szCs w:val="20"/>
        </w:rPr>
        <w:tab/>
        <w:t>El logro de la igualdad entre el hombre y la mujer en la adopción de medidas especiales de carácter temporal</w:t>
      </w:r>
    </w:p>
    <w:p w14:paraId="0B36EC33" w14:textId="77777777" w:rsidR="008D2F10" w:rsidRPr="00D43575" w:rsidRDefault="008D2F10" w:rsidP="008D2F10">
      <w:pPr>
        <w:pStyle w:val="SingleTxt"/>
        <w:spacing w:after="0" w:line="120" w:lineRule="exact"/>
        <w:rPr>
          <w:sz w:val="10"/>
        </w:rPr>
      </w:pPr>
    </w:p>
    <w:p w14:paraId="67413BA2" w14:textId="252376CA" w:rsidR="00083383" w:rsidRPr="00D43575" w:rsidRDefault="008D2F10" w:rsidP="001D1AD0">
      <w:pPr>
        <w:pStyle w:val="SingleTxt"/>
        <w:numPr>
          <w:ilvl w:val="0"/>
          <w:numId w:val="10"/>
        </w:numPr>
        <w:ind w:left="1267" w:firstLine="0"/>
      </w:pPr>
      <w:r w:rsidRPr="00D43575">
        <w:t>Además de la información recogida en los párrafos 137 a 141 del informe inicial, el Estado de Qatar subraya de nuevo que se ha adoptado una política transparente de promoción del adelanto de la mujer en todos los ámbitos sin discriminación alguna</w:t>
      </w:r>
      <w:r w:rsidR="00083383" w:rsidRPr="00D43575">
        <w:t>.</w:t>
      </w:r>
      <w:r w:rsidRPr="00D43575">
        <w:t xml:space="preserve"> De ello da cuenta la promulgación del Decreto </w:t>
      </w:r>
      <w:r w:rsidR="009D5F93">
        <w:t>del Emir</w:t>
      </w:r>
      <w:r w:rsidR="009D5F93" w:rsidRPr="009D5F93">
        <w:t xml:space="preserve"> </w:t>
      </w:r>
      <w:r w:rsidRPr="009D5F93">
        <w:t>núm</w:t>
      </w:r>
      <w:r w:rsidR="00083383" w:rsidRPr="009D5F93">
        <w:t xml:space="preserve">. </w:t>
      </w:r>
      <w:r w:rsidRPr="009D5F93">
        <w:t>22/2017, que prevé el nombramiento de cuatro mujeres qataríes como miembros del Consejo Consultivo, lo cual pone de manifiesto que el Estado cree en la importancia del papel de la mujer en el sistema legislativo y su apoyo a los derechos de la mujer consagrados en la Constitución</w:t>
      </w:r>
      <w:r w:rsidR="00083383" w:rsidRPr="009D5F93">
        <w:t>.</w:t>
      </w:r>
      <w:r w:rsidRPr="009D5F93">
        <w:t xml:space="preserve"> La legislación que regula el mercado de trabajo en el Estado de Qatar también ha adoptado un enfoque coherente con la Constitución Permanente, está libre de toda</w:t>
      </w:r>
      <w:r w:rsidRPr="00D43575">
        <w:t xml:space="preserve"> forma de discriminación negativa contra la mujer y no establece ninguna distinción entre hombres y mujeres en lo que a sueldos y prestaciones de los empleados se refiere</w:t>
      </w:r>
      <w:r w:rsidR="00083383" w:rsidRPr="00D43575">
        <w:t>.</w:t>
      </w:r>
      <w:r w:rsidRPr="00D43575">
        <w:t xml:space="preserve"> Al contrario, contempla una discriminación positiva, como se desprende de la Ley núm</w:t>
      </w:r>
      <w:r w:rsidR="00083383" w:rsidRPr="00D43575">
        <w:t>.</w:t>
      </w:r>
      <w:r w:rsidRPr="00D43575">
        <w:t xml:space="preserve"> 15/2016 por la que se publica la Ley del Funcionariado Civil, y del reglamento de ejecución de esta última promulgado en virtud de la decisión del Consejo de Ministros núm</w:t>
      </w:r>
      <w:r w:rsidR="00083383" w:rsidRPr="00D43575">
        <w:t>.</w:t>
      </w:r>
      <w:r w:rsidRPr="00D43575">
        <w:t xml:space="preserve"> 32/2016, que</w:t>
      </w:r>
      <w:r w:rsidR="00083383" w:rsidRPr="00D43575">
        <w:t xml:space="preserve"> </w:t>
      </w:r>
      <w:r w:rsidRPr="00D43575">
        <w:t>regula el empleo en el sector público en el Estado</w:t>
      </w:r>
      <w:r w:rsidR="00083383" w:rsidRPr="00D43575">
        <w:t>.</w:t>
      </w:r>
      <w:r w:rsidRPr="00D43575">
        <w:t xml:space="preserve"> Caber citar las siguientes disposiciones de discriminación positiva:</w:t>
      </w:r>
    </w:p>
    <w:p w14:paraId="653B17C4" w14:textId="589B4734" w:rsidR="008D2F10" w:rsidRPr="007D60C1" w:rsidRDefault="008D2F10" w:rsidP="008D2F10">
      <w:pPr>
        <w:pStyle w:val="SingleTxt"/>
        <w:tabs>
          <w:tab w:val="right" w:pos="1685"/>
        </w:tabs>
        <w:ind w:left="1742" w:hanging="475"/>
      </w:pPr>
      <w:r w:rsidRPr="00D43575">
        <w:tab/>
        <w:t>–</w:t>
      </w:r>
      <w:r w:rsidRPr="00D43575">
        <w:tab/>
        <w:t>La ley reconoce a la mujer el derecho a ser compensada y a las asignaciones a las que sería acreedora en su condición de funcionaria casada, si bien el esposo recibe las asignaciones correspondientes al soltero si se concede la asignación más alta a la clase femenina</w:t>
      </w:r>
      <w:r w:rsidRPr="007D60C1">
        <w:rPr>
          <w:vertAlign w:val="superscript"/>
        </w:rPr>
        <w:footnoteReference w:id="8"/>
      </w:r>
      <w:r w:rsidR="00083383" w:rsidRPr="007D60C1">
        <w:t>.</w:t>
      </w:r>
    </w:p>
    <w:p w14:paraId="270BA50D" w14:textId="3369C72C" w:rsidR="008D2F10" w:rsidRPr="007D60C1" w:rsidRDefault="008D2F10" w:rsidP="008D2F10">
      <w:pPr>
        <w:pStyle w:val="SingleTxt"/>
        <w:tabs>
          <w:tab w:val="right" w:pos="1685"/>
        </w:tabs>
        <w:ind w:left="1742" w:hanging="475"/>
      </w:pPr>
      <w:r w:rsidRPr="009D5F93">
        <w:tab/>
        <w:t>–</w:t>
      </w:r>
      <w:r w:rsidRPr="009D5F93">
        <w:tab/>
        <w:t>Cualquier funcionaria tendrá derecho a una licencia remunerada si tiene niños con necesidades especiales o una enfermedad que requiera el seguimiento cercano de la madre</w:t>
      </w:r>
      <w:r w:rsidRPr="007D60C1">
        <w:rPr>
          <w:vertAlign w:val="superscript"/>
        </w:rPr>
        <w:footnoteReference w:id="9"/>
      </w:r>
      <w:r w:rsidR="00083383" w:rsidRPr="007D60C1">
        <w:t>.</w:t>
      </w:r>
    </w:p>
    <w:p w14:paraId="04C7BE51" w14:textId="406B59D0" w:rsidR="008D2F10" w:rsidRPr="007D60C1" w:rsidRDefault="008D2F10" w:rsidP="008D2F10">
      <w:pPr>
        <w:pStyle w:val="SingleTxt"/>
        <w:tabs>
          <w:tab w:val="right" w:pos="1685"/>
        </w:tabs>
        <w:ind w:left="1742" w:hanging="475"/>
      </w:pPr>
      <w:r w:rsidRPr="009D5F93">
        <w:tab/>
        <w:t>–</w:t>
      </w:r>
      <w:r w:rsidRPr="009D5F93">
        <w:tab/>
        <w:t>Cualquier mujer funcionaria tendrá derecho a una licencia con goce de sueldo completo para ocuparse de los cuidados del hijo enfermo cuando este reciba tratamiento en cualquier hospital público o privado del Estado</w:t>
      </w:r>
      <w:r w:rsidRPr="007D60C1">
        <w:rPr>
          <w:vertAlign w:val="superscript"/>
        </w:rPr>
        <w:footnoteReference w:id="10"/>
      </w:r>
      <w:r w:rsidR="00083383" w:rsidRPr="007D60C1">
        <w:t>.</w:t>
      </w:r>
    </w:p>
    <w:p w14:paraId="7DDCCDB0" w14:textId="3BDF153C" w:rsidR="008D2F10" w:rsidRPr="007D60C1" w:rsidRDefault="008D2F10" w:rsidP="008D2F10">
      <w:pPr>
        <w:pStyle w:val="SingleTxt"/>
        <w:tabs>
          <w:tab w:val="right" w:pos="1685"/>
        </w:tabs>
        <w:ind w:left="1742" w:hanging="475"/>
      </w:pPr>
      <w:r w:rsidRPr="009D5F93">
        <w:tab/>
        <w:t>–</w:t>
      </w:r>
      <w:r w:rsidRPr="009D5F93">
        <w:tab/>
        <w:t>Cualquier mujer funcionaria tendrá derecho a una licencia de maternidad con sueldo completo</w:t>
      </w:r>
      <w:r w:rsidRPr="007D60C1">
        <w:rPr>
          <w:vertAlign w:val="superscript"/>
        </w:rPr>
        <w:footnoteReference w:id="11"/>
      </w:r>
      <w:r w:rsidR="00083383" w:rsidRPr="007D60C1">
        <w:t>.</w:t>
      </w:r>
    </w:p>
    <w:p w14:paraId="1ACBD5D8" w14:textId="0BEC81D4" w:rsidR="008D2F10" w:rsidRPr="007D60C1" w:rsidRDefault="008D2F10" w:rsidP="008D2F10">
      <w:pPr>
        <w:pStyle w:val="SingleTxt"/>
        <w:tabs>
          <w:tab w:val="right" w:pos="1685"/>
        </w:tabs>
        <w:ind w:left="1742" w:hanging="475"/>
      </w:pPr>
      <w:r w:rsidRPr="009D5F93">
        <w:tab/>
        <w:t>–</w:t>
      </w:r>
      <w:r w:rsidRPr="009D5F93">
        <w:tab/>
        <w:t>Cualquier mujer funcionaria tendrá derecho a disfrutar de dos horas diarias para lactancia materna durante un período de dos años</w:t>
      </w:r>
      <w:r w:rsidRPr="007D60C1">
        <w:rPr>
          <w:vertAlign w:val="superscript"/>
        </w:rPr>
        <w:footnoteReference w:id="12"/>
      </w:r>
      <w:r w:rsidR="00083383" w:rsidRPr="007D60C1">
        <w:t>.</w:t>
      </w:r>
    </w:p>
    <w:p w14:paraId="18D79185" w14:textId="138D3361" w:rsidR="008D2F10" w:rsidRPr="009D5F93" w:rsidRDefault="008D2F10" w:rsidP="008D2F10">
      <w:pPr>
        <w:pStyle w:val="SingleTxt"/>
        <w:tabs>
          <w:tab w:val="right" w:pos="1685"/>
        </w:tabs>
        <w:ind w:left="1742" w:hanging="475"/>
      </w:pPr>
      <w:r w:rsidRPr="007D60C1">
        <w:lastRenderedPageBreak/>
        <w:tab/>
        <w:t>–</w:t>
      </w:r>
      <w:r w:rsidRPr="007D60C1">
        <w:tab/>
        <w:t>Una mujer funcionaria cuyo cónyuge haya fallecido tendrá derecho a u</w:t>
      </w:r>
      <w:r w:rsidRPr="009D5F93">
        <w:t xml:space="preserve">n permiso de 130 días, que es el período de duelo prescrito por la </w:t>
      </w:r>
      <w:r w:rsidRPr="00D43575">
        <w:rPr>
          <w:i/>
        </w:rPr>
        <w:t>sharia</w:t>
      </w:r>
      <w:r w:rsidRPr="00D43575">
        <w:t xml:space="preserve"> tras el fallecimiento del esposo</w:t>
      </w:r>
      <w:r w:rsidR="00083383" w:rsidRPr="00D43575">
        <w:t>.</w:t>
      </w:r>
      <w:r w:rsidRPr="00D43575">
        <w:t xml:space="preserve"> Dicho permiso no se deduce de la duración de las vacaciones acumuladas</w:t>
      </w:r>
      <w:r w:rsidRPr="007D60C1">
        <w:rPr>
          <w:vertAlign w:val="superscript"/>
        </w:rPr>
        <w:footnoteReference w:id="13"/>
      </w:r>
      <w:r w:rsidR="00083383" w:rsidRPr="007D60C1">
        <w:t>.</w:t>
      </w:r>
    </w:p>
    <w:p w14:paraId="20F64AD3" w14:textId="05933048" w:rsidR="008D2F10" w:rsidRPr="009D5F93" w:rsidRDefault="008D2F10" w:rsidP="008D2F10">
      <w:pPr>
        <w:pStyle w:val="SingleTxt"/>
        <w:tabs>
          <w:tab w:val="right" w:pos="1685"/>
        </w:tabs>
        <w:ind w:left="1742" w:hanging="475"/>
      </w:pPr>
      <w:r w:rsidRPr="00D43575">
        <w:tab/>
        <w:t>–</w:t>
      </w:r>
      <w:r w:rsidRPr="00D43575">
        <w:tab/>
        <w:t>Las mujeres que tienen la obligación de efectuar viajes como parte de sus funciones oficiales o para participar en cursos de capacitación pueden ir acompañadas de un miembro de la familia</w:t>
      </w:r>
      <w:r w:rsidR="00083383" w:rsidRPr="00D43575">
        <w:t>.</w:t>
      </w:r>
      <w:r w:rsidRPr="00D43575">
        <w:t xml:space="preserve"> El empleador deberá hacerse cargo de los gastos del familiar acompañante</w:t>
      </w:r>
      <w:r w:rsidRPr="007D60C1">
        <w:rPr>
          <w:vertAlign w:val="superscript"/>
        </w:rPr>
        <w:footnoteReference w:id="14"/>
      </w:r>
      <w:r w:rsidR="00083383" w:rsidRPr="007D60C1">
        <w:t>.</w:t>
      </w:r>
    </w:p>
    <w:p w14:paraId="23A13A46" w14:textId="24A68077" w:rsidR="008D2F10" w:rsidRPr="00D43575" w:rsidRDefault="008D2F10" w:rsidP="001D1AD0">
      <w:pPr>
        <w:pStyle w:val="SingleTxt"/>
        <w:numPr>
          <w:ilvl w:val="0"/>
          <w:numId w:val="10"/>
        </w:numPr>
        <w:ind w:left="1267" w:firstLine="0"/>
      </w:pPr>
      <w:r w:rsidRPr="00D43575">
        <w:t>El Código del Trabajo promulgado en virtud de la Ley núm</w:t>
      </w:r>
      <w:r w:rsidR="00083383" w:rsidRPr="00D43575">
        <w:t>.</w:t>
      </w:r>
      <w:r w:rsidRPr="00D43575">
        <w:t xml:space="preserve"> 14/2004 se ajusta al artículo 35 de la Constitución y no incluye ninguna forma de discriminación negativa por motivos de sexo</w:t>
      </w:r>
      <w:r w:rsidR="00083383" w:rsidRPr="00D43575">
        <w:t>.</w:t>
      </w:r>
      <w:r w:rsidRPr="00D43575">
        <w:t xml:space="preserve"> Al contrario, refleja discriminación positiva, como se desprende de lo siguiente:</w:t>
      </w:r>
    </w:p>
    <w:p w14:paraId="7B455D0D" w14:textId="024B795A" w:rsidR="008D2F10" w:rsidRPr="009D5F93" w:rsidRDefault="00FE4385" w:rsidP="00FE4385">
      <w:pPr>
        <w:pStyle w:val="SingleTxt"/>
        <w:tabs>
          <w:tab w:val="right" w:pos="1685"/>
        </w:tabs>
        <w:ind w:left="1742" w:hanging="475"/>
      </w:pPr>
      <w:r w:rsidRPr="00D43575">
        <w:tab/>
        <w:t>•</w:t>
      </w:r>
      <w:r w:rsidRPr="00D43575">
        <w:tab/>
      </w:r>
      <w:r w:rsidR="008D2F10" w:rsidRPr="00D43575">
        <w:t>La ley concede a las mujeres la misma remuneración que a los hombres por el mismo trabajo realizado</w:t>
      </w:r>
      <w:r w:rsidR="00083383" w:rsidRPr="00D43575">
        <w:t>.</w:t>
      </w:r>
      <w:r w:rsidR="008D2F10" w:rsidRPr="00D43575">
        <w:t xml:space="preserve"> Además, se les brindan las mismas oportunidades de formación y promoción</w:t>
      </w:r>
      <w:r w:rsidR="008D2F10" w:rsidRPr="007D60C1">
        <w:rPr>
          <w:vertAlign w:val="superscript"/>
        </w:rPr>
        <w:footnoteReference w:id="15"/>
      </w:r>
      <w:r w:rsidR="00083383" w:rsidRPr="007D60C1">
        <w:t>.</w:t>
      </w:r>
    </w:p>
    <w:p w14:paraId="2F0FC2D2" w14:textId="23819855" w:rsidR="008D2F10" w:rsidRPr="009D5F93" w:rsidRDefault="00FE4385" w:rsidP="00FE4385">
      <w:pPr>
        <w:pStyle w:val="SingleTxt"/>
        <w:tabs>
          <w:tab w:val="right" w:pos="1685"/>
        </w:tabs>
        <w:ind w:left="1742" w:hanging="475"/>
      </w:pPr>
      <w:r w:rsidRPr="009D5F93">
        <w:tab/>
        <w:t>•</w:t>
      </w:r>
      <w:r w:rsidRPr="009D5F93">
        <w:tab/>
      </w:r>
      <w:r w:rsidR="008D2F10" w:rsidRPr="009D5F93">
        <w:t>La ley otorga a las mujeres una licencia de maternidad con sueldo completo</w:t>
      </w:r>
      <w:r w:rsidR="008D2F10" w:rsidRPr="007D60C1">
        <w:rPr>
          <w:vertAlign w:val="superscript"/>
        </w:rPr>
        <w:footnoteReference w:id="16"/>
      </w:r>
      <w:r w:rsidR="00083383" w:rsidRPr="007D60C1">
        <w:t>.</w:t>
      </w:r>
    </w:p>
    <w:p w14:paraId="0AB1B8F3" w14:textId="33B37168" w:rsidR="008D2F10" w:rsidRPr="009D5F93" w:rsidRDefault="00FE4385" w:rsidP="00FE4385">
      <w:pPr>
        <w:pStyle w:val="SingleTxt"/>
        <w:tabs>
          <w:tab w:val="right" w:pos="1685"/>
        </w:tabs>
        <w:ind w:left="1742" w:hanging="475"/>
      </w:pPr>
      <w:r w:rsidRPr="00D43575">
        <w:tab/>
        <w:t>•</w:t>
      </w:r>
      <w:r w:rsidRPr="00D43575">
        <w:tab/>
      </w:r>
      <w:r w:rsidR="008D2F10" w:rsidRPr="00D43575">
        <w:t>La ley también les concede una interrupción del trabajo de una hora diaria para amamantar a sus hijos durante un año con sueldo completo</w:t>
      </w:r>
      <w:r w:rsidR="008D2F10" w:rsidRPr="007D60C1">
        <w:rPr>
          <w:vertAlign w:val="superscript"/>
        </w:rPr>
        <w:footnoteReference w:id="17"/>
      </w:r>
      <w:r w:rsidR="00083383" w:rsidRPr="007D60C1">
        <w:t>.</w:t>
      </w:r>
    </w:p>
    <w:p w14:paraId="5F1100C4" w14:textId="0E46914F" w:rsidR="008D2F10" w:rsidRPr="009D5F93" w:rsidRDefault="00FE4385" w:rsidP="00FE4385">
      <w:pPr>
        <w:pStyle w:val="SingleTxt"/>
        <w:tabs>
          <w:tab w:val="right" w:pos="1685"/>
        </w:tabs>
        <w:ind w:left="1742" w:hanging="475"/>
      </w:pPr>
      <w:r w:rsidRPr="00D43575">
        <w:tab/>
        <w:t>•</w:t>
      </w:r>
      <w:r w:rsidRPr="00D43575">
        <w:tab/>
      </w:r>
      <w:r w:rsidR="008D2F10" w:rsidRPr="00D43575">
        <w:t>La ley prohíbe que las mujeres desempeñen trabajos peligrosos o difíciles, o actividades perniciosas para su salud o su moral, o trabajos de otra índole que el Ministro haya designado</w:t>
      </w:r>
      <w:r w:rsidR="008D2F10" w:rsidRPr="007D60C1">
        <w:rPr>
          <w:vertAlign w:val="superscript"/>
        </w:rPr>
        <w:footnoteReference w:id="18"/>
      </w:r>
      <w:r w:rsidR="00083383" w:rsidRPr="007D60C1">
        <w:t>.</w:t>
      </w:r>
    </w:p>
    <w:p w14:paraId="2A574BC7" w14:textId="143F32E9" w:rsidR="008D2F10" w:rsidRPr="009D5F93" w:rsidRDefault="00FE4385" w:rsidP="00FE4385">
      <w:pPr>
        <w:pStyle w:val="SingleTxt"/>
        <w:tabs>
          <w:tab w:val="right" w:pos="1685"/>
        </w:tabs>
        <w:ind w:left="1742" w:hanging="475"/>
      </w:pPr>
      <w:r w:rsidRPr="00D43575">
        <w:tab/>
        <w:t>•</w:t>
      </w:r>
      <w:r w:rsidRPr="00D43575">
        <w:tab/>
      </w:r>
      <w:r w:rsidR="008D2F10" w:rsidRPr="00D43575">
        <w:t>La ley prohíbe que las mujeres desempeñen trabajos durante horas diferentes a las especificadas por decisión del Ministro</w:t>
      </w:r>
      <w:r w:rsidR="008D2F10" w:rsidRPr="007D60C1">
        <w:rPr>
          <w:vertAlign w:val="superscript"/>
        </w:rPr>
        <w:footnoteReference w:id="19"/>
      </w:r>
      <w:r w:rsidR="00083383" w:rsidRPr="007D60C1">
        <w:t>.</w:t>
      </w:r>
    </w:p>
    <w:p w14:paraId="7202CC55" w14:textId="77777777" w:rsidR="008D2F10" w:rsidRPr="00D43575" w:rsidRDefault="008D2F10" w:rsidP="008D2F10">
      <w:pPr>
        <w:pStyle w:val="SingleTxt"/>
        <w:spacing w:after="0" w:line="120" w:lineRule="exact"/>
        <w:rPr>
          <w:sz w:val="10"/>
        </w:rPr>
      </w:pPr>
    </w:p>
    <w:p w14:paraId="7065DE2C"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Artículo 5: Estereotipos</w:t>
      </w:r>
    </w:p>
    <w:p w14:paraId="0F094396" w14:textId="77777777" w:rsidR="008D2F10" w:rsidRPr="00D43575" w:rsidRDefault="008D2F10" w:rsidP="008D2F10">
      <w:pPr>
        <w:pStyle w:val="SingleTxt"/>
        <w:spacing w:after="0" w:line="120" w:lineRule="exact"/>
        <w:rPr>
          <w:sz w:val="10"/>
        </w:rPr>
      </w:pPr>
    </w:p>
    <w:p w14:paraId="71727FDF" w14:textId="1F792486" w:rsidR="008D2F10" w:rsidRPr="00D43575" w:rsidRDefault="008D2F10" w:rsidP="001D1AD0">
      <w:pPr>
        <w:pStyle w:val="SingleTxt"/>
        <w:numPr>
          <w:ilvl w:val="0"/>
          <w:numId w:val="10"/>
        </w:numPr>
        <w:ind w:left="1267" w:firstLine="0"/>
      </w:pPr>
      <w:r w:rsidRPr="00D43575">
        <w:t>Además de la información que se recoge en el informe inicial del Estado parte (párrs</w:t>
      </w:r>
      <w:r w:rsidR="00083383" w:rsidRPr="00D43575">
        <w:t>.</w:t>
      </w:r>
      <w:r w:rsidRPr="00D43575">
        <w:t xml:space="preserve"> 142 a 184), cabe mencionar la Estrategia Nacional de Protección Social 2017</w:t>
      </w:r>
      <w:r w:rsidR="00083383" w:rsidRPr="00D43575">
        <w:noBreakHyphen/>
      </w:r>
      <w:r w:rsidRPr="00D43575">
        <w:t>2022, cuyo objetivo es atender las necesidades de desarrollo social mediante la aplicación de políticas, programas y mecanismos estratégicos que contribuyan a promover la protección social para todos los ciudadanos y a facultar y dotar a diversos sectores de la sociedad con las aptitudes necesarias para lograr su libertad, y velar por que estos puedan disfrutar de sus derechos y vivir una vida saludable, digna y segura, conservando, al mismo tiempo, el sistema de valores y la cultura de la comunidad</w:t>
      </w:r>
      <w:r w:rsidR="00083383" w:rsidRPr="00D43575">
        <w:t>.</w:t>
      </w:r>
      <w:r w:rsidRPr="00D43575">
        <w:t xml:space="preserve"> La Estrategia Nacional de Protección Social se basa en tres pilares, a saber, la asistencia social, el capital social y la familia qatarí, que son el fundamento para determinar el logro de las siguientes prioridades estratégicas en este ámbito:</w:t>
      </w:r>
    </w:p>
    <w:p w14:paraId="50A0788F" w14:textId="58A13691" w:rsidR="008D2F10" w:rsidRPr="00D43575" w:rsidRDefault="002A4948" w:rsidP="008B6A00">
      <w:pPr>
        <w:pStyle w:val="SingleTxt"/>
      </w:pPr>
      <w:r w:rsidRPr="00D43575">
        <w:tab/>
      </w:r>
      <w:r w:rsidR="008D2F10" w:rsidRPr="00D43575">
        <w:t>1</w:t>
      </w:r>
      <w:r w:rsidR="00083383" w:rsidRPr="00D43575">
        <w:t>.</w:t>
      </w:r>
      <w:r w:rsidR="008D2F10" w:rsidRPr="00D43575">
        <w:tab/>
        <w:t>Establecer un sistema de asistencia social eficaz, sostenible e integrado;</w:t>
      </w:r>
    </w:p>
    <w:p w14:paraId="373DEB2E" w14:textId="0249F364" w:rsidR="008D2F10" w:rsidRPr="00D43575" w:rsidRDefault="002A4948" w:rsidP="008B6A00">
      <w:pPr>
        <w:pStyle w:val="SingleTxt"/>
      </w:pPr>
      <w:r w:rsidRPr="00D43575">
        <w:tab/>
      </w:r>
      <w:r w:rsidR="008D2F10" w:rsidRPr="00D43575">
        <w:t>2</w:t>
      </w:r>
      <w:r w:rsidR="00083383" w:rsidRPr="00D43575">
        <w:t>.</w:t>
      </w:r>
      <w:r w:rsidR="008D2F10" w:rsidRPr="00D43575">
        <w:tab/>
        <w:t>Construir una familia qatarí fuerte, cohesionada y capacitada;</w:t>
      </w:r>
    </w:p>
    <w:p w14:paraId="5D740665" w14:textId="09389D9C" w:rsidR="008D2F10" w:rsidRPr="00D43575" w:rsidRDefault="002A4948" w:rsidP="008B6A00">
      <w:pPr>
        <w:pStyle w:val="SingleTxt"/>
      </w:pPr>
      <w:r w:rsidRPr="00D43575">
        <w:tab/>
      </w:r>
      <w:r w:rsidR="008D2F10" w:rsidRPr="00D43575">
        <w:t>3</w:t>
      </w:r>
      <w:r w:rsidR="00083383" w:rsidRPr="00D43575">
        <w:t>.</w:t>
      </w:r>
      <w:r w:rsidR="008D2F10" w:rsidRPr="00D43575">
        <w:tab/>
        <w:t>Aumentar el alcance y la eficacia del capital social</w:t>
      </w:r>
      <w:r w:rsidR="00083383" w:rsidRPr="00D43575">
        <w:t>.</w:t>
      </w:r>
    </w:p>
    <w:p w14:paraId="472643DB" w14:textId="77777777" w:rsidR="008D2F10" w:rsidRPr="00D43575" w:rsidRDefault="008D2F10" w:rsidP="008D2F10">
      <w:pPr>
        <w:pStyle w:val="SingleTxt"/>
        <w:spacing w:after="0" w:line="120" w:lineRule="exact"/>
        <w:rPr>
          <w:sz w:val="10"/>
        </w:rPr>
      </w:pPr>
    </w:p>
    <w:p w14:paraId="2206095E" w14:textId="77777777" w:rsidR="008D2F10" w:rsidRPr="00D43575" w:rsidRDefault="008D2F10" w:rsidP="00FC6BA7">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lastRenderedPageBreak/>
        <w:tab/>
      </w:r>
      <w:r w:rsidRPr="00D43575">
        <w:rPr>
          <w:bCs w:val="0"/>
          <w:szCs w:val="20"/>
        </w:rPr>
        <w:tab/>
        <w:t>Cumplimiento de las recomendaciones sobre el artículo 5</w:t>
      </w:r>
    </w:p>
    <w:p w14:paraId="5CA228B3" w14:textId="77777777" w:rsidR="008D2F10" w:rsidRPr="00D43575" w:rsidRDefault="008D2F10" w:rsidP="00FC6BA7">
      <w:pPr>
        <w:pStyle w:val="SingleTxt"/>
        <w:keepNext/>
        <w:keepLines/>
        <w:spacing w:after="0" w:line="120" w:lineRule="exact"/>
        <w:rPr>
          <w:sz w:val="10"/>
        </w:rPr>
      </w:pPr>
    </w:p>
    <w:p w14:paraId="540034CA" w14:textId="77777777" w:rsidR="008D2F10" w:rsidRPr="00D43575" w:rsidRDefault="008D2F10" w:rsidP="00FC6BA7">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Lucha contra los estereotipos respecto de la mujer</w:t>
      </w:r>
    </w:p>
    <w:p w14:paraId="26F61A74" w14:textId="77777777" w:rsidR="008D2F10" w:rsidRPr="00D43575" w:rsidRDefault="008D2F10" w:rsidP="00FC6BA7">
      <w:pPr>
        <w:pStyle w:val="SingleTxt"/>
        <w:keepNext/>
        <w:keepLines/>
        <w:spacing w:after="0" w:line="120" w:lineRule="exact"/>
        <w:rPr>
          <w:sz w:val="10"/>
        </w:rPr>
      </w:pPr>
    </w:p>
    <w:p w14:paraId="4A618B4A" w14:textId="26B0FBC8" w:rsidR="008D2F10" w:rsidRPr="00D43575" w:rsidRDefault="008D2F10" w:rsidP="00FC6BA7">
      <w:pPr>
        <w:pStyle w:val="SingleTxt"/>
        <w:keepNext/>
        <w:keepLines/>
        <w:numPr>
          <w:ilvl w:val="0"/>
          <w:numId w:val="10"/>
        </w:numPr>
        <w:ind w:left="1267" w:firstLine="0"/>
      </w:pPr>
      <w:r w:rsidRPr="00D43575">
        <w:t>El Estado ha adoptado una serie de medidas para combatir los estereotipos respecto de la mujer</w:t>
      </w:r>
      <w:r w:rsidR="00083383" w:rsidRPr="00D43575">
        <w:t>.</w:t>
      </w:r>
      <w:r w:rsidRPr="00D43575">
        <w:t xml:space="preserve"> La I Estrategia Nacional de Desarrollo 2011</w:t>
      </w:r>
      <w:r w:rsidR="00083383" w:rsidRPr="00D43575">
        <w:noBreakHyphen/>
      </w:r>
      <w:r w:rsidRPr="00D43575">
        <w:t>2016 incluía un programa para cambiar los estereotipos en el marco de su estrategia para la familia</w:t>
      </w:r>
      <w:r w:rsidR="00083383" w:rsidRPr="00D43575">
        <w:t>.</w:t>
      </w:r>
      <w:r w:rsidRPr="00D43575">
        <w:t xml:space="preserve"> El Estado se ha esforzado mucho por desarrollar las capacidades de las mujeres trabajadoras y promoverlas a puestos directivos de categoría superior</w:t>
      </w:r>
      <w:r w:rsidR="00083383" w:rsidRPr="00D43575">
        <w:t>.</w:t>
      </w:r>
      <w:r w:rsidRPr="00D43575">
        <w:t xml:space="preserve"> El elemento más importante de las iniciativas emprendidas en este sentido ha sido la puesta en marcha por parte del Centro de Liderazgo de Qatar de cursos de formación y desarrollo integral de la capacidad de liderazgo dirigidos a líderes jóvenes y futuros</w:t>
      </w:r>
      <w:r w:rsidR="00083383" w:rsidRPr="00D43575">
        <w:t xml:space="preserve"> </w:t>
      </w:r>
      <w:r w:rsidRPr="00D43575">
        <w:t>dirigentes, para que pongan en práctica lo aprendido en su lugar de trabajo</w:t>
      </w:r>
      <w:r w:rsidR="00083383" w:rsidRPr="00D43575">
        <w:t xml:space="preserve">. </w:t>
      </w:r>
      <w:r w:rsidRPr="00D43575">
        <w:t>Los</w:t>
      </w:r>
      <w:r w:rsidR="00083383" w:rsidRPr="00D43575">
        <w:t xml:space="preserve"> </w:t>
      </w:r>
      <w:r w:rsidRPr="00D43575">
        <w:t>programas ofrecen servicios a mujeres y hombres sin discriminación</w:t>
      </w:r>
      <w:r w:rsidR="00083383" w:rsidRPr="00D43575">
        <w:t>.</w:t>
      </w:r>
      <w:r w:rsidRPr="00D43575">
        <w:t xml:space="preserve"> La</w:t>
      </w:r>
      <w:r w:rsidR="00083383" w:rsidRPr="00D43575">
        <w:t xml:space="preserve"> </w:t>
      </w:r>
      <w:r w:rsidRPr="00D43575">
        <w:t>II</w:t>
      </w:r>
      <w:r w:rsidR="00083383" w:rsidRPr="00D43575">
        <w:t xml:space="preserve"> </w:t>
      </w:r>
      <w:r w:rsidRPr="00D43575">
        <w:t>Estrategia Nacional de Desarrollo 2017</w:t>
      </w:r>
      <w:r w:rsidR="00083383" w:rsidRPr="00D43575">
        <w:noBreakHyphen/>
      </w:r>
      <w:r w:rsidRPr="00D43575">
        <w:t xml:space="preserve">2022 incluye una propuesta bajo el epígrafe </w:t>
      </w:r>
      <w:r w:rsidR="00F652D5" w:rsidRPr="00D43575">
        <w:t>“</w:t>
      </w:r>
      <w:r w:rsidRPr="00D43575">
        <w:t>Familias qataríes fuertes, cohesionadas y capacitadas</w:t>
      </w:r>
      <w:r w:rsidR="00F652D5" w:rsidRPr="00D43575">
        <w:t>”</w:t>
      </w:r>
      <w:r w:rsidR="00083383" w:rsidRPr="00D43575">
        <w:t>.</w:t>
      </w:r>
      <w:r w:rsidRPr="00D43575">
        <w:t xml:space="preserve"> La propuesta contiene un planteamiento proactivo para superar los obstáculos a la igualdad de género, las actitudes patriarcales y los estereotipos profundamente arraigados respecto de las funciones y responsabilidades de las mujeres y los hombres en la familia y en la sociedad</w:t>
      </w:r>
      <w:r w:rsidR="00083383" w:rsidRPr="00D43575">
        <w:t>.</w:t>
      </w:r>
      <w:r w:rsidRPr="00D43575">
        <w:t xml:space="preserve"> Su objetivo es conciliar la vida laboral y familiar de</w:t>
      </w:r>
      <w:r w:rsidR="00083383" w:rsidRPr="00D43575">
        <w:t xml:space="preserve"> </w:t>
      </w:r>
      <w:r w:rsidRPr="00D43575">
        <w:t>la</w:t>
      </w:r>
      <w:r w:rsidR="00083383" w:rsidRPr="00D43575">
        <w:t xml:space="preserve"> </w:t>
      </w:r>
      <w:r w:rsidRPr="00D43575">
        <w:t>mujer y poner fin a la persistencia de los estereotipos sobre el papel del hombre</w:t>
      </w:r>
      <w:r w:rsidR="00083383" w:rsidRPr="00D43575">
        <w:t xml:space="preserve"> </w:t>
      </w:r>
      <w:r w:rsidRPr="00D43575">
        <w:t>y</w:t>
      </w:r>
      <w:r w:rsidR="00083383" w:rsidRPr="00D43575">
        <w:t xml:space="preserve"> </w:t>
      </w:r>
      <w:r w:rsidRPr="00D43575">
        <w:t>la mujer</w:t>
      </w:r>
      <w:r w:rsidR="00083383" w:rsidRPr="00D43575">
        <w:t>.</w:t>
      </w:r>
    </w:p>
    <w:p w14:paraId="1B2963BC" w14:textId="566797EF" w:rsidR="008D2F10" w:rsidRPr="009D5F93" w:rsidRDefault="008D2F10" w:rsidP="00D873EC">
      <w:pPr>
        <w:pStyle w:val="SingleTxt"/>
        <w:numPr>
          <w:ilvl w:val="0"/>
          <w:numId w:val="10"/>
        </w:numPr>
        <w:ind w:left="1267" w:firstLine="0"/>
      </w:pPr>
      <w:r w:rsidRPr="00D43575">
        <w:t>La figura 4 muestra el aumento del número de mujeres qataríes en puestos directivos entre 2008 y 2012</w:t>
      </w:r>
      <w:r w:rsidR="00083383" w:rsidRPr="00D43575">
        <w:t>.</w:t>
      </w:r>
      <w:r w:rsidRPr="00D43575">
        <w:t xml:space="preserve"> Entre 2012 y 2015, la tasa de participación de la mujer qatarí en la fuerza de trabajo se mantuvo en el 36%, a pesar de que se lograron avances considerables de cara a un mayor equilibrio entre las responsabilidades laborales y personales de la mujer tras revisar la Ley del Funcionariado Civil de 2009</w:t>
      </w:r>
      <w:r w:rsidR="00083383" w:rsidRPr="00D43575">
        <w:t>.</w:t>
      </w:r>
      <w:r w:rsidRPr="00D43575">
        <w:t xml:space="preserve"> Un aspecto de esta mejora a la hora de crear un entorno propicio para las mujeres trabajadoras puede ser el aumento considerable del número de jardines de infancia y guarderías infantiles</w:t>
      </w:r>
      <w:r w:rsidR="00083383" w:rsidRPr="00D43575">
        <w:t>.</w:t>
      </w:r>
      <w:r w:rsidRPr="00D43575">
        <w:t xml:space="preserve"> El número de niños qataríes matriculados en los jardines de infancia y guarderías infantiles aumentó del 65% al 71% entre 2011 y 2015</w:t>
      </w:r>
      <w:r w:rsidR="00083383" w:rsidRPr="00D43575">
        <w:t>.</w:t>
      </w:r>
      <w:r w:rsidRPr="00D43575">
        <w:t xml:space="preserve"> El número total de mujeres en cargos legislativos, entre el personal directivo y de categoría superior en 2016 fue de 2</w:t>
      </w:r>
      <w:r w:rsidR="00083383" w:rsidRPr="00D43575">
        <w:t>.</w:t>
      </w:r>
      <w:r w:rsidRPr="00D43575">
        <w:t>030</w:t>
      </w:r>
      <w:r w:rsidRPr="007D60C1">
        <w:rPr>
          <w:vertAlign w:val="superscript"/>
        </w:rPr>
        <w:footnoteReference w:id="20"/>
      </w:r>
      <w:r w:rsidR="00083383" w:rsidRPr="007D60C1">
        <w:t>.</w:t>
      </w:r>
    </w:p>
    <w:p w14:paraId="1DE3F293" w14:textId="77777777" w:rsidR="008D2F10" w:rsidRPr="00D43575" w:rsidRDefault="008D2F10" w:rsidP="008D2F10">
      <w:pPr>
        <w:pStyle w:val="SingleTxt"/>
        <w:spacing w:after="0" w:line="120" w:lineRule="exact"/>
        <w:rPr>
          <w:sz w:val="10"/>
        </w:rPr>
      </w:pPr>
    </w:p>
    <w:p w14:paraId="4CDDAB9F" w14:textId="417123F5"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r>
      <w:r w:rsidR="003C07A3">
        <w:rPr>
          <w:b w:val="0"/>
          <w:bCs w:val="0"/>
          <w:szCs w:val="20"/>
        </w:rPr>
        <w:t>Figura 4</w:t>
      </w:r>
      <w:r w:rsidR="00CF36A4" w:rsidRPr="00D43575">
        <w:rPr>
          <w:b w:val="0"/>
          <w:bCs w:val="0"/>
          <w:szCs w:val="20"/>
        </w:rPr>
        <w:t xml:space="preserve"> </w:t>
      </w:r>
      <w:r w:rsidR="00CF36A4" w:rsidRPr="00D43575">
        <w:rPr>
          <w:bCs w:val="0"/>
          <w:szCs w:val="20"/>
        </w:rPr>
        <w:br/>
      </w:r>
      <w:r w:rsidRPr="00D43575">
        <w:rPr>
          <w:bCs w:val="0"/>
          <w:szCs w:val="20"/>
        </w:rPr>
        <w:t>Mujeres qataríes en puestos directivos en el período 2008</w:t>
      </w:r>
      <w:r w:rsidR="00083383" w:rsidRPr="00D43575">
        <w:rPr>
          <w:bCs w:val="0"/>
          <w:szCs w:val="20"/>
        </w:rPr>
        <w:noBreakHyphen/>
      </w:r>
      <w:r w:rsidRPr="00D43575">
        <w:rPr>
          <w:bCs w:val="0"/>
          <w:szCs w:val="20"/>
        </w:rPr>
        <w:t>2015</w:t>
      </w:r>
    </w:p>
    <w:p w14:paraId="6F0DD1C5" w14:textId="77777777" w:rsidR="00D77C32" w:rsidRPr="00D43575" w:rsidRDefault="00D77C32" w:rsidP="002013FE">
      <w:pPr>
        <w:pStyle w:val="SingleTxt"/>
        <w:spacing w:after="0" w:line="120" w:lineRule="exact"/>
        <w:rPr>
          <w:sz w:val="10"/>
        </w:rPr>
      </w:pPr>
    </w:p>
    <w:p w14:paraId="003558B3" w14:textId="77777777" w:rsidR="008D2F10" w:rsidRPr="007D60C1" w:rsidRDefault="007849B8" w:rsidP="00D77C32">
      <w:pPr>
        <w:pStyle w:val="SingleTxt"/>
        <w:spacing w:line="240" w:lineRule="atLeast"/>
        <w:rPr>
          <w:lang w:eastAsia="es-ES"/>
        </w:rPr>
      </w:pPr>
      <w:r w:rsidRPr="000F625D">
        <w:rPr>
          <w:noProof/>
          <w:lang w:eastAsia="es-ES"/>
        </w:rPr>
        <w:drawing>
          <wp:inline distT="0" distB="0" distL="0" distR="0" wp14:anchorId="2E617F75" wp14:editId="09E9E558">
            <wp:extent cx="4730750" cy="2226365"/>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IV.png"/>
                    <pic:cNvPicPr/>
                  </pic:nvPicPr>
                  <pic:blipFill>
                    <a:blip r:embed="rId20">
                      <a:extLst>
                        <a:ext uri="{28A0092B-C50C-407E-A947-70E740481C1C}">
                          <a14:useLocalDpi xmlns:a14="http://schemas.microsoft.com/office/drawing/2010/main" val="0"/>
                        </a:ext>
                      </a:extLst>
                    </a:blip>
                    <a:stretch>
                      <a:fillRect/>
                    </a:stretch>
                  </pic:blipFill>
                  <pic:spPr>
                    <a:xfrm>
                      <a:off x="0" y="0"/>
                      <a:ext cx="4742611" cy="2231947"/>
                    </a:xfrm>
                    <a:prstGeom prst="rect">
                      <a:avLst/>
                    </a:prstGeom>
                    <a:ln w="19050">
                      <a:noFill/>
                    </a:ln>
                  </pic:spPr>
                </pic:pic>
              </a:graphicData>
            </a:graphic>
          </wp:inline>
        </w:drawing>
      </w:r>
    </w:p>
    <w:p w14:paraId="19986E52" w14:textId="77777777" w:rsidR="002013FE" w:rsidRPr="009D5F93" w:rsidRDefault="002013FE" w:rsidP="002013FE">
      <w:pPr>
        <w:pStyle w:val="SingleTxt"/>
        <w:spacing w:after="0" w:line="120" w:lineRule="exact"/>
        <w:rPr>
          <w:sz w:val="10"/>
        </w:rPr>
      </w:pPr>
    </w:p>
    <w:p w14:paraId="07CD087A" w14:textId="4E1EEB25" w:rsidR="008D2F10"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Ministerio de Planificación del Desarrollo y Estadísticas, encuesta sobre la fuerza de trabajo, varios años</w:t>
      </w:r>
      <w:r w:rsidR="00083383" w:rsidRPr="00D43575">
        <w:rPr>
          <w:rFonts w:eastAsiaTheme="minorHAnsi"/>
          <w:iCs/>
          <w:w w:val="103"/>
          <w:kern w:val="14"/>
          <w:szCs w:val="20"/>
        </w:rPr>
        <w:t>.</w:t>
      </w:r>
    </w:p>
    <w:p w14:paraId="5FCAD324" w14:textId="77777777" w:rsidR="008D2F10" w:rsidRPr="00D43575" w:rsidRDefault="008D2F10" w:rsidP="008D2F10">
      <w:pPr>
        <w:pStyle w:val="SingleTxt"/>
        <w:spacing w:after="0" w:line="120" w:lineRule="exact"/>
        <w:rPr>
          <w:sz w:val="10"/>
        </w:rPr>
      </w:pPr>
    </w:p>
    <w:p w14:paraId="0312FF87" w14:textId="77777777" w:rsidR="008D2F10" w:rsidRPr="00D43575" w:rsidRDefault="008D2F10" w:rsidP="008D2F10">
      <w:pPr>
        <w:pStyle w:val="SingleTxt"/>
        <w:spacing w:after="0" w:line="120" w:lineRule="exact"/>
        <w:rPr>
          <w:sz w:val="10"/>
        </w:rPr>
      </w:pPr>
    </w:p>
    <w:p w14:paraId="0AE195DE" w14:textId="4A7B3FCE" w:rsidR="008D2F10" w:rsidRPr="00D43575" w:rsidRDefault="008D2F10" w:rsidP="00FC6BA7">
      <w:pPr>
        <w:pStyle w:val="SingleTxt"/>
        <w:keepNext/>
        <w:keepLines/>
        <w:numPr>
          <w:ilvl w:val="0"/>
          <w:numId w:val="10"/>
        </w:numPr>
        <w:ind w:left="1267" w:firstLine="0"/>
      </w:pPr>
      <w:r w:rsidRPr="00D43575">
        <w:t>El Estado presta gran atención a la realización de investigaciones y la publicación de estudios sobre cuestiones relativas a la mujer</w:t>
      </w:r>
      <w:r w:rsidR="00083383" w:rsidRPr="00D43575">
        <w:t>.</w:t>
      </w:r>
      <w:r w:rsidRPr="00D43575">
        <w:t xml:space="preserve"> Además, organiza seminarios y mesas redondas sobre el tema</w:t>
      </w:r>
      <w:r w:rsidR="00083383" w:rsidRPr="00D43575">
        <w:t>.</w:t>
      </w:r>
      <w:r w:rsidRPr="00D43575">
        <w:t xml:space="preserve"> El Departamento de Asuntos de la Familia del Ministerio de Desarrollo Administrativo, Trabajo y Asuntos Sociales promueve estos esfuerzos en su calidad de mecanismo institucional encargado de las cuestiones de la mujer</w:t>
      </w:r>
      <w:r w:rsidR="00083383" w:rsidRPr="00D43575">
        <w:t>.</w:t>
      </w:r>
      <w:r w:rsidRPr="00D43575">
        <w:t xml:space="preserve"> Entre los temas de sus investigaciones cabe destacar la violencia contra las mujeres, los obstáculos a los que se enfrenta la mujer para ocupar puestos directivos en la sociedad qatarí y la participación política</w:t>
      </w:r>
      <w:r w:rsidR="00083383" w:rsidRPr="00D43575">
        <w:t>.</w:t>
      </w:r>
    </w:p>
    <w:p w14:paraId="0B3F257E" w14:textId="594AFF72" w:rsidR="008D2F10" w:rsidRPr="00D43575" w:rsidRDefault="008D2F10" w:rsidP="00D873EC">
      <w:pPr>
        <w:pStyle w:val="SingleTxt"/>
        <w:keepLines/>
        <w:numPr>
          <w:ilvl w:val="0"/>
          <w:numId w:val="10"/>
        </w:numPr>
        <w:ind w:left="1267" w:firstLine="0"/>
      </w:pPr>
      <w:r w:rsidRPr="00D43575">
        <w:t>Desde su fundación en 2006, el Doha International Family Institute ha realizado una labor de investigación sobre política internacional para incrementar el conocimiento sobre las familias árabes y apoyar la formulación de políticas con base empírica</w:t>
      </w:r>
      <w:r w:rsidR="00083383" w:rsidRPr="00D43575">
        <w:t>.</w:t>
      </w:r>
      <w:r w:rsidRPr="00D43575">
        <w:t xml:space="preserve"> En su calidad de miembro de la Qatar Foundation, desempeña un papel fundamental en las iniciativas encaminadas a crear unas comunidades sanas e instruidas basadas en la cohesión de las familias</w:t>
      </w:r>
      <w:r w:rsidR="00083383" w:rsidRPr="00D43575">
        <w:t>.</w:t>
      </w:r>
      <w:r w:rsidRPr="00D43575">
        <w:t xml:space="preserve"> Por otro lado, está reconocido como entidad de carácter consultivo especial por el Consejo Económico y Social de las Naciones Unidas</w:t>
      </w:r>
      <w:r w:rsidR="00083383" w:rsidRPr="00D43575">
        <w:t>.</w:t>
      </w:r>
      <w:r w:rsidRPr="00D43575">
        <w:t xml:space="preserve"> Su misión se sustenta en la Declaración de Doha sobre la Familia, adoptada en 2004 en la Conferencia Internacional de Doha en pro de la</w:t>
      </w:r>
      <w:r w:rsidR="00083383" w:rsidRPr="00D43575">
        <w:t xml:space="preserve"> </w:t>
      </w:r>
      <w:r w:rsidRPr="00D43575">
        <w:t>Familia, que puso de relieve el compromiso de la comunidad internacional de</w:t>
      </w:r>
      <w:r w:rsidR="00083383" w:rsidRPr="00D43575">
        <w:t xml:space="preserve"> </w:t>
      </w:r>
      <w:r w:rsidRPr="00D43575">
        <w:t>apoyar a la familia como núcleo y pilar fundamental de la sociedad</w:t>
      </w:r>
      <w:r w:rsidR="00083383" w:rsidRPr="00D43575">
        <w:t>.</w:t>
      </w:r>
      <w:r w:rsidRPr="00D43575">
        <w:t xml:space="preserve"> El</w:t>
      </w:r>
      <w:r w:rsidR="00083383" w:rsidRPr="00D43575">
        <w:t xml:space="preserve"> </w:t>
      </w:r>
      <w:r w:rsidRPr="00D43575">
        <w:t>instituto</w:t>
      </w:r>
      <w:r w:rsidR="00083383" w:rsidRPr="00D43575">
        <w:t xml:space="preserve"> </w:t>
      </w:r>
      <w:r w:rsidRPr="00D43575">
        <w:t>organiza eventos a nivel nacional y regional para difundir una cultura de respeto de los derechos de la mujer y luchar contra los estereotipos</w:t>
      </w:r>
      <w:r w:rsidR="00083383" w:rsidRPr="00D43575">
        <w:t>.</w:t>
      </w:r>
      <w:r w:rsidRPr="00D43575">
        <w:t xml:space="preserve"> Ofrece</w:t>
      </w:r>
      <w:r w:rsidR="00083383" w:rsidRPr="00D43575">
        <w:t xml:space="preserve"> </w:t>
      </w:r>
      <w:r w:rsidRPr="00D43575">
        <w:t>programas especializados para ayudar a las mujeres a conciliar su vida laboral y familiar</w:t>
      </w:r>
      <w:r w:rsidR="00083383" w:rsidRPr="00D43575">
        <w:t>.</w:t>
      </w:r>
      <w:r w:rsidRPr="00D43575">
        <w:t xml:space="preserve"> Entre las actividades que pone en marcha destacan, entre otras:</w:t>
      </w:r>
    </w:p>
    <w:p w14:paraId="108E13F4" w14:textId="77777777" w:rsidR="008D2F10" w:rsidRPr="00D43575" w:rsidRDefault="00413E13" w:rsidP="007A6BC0">
      <w:pPr>
        <w:pStyle w:val="SingleTxt"/>
        <w:tabs>
          <w:tab w:val="right" w:pos="1685"/>
        </w:tabs>
        <w:ind w:left="1742" w:hanging="475"/>
      </w:pPr>
      <w:r w:rsidRPr="00D43575">
        <w:tab/>
        <w:t>•</w:t>
      </w:r>
      <w:r w:rsidRPr="00D43575">
        <w:tab/>
      </w:r>
      <w:r w:rsidR="008D2F10" w:rsidRPr="00D43575">
        <w:t>El Segundo Foro Anual de Políticas sobre la Familia, celebrado en 2017;</w:t>
      </w:r>
    </w:p>
    <w:p w14:paraId="35A04346" w14:textId="77777777" w:rsidR="008D2F10" w:rsidRPr="00D43575" w:rsidRDefault="00413E13" w:rsidP="007A6BC0">
      <w:pPr>
        <w:pStyle w:val="SingleTxt"/>
        <w:tabs>
          <w:tab w:val="right" w:pos="1685"/>
        </w:tabs>
        <w:ind w:left="1742" w:hanging="475"/>
      </w:pPr>
      <w:r w:rsidRPr="00D43575">
        <w:tab/>
        <w:t>•</w:t>
      </w:r>
      <w:r w:rsidRPr="00D43575">
        <w:tab/>
      </w:r>
      <w:r w:rsidR="008D2F10" w:rsidRPr="00D43575">
        <w:t>La Segunda Conferencia Internacional sobre Investigación y Políticas sobre la Familia, celebrada en 2016;</w:t>
      </w:r>
    </w:p>
    <w:p w14:paraId="604199E3" w14:textId="77777777" w:rsidR="008D2F10" w:rsidRPr="00D43575" w:rsidRDefault="00413E13" w:rsidP="007A6BC0">
      <w:pPr>
        <w:pStyle w:val="SingleTxt"/>
        <w:tabs>
          <w:tab w:val="right" w:pos="1685"/>
        </w:tabs>
        <w:ind w:left="1742" w:hanging="475"/>
      </w:pPr>
      <w:r w:rsidRPr="00D43575">
        <w:tab/>
        <w:t>•</w:t>
      </w:r>
      <w:r w:rsidRPr="00D43575">
        <w:tab/>
      </w:r>
      <w:r w:rsidR="008D2F10" w:rsidRPr="00D43575">
        <w:t xml:space="preserve">La mesa redonda </w:t>
      </w:r>
      <w:r w:rsidR="00F652D5" w:rsidRPr="00D43575">
        <w:t>“</w:t>
      </w:r>
      <w:r w:rsidR="008D2F10" w:rsidRPr="00D43575">
        <w:t>Yo decido, yo creo mi futuro</w:t>
      </w:r>
      <w:r w:rsidR="00F652D5" w:rsidRPr="00D43575">
        <w:t>”</w:t>
      </w:r>
      <w:r w:rsidR="008D2F10" w:rsidRPr="00D43575">
        <w:t>, celebrada en el Día Internacional de la Mujer de 2016;</w:t>
      </w:r>
    </w:p>
    <w:p w14:paraId="4FB981EA" w14:textId="77777777" w:rsidR="008D2F10" w:rsidRPr="00D43575" w:rsidRDefault="00413E13" w:rsidP="007A6BC0">
      <w:pPr>
        <w:pStyle w:val="SingleTxt"/>
        <w:tabs>
          <w:tab w:val="right" w:pos="1685"/>
        </w:tabs>
        <w:ind w:left="1742" w:hanging="475"/>
      </w:pPr>
      <w:r w:rsidRPr="00D43575">
        <w:tab/>
        <w:t>•</w:t>
      </w:r>
      <w:r w:rsidRPr="00D43575">
        <w:tab/>
      </w:r>
      <w:r w:rsidR="008D2F10" w:rsidRPr="00D43575">
        <w:t>La Primera Conferencia Internacional sobre Investigación y Políticas sobre la Familia, celebrada en 2015;</w:t>
      </w:r>
    </w:p>
    <w:p w14:paraId="1AB9CFCB" w14:textId="234032C9" w:rsidR="008D2F10" w:rsidRPr="00D43575" w:rsidRDefault="00413E13" w:rsidP="007A6BC0">
      <w:pPr>
        <w:pStyle w:val="SingleTxt"/>
        <w:tabs>
          <w:tab w:val="right" w:pos="1685"/>
        </w:tabs>
        <w:ind w:left="1742" w:hanging="475"/>
      </w:pPr>
      <w:r w:rsidRPr="00D43575">
        <w:tab/>
        <w:t>•</w:t>
      </w:r>
      <w:r w:rsidRPr="00D43575">
        <w:tab/>
      </w:r>
      <w:r w:rsidR="008D2F10" w:rsidRPr="00D43575">
        <w:t xml:space="preserve">La Conferencia Internacional del Doha International Family Institute titulada </w:t>
      </w:r>
      <w:r w:rsidR="00F652D5" w:rsidRPr="00D43575">
        <w:t>“</w:t>
      </w:r>
      <w:r w:rsidR="008D2F10" w:rsidRPr="00D43575">
        <w:t>El empoderamiento de las familias: una vía hacia el desarrollo</w:t>
      </w:r>
      <w:r w:rsidR="00F652D5" w:rsidRPr="00D43575">
        <w:t>”</w:t>
      </w:r>
      <w:r w:rsidR="008D2F10" w:rsidRPr="00D43575">
        <w:t>, celebrada en</w:t>
      </w:r>
      <w:r w:rsidR="00083383" w:rsidRPr="00D43575">
        <w:t xml:space="preserve"> </w:t>
      </w:r>
      <w:r w:rsidR="008D2F10" w:rsidRPr="00D43575">
        <w:t>2014;</w:t>
      </w:r>
    </w:p>
    <w:p w14:paraId="656553CB" w14:textId="77777777" w:rsidR="008D2F10" w:rsidRPr="00D43575" w:rsidRDefault="00413E13" w:rsidP="007A6BC0">
      <w:pPr>
        <w:pStyle w:val="SingleTxt"/>
        <w:tabs>
          <w:tab w:val="right" w:pos="1685"/>
        </w:tabs>
        <w:ind w:left="1742" w:hanging="475"/>
      </w:pPr>
      <w:r w:rsidRPr="00D43575">
        <w:tab/>
        <w:t>•</w:t>
      </w:r>
      <w:r w:rsidRPr="00D43575">
        <w:tab/>
      </w:r>
      <w:r w:rsidR="008D2F10" w:rsidRPr="00D43575">
        <w:t>El programa anual de subvenciones familiares para la investigación científica sobre cuestiones relacionadas con las políticas sobre la familia;</w:t>
      </w:r>
    </w:p>
    <w:p w14:paraId="7B4C83A9" w14:textId="77777777" w:rsidR="008D2F10" w:rsidRPr="00D43575" w:rsidRDefault="00413E13" w:rsidP="007A6BC0">
      <w:pPr>
        <w:pStyle w:val="SingleTxt"/>
        <w:tabs>
          <w:tab w:val="right" w:pos="1685"/>
        </w:tabs>
        <w:ind w:left="1742" w:hanging="475"/>
      </w:pPr>
      <w:r w:rsidRPr="00D43575">
        <w:tab/>
        <w:t>•</w:t>
      </w:r>
      <w:r w:rsidRPr="00D43575">
        <w:tab/>
      </w:r>
      <w:r w:rsidR="008D2F10" w:rsidRPr="00D43575">
        <w:t>Una mesa redonda celebrada en 2016 sobre la aplicación de políticas sobre la conciliación de la vida laboral y familiar, el desarrollo social y la Agenda 2030 para el Desarrollo Sostenible teniendo en cuenta la especificidad cultural;</w:t>
      </w:r>
    </w:p>
    <w:p w14:paraId="4163E055" w14:textId="77777777" w:rsidR="008D2F10" w:rsidRPr="00D43575" w:rsidRDefault="00413E13" w:rsidP="007A6BC0">
      <w:pPr>
        <w:pStyle w:val="SingleTxt"/>
        <w:tabs>
          <w:tab w:val="right" w:pos="1685"/>
        </w:tabs>
        <w:ind w:left="1742" w:hanging="475"/>
      </w:pPr>
      <w:r w:rsidRPr="00D43575">
        <w:tab/>
        <w:t>•</w:t>
      </w:r>
      <w:r w:rsidRPr="00D43575">
        <w:tab/>
      </w:r>
      <w:r w:rsidR="008D2F10" w:rsidRPr="00D43575">
        <w:t xml:space="preserve">La mesa redonda titulada </w:t>
      </w:r>
      <w:r w:rsidR="00F652D5" w:rsidRPr="00D43575">
        <w:t>“</w:t>
      </w:r>
      <w:r w:rsidR="008D2F10" w:rsidRPr="00D43575">
        <w:t>Hacia una mayor conciliación de la vida laboral y familiar en los Estados del Consejo de Cooperación de los Estados Árabes del Golfo</w:t>
      </w:r>
      <w:r w:rsidR="00F652D5" w:rsidRPr="00D43575">
        <w:t>”</w:t>
      </w:r>
      <w:r w:rsidR="008D2F10" w:rsidRPr="00D43575">
        <w:t>, celebrada en 2015;</w:t>
      </w:r>
    </w:p>
    <w:p w14:paraId="2FA1F31F" w14:textId="221F9314" w:rsidR="008D2F10" w:rsidRPr="00D43575" w:rsidRDefault="00413E13" w:rsidP="007A6BC0">
      <w:pPr>
        <w:pStyle w:val="SingleTxt"/>
        <w:tabs>
          <w:tab w:val="right" w:pos="1685"/>
        </w:tabs>
        <w:ind w:left="1742" w:hanging="475"/>
      </w:pPr>
      <w:r w:rsidRPr="00D43575">
        <w:tab/>
        <w:t>•</w:t>
      </w:r>
      <w:r w:rsidRPr="00D43575">
        <w:tab/>
      </w:r>
      <w:r w:rsidR="008D2F10" w:rsidRPr="00D43575">
        <w:t>El Primer Foro Anual de Políticas sobre la Familia, celebrado en 2016</w:t>
      </w:r>
      <w:r w:rsidR="00083383" w:rsidRPr="00D43575">
        <w:t>.</w:t>
      </w:r>
    </w:p>
    <w:p w14:paraId="3EA4DB5C" w14:textId="545BAD3C" w:rsidR="00083383" w:rsidRPr="00D43575" w:rsidRDefault="008D2F10" w:rsidP="001D1AD0">
      <w:pPr>
        <w:pStyle w:val="SingleTxt"/>
        <w:numPr>
          <w:ilvl w:val="0"/>
          <w:numId w:val="10"/>
        </w:numPr>
        <w:ind w:left="1267" w:firstLine="0"/>
      </w:pPr>
      <w:r w:rsidRPr="00D43575">
        <w:t>La promoción de la participación de la mujer en los medios de comunicación es fundamental para combatir los estereotipos de la mujer en la sociedad</w:t>
      </w:r>
      <w:r w:rsidR="00083383" w:rsidRPr="00D43575">
        <w:t>.</w:t>
      </w:r>
      <w:r w:rsidRPr="00D43575">
        <w:t xml:space="preserve"> La Qatar Media Foundation ha asumido la misión de alentar a las mujeres a que se adentren en el ámbito de los medios de comunicación y de abrirles la puerta para que elijan libremente cualquier especialidad en esta esfera a la que deseen dedicarse</w:t>
      </w:r>
      <w:r w:rsidR="00083383" w:rsidRPr="00D43575">
        <w:t>.</w:t>
      </w:r>
      <w:r w:rsidRPr="00D43575">
        <w:t xml:space="preserve"> Recientemente, ha logrado atraer a un gran número de mujeres para trabajar en la esfera de los servicios de radio y televisión</w:t>
      </w:r>
      <w:r w:rsidR="00083383" w:rsidRPr="00D43575">
        <w:t>.</w:t>
      </w:r>
      <w:r w:rsidRPr="00D43575">
        <w:t xml:space="preserve"> Asimismo, la organización alienta a las </w:t>
      </w:r>
      <w:r w:rsidRPr="00D43575">
        <w:lastRenderedPageBreak/>
        <w:t>mujeres trabajadoras a dedicarse a profesiones técnicas relacionadas con este ámbito, a fin de lograr la igualdad con respecto al hombre en lo que a derechos y obligaciones profesionales se refiere, y ofrece oportunidades de capacitación, formación y desarrollo que se han traducido en puestos de supervisión ocupados por mujeres en esta esfera</w:t>
      </w:r>
      <w:r w:rsidR="00083383" w:rsidRPr="00D43575">
        <w:t>.</w:t>
      </w:r>
    </w:p>
    <w:p w14:paraId="4D394097" w14:textId="2221C538" w:rsidR="008D2F10" w:rsidRPr="00D43575" w:rsidRDefault="008D2F10" w:rsidP="00D873EC">
      <w:pPr>
        <w:pStyle w:val="SingleTxt"/>
        <w:keepLines/>
        <w:numPr>
          <w:ilvl w:val="0"/>
          <w:numId w:val="10"/>
        </w:numPr>
        <w:ind w:left="1267" w:firstLine="0"/>
      </w:pPr>
      <w:r w:rsidRPr="00D43575">
        <w:t>La Qatar Media Foundation se ha comprometido a ofrecer programas de radio y televisión acerca de la mujer en distintas áreas fundamentales, como la mujer y el deporte, la mujer y el empleo, la vida conyugal, el estilo de vida y las elecciones municipales, la jubilación de la mujer, las mujeres y las profesiones liberales, así como la mujer en los medios de comunicación</w:t>
      </w:r>
      <w:r w:rsidR="00083383" w:rsidRPr="00D43575">
        <w:t>.</w:t>
      </w:r>
      <w:r w:rsidRPr="00D43575">
        <w:t xml:space="preserve"> También presenta informes sobre los logros de la mujer qatarí con motivo del Día Internacional de la Mujer</w:t>
      </w:r>
      <w:r w:rsidR="00083383" w:rsidRPr="00D43575">
        <w:t>.</w:t>
      </w:r>
    </w:p>
    <w:p w14:paraId="286FC38A" w14:textId="0AA1C197" w:rsidR="008D2F10" w:rsidRPr="00D43575" w:rsidRDefault="008D2F10" w:rsidP="00D873EC">
      <w:pPr>
        <w:pStyle w:val="SingleTxt"/>
        <w:numPr>
          <w:ilvl w:val="0"/>
          <w:numId w:val="10"/>
        </w:numPr>
        <w:ind w:left="1267" w:firstLine="0"/>
      </w:pPr>
      <w:r w:rsidRPr="00D43575">
        <w:t>El Gobierno cree firmemente en el papel fundamental de las organizaciones de la sociedad civil a la hora de crear conciencia para combatir los estereotipos respecto de la mujer</w:t>
      </w:r>
      <w:r w:rsidR="00083383" w:rsidRPr="00D43575">
        <w:t>.</w:t>
      </w:r>
      <w:r w:rsidRPr="00D43575">
        <w:t xml:space="preserve"> En este sentido, destacamos los servicios de concienciación y educación prestados por el Centro de Rehabilitación y Protección Social (Centro Aman), que forma parte de la Qatar Social Work Foundation</w:t>
      </w:r>
      <w:r w:rsidR="00083383" w:rsidRPr="00D43575">
        <w:t>.</w:t>
      </w:r>
      <w:r w:rsidRPr="00D43575">
        <w:t xml:space="preserve"> Este centro ha estado trabajando para combatir los estereotipos respecto de las trabajadoras domésticas y las formas de violencia de las que son objeto</w:t>
      </w:r>
      <w:r w:rsidR="00083383" w:rsidRPr="00D43575">
        <w:t>.</w:t>
      </w:r>
      <w:r w:rsidRPr="00D43575">
        <w:t xml:space="preserve"> Entre las actividades educativas que pone en marcha cabe destacar la promoción del conocimiento de las leyes, los mecanismos y las medidas de protección del Estado y los servicios sociales y de rehabilitación</w:t>
      </w:r>
      <w:r w:rsidR="00083383" w:rsidRPr="00D43575">
        <w:t>.</w:t>
      </w:r>
      <w:r w:rsidRPr="00D43575">
        <w:t xml:space="preserve"> El reglamento interno de la Qatar Social Work Foundation y sus centros de trabajo social apoyan el empoderamiento de la mujer y ayudan a las mujeres a conciliar su vida laboral y familiar</w:t>
      </w:r>
      <w:r w:rsidR="00083383" w:rsidRPr="00D43575">
        <w:t>.</w:t>
      </w:r>
      <w:r w:rsidRPr="00D43575">
        <w:t xml:space="preserve"> El Centro Aman también contribuye a la publicación y difusión de mensajes de sensibilización a través de los medios sociales, a fin de concienciar a la sociedad respecto de la importancia de la mujer y su capacidad para cumplir sus obligaciones familiares y profesionales de forma equilibrada junto al hombre</w:t>
      </w:r>
      <w:r w:rsidR="00083383" w:rsidRPr="00D43575">
        <w:t>.</w:t>
      </w:r>
      <w:r w:rsidRPr="00D43575">
        <w:t xml:space="preserve"> Asimismo, el Estado apoya al Centro Aman por medio</w:t>
      </w:r>
      <w:r w:rsidR="00083383" w:rsidRPr="00D43575">
        <w:t xml:space="preserve"> </w:t>
      </w:r>
      <w:r w:rsidRPr="00D43575">
        <w:t>del Centro de Contacto Gubernamental del Ministerio de Transporte y Comunicaciones, facilitando apoyo técnico para ampliar el acceso a los servicios a todos los sectores de la sociedad</w:t>
      </w:r>
      <w:r w:rsidR="00083383" w:rsidRPr="00D43575">
        <w:t>.</w:t>
      </w:r>
      <w:r w:rsidRPr="00D43575">
        <w:t xml:space="preserve"> Entre las acciones realizadas para lograrlo, cabe destacar el teléfono de emergencia especial para recibir denuncias de violencia contra las mujeres y los niños</w:t>
      </w:r>
      <w:r w:rsidR="00083383" w:rsidRPr="00D43575">
        <w:t>.</w:t>
      </w:r>
      <w:r w:rsidRPr="00D43575">
        <w:t xml:space="preserve"> Los mecanismos de acceso al centro incluyen sus oficinas externas dependientes, situadas en hospitales y organismos de seguridad, que pueden atender de forma directa a las víctimas de la violencia</w:t>
      </w:r>
      <w:r w:rsidR="00083383" w:rsidRPr="00D43575">
        <w:t>.</w:t>
      </w:r>
      <w:r w:rsidRPr="00D43575">
        <w:t xml:space="preserve"> Para dejar constancia de que se reconoce el papel influyente que desempeña la Qatar Social Work Foundation, esta ha sido reconocida como entidad de carácter consultivo por el Consejo Económico y Social de las Naciones Unidas</w:t>
      </w:r>
      <w:r w:rsidR="00083383" w:rsidRPr="00D43575">
        <w:t>.</w:t>
      </w:r>
    </w:p>
    <w:p w14:paraId="327F613A" w14:textId="1CABF7CE" w:rsidR="00083383" w:rsidRPr="00D43575" w:rsidRDefault="008D2F10" w:rsidP="001D1AD0">
      <w:pPr>
        <w:pStyle w:val="SingleTxt"/>
        <w:numPr>
          <w:ilvl w:val="0"/>
          <w:numId w:val="10"/>
        </w:numPr>
        <w:ind w:left="1267" w:firstLine="0"/>
      </w:pPr>
      <w:r w:rsidRPr="00D43575">
        <w:t>El Centro de Información Familiar de la Qatar Social Work Foundation también ofrece un programa de orientación sobre la dependencia respecto de los trabajadores domésticos para la crianza de los hijos</w:t>
      </w:r>
      <w:r w:rsidR="00083383" w:rsidRPr="00D43575">
        <w:t>.</w:t>
      </w:r>
      <w:r w:rsidRPr="00D43575">
        <w:t xml:space="preserve"> Este programa facilita orientación sobre la gestión de las responsabilidades familiares y la división de tareas entre el marido y la mujer, con miras a crear conciencia sobre la necesidad de que los miembros de la familia cumplan sus responsabilidades, reforzar los lazos familiares dentro de la unidad familiar y propiciar la armonía entre los progenitores</w:t>
      </w:r>
      <w:r w:rsidR="00083383" w:rsidRPr="00D43575">
        <w:t>.</w:t>
      </w:r>
      <w:r w:rsidRPr="00D43575">
        <w:t xml:space="preserve"> Este centro organiza una serie de actividades de sensibilización para promover la aplicación de la Convención sobre la Eliminación de Todas las Formas de Discriminación contra la Mujer</w:t>
      </w:r>
      <w:r w:rsidR="00083383" w:rsidRPr="00D43575">
        <w:t>.</w:t>
      </w:r>
      <w:r w:rsidRPr="00D43575">
        <w:t xml:space="preserve"> Ofrece un programa para promover el equilibrio entre las responsabilidades laborales y familiares y cambiar los estereotipos sobre los papeles de la mujer y el hombre en la familia</w:t>
      </w:r>
      <w:r w:rsidR="00083383" w:rsidRPr="00D43575">
        <w:t>.</w:t>
      </w:r>
      <w:r w:rsidRPr="00D43575">
        <w:t xml:space="preserve"> Este programa tiene como objetivo incrementar el conocimiento de las aptitudes necesarias para conciliar la vida laboral y familiar, así como de enfoques proactivos para hacer frente a las presiones del trabajo, con miras a lograr un equilibrio entre el trabajo y la familia</w:t>
      </w:r>
      <w:r w:rsidR="00083383" w:rsidRPr="00D43575">
        <w:t>.</w:t>
      </w:r>
    </w:p>
    <w:p w14:paraId="3433266A" w14:textId="1080D280" w:rsidR="00083383" w:rsidRPr="00D43575" w:rsidRDefault="008D2F10" w:rsidP="001D1AD0">
      <w:pPr>
        <w:pStyle w:val="SingleTxt"/>
        <w:numPr>
          <w:ilvl w:val="0"/>
          <w:numId w:val="10"/>
        </w:numPr>
        <w:ind w:left="1267" w:firstLine="0"/>
      </w:pPr>
      <w:r w:rsidRPr="00D43575">
        <w:t xml:space="preserve">Desde enero de 2017, la televisión de Qatar, en cooperación con el Comité Nacional de Derechos Humanos, ha transmitido un programa semanal de </w:t>
      </w:r>
      <w:r w:rsidRPr="00D43575">
        <w:lastRenderedPageBreak/>
        <w:t>sensibilización sobre las personas con discapacidad</w:t>
      </w:r>
      <w:r w:rsidR="00083383" w:rsidRPr="00D43575">
        <w:t>.</w:t>
      </w:r>
      <w:r w:rsidRPr="00D43575">
        <w:t xml:space="preserve"> Se está prestando mayor atención a los derechos de las mujeres con discapacidad, a fin de combatir los estereotipos respecto de este grupo de mujeres</w:t>
      </w:r>
      <w:r w:rsidR="00083383" w:rsidRPr="00D43575">
        <w:t>.</w:t>
      </w:r>
    </w:p>
    <w:p w14:paraId="2819E901" w14:textId="5BC1C86F" w:rsidR="008D2F10" w:rsidRPr="00D43575" w:rsidRDefault="008D2F10" w:rsidP="008D2F10">
      <w:pPr>
        <w:pStyle w:val="SingleTxt"/>
        <w:spacing w:after="0" w:line="120" w:lineRule="exact"/>
        <w:rPr>
          <w:sz w:val="10"/>
        </w:rPr>
      </w:pPr>
    </w:p>
    <w:p w14:paraId="050C9D90"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Lucha contra la violencia contra la mujer</w:t>
      </w:r>
    </w:p>
    <w:p w14:paraId="50055AC1" w14:textId="77777777" w:rsidR="008D2F10" w:rsidRPr="00D43575" w:rsidRDefault="008D2F10" w:rsidP="008D2F10">
      <w:pPr>
        <w:pStyle w:val="SingleTxt"/>
        <w:spacing w:after="0" w:line="120" w:lineRule="exact"/>
        <w:rPr>
          <w:sz w:val="10"/>
        </w:rPr>
      </w:pPr>
    </w:p>
    <w:p w14:paraId="787775DA" w14:textId="05176D16" w:rsidR="008D2F10" w:rsidRPr="00D43575" w:rsidRDefault="008D2F10" w:rsidP="001D1AD0">
      <w:pPr>
        <w:pStyle w:val="SingleTxt"/>
        <w:numPr>
          <w:ilvl w:val="0"/>
          <w:numId w:val="10"/>
        </w:numPr>
        <w:ind w:left="1267" w:firstLine="0"/>
      </w:pPr>
      <w:r w:rsidRPr="00D43575">
        <w:t>La legislación interna, como por ejemplo el Código Penal, promulgado en virtud de la Ley núm</w:t>
      </w:r>
      <w:r w:rsidR="00083383" w:rsidRPr="00D43575">
        <w:t>.</w:t>
      </w:r>
      <w:r w:rsidRPr="00D43575">
        <w:t xml:space="preserve"> 11/2004, utiliza una terminología clara y precisa en la formulación de las disposiciones relativas a los delitos contra la integridad física y el atentado al pudor</w:t>
      </w:r>
      <w:r w:rsidR="00083383" w:rsidRPr="00D43575">
        <w:t>.</w:t>
      </w:r>
      <w:r w:rsidRPr="00D43575">
        <w:t xml:space="preserve"> Prevé penas más graves si el autor del delito es un miembro de la familia o si la víctima está embarazada</w:t>
      </w:r>
      <w:r w:rsidR="00083383" w:rsidRPr="00D43575">
        <w:t>.</w:t>
      </w:r>
      <w:r w:rsidRPr="00D43575">
        <w:t xml:space="preserve"> Los delitos de difamación y calumnia que causan daño psicológico también están penados</w:t>
      </w:r>
      <w:r w:rsidR="00083383" w:rsidRPr="00D43575">
        <w:t>.</w:t>
      </w:r>
      <w:r w:rsidRPr="00D43575">
        <w:t xml:space="preserve"> Asimismo, la Ley de los Delitos Informáticos (núm</w:t>
      </w:r>
      <w:r w:rsidR="00083383" w:rsidRPr="00D43575">
        <w:t>.</w:t>
      </w:r>
      <w:r w:rsidRPr="00D43575">
        <w:t xml:space="preserve"> 14/2014) protege a las mujeres al encausar a toda persona que difunda o publique información, imágenes o grabaciones audiovisuales que atenten contra la intimidad personal o familiar, incluso si no faltan a la verdad, o insulte o calumnie a la mujer</w:t>
      </w:r>
      <w:r w:rsidR="00083383" w:rsidRPr="00D43575">
        <w:t>.</w:t>
      </w:r>
      <w:r w:rsidRPr="00D43575">
        <w:t xml:space="preserve"> Tipifica como delito todos los actos de este tipo cometidos por cualquier persona</w:t>
      </w:r>
      <w:r w:rsidR="00083383" w:rsidRPr="00D43575">
        <w:t>.</w:t>
      </w:r>
      <w:r w:rsidRPr="00D43575">
        <w:t xml:space="preserve"> La legislación también aborda la cuestión de la violencia contra las mujeres en las instituciones penitenciarias y correccionales al contemplar la protección de la mujer y un trato adecuado hacia ella y el respeto de su intimidad como mujer</w:t>
      </w:r>
      <w:r w:rsidR="00083383" w:rsidRPr="00D43575">
        <w:t>.</w:t>
      </w:r>
      <w:r w:rsidRPr="00D43575">
        <w:t xml:space="preserve"> La Ley de las Instituciones Penitenciarias y Correccionales (núm</w:t>
      </w:r>
      <w:r w:rsidR="00083383" w:rsidRPr="00D43575">
        <w:t xml:space="preserve">. </w:t>
      </w:r>
      <w:r w:rsidRPr="00D43575">
        <w:t>3/2009) y su reglamento de ejecución incluyen disposiciones de esta índole</w:t>
      </w:r>
      <w:r w:rsidR="00083383" w:rsidRPr="00D43575">
        <w:t>.</w:t>
      </w:r>
    </w:p>
    <w:p w14:paraId="19F120F0" w14:textId="77777777" w:rsidR="008D2F10" w:rsidRPr="00D43575" w:rsidRDefault="008D2F10" w:rsidP="00D873EC">
      <w:pPr>
        <w:pStyle w:val="SingleTxt"/>
        <w:numPr>
          <w:ilvl w:val="0"/>
          <w:numId w:val="10"/>
        </w:numPr>
        <w:ind w:left="1267" w:firstLine="0"/>
      </w:pPr>
      <w:r w:rsidRPr="00D43575">
        <w:t>La Hamad Medical Corporation ha adoptado una serie de políticas para combatir el problema de la violencia contra la mujer</w:t>
      </w:r>
      <w:r w:rsidR="00083383" w:rsidRPr="00D43575">
        <w:t>.</w:t>
      </w:r>
      <w:r w:rsidRPr="00D43575">
        <w:t xml:space="preserve"> Exige que los profesionales médicos denuncien los presuntos casos de violencia, como el acoso sexual, la agresión sexual, los embarazos ilegítimos y la violencia contra grupos vulnerables, trabajadoras domésticas y mujeres embarazadas</w:t>
      </w:r>
      <w:r w:rsidR="00083383" w:rsidRPr="00D43575">
        <w:t>.</w:t>
      </w:r>
    </w:p>
    <w:p w14:paraId="52894AAA" w14:textId="1492B135" w:rsidR="008D2F10" w:rsidRPr="00203B27" w:rsidRDefault="008D2F10" w:rsidP="001D1AD0">
      <w:pPr>
        <w:pStyle w:val="SingleTxt"/>
        <w:numPr>
          <w:ilvl w:val="0"/>
          <w:numId w:val="10"/>
        </w:numPr>
        <w:ind w:left="1267" w:firstLine="0"/>
      </w:pPr>
      <w:bookmarkStart w:id="3" w:name="Sample_1"/>
      <w:r w:rsidRPr="00203B27">
        <w:t>El Departamento de la Policía de Proximidad del Ministerio del Interior desempeña un papel fundamental desde el punto de vista preventivo de la violencia doméstica</w:t>
      </w:r>
      <w:r w:rsidR="00083383" w:rsidRPr="00203B27">
        <w:t>.</w:t>
      </w:r>
      <w:r w:rsidRPr="00203B27">
        <w:t xml:space="preserve"> Presta apoyo y asistencia a las víctimas a través del Departamento de Apoyo Social del Ministerio y las faculta para conseguir que se haga justicia, en coordinación con las autoridades judiciales competentes, a fin de garantizar que los autores rindan cuentas de sus actos</w:t>
      </w:r>
      <w:r w:rsidR="00083383" w:rsidRPr="00203B27">
        <w:t>.</w:t>
      </w:r>
      <w:r w:rsidRPr="00203B27">
        <w:t xml:space="preserve"> Además, facilita un teléfono de emergencia para la intervención temprana con el objetivo de detener y prevenir la violencia contra la mujer</w:t>
      </w:r>
      <w:r w:rsidR="00083383" w:rsidRPr="00203B27">
        <w:t>.</w:t>
      </w:r>
      <w:r w:rsidRPr="00203B27">
        <w:t xml:space="preserve"> En cooperación con el Tribunal de la Familia, ha establecido una división especial dentro del Departamento de Apoyo Social para la ejecución de las decisiones dictadas por los tribunales en los casos de violencia doméstica</w:t>
      </w:r>
      <w:r w:rsidR="00083383" w:rsidRPr="00203B27">
        <w:t>.</w:t>
      </w:r>
    </w:p>
    <w:p w14:paraId="78022D6D" w14:textId="5832F4E7" w:rsidR="008D2F10" w:rsidRPr="00203B27" w:rsidRDefault="008D2F10" w:rsidP="001D1AD0">
      <w:pPr>
        <w:pStyle w:val="SingleTxt"/>
        <w:numPr>
          <w:ilvl w:val="0"/>
          <w:numId w:val="10"/>
        </w:numPr>
        <w:ind w:left="1267" w:firstLine="0"/>
      </w:pPr>
      <w:r w:rsidRPr="00203B27">
        <w:t>El Departamento de la Policía de Proximidad del Ministerio del Interior está poniendo en marcha programas para que los consejos de policía presten servicios en las regiones, con la convicción de que los miembros de la comunidad y la población son los que mejor conocen a las familias y son los primeros en saber en cuáles se producen casos de violencia doméstica</w:t>
      </w:r>
      <w:r w:rsidR="00083383" w:rsidRPr="00203B27">
        <w:t>.</w:t>
      </w:r>
      <w:r w:rsidRPr="00203B27">
        <w:t xml:space="preserve"> Se han creado cuatro comisiones integradas por habitantes de las regiones del norte que trabajan en colaboración con la policía de proximidad en diversas esferas, en particular la violencia doméstica, y facilitan la intervención temprana para evitar la violencia antes de que se produzca</w:t>
      </w:r>
      <w:r w:rsidR="00083383" w:rsidRPr="00203B27">
        <w:t>.</w:t>
      </w:r>
      <w:r w:rsidRPr="00203B27">
        <w:t xml:space="preserve"> La policía de proximidad también está trabajando para facilitar los procedimientos y prestar servicios a través de un centro de mando nacional</w:t>
      </w:r>
      <w:r w:rsidR="00083383" w:rsidRPr="00203B27">
        <w:t>.</w:t>
      </w:r>
      <w:r w:rsidRPr="00203B27">
        <w:t xml:space="preserve"> En la actualidad, se está tratando de armonizar los servicios ofrecidos a través del teléfono de emergencia como medio para combatir la violencia doméstica sobre el terreno</w:t>
      </w:r>
      <w:r w:rsidR="00083383" w:rsidRPr="00203B27">
        <w:t>.</w:t>
      </w:r>
    </w:p>
    <w:p w14:paraId="0695AE5B" w14:textId="728AE3E3" w:rsidR="008D2F10" w:rsidRPr="00203B27" w:rsidRDefault="008D2F10" w:rsidP="001D1AD0">
      <w:pPr>
        <w:pStyle w:val="SingleTxt"/>
        <w:numPr>
          <w:ilvl w:val="0"/>
          <w:numId w:val="10"/>
        </w:numPr>
        <w:ind w:left="1267" w:firstLine="0"/>
      </w:pPr>
      <w:r w:rsidRPr="00203B27">
        <w:t>El Departamento de la Policía de Proximidad también ha llevado a cabo una serie de actividades de concienciación para prevenir este tipo de violencia</w:t>
      </w:r>
      <w:r w:rsidR="00083383" w:rsidRPr="00203B27">
        <w:t>.</w:t>
      </w:r>
      <w:r w:rsidRPr="00203B27">
        <w:t xml:space="preserve"> Entre estas actividades cabe destacar la participación en eventos e investigaciones destinados a dar una respuesta a la situación general de la mujer y, entre otras, las</w:t>
      </w:r>
      <w:r w:rsidR="00083383" w:rsidRPr="00203B27">
        <w:t xml:space="preserve"> </w:t>
      </w:r>
      <w:r w:rsidRPr="00203B27">
        <w:t>siguientes:</w:t>
      </w:r>
    </w:p>
    <w:p w14:paraId="374E80FF" w14:textId="77777777" w:rsidR="008D2F10" w:rsidRPr="00203B27" w:rsidRDefault="004D496B" w:rsidP="00832D9A">
      <w:pPr>
        <w:pStyle w:val="SingleTxt"/>
        <w:tabs>
          <w:tab w:val="right" w:pos="1685"/>
        </w:tabs>
        <w:ind w:left="1742" w:hanging="475"/>
      </w:pPr>
      <w:r w:rsidRPr="00203B27">
        <w:lastRenderedPageBreak/>
        <w:tab/>
        <w:t>•</w:t>
      </w:r>
      <w:r w:rsidRPr="00203B27">
        <w:tab/>
      </w:r>
      <w:r w:rsidR="008D2F10" w:rsidRPr="00203B27">
        <w:t>La elaboración en 2014 de un estudio sobre la violencia doméstica en Qatar en colaboración con la Universidad de Qatar;</w:t>
      </w:r>
    </w:p>
    <w:p w14:paraId="59B7895B" w14:textId="77777777" w:rsidR="008D2F10" w:rsidRPr="00203B27" w:rsidRDefault="004D496B" w:rsidP="00832D9A">
      <w:pPr>
        <w:pStyle w:val="SingleTxt"/>
        <w:tabs>
          <w:tab w:val="right" w:pos="1685"/>
        </w:tabs>
        <w:ind w:left="1742" w:hanging="475"/>
      </w:pPr>
      <w:r w:rsidRPr="00203B27">
        <w:tab/>
        <w:t>•</w:t>
      </w:r>
      <w:r w:rsidRPr="00203B27">
        <w:tab/>
      </w:r>
      <w:r w:rsidR="008D2F10" w:rsidRPr="00203B27">
        <w:t>La organización de una mesa redonda con motivo del Día Internacional de la Eliminación de la Violencia contra la Mujer de 2015 en colaboración con el Centro de Rehabilitación y Protección Social;</w:t>
      </w:r>
    </w:p>
    <w:p w14:paraId="711D5647" w14:textId="47824E64" w:rsidR="008D2F10" w:rsidRPr="00203B27" w:rsidRDefault="004D496B" w:rsidP="00832D9A">
      <w:pPr>
        <w:pStyle w:val="SingleTxt"/>
        <w:tabs>
          <w:tab w:val="right" w:pos="1685"/>
        </w:tabs>
        <w:ind w:left="1742" w:hanging="475"/>
      </w:pPr>
      <w:r w:rsidRPr="00203B27">
        <w:tab/>
        <w:t>•</w:t>
      </w:r>
      <w:r w:rsidRPr="00203B27">
        <w:tab/>
      </w:r>
      <w:r w:rsidR="008D2F10" w:rsidRPr="00203B27">
        <w:t>La celebración en 2017 de un seminario sobre la coexistencia pacífica y la psicología del diálogo</w:t>
      </w:r>
      <w:r w:rsidR="00083383" w:rsidRPr="00203B27">
        <w:t>.</w:t>
      </w:r>
    </w:p>
    <w:p w14:paraId="0D83C30E" w14:textId="20BF6076" w:rsidR="008D2F10" w:rsidRPr="00203B27" w:rsidRDefault="008D2F10" w:rsidP="001D1AD0">
      <w:pPr>
        <w:pStyle w:val="SingleTxt"/>
        <w:numPr>
          <w:ilvl w:val="0"/>
          <w:numId w:val="10"/>
        </w:numPr>
        <w:ind w:left="1267" w:firstLine="0"/>
      </w:pPr>
      <w:r w:rsidRPr="00203B27">
        <w:t>El Departamento de la Policía de Proximidad basa su labor en una serie de mecanismos de protección de la mujer, como la ejecución de las sentencias del Tribunal de la Familia; la prestación de servicios sociales para los casos planteados; la coordinación de las acciones realizadas por ciudadanos, instituciones de la sociedad civil y centros especializados; la prestación de asistencia para buscar servicios de asesoramiento; la organización de varias campañas de sensibilización; el fomento de la solución pacífica de los litigios entre miembros de la unidad familiar; el incremento de la vigilancia, la presencia policial y las patrullas locales en zonas residenciales; el apoyo a los programas y estudios sobre la protección de la mujer; y el seguimiento de los casos presentados por los departamentos de seguridad y diversos órganos</w:t>
      </w:r>
      <w:r w:rsidR="00083383" w:rsidRPr="00203B27">
        <w:t>.</w:t>
      </w:r>
    </w:p>
    <w:p w14:paraId="12DE9AE0" w14:textId="50720046" w:rsidR="008D2F10" w:rsidRPr="00203B27" w:rsidRDefault="008D2F10" w:rsidP="001D1AD0">
      <w:pPr>
        <w:pStyle w:val="SingleTxt"/>
        <w:numPr>
          <w:ilvl w:val="0"/>
          <w:numId w:val="10"/>
        </w:numPr>
        <w:ind w:left="1267" w:firstLine="0"/>
      </w:pPr>
      <w:r w:rsidRPr="00203B27">
        <w:t>A fin de combatir el maltrato de que son objeto las mujeres en el seno de las familias, el Centro de Información Familiar trabaja en la adopción de medidas preventivas para reforzar la responsabilidad familiar y evitar las controversias familiares y cualquier abuso por parte de cualquiera de los cónyuges o de cualquier miembro de la familia</w:t>
      </w:r>
      <w:r w:rsidR="00083383" w:rsidRPr="00203B27">
        <w:t>.</w:t>
      </w:r>
      <w:r w:rsidRPr="00203B27">
        <w:t xml:space="preserve"> Uno de los proyectos de desarrollo en curso más destacados es el Programa para el Refuerzo de los Vínculos Familiares, que es congruente con la estrategia nacional para la cohesión familiar</w:t>
      </w:r>
      <w:r w:rsidR="00083383" w:rsidRPr="00203B27">
        <w:t>.</w:t>
      </w:r>
      <w:r w:rsidRPr="00203B27">
        <w:t xml:space="preserve"> Se ha organizado una exhaustiva variedad de conferencias e intervenciones científicas y de desarrollo de diversa índole dirigidas a diferentes sectores de la sociedad y relacionadas con diversas cuestiones sociales, educativas, éticas, jurídicas y de conducta que guardan relación con la cohesión familiar y el refuerzo de los vínculos familiares</w:t>
      </w:r>
      <w:r w:rsidR="00083383" w:rsidRPr="00203B27">
        <w:t>.</w:t>
      </w:r>
    </w:p>
    <w:p w14:paraId="00E82BFE" w14:textId="77777777" w:rsidR="008D2F10" w:rsidRPr="00203B27" w:rsidRDefault="008D2F10" w:rsidP="008D2F10">
      <w:pPr>
        <w:pStyle w:val="SingleTxt"/>
        <w:spacing w:after="0" w:line="120" w:lineRule="exact"/>
        <w:rPr>
          <w:sz w:val="10"/>
        </w:rPr>
      </w:pPr>
    </w:p>
    <w:p w14:paraId="65EC4D9E" w14:textId="77777777" w:rsidR="008D2F10" w:rsidRPr="00203B27"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203B27">
        <w:rPr>
          <w:bCs w:val="0"/>
          <w:szCs w:val="20"/>
        </w:rPr>
        <w:tab/>
      </w:r>
      <w:r w:rsidRPr="00203B27">
        <w:rPr>
          <w:bCs w:val="0"/>
          <w:szCs w:val="20"/>
        </w:rPr>
        <w:tab/>
        <w:t>Artículo 6: Trata de mujeres</w:t>
      </w:r>
    </w:p>
    <w:p w14:paraId="356A95E5" w14:textId="77777777" w:rsidR="008D2F10" w:rsidRPr="00203B27" w:rsidRDefault="008D2F10" w:rsidP="008D2F10">
      <w:pPr>
        <w:pStyle w:val="SingleTxt"/>
        <w:spacing w:after="0" w:line="120" w:lineRule="exact"/>
        <w:rPr>
          <w:sz w:val="10"/>
        </w:rPr>
      </w:pPr>
    </w:p>
    <w:p w14:paraId="55053BEB" w14:textId="1CA7ED00" w:rsidR="008D2F10" w:rsidRPr="00203B27" w:rsidRDefault="008D2F10" w:rsidP="001D1AD0">
      <w:pPr>
        <w:pStyle w:val="SingleTxt"/>
        <w:numPr>
          <w:ilvl w:val="0"/>
          <w:numId w:val="10"/>
        </w:numPr>
        <w:ind w:left="1267" w:firstLine="0"/>
      </w:pPr>
      <w:r w:rsidRPr="00203B27">
        <w:t xml:space="preserve">Qatar ha promulgado leyes para combatir la trata de personas, incluida la trata de mujeres, de acuerdo no solo con las obligaciones que le incumben en virtud de las convenciones y normas internacionales, sino con aquellas que derivan de la </w:t>
      </w:r>
      <w:r w:rsidRPr="00203B27">
        <w:rPr>
          <w:i/>
        </w:rPr>
        <w:t>sharia</w:t>
      </w:r>
      <w:r w:rsidRPr="00203B27">
        <w:t>, la cual es contraria a la prostitución y la trata de mujeres</w:t>
      </w:r>
      <w:r w:rsidR="00083383" w:rsidRPr="00203B27">
        <w:t>.</w:t>
      </w:r>
      <w:r w:rsidRPr="00203B27">
        <w:t xml:space="preserve"> Desde la presentación del informe inicial y a fin de aplicar las recomendaciones formuladas a raíz de dicho informe, los esfuerzos realizados por el Estado parte para combatir la trata de personas pueden agruparse en los siguientes tres niveles: nacional, regional e internacional</w:t>
      </w:r>
      <w:r w:rsidR="00083383" w:rsidRPr="00203B27">
        <w:t>.</w:t>
      </w:r>
    </w:p>
    <w:p w14:paraId="44D89C62" w14:textId="77777777" w:rsidR="008D2F10" w:rsidRPr="00203B27" w:rsidRDefault="008D2F10" w:rsidP="008D2F10">
      <w:pPr>
        <w:pStyle w:val="SingleTxt"/>
        <w:spacing w:after="0" w:line="120" w:lineRule="exact"/>
        <w:rPr>
          <w:sz w:val="10"/>
        </w:rPr>
      </w:pPr>
    </w:p>
    <w:p w14:paraId="44F438AA" w14:textId="21844EF0" w:rsidR="008D2F10" w:rsidRPr="00203B27" w:rsidRDefault="00CF36A4"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203B27">
        <w:rPr>
          <w:bCs w:val="0"/>
          <w:szCs w:val="20"/>
        </w:rPr>
        <w:tab/>
      </w:r>
      <w:r w:rsidR="008D2F10" w:rsidRPr="00203B27">
        <w:rPr>
          <w:bCs w:val="0"/>
          <w:szCs w:val="20"/>
        </w:rPr>
        <w:t>I</w:t>
      </w:r>
      <w:r w:rsidR="00083383" w:rsidRPr="00203B27">
        <w:rPr>
          <w:bCs w:val="0"/>
          <w:szCs w:val="20"/>
        </w:rPr>
        <w:t>.</w:t>
      </w:r>
      <w:r w:rsidR="008D2F10" w:rsidRPr="00203B27">
        <w:rPr>
          <w:bCs w:val="0"/>
          <w:szCs w:val="20"/>
        </w:rPr>
        <w:tab/>
        <w:t>En el plano nacional</w:t>
      </w:r>
    </w:p>
    <w:p w14:paraId="682E9C29" w14:textId="77777777" w:rsidR="008D2F10" w:rsidRPr="00203B27" w:rsidRDefault="008D2F10" w:rsidP="008D2F10">
      <w:pPr>
        <w:pStyle w:val="SingleTxt"/>
        <w:spacing w:after="0" w:line="120" w:lineRule="exact"/>
        <w:rPr>
          <w:sz w:val="10"/>
        </w:rPr>
      </w:pPr>
    </w:p>
    <w:p w14:paraId="5F29B8E5" w14:textId="77777777" w:rsidR="008D2F10" w:rsidRPr="00203B27" w:rsidRDefault="008D2F10" w:rsidP="001D1AD0">
      <w:pPr>
        <w:pStyle w:val="SingleTxt"/>
        <w:numPr>
          <w:ilvl w:val="0"/>
          <w:numId w:val="10"/>
        </w:numPr>
        <w:ind w:left="1267" w:firstLine="0"/>
      </w:pPr>
      <w:r w:rsidRPr="00203B27">
        <w:t>El Estado ha adoptado las siguientes medidas legislativas para luchar contra la trata de personas en el plano nacional:</w:t>
      </w:r>
    </w:p>
    <w:p w14:paraId="5EA70786" w14:textId="3CF9B74D" w:rsidR="008D2F10" w:rsidRPr="00203B27" w:rsidRDefault="00EA1FFC" w:rsidP="00EA1FFC">
      <w:pPr>
        <w:pStyle w:val="SingleTxt"/>
        <w:tabs>
          <w:tab w:val="right" w:pos="1685"/>
        </w:tabs>
        <w:ind w:left="1742" w:hanging="475"/>
      </w:pPr>
      <w:r w:rsidRPr="00203B27">
        <w:tab/>
        <w:t>•</w:t>
      </w:r>
      <w:r w:rsidRPr="00203B27">
        <w:tab/>
      </w:r>
      <w:r w:rsidR="008D2F10" w:rsidRPr="00203B27">
        <w:t>La Comisión Nacional contra la Trata de Personas se creó en virtud de la resolución del Consejo de Ministros núm</w:t>
      </w:r>
      <w:r w:rsidR="00083383" w:rsidRPr="00203B27">
        <w:t>.</w:t>
      </w:r>
      <w:r w:rsidR="008D2F10" w:rsidRPr="00203B27">
        <w:t xml:space="preserve"> 15/2017</w:t>
      </w:r>
      <w:r w:rsidR="00083383" w:rsidRPr="00203B27">
        <w:t>.</w:t>
      </w:r>
      <w:r w:rsidR="008D2F10" w:rsidRPr="00203B27">
        <w:t xml:space="preserve"> Está presidida por un representante del Ministerio de Desarrollo Administrativo, Trabajo y Asuntos Sociales, y su vicepresidente es un representante del Ministerio de Relaciones Exteriores</w:t>
      </w:r>
      <w:r w:rsidR="00083383" w:rsidRPr="00203B27">
        <w:t>.</w:t>
      </w:r>
      <w:r w:rsidR="008D2F10" w:rsidRPr="00203B27">
        <w:t xml:space="preserve"> Entre sus miembros figuran representantes de cada una de las siguientes instituciones: el Ministerio del Interior, el Ministerio de Justicia, el Ministerio de Salud Pública, la Fiscalía, la Oficina de Comunicaciones del Gobierno, el Comité Nacional de Derechos Humanos y la Qatar Social Work Foundation</w:t>
      </w:r>
      <w:r w:rsidR="00083383" w:rsidRPr="00203B27">
        <w:t>.</w:t>
      </w:r>
      <w:r w:rsidR="008D2F10" w:rsidRPr="00203B27">
        <w:t xml:space="preserve"> La Comisión Nacional contra la Trata de Personas se creó con el fin de coordinar los esfuerzos nacionales para vigilar, prevenir y combatir todas </w:t>
      </w:r>
      <w:r w:rsidR="008D2F10" w:rsidRPr="00203B27">
        <w:lastRenderedPageBreak/>
        <w:t>las formas de trata de personas</w:t>
      </w:r>
      <w:r w:rsidR="00083383" w:rsidRPr="00203B27">
        <w:t>.</w:t>
      </w:r>
      <w:r w:rsidR="008D2F10" w:rsidRPr="00203B27">
        <w:t xml:space="preserve"> Sus responsabilidades, entre otras, incluyen la preparación de un plan nacional sobre la trata de personas y la elaboración y difusión de un informe anual sobre las iniciativas del país encaminadas a combatir la trata de personas, </w:t>
      </w:r>
      <w:r w:rsidR="00151B81" w:rsidRPr="00203B27">
        <w:t xml:space="preserve">así como la </w:t>
      </w:r>
      <w:r w:rsidR="008D2F10" w:rsidRPr="00203B27">
        <w:t>coordinación con los organismos y las autoridades responsables de proteger y brindar apoyo a las víctimas de la trata de personas</w:t>
      </w:r>
      <w:r w:rsidR="00083383" w:rsidRPr="00203B27">
        <w:t>.</w:t>
      </w:r>
      <w:r w:rsidR="008D2F10" w:rsidRPr="00203B27">
        <w:t xml:space="preserve"> Se ha preparado un proyecto de plan nacional de lucha contra la trata de personas para el período 2017</w:t>
      </w:r>
      <w:r w:rsidR="00083383" w:rsidRPr="00203B27">
        <w:noBreakHyphen/>
      </w:r>
      <w:r w:rsidR="008D2F10" w:rsidRPr="00203B27">
        <w:t>2022</w:t>
      </w:r>
      <w:r w:rsidR="00083383" w:rsidRPr="00203B27">
        <w:t>.</w:t>
      </w:r>
      <w:r w:rsidR="008D2F10" w:rsidRPr="00203B27">
        <w:t xml:space="preserve"> En el período 2011</w:t>
      </w:r>
      <w:r w:rsidR="00083383" w:rsidRPr="00203B27">
        <w:noBreakHyphen/>
      </w:r>
      <w:r w:rsidR="008D2F10" w:rsidRPr="00203B27">
        <w:t>2014 se puso en marcha la Iniciativa Árabe para la Lucha contra la Trata de Personas, en cooperación con la UNODC y la Liga de los Estados Árabes</w:t>
      </w:r>
      <w:r w:rsidR="00083383" w:rsidRPr="00203B27">
        <w:t>.</w:t>
      </w:r>
      <w:r w:rsidR="008D2F10" w:rsidRPr="00203B27">
        <w:t xml:space="preserve"> Qatar proporcionó 6 millones de dólares para desarrollar la capacidad nacional de lucha contra la trata de personas en la región árabe</w:t>
      </w:r>
      <w:r w:rsidR="00083383" w:rsidRPr="00203B27">
        <w:t>.</w:t>
      </w:r>
      <w:r w:rsidR="008D2F10" w:rsidRPr="00203B27">
        <w:t xml:space="preserve"> Los fondos se destinaron a financiar sesiones de capacitación para jueces, investigadores y agentes de policía que trabajan en casos de trata de personas</w:t>
      </w:r>
      <w:r w:rsidR="00083383" w:rsidRPr="00203B27">
        <w:t>.</w:t>
      </w:r>
      <w:r w:rsidR="008D2F10" w:rsidRPr="00203B27">
        <w:t xml:space="preserve"> Las sesiones </w:t>
      </w:r>
      <w:r w:rsidR="00151B81" w:rsidRPr="00203B27">
        <w:t xml:space="preserve">concluirán </w:t>
      </w:r>
      <w:r w:rsidR="008D2F10" w:rsidRPr="00203B27">
        <w:t>en diciembre de 2017</w:t>
      </w:r>
      <w:r w:rsidR="00083383" w:rsidRPr="00203B27">
        <w:t>.</w:t>
      </w:r>
    </w:p>
    <w:p w14:paraId="48D893D1" w14:textId="235B423D" w:rsidR="008D2F10" w:rsidRPr="00203B27" w:rsidRDefault="00EA1FFC" w:rsidP="00EA1FFC">
      <w:pPr>
        <w:pStyle w:val="SingleTxt"/>
        <w:tabs>
          <w:tab w:val="right" w:pos="1685"/>
        </w:tabs>
        <w:ind w:left="1742" w:hanging="475"/>
      </w:pPr>
      <w:r w:rsidRPr="00203B27">
        <w:tab/>
        <w:t>•</w:t>
      </w:r>
      <w:r w:rsidRPr="00203B27">
        <w:tab/>
      </w:r>
      <w:r w:rsidR="008D2F10" w:rsidRPr="00203B27">
        <w:t>La Ley núm</w:t>
      </w:r>
      <w:r w:rsidR="00083383" w:rsidRPr="00203B27">
        <w:t>.</w:t>
      </w:r>
      <w:r w:rsidR="008D2F10" w:rsidRPr="00203B27">
        <w:t xml:space="preserve"> 15/2011 relativa a la lucha contra la trata de personas tipifica como delito la trata en todas sus formas y variantes</w:t>
      </w:r>
      <w:r w:rsidR="00083383" w:rsidRPr="00203B27">
        <w:t>.</w:t>
      </w:r>
    </w:p>
    <w:p w14:paraId="37ABA798" w14:textId="14222091" w:rsidR="008D2F10" w:rsidRPr="00203B27" w:rsidRDefault="00EA1FFC" w:rsidP="00EA1FFC">
      <w:pPr>
        <w:pStyle w:val="SingleTxt"/>
        <w:tabs>
          <w:tab w:val="right" w:pos="1685"/>
        </w:tabs>
        <w:ind w:left="1742" w:hanging="475"/>
      </w:pPr>
      <w:r w:rsidRPr="00203B27">
        <w:tab/>
        <w:t>•</w:t>
      </w:r>
      <w:r w:rsidRPr="00203B27">
        <w:tab/>
      </w:r>
      <w:r w:rsidR="008D2F10" w:rsidRPr="00203B27">
        <w:t>A través de medidas administrativas y por parte de la policía judicial, los organismos de seguridad competentes realizan tareas de prevención y prohibición de todos los delitos, incluidos los delitos de trata de personas</w:t>
      </w:r>
      <w:r w:rsidR="00083383" w:rsidRPr="00203B27">
        <w:t>.</w:t>
      </w:r>
    </w:p>
    <w:p w14:paraId="4F4956EC" w14:textId="73597F94" w:rsidR="008D2F10" w:rsidRPr="00203B27" w:rsidRDefault="008D2F10" w:rsidP="001D1AD0">
      <w:pPr>
        <w:pStyle w:val="SingleTxt"/>
        <w:numPr>
          <w:ilvl w:val="0"/>
          <w:numId w:val="10"/>
        </w:numPr>
        <w:ind w:left="1267" w:firstLine="0"/>
      </w:pPr>
      <w:r w:rsidRPr="00203B27">
        <w:t>Además de las medidas legislativas mencionadas anteriormente, se ha llegado a un acuerdo con la oficina regional de la UNODC en Abu Dabi para organizar cursos intensivos de capacitación que mejoren las capacidades del personal de la Comisión Nacional contra la Trata de Personas y el equipo nacional del Ministerio de Desarrollo Administrativo, Trabajo y Asuntos Sociales</w:t>
      </w:r>
      <w:r w:rsidR="00083383" w:rsidRPr="00203B27">
        <w:t>.</w:t>
      </w:r>
    </w:p>
    <w:p w14:paraId="4B987A5E" w14:textId="377790D2" w:rsidR="008D2F10" w:rsidRPr="00203B27" w:rsidRDefault="008D2F10" w:rsidP="001D1AD0">
      <w:pPr>
        <w:pStyle w:val="SingleTxt"/>
        <w:numPr>
          <w:ilvl w:val="0"/>
          <w:numId w:val="10"/>
        </w:numPr>
        <w:ind w:left="1267" w:firstLine="0"/>
      </w:pPr>
      <w:r w:rsidRPr="00203B27">
        <w:t>El Ministerio de Desarrollo Administrativo, Trabajo y Asuntos Sociales está trabajando para asegurar la aplicación integral de las disposiciones de las convenciones de derechos humanos en la materia en coordinación con las instituciones que trabajan en esta esfera</w:t>
      </w:r>
      <w:r w:rsidR="00083383" w:rsidRPr="00203B27">
        <w:t>.</w:t>
      </w:r>
      <w:r w:rsidRPr="00203B27">
        <w:t xml:space="preserve"> El objetivo es alcanzar las metas previstas en los instrumentos internacionales relativos a la familia</w:t>
      </w:r>
      <w:r w:rsidR="00083383" w:rsidRPr="00203B27">
        <w:t>.</w:t>
      </w:r>
      <w:r w:rsidRPr="00203B27">
        <w:t xml:space="preserve"> El Gobierno está trabajando para difundir entre toda la sociedad qatarí información sobre las disposiciones del Protocolo Facultativo de la Convención sobre los Derechos del Niño relativo a la venta de niños, en particular entre padres y niños, cuidadores y aquellas personas que trabajan con niños</w:t>
      </w:r>
      <w:r w:rsidR="00083383" w:rsidRPr="00203B27">
        <w:t>.</w:t>
      </w:r>
      <w:r w:rsidRPr="00203B27">
        <w:t xml:space="preserve"> En este sentido, y a fin de difundir los conocimientos sobre la trata de personas, aumentar la conciencia en torno a los riesgos que plantea para la sociedad qatarí y familiarizar a la población con las diversas manifestaciones y formas que puede adoptar, el Gobierno, por conducto de los organismos correspondientes, ha puesto en marcha las siguientes medidas:</w:t>
      </w:r>
    </w:p>
    <w:p w14:paraId="339B51CC" w14:textId="60861182" w:rsidR="008D2F10" w:rsidRPr="00203B27" w:rsidRDefault="008D2F10" w:rsidP="008D2F10">
      <w:pPr>
        <w:pStyle w:val="SingleTxt"/>
        <w:tabs>
          <w:tab w:val="right" w:pos="1685"/>
        </w:tabs>
        <w:ind w:left="1742" w:hanging="475"/>
      </w:pPr>
      <w:r w:rsidRPr="00203B27">
        <w:tab/>
        <w:t>–</w:t>
      </w:r>
      <w:r w:rsidRPr="00203B27">
        <w:tab/>
        <w:t>Se organizaron cursos de capacitación dirigidos a sociólogos y sociólogas en las escuelas, a fin de proteger a nuestros hijos del acoso sexual</w:t>
      </w:r>
      <w:r w:rsidR="00083383" w:rsidRPr="00203B27">
        <w:t>.</w:t>
      </w:r>
      <w:r w:rsidRPr="00203B27">
        <w:t xml:space="preserve"> El objetivo era difundir información entre la sociedad sobre </w:t>
      </w:r>
      <w:r w:rsidR="00EA7EDD" w:rsidRPr="00203B27">
        <w:t xml:space="preserve">cómo violan </w:t>
      </w:r>
      <w:r w:rsidRPr="00203B27">
        <w:t xml:space="preserve">los acosadores </w:t>
      </w:r>
      <w:r w:rsidR="00EA7EDD" w:rsidRPr="00203B27">
        <w:t xml:space="preserve">a sus víctimas </w:t>
      </w:r>
      <w:r w:rsidRPr="00203B27">
        <w:t>y cómo detectar los casos de acoso</w:t>
      </w:r>
      <w:r w:rsidR="00083383" w:rsidRPr="00203B27">
        <w:t>.</w:t>
      </w:r>
    </w:p>
    <w:bookmarkEnd w:id="3"/>
    <w:p w14:paraId="689DDD4B" w14:textId="014C38AD" w:rsidR="008D2F10" w:rsidRPr="00D43575" w:rsidRDefault="008D2F10" w:rsidP="008D2F10">
      <w:pPr>
        <w:pStyle w:val="SingleTxt"/>
        <w:tabs>
          <w:tab w:val="right" w:pos="1685"/>
        </w:tabs>
        <w:ind w:left="1742" w:hanging="475"/>
      </w:pPr>
      <w:r w:rsidRPr="00D43575">
        <w:tab/>
        <w:t>–</w:t>
      </w:r>
      <w:r w:rsidRPr="00D43575">
        <w:tab/>
        <w:t xml:space="preserve">Se impartió un taller titulado </w:t>
      </w:r>
      <w:r w:rsidR="00F652D5" w:rsidRPr="00D43575">
        <w:t>“</w:t>
      </w:r>
      <w:r w:rsidRPr="00D43575">
        <w:t>Concienciar a los jóvenes con respecto a los riesgos del turismo sexual</w:t>
      </w:r>
      <w:r w:rsidR="00F652D5" w:rsidRPr="00D43575">
        <w:t>”</w:t>
      </w:r>
      <w:r w:rsidR="00083383" w:rsidRPr="00D43575">
        <w:t>.</w:t>
      </w:r>
    </w:p>
    <w:p w14:paraId="0B3F6C74" w14:textId="4368187A" w:rsidR="008D2F10" w:rsidRPr="00D43575" w:rsidRDefault="008D2F10" w:rsidP="008D2F10">
      <w:pPr>
        <w:pStyle w:val="SingleTxt"/>
        <w:tabs>
          <w:tab w:val="right" w:pos="1685"/>
        </w:tabs>
        <w:ind w:left="1742" w:hanging="475"/>
      </w:pPr>
      <w:r w:rsidRPr="00D43575">
        <w:tab/>
        <w:t>–</w:t>
      </w:r>
      <w:r w:rsidRPr="00D43575">
        <w:tab/>
        <w:t xml:space="preserve">Se impartió un taller titulado </w:t>
      </w:r>
      <w:r w:rsidR="00F652D5" w:rsidRPr="00D43575">
        <w:t>“</w:t>
      </w:r>
      <w:r w:rsidRPr="00D43575">
        <w:t>Mecanismos para proteger a los niños de la explotación sexual</w:t>
      </w:r>
      <w:r w:rsidR="00F652D5" w:rsidRPr="00D43575">
        <w:t>”</w:t>
      </w:r>
      <w:r w:rsidR="00083383" w:rsidRPr="00D43575">
        <w:t>.</w:t>
      </w:r>
    </w:p>
    <w:p w14:paraId="1B304854" w14:textId="416B7961" w:rsidR="008D2F10" w:rsidRPr="00D43575" w:rsidRDefault="008D2F10" w:rsidP="008D2F10">
      <w:pPr>
        <w:pStyle w:val="SingleTxt"/>
        <w:tabs>
          <w:tab w:val="right" w:pos="1685"/>
        </w:tabs>
        <w:ind w:left="1742" w:hanging="475"/>
      </w:pPr>
      <w:r w:rsidRPr="00D43575">
        <w:tab/>
        <w:t>–</w:t>
      </w:r>
      <w:r w:rsidRPr="00D43575">
        <w:tab/>
        <w:t>Se ha difundido información sobre las leyes y las convenciones relativas a la lucha contra la trata de personas en diversos sitios web e Internet</w:t>
      </w:r>
      <w:r w:rsidR="00083383" w:rsidRPr="00D43575">
        <w:t>.</w:t>
      </w:r>
    </w:p>
    <w:p w14:paraId="4D455C92" w14:textId="53DF0F20" w:rsidR="00083383" w:rsidRPr="00D43575" w:rsidRDefault="004C5040" w:rsidP="00D873EC">
      <w:pPr>
        <w:pStyle w:val="SingleTxt"/>
        <w:keepLines/>
        <w:tabs>
          <w:tab w:val="right" w:pos="1685"/>
        </w:tabs>
        <w:ind w:left="1742" w:hanging="475"/>
      </w:pPr>
      <w:r w:rsidRPr="00D43575">
        <w:lastRenderedPageBreak/>
        <w:tab/>
      </w:r>
      <w:r w:rsidR="008D2F10" w:rsidRPr="00D43575">
        <w:t>–</w:t>
      </w:r>
      <w:r w:rsidR="008D2F10" w:rsidRPr="00D43575">
        <w:tab/>
        <w:t xml:space="preserve">Se puso en marcha una campaña de sensibilización bajo el lema </w:t>
      </w:r>
      <w:r w:rsidR="00F652D5" w:rsidRPr="00D43575">
        <w:t>“</w:t>
      </w:r>
      <w:r w:rsidR="008D2F10" w:rsidRPr="00D43575">
        <w:t>Que las generaciones futuras sean conscientes de los peligros de la trata de personas</w:t>
      </w:r>
      <w:r w:rsidR="00F652D5" w:rsidRPr="00D43575">
        <w:t>”</w:t>
      </w:r>
      <w:r w:rsidR="008D2F10" w:rsidRPr="00D43575">
        <w:t>, a fin de entender en mayor profundidad este fenómeno y la necesidad de combatirlo</w:t>
      </w:r>
      <w:r w:rsidR="00083383" w:rsidRPr="00D43575">
        <w:t>.</w:t>
      </w:r>
      <w:r w:rsidR="008D2F10" w:rsidRPr="00D43575">
        <w:t xml:space="preserve"> La campaña de dos meses de duración estaba dirigida a estudiantes de ambos sexos de diversos niveles de enseñanza</w:t>
      </w:r>
      <w:r w:rsidR="00083383" w:rsidRPr="00D43575">
        <w:t>.</w:t>
      </w:r>
    </w:p>
    <w:p w14:paraId="6BCCFD7C" w14:textId="4901B5FB" w:rsidR="008D2F10" w:rsidRPr="00D43575" w:rsidRDefault="008D2F10" w:rsidP="008D2F10">
      <w:pPr>
        <w:pStyle w:val="SingleTxt"/>
        <w:tabs>
          <w:tab w:val="right" w:pos="1685"/>
        </w:tabs>
        <w:ind w:left="1742" w:hanging="475"/>
      </w:pPr>
      <w:r w:rsidRPr="00D43575">
        <w:tab/>
        <w:t>–</w:t>
      </w:r>
      <w:r w:rsidRPr="00D43575">
        <w:tab/>
        <w:t>Se organizaron presentaciones para alumnos y alumnas de escuelas preparatorias y de enseñanza secundaria para crear conciencia sobre este tema</w:t>
      </w:r>
      <w:r w:rsidR="00083383" w:rsidRPr="00D43575">
        <w:t>.</w:t>
      </w:r>
    </w:p>
    <w:p w14:paraId="32256A8B" w14:textId="4BA007B7" w:rsidR="008D2F10" w:rsidRPr="00D43575" w:rsidRDefault="008D2F10" w:rsidP="001D1AD0">
      <w:pPr>
        <w:pStyle w:val="SingleTxt"/>
        <w:numPr>
          <w:ilvl w:val="0"/>
          <w:numId w:val="10"/>
        </w:numPr>
        <w:ind w:left="1267" w:firstLine="0"/>
      </w:pPr>
      <w:r w:rsidRPr="00D43575">
        <w:t>El Comité Nacional de Derechos Humanos organiza cursos dirigidos a los organismos públicos para sensibilizar acerca de la lucha contra la trata de personas</w:t>
      </w:r>
      <w:r w:rsidR="00083383" w:rsidRPr="00D43575">
        <w:t>.</w:t>
      </w:r>
      <w:r w:rsidRPr="00D43575">
        <w:t xml:space="preserve"> En noviembre de 2017, en cooperación con la Embajada de los Estados Unidos en Doha, organizó una sesión de capacitación sobre el seguimiento y la documentación de casos de trata de personas, y sobre la coordinación entre los organismos competentes</w:t>
      </w:r>
      <w:r w:rsidR="00083383" w:rsidRPr="00D43575">
        <w:t>.</w:t>
      </w:r>
    </w:p>
    <w:p w14:paraId="607530EF" w14:textId="77777777" w:rsidR="008D2F10" w:rsidRPr="00D43575" w:rsidRDefault="008D2F10" w:rsidP="001D1AD0">
      <w:pPr>
        <w:pStyle w:val="SingleTxt"/>
        <w:numPr>
          <w:ilvl w:val="0"/>
          <w:numId w:val="10"/>
        </w:numPr>
        <w:ind w:left="1267" w:firstLine="0"/>
      </w:pPr>
      <w:r w:rsidRPr="00D43575">
        <w:t>El Estado de Qatar ha reforzado los procedimientos y las prácticas para proteger a los trabajadores migrantes frente a la trata de personas, como indican las siguientes acciones:</w:t>
      </w:r>
    </w:p>
    <w:p w14:paraId="0AE323E2" w14:textId="4761EC71" w:rsidR="008D2F10" w:rsidRPr="00D43575" w:rsidRDefault="00A51FE0" w:rsidP="00A51FE0">
      <w:pPr>
        <w:pStyle w:val="SingleTxt"/>
        <w:tabs>
          <w:tab w:val="right" w:pos="1685"/>
        </w:tabs>
        <w:ind w:left="1742" w:hanging="475"/>
      </w:pPr>
      <w:r w:rsidRPr="00D43575">
        <w:tab/>
        <w:t>•</w:t>
      </w:r>
      <w:r w:rsidRPr="00D43575">
        <w:tab/>
      </w:r>
      <w:r w:rsidR="008D2F10" w:rsidRPr="00D43575">
        <w:t>Se ha fortalecido la labor de la Inspección de Trabajo, aumentando el número de inspectores a casi 400</w:t>
      </w:r>
      <w:r w:rsidR="00083383" w:rsidRPr="00D43575">
        <w:t>.</w:t>
      </w:r>
      <w:r w:rsidR="008D2F10" w:rsidRPr="00D43575">
        <w:t xml:space="preserve"> También se han agravado las penas y ha aumentado la cooperación con los mecanismos de reparación de agravios, prestando especial atención a la salud ocupacional y la seguridad en el trabajo</w:t>
      </w:r>
      <w:r w:rsidR="00083383" w:rsidRPr="00D43575">
        <w:t>.</w:t>
      </w:r>
      <w:r w:rsidR="008D2F10" w:rsidRPr="00D43575">
        <w:t xml:space="preserve"> El Ministerio de Desarrollo Administrativo, Trabajo y Asuntos Sociales está colaborando con la OIT para elaborar una estrategia nacional de inspección de</w:t>
      </w:r>
      <w:r w:rsidR="00083383" w:rsidRPr="00D43575">
        <w:t xml:space="preserve"> </w:t>
      </w:r>
      <w:r w:rsidR="008D2F10" w:rsidRPr="00D43575">
        <w:t>trabajo</w:t>
      </w:r>
      <w:r w:rsidR="00083383" w:rsidRPr="00D43575">
        <w:t>.</w:t>
      </w:r>
    </w:p>
    <w:p w14:paraId="22BAF80F" w14:textId="29C6647B" w:rsidR="00083383" w:rsidRPr="00D43575" w:rsidRDefault="00A51FE0" w:rsidP="00A51FE0">
      <w:pPr>
        <w:pStyle w:val="SingleTxt"/>
        <w:tabs>
          <w:tab w:val="right" w:pos="1685"/>
        </w:tabs>
        <w:ind w:left="1742" w:hanging="475"/>
      </w:pPr>
      <w:r w:rsidRPr="00D43575">
        <w:tab/>
        <w:t>•</w:t>
      </w:r>
      <w:r w:rsidRPr="00D43575">
        <w:tab/>
      </w:r>
      <w:r w:rsidR="008D2F10" w:rsidRPr="00D43575">
        <w:t>Se han adoptado medidas para sancionar el incumplimiento de los cuadros de salarios</w:t>
      </w:r>
      <w:r w:rsidR="00083383" w:rsidRPr="00D43575">
        <w:t>.</w:t>
      </w:r>
      <w:r w:rsidR="008D2F10" w:rsidRPr="00D43575">
        <w:t xml:space="preserve"> El Ministerio de Desarrollo Administrativo, Trabajo y Asuntos Sociales ha puesto fin a la cooperación con empleadores y prohíbe que se siga contratando a trabajadores cuando no se cumple el sistema de protección salarial</w:t>
      </w:r>
      <w:r w:rsidR="00083383" w:rsidRPr="00D43575">
        <w:t>.</w:t>
      </w:r>
      <w:r w:rsidR="008D2F10" w:rsidRPr="00D43575">
        <w:t xml:space="preserve"> En estos casos, establece una constancia de las violaciones y la transmite a los servicios de seguridad y, posteriormente, a la Fiscalía para que se inicien actuaciones judiciales</w:t>
      </w:r>
      <w:r w:rsidR="00083383" w:rsidRPr="00D43575">
        <w:t>.</w:t>
      </w:r>
      <w:r w:rsidR="008D2F10" w:rsidRPr="00D43575">
        <w:t xml:space="preserve"> En coordinación con el Ministerio del Interior, los trabajadores de empresas que incumplen el sistema de protección salarial son puestos a disposición de otros empleadores si no se les pagan los salarios</w:t>
      </w:r>
      <w:r w:rsidR="00083383" w:rsidRPr="00D43575">
        <w:t>.</w:t>
      </w:r>
      <w:r w:rsidR="008D2F10" w:rsidRPr="00D43575">
        <w:t xml:space="preserve"> Además, se colabora con la Fiscalía para adoptar medidas más estrictas contra los empleadores que incumplen el sistema de protección salarial, a fin de simplificar el proceso que permite a los trabajadores obtener lo que se les debe</w:t>
      </w:r>
      <w:r w:rsidR="00083383" w:rsidRPr="00D43575">
        <w:t>.</w:t>
      </w:r>
    </w:p>
    <w:p w14:paraId="3F7EDEE7" w14:textId="78FD2680" w:rsidR="008D2F10" w:rsidRPr="00D43575" w:rsidRDefault="008D2F10" w:rsidP="00A51FE0">
      <w:pPr>
        <w:pStyle w:val="SingleTxt"/>
      </w:pPr>
      <w:r w:rsidRPr="00D43575">
        <w:tab/>
        <w:t>El Gobierno ha puesto en marcha una serie de acciones y medidas para proteger a los trabajadores antes de ser contratados; entre otras, las siguientes:</w:t>
      </w:r>
    </w:p>
    <w:p w14:paraId="013A19DD" w14:textId="791A459E" w:rsidR="008D2F10" w:rsidRPr="00D43575" w:rsidRDefault="008D2F10" w:rsidP="008D2F10">
      <w:pPr>
        <w:pStyle w:val="SingleTxt"/>
        <w:tabs>
          <w:tab w:val="right" w:pos="1685"/>
        </w:tabs>
        <w:ind w:left="1742" w:hanging="475"/>
      </w:pPr>
      <w:r w:rsidRPr="00D43575">
        <w:tab/>
        <w:t>–</w:t>
      </w:r>
      <w:r w:rsidRPr="00D43575">
        <w:tab/>
        <w:t>El Estado ha firmado 36 convenios bilaterales y 5 memorandos de entendimiento con los Estados que envían mano de obra, a fin de proporcionar protección jurídica a los trabajadores migrantes antes de ser contratados</w:t>
      </w:r>
      <w:r w:rsidR="00083383" w:rsidRPr="00D43575">
        <w:t>.</w:t>
      </w:r>
    </w:p>
    <w:p w14:paraId="2CFEF3E0" w14:textId="59C633DE" w:rsidR="008D2F10" w:rsidRPr="00D43575" w:rsidRDefault="008D2F10" w:rsidP="008D2F10">
      <w:pPr>
        <w:pStyle w:val="SingleTxt"/>
        <w:tabs>
          <w:tab w:val="right" w:pos="1685"/>
        </w:tabs>
        <w:ind w:left="1742" w:hanging="475"/>
      </w:pPr>
      <w:r w:rsidRPr="00D43575">
        <w:tab/>
        <w:t>–</w:t>
      </w:r>
      <w:r w:rsidRPr="00D43575">
        <w:tab/>
        <w:t>Los empleadores y las empresas tienen la obligación de recurrir a las agencias de empleo que cuentan con la autorización del Gobierno y de coordinarse con los Estados que envían mano de obra para que puedan informar al Estado sobre qué organismos cuentan con la aprobación de dichos Estados y sea posible proporcionarles una lista de agencias aceptadas en el Estado de Qatar, con miras a garantizar unos procedimientos de contratación seguros y correctos</w:t>
      </w:r>
      <w:r w:rsidR="00083383" w:rsidRPr="00D43575">
        <w:t>.</w:t>
      </w:r>
      <w:r w:rsidRPr="00D43575">
        <w:t xml:space="preserve"> Además, se adoptarán medidas jurídicas contra los organismos que incumplan</w:t>
      </w:r>
      <w:r w:rsidR="00083383" w:rsidRPr="00D43575">
        <w:t>.</w:t>
      </w:r>
    </w:p>
    <w:p w14:paraId="4BDEA1E1" w14:textId="1479922E" w:rsidR="008D2F10" w:rsidRPr="00D43575" w:rsidRDefault="004C5040" w:rsidP="00D873EC">
      <w:pPr>
        <w:pStyle w:val="SingleTxt"/>
        <w:keepLines/>
        <w:tabs>
          <w:tab w:val="right" w:pos="1685"/>
        </w:tabs>
        <w:ind w:left="1742" w:hanging="475"/>
      </w:pPr>
      <w:r w:rsidRPr="00D43575">
        <w:lastRenderedPageBreak/>
        <w:tab/>
      </w:r>
      <w:r w:rsidR="008D2F10" w:rsidRPr="00D43575">
        <w:t>–</w:t>
      </w:r>
      <w:r w:rsidR="008D2F10" w:rsidRPr="00D43575">
        <w:tab/>
        <w:t>El Ministerio ha puesto en marcha un proyecto para que VFS Global establezca una conexión electrónica que facilitará las comunicaciones con varios Estados que envían mano de obra</w:t>
      </w:r>
      <w:r w:rsidR="00083383" w:rsidRPr="00D43575">
        <w:t>.</w:t>
      </w:r>
      <w:r w:rsidR="008D2F10" w:rsidRPr="00D43575">
        <w:t xml:space="preserve"> El objetivo es proporcionar mayor protección a los trabajadores antes de ser contratados, endureciendo el control de las prácticas de contratación de dichos Estados que puedan motivar la violación de los derechos de los trabajadores</w:t>
      </w:r>
      <w:r w:rsidR="00083383" w:rsidRPr="00D43575">
        <w:t>.</w:t>
      </w:r>
    </w:p>
    <w:p w14:paraId="36F52159" w14:textId="1BFA1D5F" w:rsidR="008D2F10" w:rsidRPr="00D43575" w:rsidRDefault="008D2F10" w:rsidP="008D2F10">
      <w:pPr>
        <w:pStyle w:val="SingleTxt"/>
        <w:tabs>
          <w:tab w:val="right" w:pos="1685"/>
        </w:tabs>
        <w:ind w:left="1742" w:hanging="475"/>
      </w:pPr>
      <w:r w:rsidRPr="00D43575">
        <w:tab/>
        <w:t>–</w:t>
      </w:r>
      <w:r w:rsidRPr="00D43575">
        <w:tab/>
        <w:t>El Ministerio de Desarrollo Administrativo, Trabajo y Asuntos Sociales supervisa la labor de los agentes de contratación por cuenta de terceros y lleva a cabo inspecciones periódicas sin previo aviso para asegurarse de que los trabajadores migrantes no sean objeto de explotación y que se respeten sus</w:t>
      </w:r>
      <w:r w:rsidR="00083383" w:rsidRPr="00D43575">
        <w:t xml:space="preserve"> </w:t>
      </w:r>
      <w:r w:rsidRPr="00D43575">
        <w:t>derechos</w:t>
      </w:r>
      <w:r w:rsidR="00083383" w:rsidRPr="00D43575">
        <w:t>.</w:t>
      </w:r>
    </w:p>
    <w:p w14:paraId="750D2500" w14:textId="77777777" w:rsidR="008D2F10" w:rsidRPr="00D43575" w:rsidRDefault="008D2F10" w:rsidP="008D2F10">
      <w:pPr>
        <w:pStyle w:val="SingleTxt"/>
        <w:spacing w:after="0" w:line="120" w:lineRule="exact"/>
        <w:rPr>
          <w:sz w:val="10"/>
        </w:rPr>
      </w:pPr>
    </w:p>
    <w:p w14:paraId="145170C1" w14:textId="366A4622" w:rsidR="008D2F10" w:rsidRPr="00D43575" w:rsidRDefault="00CF36A4"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008D2F10" w:rsidRPr="00D43575">
        <w:rPr>
          <w:bCs w:val="0"/>
          <w:szCs w:val="20"/>
        </w:rPr>
        <w:t>II</w:t>
      </w:r>
      <w:r w:rsidR="00083383" w:rsidRPr="00D43575">
        <w:rPr>
          <w:bCs w:val="0"/>
          <w:szCs w:val="20"/>
        </w:rPr>
        <w:t>.</w:t>
      </w:r>
      <w:r w:rsidR="008D2F10" w:rsidRPr="00D43575">
        <w:rPr>
          <w:bCs w:val="0"/>
          <w:szCs w:val="20"/>
        </w:rPr>
        <w:tab/>
        <w:t>En el plano regional</w:t>
      </w:r>
    </w:p>
    <w:p w14:paraId="135F6A6B" w14:textId="77777777" w:rsidR="008D2F10" w:rsidRPr="00D43575" w:rsidRDefault="008D2F10" w:rsidP="008D2F10">
      <w:pPr>
        <w:pStyle w:val="SingleTxt"/>
        <w:spacing w:after="0" w:line="120" w:lineRule="exact"/>
        <w:rPr>
          <w:sz w:val="10"/>
        </w:rPr>
      </w:pPr>
    </w:p>
    <w:p w14:paraId="007714DB" w14:textId="77777777" w:rsidR="00083383" w:rsidRPr="00D43575" w:rsidRDefault="008D2F10" w:rsidP="001D1AD0">
      <w:pPr>
        <w:pStyle w:val="SingleTxt"/>
        <w:numPr>
          <w:ilvl w:val="0"/>
          <w:numId w:val="10"/>
        </w:numPr>
        <w:ind w:left="1267" w:firstLine="0"/>
      </w:pPr>
      <w:r w:rsidRPr="00D43575">
        <w:t>El Estado ha adoptado las siguientes medidas legislativas para luchar contra la trata de personas en el plano regional:</w:t>
      </w:r>
    </w:p>
    <w:p w14:paraId="748D9A49" w14:textId="0295D5A2" w:rsidR="008D2F10" w:rsidRPr="00D43575" w:rsidRDefault="008D2F10" w:rsidP="008D2F10">
      <w:pPr>
        <w:pStyle w:val="SingleTxt"/>
        <w:tabs>
          <w:tab w:val="right" w:pos="1685"/>
        </w:tabs>
        <w:ind w:left="1742" w:hanging="475"/>
      </w:pPr>
      <w:r w:rsidRPr="00D43575">
        <w:tab/>
        <w:t>–</w:t>
      </w:r>
      <w:r w:rsidRPr="00D43575">
        <w:tab/>
        <w:t>Ha cooperado con los representantes de la oficina regional de la UNODC en Doha para estudiar cómo seguir desarrollando el papel desempeñado a escala regional por el Estado de Qatar en la lucha contra la trata de personas</w:t>
      </w:r>
      <w:r w:rsidR="00083383" w:rsidRPr="00D43575">
        <w:t>.</w:t>
      </w:r>
    </w:p>
    <w:p w14:paraId="7764EA23" w14:textId="1E49E576" w:rsidR="008D2F10" w:rsidRPr="00D43575" w:rsidRDefault="008D2F10" w:rsidP="008D2F10">
      <w:pPr>
        <w:pStyle w:val="SingleTxt"/>
        <w:tabs>
          <w:tab w:val="right" w:pos="1685"/>
        </w:tabs>
        <w:ind w:left="1742" w:hanging="475"/>
      </w:pPr>
      <w:r w:rsidRPr="00D43575">
        <w:tab/>
        <w:t>–</w:t>
      </w:r>
      <w:r w:rsidRPr="00D43575">
        <w:tab/>
        <w:t>El Estado de Qatar ha aprobado y apoyado la iniciativa árabe para mejorar las capacidades nacionales de lucha contra la trata de personas, que se ha puesto en marcha en un marco de colaboración integrado por el Estado de Qatar, la</w:t>
      </w:r>
      <w:r w:rsidR="00083383" w:rsidRPr="00D43575">
        <w:t xml:space="preserve"> </w:t>
      </w:r>
      <w:r w:rsidRPr="00D43575">
        <w:t>UNODC y la Liga de los Estados Árabes</w:t>
      </w:r>
      <w:r w:rsidR="00083383" w:rsidRPr="00D43575">
        <w:t>.</w:t>
      </w:r>
      <w:r w:rsidRPr="00D43575">
        <w:t xml:space="preserve"> La iniciativa busca desarrollar el marco árabe para la lucha contra este fenómeno y crear y desarrollar las capacidades de los países árabes para combatirlo</w:t>
      </w:r>
      <w:r w:rsidR="00083383" w:rsidRPr="00D43575">
        <w:t>.</w:t>
      </w:r>
    </w:p>
    <w:p w14:paraId="75773839" w14:textId="77777777" w:rsidR="008D2F10" w:rsidRPr="00D43575" w:rsidRDefault="008D2F10" w:rsidP="008D2F10">
      <w:pPr>
        <w:pStyle w:val="SingleTxt"/>
        <w:spacing w:after="0" w:line="120" w:lineRule="exact"/>
        <w:rPr>
          <w:sz w:val="10"/>
        </w:rPr>
      </w:pPr>
    </w:p>
    <w:p w14:paraId="79B4D81E" w14:textId="2C51BFC6" w:rsidR="008D2F10" w:rsidRPr="00D43575" w:rsidRDefault="00CF36A4"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008D2F10" w:rsidRPr="00D43575">
        <w:rPr>
          <w:bCs w:val="0"/>
          <w:szCs w:val="20"/>
        </w:rPr>
        <w:t>III</w:t>
      </w:r>
      <w:r w:rsidR="00083383" w:rsidRPr="00D43575">
        <w:rPr>
          <w:bCs w:val="0"/>
          <w:szCs w:val="20"/>
        </w:rPr>
        <w:t>.</w:t>
      </w:r>
      <w:r w:rsidR="008D2F10" w:rsidRPr="00D43575">
        <w:rPr>
          <w:bCs w:val="0"/>
          <w:szCs w:val="20"/>
        </w:rPr>
        <w:tab/>
        <w:t>En el plano internacional</w:t>
      </w:r>
    </w:p>
    <w:p w14:paraId="29D3E904" w14:textId="77777777" w:rsidR="008D2F10" w:rsidRPr="00D43575" w:rsidRDefault="008D2F10" w:rsidP="008D2F10">
      <w:pPr>
        <w:pStyle w:val="SingleTxt"/>
        <w:spacing w:after="0" w:line="120" w:lineRule="exact"/>
        <w:rPr>
          <w:sz w:val="10"/>
        </w:rPr>
      </w:pPr>
    </w:p>
    <w:p w14:paraId="419F0A81" w14:textId="77777777" w:rsidR="008D2F10" w:rsidRPr="00D43575" w:rsidRDefault="008D2F10" w:rsidP="001D1AD0">
      <w:pPr>
        <w:pStyle w:val="SingleTxt"/>
        <w:numPr>
          <w:ilvl w:val="0"/>
          <w:numId w:val="10"/>
        </w:numPr>
        <w:ind w:left="1267" w:firstLine="0"/>
      </w:pPr>
      <w:r w:rsidRPr="00D43575">
        <w:t>El Estado ha adoptado las siguientes medidas legislativas para luchar contra la trata de personas en el plano regional:</w:t>
      </w:r>
    </w:p>
    <w:p w14:paraId="0D62DEB8" w14:textId="70CBDC64" w:rsidR="008D2F10" w:rsidRPr="00D43575" w:rsidRDefault="00B61F66" w:rsidP="00B61F66">
      <w:pPr>
        <w:pStyle w:val="SingleTxt"/>
        <w:tabs>
          <w:tab w:val="right" w:pos="1685"/>
        </w:tabs>
        <w:ind w:left="1742" w:hanging="475"/>
      </w:pPr>
      <w:r w:rsidRPr="00D43575">
        <w:tab/>
        <w:t>•</w:t>
      </w:r>
      <w:r w:rsidRPr="00D43575">
        <w:tab/>
      </w:r>
      <w:r w:rsidR="008D2F10" w:rsidRPr="00D43575">
        <w:t>En diciembre de 2017, en coordinación con la Organización Internacional de Policía Criminal (INTERPOL), la Comisión Nacional contra la Trata de Personas organizó en Doha la Conferencia Anual sobre la Trata de Personas y el Tráfico de Migrantes</w:t>
      </w:r>
      <w:r w:rsidR="00083383" w:rsidRPr="00D43575">
        <w:t>.</w:t>
      </w:r>
    </w:p>
    <w:p w14:paraId="2506E2E1" w14:textId="50184937" w:rsidR="008D2F10" w:rsidRPr="00D43575" w:rsidRDefault="00B61F66" w:rsidP="00B61F66">
      <w:pPr>
        <w:pStyle w:val="SingleTxt"/>
        <w:tabs>
          <w:tab w:val="right" w:pos="1685"/>
        </w:tabs>
        <w:ind w:left="1742" w:hanging="475"/>
      </w:pPr>
      <w:r w:rsidRPr="00D43575">
        <w:tab/>
        <w:t>•</w:t>
      </w:r>
      <w:r w:rsidRPr="00D43575">
        <w:tab/>
      </w:r>
      <w:r w:rsidR="008D2F10" w:rsidRPr="00D43575">
        <w:t>Los Representantes Permanentes de Qatar y Grecia fueron nombrados cofacilitadores para la reunión de alto nivel del septuagésimo segundo período de sesiones de la Asamblea General sobre la evaluación del Plan de Acción Mundial de las Naciones Unidas para Combatir la Trata de Personas, a fin de coordinar los esfuerzos en esta dirección</w:t>
      </w:r>
      <w:r w:rsidR="00083383" w:rsidRPr="00D43575">
        <w:t>.</w:t>
      </w:r>
      <w:r w:rsidR="008D2F10" w:rsidRPr="00D43575">
        <w:t xml:space="preserve"> En esta reunión, participó una delegación de la Comisión Nacional contra la Trata de Personas, que estuvo encabezada por Su Excelencia el Ministro de Desarrollo Administrativo, Trabajo y Asuntos Sociales, desde la Presidencia de dicha Comisión</w:t>
      </w:r>
      <w:r w:rsidR="00083383" w:rsidRPr="00D43575">
        <w:t>.</w:t>
      </w:r>
    </w:p>
    <w:p w14:paraId="143AA7C2" w14:textId="71EC6C81" w:rsidR="008D2F10" w:rsidRPr="00D43575" w:rsidRDefault="00B61F66" w:rsidP="00B61F66">
      <w:pPr>
        <w:pStyle w:val="SingleTxt"/>
        <w:tabs>
          <w:tab w:val="right" w:pos="1685"/>
        </w:tabs>
        <w:ind w:left="1742" w:hanging="475"/>
      </w:pPr>
      <w:r w:rsidRPr="00D43575">
        <w:tab/>
        <w:t>•</w:t>
      </w:r>
      <w:r w:rsidRPr="00D43575">
        <w:tab/>
      </w:r>
      <w:r w:rsidR="008D2F10" w:rsidRPr="00D43575">
        <w:t>El Gobierno del Estado de Qatar ha contribuido al Fondo Fiduciario de Contribuciones Voluntarias de las Naciones Unidas para las víctimas de la trata</w:t>
      </w:r>
      <w:r w:rsidR="00083383" w:rsidRPr="00D43575">
        <w:t xml:space="preserve"> </w:t>
      </w:r>
      <w:r w:rsidR="008D2F10" w:rsidRPr="00D43575">
        <w:t>de personas</w:t>
      </w:r>
      <w:r w:rsidR="00083383" w:rsidRPr="00D43575">
        <w:t>.</w:t>
      </w:r>
      <w:r w:rsidR="008D2F10" w:rsidRPr="00D43575">
        <w:t xml:space="preserve"> En 2015, 2016 y 2017, la cuantía aportada fue de 400</w:t>
      </w:r>
      <w:r w:rsidR="00083383" w:rsidRPr="00D43575">
        <w:t>.</w:t>
      </w:r>
      <w:r w:rsidR="008D2F10" w:rsidRPr="00D43575">
        <w:t>000</w:t>
      </w:r>
      <w:r w:rsidR="00083383" w:rsidRPr="00D43575">
        <w:t xml:space="preserve"> </w:t>
      </w:r>
      <w:r w:rsidR="008D2F10" w:rsidRPr="00D43575">
        <w:t>dólares</w:t>
      </w:r>
      <w:r w:rsidR="00083383" w:rsidRPr="00D43575">
        <w:t>.</w:t>
      </w:r>
    </w:p>
    <w:p w14:paraId="29428509" w14:textId="15193AB7" w:rsidR="008D2F10" w:rsidRPr="00D43575" w:rsidRDefault="00B61F66" w:rsidP="00B61F66">
      <w:pPr>
        <w:pStyle w:val="SingleTxt"/>
        <w:tabs>
          <w:tab w:val="right" w:pos="1685"/>
        </w:tabs>
        <w:ind w:left="1742" w:hanging="475"/>
      </w:pPr>
      <w:r w:rsidRPr="00D43575">
        <w:tab/>
        <w:t>•</w:t>
      </w:r>
      <w:r w:rsidRPr="00D43575">
        <w:tab/>
      </w:r>
      <w:r w:rsidR="008D2F10" w:rsidRPr="00D43575">
        <w:t>Del 8 al 12 de mayo de 2016, en coordinación con INTERPOL, el Ministerio del Interior organizó un taller de capacitación dirigido a agentes de policía</w:t>
      </w:r>
      <w:r w:rsidR="00083383" w:rsidRPr="00D43575">
        <w:t>.</w:t>
      </w:r>
      <w:r w:rsidR="008D2F10" w:rsidRPr="00D43575">
        <w:t xml:space="preserve"> El taller fue dirigido por el Departamento de Lucha contra la Trata de Personas de INTERPOL, con miras a desarrollar la capacidad de los participantes en lo referente a los marcos jurídicos internacionales para la lucha contra este fenómeno y los métodos para identificar a las víctimas</w:t>
      </w:r>
      <w:r w:rsidR="00083383" w:rsidRPr="00D43575">
        <w:t>.</w:t>
      </w:r>
    </w:p>
    <w:p w14:paraId="77F66FA6" w14:textId="3CC90E08" w:rsidR="008D2F10" w:rsidRPr="00D43575" w:rsidRDefault="00B61F66" w:rsidP="00B61F66">
      <w:pPr>
        <w:pStyle w:val="SingleTxt"/>
        <w:tabs>
          <w:tab w:val="right" w:pos="1685"/>
        </w:tabs>
        <w:ind w:left="1742" w:hanging="475"/>
      </w:pPr>
      <w:r w:rsidRPr="00D43575">
        <w:lastRenderedPageBreak/>
        <w:tab/>
        <w:t>•</w:t>
      </w:r>
      <w:r w:rsidRPr="00D43575">
        <w:tab/>
      </w:r>
      <w:r w:rsidR="008D2F10" w:rsidRPr="00D43575">
        <w:t>Del 12 al 19 de abril de 2015, el Estado de Qatar acogió el 13º Congreso de las Naciones Unidas sobre Prevención del Delito y Justicia Penal</w:t>
      </w:r>
      <w:r w:rsidR="00083383" w:rsidRPr="00D43575">
        <w:t>.</w:t>
      </w:r>
      <w:r w:rsidR="008D2F10" w:rsidRPr="00D43575">
        <w:t xml:space="preserve"> La Declaración de Doha formulada tras ese congreso destacó la necesidad de promover y fortalecer la cooperación internacional y regional, y adoptar medidas apropiadas para prevenir y combatir este delito</w:t>
      </w:r>
      <w:r w:rsidR="00083383" w:rsidRPr="00D43575">
        <w:t>.</w:t>
      </w:r>
    </w:p>
    <w:p w14:paraId="44263B26" w14:textId="1F6634C3" w:rsidR="008D2F10" w:rsidRPr="00D43575" w:rsidRDefault="00B61F66" w:rsidP="007D01A5">
      <w:pPr>
        <w:pStyle w:val="SingleTxt"/>
        <w:tabs>
          <w:tab w:val="right" w:pos="1685"/>
        </w:tabs>
        <w:ind w:left="1742" w:hanging="475"/>
      </w:pPr>
      <w:r w:rsidRPr="00D43575">
        <w:tab/>
        <w:t>•</w:t>
      </w:r>
      <w:r w:rsidRPr="00D43575">
        <w:tab/>
      </w:r>
      <w:r w:rsidR="008D2F10" w:rsidRPr="00D43575">
        <w:t>La Comisión Nacional contra la Trata de Personas participó en</w:t>
      </w:r>
      <w:r w:rsidR="00170894" w:rsidRPr="00D43575">
        <w:t xml:space="preserve"> la Conferencia de los Estados </w:t>
      </w:r>
      <w:r w:rsidR="007D01A5" w:rsidRPr="00D43575">
        <w:t>p</w:t>
      </w:r>
      <w:r w:rsidR="008D2F10" w:rsidRPr="00D43575">
        <w:t>artes en la Convención de las Naciones Unidas contra la Delincuencia Organizada Transnacional</w:t>
      </w:r>
      <w:r w:rsidR="00083383" w:rsidRPr="00D43575">
        <w:t>.</w:t>
      </w:r>
    </w:p>
    <w:p w14:paraId="09B806C9" w14:textId="1A40A220" w:rsidR="008D2F10" w:rsidRPr="00D43575" w:rsidRDefault="00B61F66" w:rsidP="00D873EC">
      <w:pPr>
        <w:pStyle w:val="SingleTxt"/>
        <w:tabs>
          <w:tab w:val="right" w:pos="1685"/>
        </w:tabs>
        <w:ind w:left="1742" w:hanging="475"/>
      </w:pPr>
      <w:r w:rsidRPr="00D43575">
        <w:tab/>
        <w:t>•</w:t>
      </w:r>
      <w:r w:rsidRPr="00D43575">
        <w:tab/>
      </w:r>
      <w:r w:rsidR="008D2F10" w:rsidRPr="00D43575">
        <w:t>El Departamento de Enlace con la Policía Árabe e Internacional del Ministerio del Interior se encarga de fortalecer la cooperación regional e internacional en materia de seguridad para hacer frente a los delitos de trata de personas, así como a otros tipos de delincuencia transnacional</w:t>
      </w:r>
      <w:r w:rsidR="00083383" w:rsidRPr="00D43575">
        <w:t>.</w:t>
      </w:r>
    </w:p>
    <w:p w14:paraId="73E908A9" w14:textId="735CCC47" w:rsidR="008D2F10" w:rsidRPr="00D43575" w:rsidRDefault="00B61F66" w:rsidP="00B61F66">
      <w:pPr>
        <w:pStyle w:val="SingleTxt"/>
        <w:tabs>
          <w:tab w:val="right" w:pos="1685"/>
        </w:tabs>
        <w:ind w:left="1742" w:hanging="475"/>
      </w:pPr>
      <w:r w:rsidRPr="00D43575">
        <w:tab/>
        <w:t>•</w:t>
      </w:r>
      <w:r w:rsidRPr="00D43575">
        <w:tab/>
      </w:r>
      <w:r w:rsidR="008D2F10" w:rsidRPr="00D43575">
        <w:t xml:space="preserve">En colaboración con el Consejo Supremo de Tecnología de la Información y las Comunicaciones, el Ministerio del Interior y las organizaciones internacionales competentes, como INTERPOL, impartieron un taller titulado </w:t>
      </w:r>
      <w:r w:rsidR="00F652D5" w:rsidRPr="00D43575">
        <w:t>“</w:t>
      </w:r>
      <w:r w:rsidR="008D2F10" w:rsidRPr="00D43575">
        <w:t>Los crímenes informáticos de trata de personas</w:t>
      </w:r>
      <w:r w:rsidR="00F652D5" w:rsidRPr="00D43575">
        <w:t>”</w:t>
      </w:r>
      <w:r w:rsidR="00083383" w:rsidRPr="00D43575">
        <w:t>.</w:t>
      </w:r>
      <w:r w:rsidR="008D2F10" w:rsidRPr="00D43575">
        <w:t xml:space="preserve"> El objetivo del taller fue despertar la conciencia acerca de los peligros de los delitos de trata de personas a través de Internet y compartir las mejores prácticas internacionales de lucha contra la ciberdelincuencia relacionada con la trata</w:t>
      </w:r>
      <w:r w:rsidR="00083383" w:rsidRPr="00D43575">
        <w:t>.</w:t>
      </w:r>
      <w:r w:rsidR="008D2F10" w:rsidRPr="00D43575">
        <w:t xml:space="preserve"> También contribuyó al desarrollo de las capacidades prácticas para vigilar la ciberdelincuencia y utilizar las tecnologías más punteras</w:t>
      </w:r>
      <w:r w:rsidR="00083383" w:rsidRPr="00D43575">
        <w:t>.</w:t>
      </w:r>
    </w:p>
    <w:p w14:paraId="4DFE2BB6" w14:textId="77777777" w:rsidR="008D2F10" w:rsidRPr="00D43575" w:rsidRDefault="008D2F10" w:rsidP="008D2F10">
      <w:pPr>
        <w:pStyle w:val="SingleTxt"/>
        <w:spacing w:after="0" w:line="120" w:lineRule="exact"/>
        <w:rPr>
          <w:sz w:val="10"/>
        </w:rPr>
      </w:pPr>
    </w:p>
    <w:p w14:paraId="2ADFC9BF"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Artículo 7: Vida política</w:t>
      </w:r>
    </w:p>
    <w:p w14:paraId="664B7C0D" w14:textId="77777777" w:rsidR="008D2F10" w:rsidRPr="00D43575" w:rsidRDefault="008D2F10" w:rsidP="008D2F10">
      <w:pPr>
        <w:pStyle w:val="SingleTxt"/>
        <w:spacing w:after="0" w:line="120" w:lineRule="exact"/>
        <w:rPr>
          <w:sz w:val="10"/>
        </w:rPr>
      </w:pPr>
    </w:p>
    <w:p w14:paraId="78E2EC7D" w14:textId="6CC9FCFD" w:rsidR="008D2F10" w:rsidRPr="00D43575" w:rsidRDefault="008D2F10" w:rsidP="001D1AD0">
      <w:pPr>
        <w:pStyle w:val="SingleTxt"/>
        <w:numPr>
          <w:ilvl w:val="0"/>
          <w:numId w:val="10"/>
        </w:numPr>
        <w:ind w:left="1267" w:firstLine="0"/>
      </w:pPr>
      <w:r w:rsidRPr="00D43575">
        <w:t>La Constitución de Qatar consagra el derecho de voto</w:t>
      </w:r>
      <w:r w:rsidR="00083383" w:rsidRPr="00D43575">
        <w:t>.</w:t>
      </w:r>
      <w:r w:rsidRPr="00D43575">
        <w:t xml:space="preserve"> El artículo 42 dispone que </w:t>
      </w:r>
      <w:r w:rsidR="00F652D5" w:rsidRPr="00D43575">
        <w:t>“</w:t>
      </w:r>
      <w:r w:rsidRPr="00D43575">
        <w:t>el Estado garantiza a todos los ciudadanos el derecho de voto y el derecho a presentarse a elecciones de conformidad con lo dispuesto en la legislación</w:t>
      </w:r>
      <w:r w:rsidR="00F652D5" w:rsidRPr="00D43575">
        <w:t>”</w:t>
      </w:r>
      <w:r w:rsidR="00083383" w:rsidRPr="00D43575">
        <w:t>.</w:t>
      </w:r>
      <w:r w:rsidRPr="00D43575">
        <w:t xml:space="preserve"> El Decreto núm</w:t>
      </w:r>
      <w:r w:rsidR="00083383" w:rsidRPr="00D43575">
        <w:t>.</w:t>
      </w:r>
      <w:r w:rsidRPr="00D43575">
        <w:t xml:space="preserve"> 38/2003 instó a los ciudadanos y ciudadanas qataríes a que participaran en el referendo sobre la Constitución y se involucraran en la redacción de su articulado</w:t>
      </w:r>
      <w:r w:rsidR="00083383" w:rsidRPr="00D43575">
        <w:t>.</w:t>
      </w:r>
    </w:p>
    <w:p w14:paraId="34977B96" w14:textId="623EC4DC" w:rsidR="00E913A8" w:rsidRPr="00D43575" w:rsidRDefault="00A825FD" w:rsidP="0094105A">
      <w:pPr>
        <w:pStyle w:val="SingleTxt"/>
        <w:numPr>
          <w:ilvl w:val="0"/>
          <w:numId w:val="10"/>
        </w:numPr>
        <w:ind w:left="1267" w:firstLine="0"/>
        <w:rPr>
          <w:rFonts w:asciiTheme="majorBidi" w:hAnsiTheme="majorBidi" w:cstheme="majorBidi"/>
        </w:rPr>
      </w:pPr>
      <w:r w:rsidRPr="00D43575">
        <w:t xml:space="preserve">El Estado </w:t>
      </w:r>
      <w:r w:rsidRPr="00D43575">
        <w:rPr>
          <w:rFonts w:asciiTheme="majorBidi" w:hAnsiTheme="majorBidi" w:cstheme="majorBidi"/>
        </w:rPr>
        <w:t>de Qatar presta apoyo a las mujeres para que ocupen cargos directivos y participen en la administración pública del Estado</w:t>
      </w:r>
      <w:r w:rsidR="00083383" w:rsidRPr="00D43575">
        <w:rPr>
          <w:rFonts w:asciiTheme="majorBidi" w:hAnsiTheme="majorBidi" w:cstheme="majorBidi"/>
        </w:rPr>
        <w:t>.</w:t>
      </w:r>
      <w:r w:rsidRPr="00D43575">
        <w:rPr>
          <w:rFonts w:asciiTheme="majorBidi" w:hAnsiTheme="majorBidi" w:cstheme="majorBidi"/>
        </w:rPr>
        <w:t xml:space="preserve"> Esto incluye el ejercicio de derechos políticos tales como el derecho de voto y el derecho a presentarse a las elecciones de los consejos municipales de conformidad con las normas internacionales</w:t>
      </w:r>
      <w:r w:rsidR="00083383" w:rsidRPr="00D43575">
        <w:rPr>
          <w:rFonts w:asciiTheme="majorBidi" w:hAnsiTheme="majorBidi" w:cstheme="majorBidi"/>
        </w:rPr>
        <w:t>.</w:t>
      </w:r>
      <w:r w:rsidRPr="00D43575">
        <w:rPr>
          <w:rFonts w:asciiTheme="majorBidi" w:hAnsiTheme="majorBidi" w:cstheme="majorBidi"/>
        </w:rPr>
        <w:t xml:space="preserve"> El Decreto núm</w:t>
      </w:r>
      <w:r w:rsidR="00083383" w:rsidRPr="00D43575">
        <w:rPr>
          <w:rFonts w:asciiTheme="majorBidi" w:hAnsiTheme="majorBidi" w:cstheme="majorBidi"/>
        </w:rPr>
        <w:t>.</w:t>
      </w:r>
      <w:r w:rsidRPr="00D43575">
        <w:rPr>
          <w:rFonts w:asciiTheme="majorBidi" w:hAnsiTheme="majorBidi" w:cstheme="majorBidi"/>
        </w:rPr>
        <w:t xml:space="preserve"> 17 de 1998 relativo al sistema de elección de los miembros de los consejos municipales garantiza la plena igualdad entre el hombre y </w:t>
      </w:r>
      <w:r w:rsidR="00E913A8" w:rsidRPr="00D43575">
        <w:rPr>
          <w:rFonts w:asciiTheme="majorBidi" w:hAnsiTheme="majorBidi" w:cstheme="majorBidi"/>
        </w:rPr>
        <w:t>la mujer</w:t>
      </w:r>
      <w:r w:rsidRPr="00D43575">
        <w:rPr>
          <w:rFonts w:asciiTheme="majorBidi" w:hAnsiTheme="majorBidi" w:cstheme="majorBidi"/>
        </w:rPr>
        <w:t xml:space="preserve"> en lo que respecta al derecho a votar y a presentarse a las elecciones de los consejos municipales</w:t>
      </w:r>
      <w:r w:rsidR="00083383" w:rsidRPr="00D43575">
        <w:rPr>
          <w:rFonts w:asciiTheme="majorBidi" w:hAnsiTheme="majorBidi" w:cstheme="majorBidi"/>
        </w:rPr>
        <w:t>.</w:t>
      </w:r>
      <w:r w:rsidRPr="00D43575">
        <w:rPr>
          <w:rFonts w:asciiTheme="majorBidi" w:hAnsiTheme="majorBidi" w:cstheme="majorBidi"/>
        </w:rPr>
        <w:t xml:space="preserve"> Aproximadamente el 69,8% de los electores registrados participaron en las quintas elecciones </w:t>
      </w:r>
      <w:r w:rsidR="004A23EF" w:rsidRPr="00D43575">
        <w:rPr>
          <w:rFonts w:asciiTheme="majorBidi" w:hAnsiTheme="majorBidi" w:cstheme="majorBidi"/>
        </w:rPr>
        <w:t>de</w:t>
      </w:r>
      <w:r w:rsidRPr="00D43575">
        <w:rPr>
          <w:rFonts w:asciiTheme="majorBidi" w:hAnsiTheme="majorBidi" w:cstheme="majorBidi"/>
        </w:rPr>
        <w:t>l Consejo Municipal Central, celebradas en 2015</w:t>
      </w:r>
      <w:r w:rsidR="00083383" w:rsidRPr="00D43575">
        <w:rPr>
          <w:rFonts w:asciiTheme="majorBidi" w:hAnsiTheme="majorBidi" w:cstheme="majorBidi"/>
        </w:rPr>
        <w:t>.</w:t>
      </w:r>
      <w:r w:rsidRPr="00D43575">
        <w:rPr>
          <w:rFonts w:asciiTheme="majorBidi" w:hAnsiTheme="majorBidi" w:cstheme="majorBidi"/>
        </w:rPr>
        <w:t xml:space="preserve"> El Ministerio del Interior se compromete a alentar a los ciudadanos de ambos sexos a que participen en el proceso electoral a través de la promoción en diversos medios tradicionales y sociales</w:t>
      </w:r>
      <w:r w:rsidR="00083383" w:rsidRPr="00D43575">
        <w:rPr>
          <w:rFonts w:asciiTheme="majorBidi" w:hAnsiTheme="majorBidi" w:cstheme="majorBidi"/>
        </w:rPr>
        <w:t>.</w:t>
      </w:r>
      <w:r w:rsidRPr="00D43575">
        <w:rPr>
          <w:rFonts w:asciiTheme="majorBidi" w:hAnsiTheme="majorBidi" w:cstheme="majorBidi"/>
        </w:rPr>
        <w:t xml:space="preserve"> La tasa de participación de las mujeres fue del 47%</w:t>
      </w:r>
      <w:r w:rsidR="00083383" w:rsidRPr="00D43575">
        <w:rPr>
          <w:rFonts w:asciiTheme="majorBidi" w:hAnsiTheme="majorBidi" w:cstheme="majorBidi"/>
        </w:rPr>
        <w:t>.</w:t>
      </w:r>
      <w:r w:rsidRPr="00D43575">
        <w:rPr>
          <w:rFonts w:asciiTheme="majorBidi" w:hAnsiTheme="majorBidi" w:cstheme="majorBidi"/>
        </w:rPr>
        <w:t xml:space="preserve"> Las mujeres emitieron 6</w:t>
      </w:r>
      <w:r w:rsidR="00083383" w:rsidRPr="00D43575">
        <w:rPr>
          <w:rFonts w:asciiTheme="majorBidi" w:hAnsiTheme="majorBidi" w:cstheme="majorBidi"/>
        </w:rPr>
        <w:t>.</w:t>
      </w:r>
      <w:r w:rsidRPr="00D43575">
        <w:rPr>
          <w:rFonts w:asciiTheme="majorBidi" w:hAnsiTheme="majorBidi" w:cstheme="majorBidi"/>
        </w:rPr>
        <w:t>826 votos, de un total de 14</w:t>
      </w:r>
      <w:r w:rsidR="00083383" w:rsidRPr="00D43575">
        <w:rPr>
          <w:rFonts w:asciiTheme="majorBidi" w:hAnsiTheme="majorBidi" w:cstheme="majorBidi"/>
        </w:rPr>
        <w:t>.</w:t>
      </w:r>
      <w:r w:rsidRPr="00D43575">
        <w:rPr>
          <w:rFonts w:asciiTheme="majorBidi" w:hAnsiTheme="majorBidi" w:cstheme="majorBidi"/>
        </w:rPr>
        <w:t>670</w:t>
      </w:r>
      <w:r w:rsidR="00083383" w:rsidRPr="00D43575">
        <w:rPr>
          <w:rFonts w:asciiTheme="majorBidi" w:hAnsiTheme="majorBidi" w:cstheme="majorBidi"/>
        </w:rPr>
        <w:t>.</w:t>
      </w:r>
      <w:r w:rsidRPr="00D43575">
        <w:rPr>
          <w:rFonts w:asciiTheme="majorBidi" w:hAnsiTheme="majorBidi" w:cstheme="majorBidi"/>
        </w:rPr>
        <w:t xml:space="preserve"> Las mujeres también participaron como candidatas al Consejo Municipal Central</w:t>
      </w:r>
      <w:r w:rsidR="00083383" w:rsidRPr="00D43575">
        <w:rPr>
          <w:rFonts w:asciiTheme="majorBidi" w:hAnsiTheme="majorBidi" w:cstheme="majorBidi"/>
        </w:rPr>
        <w:t>.</w:t>
      </w:r>
      <w:r w:rsidRPr="00D43575">
        <w:rPr>
          <w:rFonts w:asciiTheme="majorBidi" w:hAnsiTheme="majorBidi" w:cstheme="majorBidi"/>
        </w:rPr>
        <w:t xml:space="preserve"> Dos mujeres fueron elegidas como miembros del Consejo en 2015</w:t>
      </w:r>
      <w:r w:rsidR="00083383" w:rsidRPr="00D43575">
        <w:rPr>
          <w:rFonts w:asciiTheme="majorBidi" w:hAnsiTheme="majorBidi" w:cstheme="majorBidi"/>
        </w:rPr>
        <w:t>.</w:t>
      </w:r>
      <w:r w:rsidRPr="00D43575">
        <w:rPr>
          <w:rFonts w:asciiTheme="majorBidi" w:hAnsiTheme="majorBidi" w:cstheme="majorBidi"/>
        </w:rPr>
        <w:t xml:space="preserve"> En el cuadro 3 se muestra la participación política en las elecciones </w:t>
      </w:r>
      <w:r w:rsidR="004A23EF" w:rsidRPr="00D43575">
        <w:rPr>
          <w:rFonts w:asciiTheme="majorBidi" w:hAnsiTheme="majorBidi" w:cstheme="majorBidi"/>
        </w:rPr>
        <w:t>de</w:t>
      </w:r>
      <w:r w:rsidRPr="00D43575">
        <w:rPr>
          <w:rFonts w:asciiTheme="majorBidi" w:hAnsiTheme="majorBidi" w:cstheme="majorBidi"/>
        </w:rPr>
        <w:t>l Consejo Municipal Central, desglosada por sexo, en los tres últimos procesos electorales</w:t>
      </w:r>
      <w:r w:rsidR="00083383" w:rsidRPr="00D43575">
        <w:rPr>
          <w:rFonts w:asciiTheme="majorBidi" w:hAnsiTheme="majorBidi" w:cstheme="majorBidi"/>
        </w:rPr>
        <w:t>.</w:t>
      </w:r>
    </w:p>
    <w:p w14:paraId="326CECDB" w14:textId="77777777" w:rsidR="00E913A8" w:rsidRPr="00D43575" w:rsidRDefault="00E913A8">
      <w:pPr>
        <w:suppressAutoHyphens w:val="0"/>
        <w:spacing w:line="240" w:lineRule="auto"/>
        <w:rPr>
          <w:rFonts w:asciiTheme="majorBidi" w:hAnsiTheme="majorBidi" w:cstheme="majorBidi"/>
          <w:kern w:val="14"/>
          <w:szCs w:val="20"/>
        </w:rPr>
      </w:pPr>
      <w:r w:rsidRPr="00D43575">
        <w:rPr>
          <w:rFonts w:asciiTheme="majorBidi" w:hAnsiTheme="majorBidi" w:cstheme="majorBidi"/>
          <w:szCs w:val="20"/>
        </w:rPr>
        <w:br w:type="page"/>
      </w:r>
    </w:p>
    <w:p w14:paraId="17C74C5A" w14:textId="4C3AB5F3"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lastRenderedPageBreak/>
        <w:tab/>
      </w:r>
      <w:r w:rsidRPr="00D43575">
        <w:rPr>
          <w:bCs w:val="0"/>
          <w:szCs w:val="20"/>
        </w:rPr>
        <w:tab/>
      </w:r>
      <w:r w:rsidRPr="00D43575">
        <w:rPr>
          <w:b w:val="0"/>
          <w:bCs w:val="0"/>
          <w:szCs w:val="20"/>
        </w:rPr>
        <w:t>Cu</w:t>
      </w:r>
      <w:r w:rsidR="00203B27">
        <w:rPr>
          <w:b w:val="0"/>
          <w:bCs w:val="0"/>
          <w:szCs w:val="20"/>
        </w:rPr>
        <w:t>adro 3</w:t>
      </w:r>
      <w:r w:rsidR="00CF36A4" w:rsidRPr="00D43575">
        <w:rPr>
          <w:b w:val="0"/>
          <w:bCs w:val="0"/>
          <w:szCs w:val="20"/>
        </w:rPr>
        <w:t xml:space="preserve"> </w:t>
      </w:r>
      <w:r w:rsidR="00CF36A4" w:rsidRPr="00D43575">
        <w:rPr>
          <w:b w:val="0"/>
          <w:bCs w:val="0"/>
          <w:szCs w:val="20"/>
        </w:rPr>
        <w:br/>
      </w:r>
      <w:r w:rsidRPr="00D43575">
        <w:rPr>
          <w:bCs w:val="0"/>
          <w:szCs w:val="20"/>
        </w:rPr>
        <w:t>Participación política, desglosada por sexo, en los procesos electorales para la</w:t>
      </w:r>
      <w:r w:rsidR="00083383" w:rsidRPr="00D43575">
        <w:rPr>
          <w:bCs w:val="0"/>
          <w:szCs w:val="20"/>
        </w:rPr>
        <w:t xml:space="preserve"> </w:t>
      </w:r>
      <w:r w:rsidRPr="00D43575">
        <w:rPr>
          <w:bCs w:val="0"/>
          <w:szCs w:val="20"/>
        </w:rPr>
        <w:t>elección del Consejo Municipal Central (2007</w:t>
      </w:r>
      <w:r w:rsidR="00083383" w:rsidRPr="00D43575">
        <w:rPr>
          <w:bCs w:val="0"/>
          <w:szCs w:val="20"/>
        </w:rPr>
        <w:noBreakHyphen/>
      </w:r>
      <w:r w:rsidRPr="00D43575">
        <w:rPr>
          <w:bCs w:val="0"/>
          <w:szCs w:val="20"/>
        </w:rPr>
        <w:t>2015)</w:t>
      </w:r>
    </w:p>
    <w:p w14:paraId="53C8D46A" w14:textId="77777777" w:rsidR="008D2F10" w:rsidRPr="00D43575" w:rsidRDefault="008D2F10" w:rsidP="008D2F10">
      <w:pPr>
        <w:pStyle w:val="SingleTxt"/>
        <w:spacing w:after="0" w:line="120" w:lineRule="exact"/>
        <w:rPr>
          <w:sz w:val="10"/>
        </w:rPr>
      </w:pPr>
    </w:p>
    <w:tbl>
      <w:tblPr>
        <w:tblW w:w="7428" w:type="dxa"/>
        <w:tblInd w:w="1260" w:type="dxa"/>
        <w:tblLayout w:type="fixed"/>
        <w:tblCellMar>
          <w:left w:w="0" w:type="dxa"/>
          <w:right w:w="0" w:type="dxa"/>
        </w:tblCellMar>
        <w:tblLook w:val="0000" w:firstRow="0" w:lastRow="0" w:firstColumn="0" w:lastColumn="0" w:noHBand="0" w:noVBand="0"/>
      </w:tblPr>
      <w:tblGrid>
        <w:gridCol w:w="1080"/>
        <w:gridCol w:w="1440"/>
        <w:gridCol w:w="818"/>
        <w:gridCol w:w="818"/>
        <w:gridCol w:w="136"/>
        <w:gridCol w:w="682"/>
        <w:gridCol w:w="818"/>
        <w:gridCol w:w="136"/>
        <w:gridCol w:w="682"/>
        <w:gridCol w:w="818"/>
      </w:tblGrid>
      <w:tr w:rsidR="008D2F10" w:rsidRPr="00D43575" w14:paraId="19BF6F0A" w14:textId="77777777" w:rsidTr="00BD7BE9">
        <w:trPr>
          <w:tblHeader/>
        </w:trPr>
        <w:tc>
          <w:tcPr>
            <w:tcW w:w="2520" w:type="dxa"/>
            <w:gridSpan w:val="2"/>
            <w:vMerge w:val="restart"/>
            <w:tcBorders>
              <w:top w:val="single" w:sz="4" w:space="0" w:color="auto"/>
            </w:tcBorders>
            <w:shd w:val="clear" w:color="auto" w:fill="auto"/>
            <w:vAlign w:val="bottom"/>
          </w:tcPr>
          <w:p w14:paraId="5A89B76E" w14:textId="77777777" w:rsidR="008D2F10" w:rsidRPr="00D43575" w:rsidRDefault="008D2F10" w:rsidP="005A40BD">
            <w:pPr>
              <w:pStyle w:val="SingleTxt"/>
              <w:spacing w:before="80" w:after="80" w:line="160" w:lineRule="exact"/>
              <w:ind w:left="11" w:right="43"/>
              <w:jc w:val="left"/>
              <w:rPr>
                <w:i/>
                <w:iCs/>
                <w:sz w:val="14"/>
              </w:rPr>
            </w:pPr>
            <w:r w:rsidRPr="00D43575">
              <w:rPr>
                <w:i/>
                <w:iCs/>
                <w:sz w:val="14"/>
              </w:rPr>
              <w:t>Descripción</w:t>
            </w:r>
          </w:p>
        </w:tc>
        <w:tc>
          <w:tcPr>
            <w:tcW w:w="1636" w:type="dxa"/>
            <w:gridSpan w:val="2"/>
            <w:tcBorders>
              <w:top w:val="single" w:sz="4" w:space="0" w:color="auto"/>
              <w:bottom w:val="single" w:sz="4" w:space="0" w:color="auto"/>
            </w:tcBorders>
            <w:shd w:val="clear" w:color="auto" w:fill="auto"/>
            <w:vAlign w:val="bottom"/>
          </w:tcPr>
          <w:p w14:paraId="704ED764" w14:textId="77777777" w:rsidR="008D2F10" w:rsidRPr="00D43575" w:rsidRDefault="008D2F10" w:rsidP="005A40BD">
            <w:pPr>
              <w:pStyle w:val="SingleTxt"/>
              <w:spacing w:before="80" w:after="80" w:line="160" w:lineRule="exact"/>
              <w:ind w:left="144" w:right="43"/>
              <w:jc w:val="center"/>
              <w:rPr>
                <w:i/>
                <w:iCs/>
                <w:sz w:val="14"/>
              </w:rPr>
            </w:pPr>
            <w:r w:rsidRPr="00D43575">
              <w:rPr>
                <w:i/>
                <w:iCs/>
                <w:sz w:val="14"/>
              </w:rPr>
              <w:t>Terceras elecciones (2007)</w:t>
            </w:r>
          </w:p>
        </w:tc>
        <w:tc>
          <w:tcPr>
            <w:tcW w:w="136" w:type="dxa"/>
            <w:tcBorders>
              <w:top w:val="single" w:sz="4" w:space="0" w:color="auto"/>
            </w:tcBorders>
            <w:shd w:val="clear" w:color="auto" w:fill="auto"/>
            <w:vAlign w:val="bottom"/>
          </w:tcPr>
          <w:p w14:paraId="1BAA0EC4" w14:textId="77777777" w:rsidR="008D2F10" w:rsidRPr="00D43575" w:rsidRDefault="008D2F10" w:rsidP="00BD7BE9">
            <w:pPr>
              <w:tabs>
                <w:tab w:val="left" w:pos="288"/>
                <w:tab w:val="left" w:pos="576"/>
                <w:tab w:val="left" w:pos="864"/>
                <w:tab w:val="left" w:pos="1152"/>
              </w:tabs>
              <w:spacing w:before="81" w:after="81" w:line="160" w:lineRule="exact"/>
              <w:ind w:left="144" w:right="40"/>
              <w:jc w:val="right"/>
              <w:rPr>
                <w:i/>
                <w:sz w:val="14"/>
              </w:rPr>
            </w:pPr>
          </w:p>
        </w:tc>
        <w:tc>
          <w:tcPr>
            <w:tcW w:w="1500" w:type="dxa"/>
            <w:gridSpan w:val="2"/>
            <w:tcBorders>
              <w:top w:val="single" w:sz="4" w:space="0" w:color="auto"/>
              <w:bottom w:val="single" w:sz="4" w:space="0" w:color="auto"/>
            </w:tcBorders>
            <w:shd w:val="clear" w:color="auto" w:fill="auto"/>
            <w:vAlign w:val="bottom"/>
          </w:tcPr>
          <w:p w14:paraId="66053D5B" w14:textId="77777777" w:rsidR="008D2F10" w:rsidRPr="00D43575" w:rsidRDefault="008D2F10" w:rsidP="005A40BD">
            <w:pPr>
              <w:pStyle w:val="SingleTxt"/>
              <w:spacing w:before="80" w:after="80" w:line="160" w:lineRule="exact"/>
              <w:ind w:left="144" w:right="43"/>
              <w:jc w:val="center"/>
              <w:rPr>
                <w:i/>
                <w:iCs/>
                <w:sz w:val="14"/>
              </w:rPr>
            </w:pPr>
            <w:r w:rsidRPr="00D43575">
              <w:rPr>
                <w:i/>
                <w:iCs/>
                <w:sz w:val="14"/>
              </w:rPr>
              <w:t>Cuartas elecciones (2011)</w:t>
            </w:r>
          </w:p>
        </w:tc>
        <w:tc>
          <w:tcPr>
            <w:tcW w:w="136" w:type="dxa"/>
            <w:tcBorders>
              <w:top w:val="single" w:sz="4" w:space="0" w:color="auto"/>
            </w:tcBorders>
            <w:shd w:val="clear" w:color="auto" w:fill="auto"/>
            <w:vAlign w:val="bottom"/>
          </w:tcPr>
          <w:p w14:paraId="720FC930" w14:textId="77777777" w:rsidR="008D2F10" w:rsidRPr="00D43575" w:rsidRDefault="008D2F10" w:rsidP="00BD7BE9">
            <w:pPr>
              <w:tabs>
                <w:tab w:val="left" w:pos="288"/>
                <w:tab w:val="left" w:pos="576"/>
                <w:tab w:val="left" w:pos="864"/>
                <w:tab w:val="left" w:pos="1152"/>
              </w:tabs>
              <w:spacing w:before="81" w:after="81" w:line="160" w:lineRule="exact"/>
              <w:ind w:left="144" w:right="40"/>
              <w:jc w:val="right"/>
              <w:rPr>
                <w:i/>
                <w:sz w:val="14"/>
              </w:rPr>
            </w:pPr>
          </w:p>
        </w:tc>
        <w:tc>
          <w:tcPr>
            <w:tcW w:w="1500" w:type="dxa"/>
            <w:gridSpan w:val="2"/>
            <w:tcBorders>
              <w:top w:val="single" w:sz="4" w:space="0" w:color="auto"/>
              <w:bottom w:val="single" w:sz="4" w:space="0" w:color="auto"/>
            </w:tcBorders>
            <w:shd w:val="clear" w:color="auto" w:fill="auto"/>
            <w:vAlign w:val="bottom"/>
          </w:tcPr>
          <w:p w14:paraId="62A61D50" w14:textId="77777777" w:rsidR="008D2F10" w:rsidRPr="00D43575" w:rsidRDefault="008D2F10" w:rsidP="005A40BD">
            <w:pPr>
              <w:pStyle w:val="SingleTxt"/>
              <w:spacing w:before="80" w:after="80" w:line="160" w:lineRule="exact"/>
              <w:ind w:left="144" w:right="43"/>
              <w:jc w:val="center"/>
              <w:rPr>
                <w:i/>
                <w:iCs/>
                <w:sz w:val="14"/>
              </w:rPr>
            </w:pPr>
            <w:r w:rsidRPr="00D43575">
              <w:rPr>
                <w:i/>
                <w:iCs/>
                <w:sz w:val="14"/>
              </w:rPr>
              <w:t>Quintas elecciones (2015)</w:t>
            </w:r>
          </w:p>
        </w:tc>
      </w:tr>
      <w:tr w:rsidR="008D2F10" w:rsidRPr="00D43575" w14:paraId="0BBBD263" w14:textId="77777777" w:rsidTr="00BD7BE9">
        <w:trPr>
          <w:tblHeader/>
        </w:trPr>
        <w:tc>
          <w:tcPr>
            <w:tcW w:w="2520" w:type="dxa"/>
            <w:gridSpan w:val="2"/>
            <w:vMerge/>
            <w:tcBorders>
              <w:bottom w:val="single" w:sz="12" w:space="0" w:color="auto"/>
            </w:tcBorders>
            <w:shd w:val="clear" w:color="auto" w:fill="auto"/>
            <w:vAlign w:val="bottom"/>
          </w:tcPr>
          <w:p w14:paraId="60139877" w14:textId="77777777" w:rsidR="008D2F10" w:rsidRPr="00D43575" w:rsidRDefault="008D2F10" w:rsidP="00BD7BE9">
            <w:pPr>
              <w:tabs>
                <w:tab w:val="left" w:pos="288"/>
                <w:tab w:val="left" w:pos="576"/>
                <w:tab w:val="left" w:pos="864"/>
                <w:tab w:val="left" w:pos="1152"/>
              </w:tabs>
              <w:spacing w:before="81" w:after="81" w:line="160" w:lineRule="exact"/>
              <w:ind w:right="40"/>
              <w:rPr>
                <w:i/>
                <w:sz w:val="14"/>
              </w:rPr>
            </w:pPr>
          </w:p>
        </w:tc>
        <w:tc>
          <w:tcPr>
            <w:tcW w:w="818" w:type="dxa"/>
            <w:tcBorders>
              <w:top w:val="single" w:sz="4" w:space="0" w:color="auto"/>
              <w:bottom w:val="single" w:sz="12" w:space="0" w:color="auto"/>
            </w:tcBorders>
            <w:shd w:val="clear" w:color="auto" w:fill="auto"/>
            <w:vAlign w:val="bottom"/>
          </w:tcPr>
          <w:p w14:paraId="6ACCF228" w14:textId="77777777" w:rsidR="008D2F10" w:rsidRPr="00D43575" w:rsidRDefault="008D2F10" w:rsidP="005A40BD">
            <w:pPr>
              <w:pStyle w:val="SingleTxt"/>
              <w:spacing w:before="80" w:after="80" w:line="160" w:lineRule="exact"/>
              <w:ind w:left="63" w:right="43"/>
              <w:jc w:val="right"/>
              <w:rPr>
                <w:i/>
                <w:iCs/>
                <w:sz w:val="14"/>
              </w:rPr>
            </w:pPr>
            <w:r w:rsidRPr="00D43575">
              <w:rPr>
                <w:i/>
                <w:iCs/>
                <w:sz w:val="14"/>
              </w:rPr>
              <w:t>Mujeres</w:t>
            </w:r>
          </w:p>
        </w:tc>
        <w:tc>
          <w:tcPr>
            <w:tcW w:w="818" w:type="dxa"/>
            <w:tcBorders>
              <w:top w:val="single" w:sz="4" w:space="0" w:color="auto"/>
              <w:bottom w:val="single" w:sz="12" w:space="0" w:color="auto"/>
            </w:tcBorders>
            <w:shd w:val="clear" w:color="auto" w:fill="auto"/>
            <w:vAlign w:val="bottom"/>
          </w:tcPr>
          <w:p w14:paraId="5372DC12" w14:textId="77777777" w:rsidR="008D2F10" w:rsidRPr="00D43575" w:rsidRDefault="008D2F10" w:rsidP="005A40BD">
            <w:pPr>
              <w:pStyle w:val="SingleTxt"/>
              <w:spacing w:before="80" w:after="80" w:line="160" w:lineRule="exact"/>
              <w:ind w:left="63" w:right="43"/>
              <w:jc w:val="right"/>
              <w:rPr>
                <w:i/>
                <w:iCs/>
                <w:sz w:val="14"/>
              </w:rPr>
            </w:pPr>
            <w:r w:rsidRPr="00D43575">
              <w:rPr>
                <w:i/>
                <w:iCs/>
                <w:sz w:val="14"/>
              </w:rPr>
              <w:t>Hombres</w:t>
            </w:r>
          </w:p>
        </w:tc>
        <w:tc>
          <w:tcPr>
            <w:tcW w:w="818" w:type="dxa"/>
            <w:gridSpan w:val="2"/>
            <w:tcBorders>
              <w:bottom w:val="single" w:sz="12" w:space="0" w:color="auto"/>
            </w:tcBorders>
            <w:shd w:val="clear" w:color="auto" w:fill="auto"/>
            <w:vAlign w:val="bottom"/>
          </w:tcPr>
          <w:p w14:paraId="78717BF9" w14:textId="77777777" w:rsidR="008D2F10" w:rsidRPr="00D43575" w:rsidRDefault="008D2F10" w:rsidP="005A40BD">
            <w:pPr>
              <w:pStyle w:val="SingleTxt"/>
              <w:spacing w:before="80" w:after="80" w:line="160" w:lineRule="exact"/>
              <w:ind w:left="63" w:right="43"/>
              <w:jc w:val="right"/>
              <w:rPr>
                <w:i/>
                <w:iCs/>
                <w:sz w:val="14"/>
              </w:rPr>
            </w:pPr>
            <w:r w:rsidRPr="00D43575">
              <w:rPr>
                <w:i/>
                <w:iCs/>
                <w:sz w:val="14"/>
              </w:rPr>
              <w:t>Mujeres</w:t>
            </w:r>
          </w:p>
        </w:tc>
        <w:tc>
          <w:tcPr>
            <w:tcW w:w="818" w:type="dxa"/>
            <w:tcBorders>
              <w:bottom w:val="single" w:sz="12" w:space="0" w:color="auto"/>
            </w:tcBorders>
            <w:shd w:val="clear" w:color="auto" w:fill="auto"/>
            <w:vAlign w:val="bottom"/>
          </w:tcPr>
          <w:p w14:paraId="34ADECB4" w14:textId="77777777" w:rsidR="008D2F10" w:rsidRPr="00D43575" w:rsidRDefault="008D2F10" w:rsidP="005A40BD">
            <w:pPr>
              <w:pStyle w:val="SingleTxt"/>
              <w:spacing w:before="80" w:after="80" w:line="160" w:lineRule="exact"/>
              <w:ind w:left="63" w:right="43"/>
              <w:jc w:val="right"/>
              <w:rPr>
                <w:i/>
                <w:iCs/>
                <w:sz w:val="14"/>
              </w:rPr>
            </w:pPr>
            <w:r w:rsidRPr="00D43575">
              <w:rPr>
                <w:i/>
                <w:iCs/>
                <w:sz w:val="14"/>
              </w:rPr>
              <w:t>Hombres</w:t>
            </w:r>
          </w:p>
        </w:tc>
        <w:tc>
          <w:tcPr>
            <w:tcW w:w="818" w:type="dxa"/>
            <w:gridSpan w:val="2"/>
            <w:tcBorders>
              <w:bottom w:val="single" w:sz="12" w:space="0" w:color="auto"/>
            </w:tcBorders>
            <w:shd w:val="clear" w:color="auto" w:fill="auto"/>
            <w:vAlign w:val="bottom"/>
          </w:tcPr>
          <w:p w14:paraId="0F5E88F0" w14:textId="77777777" w:rsidR="008D2F10" w:rsidRPr="00D43575" w:rsidRDefault="008D2F10" w:rsidP="005A40BD">
            <w:pPr>
              <w:pStyle w:val="SingleTxt"/>
              <w:spacing w:before="80" w:after="80" w:line="160" w:lineRule="exact"/>
              <w:ind w:left="63" w:right="43"/>
              <w:jc w:val="right"/>
              <w:rPr>
                <w:i/>
                <w:iCs/>
                <w:sz w:val="14"/>
              </w:rPr>
            </w:pPr>
            <w:r w:rsidRPr="00D43575">
              <w:rPr>
                <w:i/>
                <w:iCs/>
                <w:sz w:val="14"/>
              </w:rPr>
              <w:t>Mujeres</w:t>
            </w:r>
          </w:p>
        </w:tc>
        <w:tc>
          <w:tcPr>
            <w:tcW w:w="818" w:type="dxa"/>
            <w:tcBorders>
              <w:bottom w:val="single" w:sz="12" w:space="0" w:color="auto"/>
            </w:tcBorders>
            <w:shd w:val="clear" w:color="auto" w:fill="auto"/>
            <w:vAlign w:val="bottom"/>
          </w:tcPr>
          <w:p w14:paraId="38B826F8" w14:textId="77777777" w:rsidR="008D2F10" w:rsidRPr="00D43575" w:rsidRDefault="008D2F10" w:rsidP="005A40BD">
            <w:pPr>
              <w:pStyle w:val="SingleTxt"/>
              <w:spacing w:before="80" w:after="80" w:line="160" w:lineRule="exact"/>
              <w:ind w:left="63" w:right="43"/>
              <w:jc w:val="right"/>
              <w:rPr>
                <w:i/>
                <w:iCs/>
                <w:sz w:val="14"/>
              </w:rPr>
            </w:pPr>
            <w:r w:rsidRPr="00D43575">
              <w:rPr>
                <w:i/>
                <w:iCs/>
                <w:sz w:val="14"/>
              </w:rPr>
              <w:t>Hombres</w:t>
            </w:r>
          </w:p>
        </w:tc>
      </w:tr>
      <w:tr w:rsidR="008D2F10" w:rsidRPr="00D43575" w14:paraId="7425893A" w14:textId="77777777" w:rsidTr="00BD7BE9">
        <w:trPr>
          <w:trHeight w:hRule="exact" w:val="115"/>
          <w:tblHeader/>
        </w:trPr>
        <w:tc>
          <w:tcPr>
            <w:tcW w:w="1080" w:type="dxa"/>
            <w:tcBorders>
              <w:top w:val="single" w:sz="12" w:space="0" w:color="auto"/>
            </w:tcBorders>
            <w:shd w:val="clear" w:color="auto" w:fill="auto"/>
            <w:vAlign w:val="bottom"/>
          </w:tcPr>
          <w:p w14:paraId="3F82CEB8" w14:textId="77777777" w:rsidR="008D2F10" w:rsidRPr="00D43575" w:rsidRDefault="008D2F10" w:rsidP="00BD7BE9">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shd w:val="clear" w:color="auto" w:fill="auto"/>
            <w:vAlign w:val="bottom"/>
          </w:tcPr>
          <w:p w14:paraId="18414FDF" w14:textId="77777777" w:rsidR="008D2F10" w:rsidRPr="00D43575" w:rsidRDefault="008D2F10" w:rsidP="00BD7BE9">
            <w:pPr>
              <w:tabs>
                <w:tab w:val="left" w:pos="288"/>
                <w:tab w:val="left" w:pos="576"/>
                <w:tab w:val="left" w:pos="864"/>
                <w:tab w:val="left" w:pos="1152"/>
              </w:tabs>
              <w:spacing w:before="40" w:after="40" w:line="210" w:lineRule="exact"/>
              <w:ind w:right="40"/>
              <w:rPr>
                <w:sz w:val="17"/>
              </w:rPr>
            </w:pPr>
          </w:p>
        </w:tc>
        <w:tc>
          <w:tcPr>
            <w:tcW w:w="818" w:type="dxa"/>
            <w:tcBorders>
              <w:top w:val="single" w:sz="12" w:space="0" w:color="auto"/>
            </w:tcBorders>
            <w:shd w:val="clear" w:color="auto" w:fill="auto"/>
            <w:vAlign w:val="bottom"/>
          </w:tcPr>
          <w:p w14:paraId="1CA1EE7D"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c>
          <w:tcPr>
            <w:tcW w:w="818" w:type="dxa"/>
            <w:tcBorders>
              <w:top w:val="single" w:sz="12" w:space="0" w:color="auto"/>
            </w:tcBorders>
            <w:shd w:val="clear" w:color="auto" w:fill="auto"/>
            <w:vAlign w:val="bottom"/>
          </w:tcPr>
          <w:p w14:paraId="0B46E809"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c>
          <w:tcPr>
            <w:tcW w:w="818" w:type="dxa"/>
            <w:gridSpan w:val="2"/>
            <w:tcBorders>
              <w:top w:val="single" w:sz="12" w:space="0" w:color="auto"/>
            </w:tcBorders>
            <w:shd w:val="clear" w:color="auto" w:fill="auto"/>
            <w:vAlign w:val="bottom"/>
          </w:tcPr>
          <w:p w14:paraId="3A4064B5"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c>
          <w:tcPr>
            <w:tcW w:w="818" w:type="dxa"/>
            <w:tcBorders>
              <w:top w:val="single" w:sz="12" w:space="0" w:color="auto"/>
            </w:tcBorders>
            <w:shd w:val="clear" w:color="auto" w:fill="auto"/>
            <w:vAlign w:val="bottom"/>
          </w:tcPr>
          <w:p w14:paraId="53643983"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c>
          <w:tcPr>
            <w:tcW w:w="818" w:type="dxa"/>
            <w:gridSpan w:val="2"/>
            <w:tcBorders>
              <w:top w:val="single" w:sz="12" w:space="0" w:color="auto"/>
            </w:tcBorders>
            <w:shd w:val="clear" w:color="auto" w:fill="auto"/>
            <w:vAlign w:val="bottom"/>
          </w:tcPr>
          <w:p w14:paraId="46FF348D"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c>
          <w:tcPr>
            <w:tcW w:w="818" w:type="dxa"/>
            <w:tcBorders>
              <w:top w:val="single" w:sz="12" w:space="0" w:color="auto"/>
            </w:tcBorders>
            <w:shd w:val="clear" w:color="auto" w:fill="auto"/>
            <w:vAlign w:val="bottom"/>
          </w:tcPr>
          <w:p w14:paraId="478FD685"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r>
      <w:tr w:rsidR="008D2F10" w:rsidRPr="00D43575" w14:paraId="7F14029E" w14:textId="77777777" w:rsidTr="00BD7BE9">
        <w:tc>
          <w:tcPr>
            <w:tcW w:w="1080" w:type="dxa"/>
            <w:shd w:val="clear" w:color="auto" w:fill="auto"/>
            <w:vAlign w:val="bottom"/>
          </w:tcPr>
          <w:p w14:paraId="5F0E58E6"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Número de:</w:t>
            </w:r>
          </w:p>
        </w:tc>
        <w:tc>
          <w:tcPr>
            <w:tcW w:w="1440" w:type="dxa"/>
            <w:shd w:val="clear" w:color="auto" w:fill="auto"/>
            <w:vAlign w:val="bottom"/>
          </w:tcPr>
          <w:p w14:paraId="44755FDF"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Electores</w:t>
            </w:r>
          </w:p>
        </w:tc>
        <w:tc>
          <w:tcPr>
            <w:tcW w:w="818" w:type="dxa"/>
            <w:shd w:val="clear" w:color="auto" w:fill="auto"/>
            <w:vAlign w:val="bottom"/>
          </w:tcPr>
          <w:p w14:paraId="65EBD290"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13 608</w:t>
            </w:r>
          </w:p>
        </w:tc>
        <w:tc>
          <w:tcPr>
            <w:tcW w:w="818" w:type="dxa"/>
            <w:shd w:val="clear" w:color="auto" w:fill="auto"/>
            <w:vAlign w:val="bottom"/>
          </w:tcPr>
          <w:p w14:paraId="22F9D560"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14 531</w:t>
            </w:r>
          </w:p>
        </w:tc>
        <w:tc>
          <w:tcPr>
            <w:tcW w:w="818" w:type="dxa"/>
            <w:gridSpan w:val="2"/>
            <w:shd w:val="clear" w:color="auto" w:fill="auto"/>
            <w:vAlign w:val="bottom"/>
          </w:tcPr>
          <w:p w14:paraId="657B8F67"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16 331</w:t>
            </w:r>
          </w:p>
        </w:tc>
        <w:tc>
          <w:tcPr>
            <w:tcW w:w="818" w:type="dxa"/>
            <w:shd w:val="clear" w:color="auto" w:fill="auto"/>
            <w:vAlign w:val="bottom"/>
          </w:tcPr>
          <w:p w14:paraId="50393FDA"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16 441</w:t>
            </w:r>
          </w:p>
        </w:tc>
        <w:tc>
          <w:tcPr>
            <w:tcW w:w="818" w:type="dxa"/>
            <w:gridSpan w:val="2"/>
            <w:shd w:val="clear" w:color="auto" w:fill="auto"/>
            <w:vAlign w:val="bottom"/>
          </w:tcPr>
          <w:p w14:paraId="3F537B71"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9 704</w:t>
            </w:r>
          </w:p>
        </w:tc>
        <w:tc>
          <w:tcPr>
            <w:tcW w:w="818" w:type="dxa"/>
            <w:shd w:val="clear" w:color="auto" w:fill="auto"/>
            <w:vAlign w:val="bottom"/>
          </w:tcPr>
          <w:p w14:paraId="00B37173"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12 031</w:t>
            </w:r>
          </w:p>
        </w:tc>
      </w:tr>
      <w:tr w:rsidR="008D2F10" w:rsidRPr="00D43575" w14:paraId="7A4B8745" w14:textId="77777777" w:rsidTr="00BD7BE9">
        <w:tc>
          <w:tcPr>
            <w:tcW w:w="1080" w:type="dxa"/>
            <w:shd w:val="clear" w:color="auto" w:fill="auto"/>
            <w:vAlign w:val="bottom"/>
          </w:tcPr>
          <w:p w14:paraId="3DB5704B"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440" w:type="dxa"/>
            <w:shd w:val="clear" w:color="auto" w:fill="auto"/>
            <w:vAlign w:val="bottom"/>
          </w:tcPr>
          <w:p w14:paraId="74A1CD3A"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Votantes</w:t>
            </w:r>
          </w:p>
        </w:tc>
        <w:tc>
          <w:tcPr>
            <w:tcW w:w="818" w:type="dxa"/>
            <w:shd w:val="clear" w:color="auto" w:fill="auto"/>
            <w:vAlign w:val="bottom"/>
          </w:tcPr>
          <w:p w14:paraId="7E4B1E0E"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7 054</w:t>
            </w:r>
          </w:p>
        </w:tc>
        <w:tc>
          <w:tcPr>
            <w:tcW w:w="818" w:type="dxa"/>
            <w:shd w:val="clear" w:color="auto" w:fill="auto"/>
            <w:vAlign w:val="bottom"/>
          </w:tcPr>
          <w:p w14:paraId="22CD062F"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6 905</w:t>
            </w:r>
          </w:p>
        </w:tc>
        <w:tc>
          <w:tcPr>
            <w:tcW w:w="818" w:type="dxa"/>
            <w:gridSpan w:val="2"/>
            <w:shd w:val="clear" w:color="auto" w:fill="auto"/>
            <w:vAlign w:val="bottom"/>
          </w:tcPr>
          <w:p w14:paraId="2E72FFBC"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6 120</w:t>
            </w:r>
          </w:p>
        </w:tc>
        <w:tc>
          <w:tcPr>
            <w:tcW w:w="818" w:type="dxa"/>
            <w:shd w:val="clear" w:color="auto" w:fill="auto"/>
            <w:vAlign w:val="bottom"/>
          </w:tcPr>
          <w:p w14:paraId="0CC98DCA"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7 486</w:t>
            </w:r>
          </w:p>
        </w:tc>
        <w:tc>
          <w:tcPr>
            <w:tcW w:w="818" w:type="dxa"/>
            <w:gridSpan w:val="2"/>
            <w:shd w:val="clear" w:color="auto" w:fill="auto"/>
            <w:vAlign w:val="bottom"/>
          </w:tcPr>
          <w:p w14:paraId="2B514498"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6 826</w:t>
            </w:r>
          </w:p>
        </w:tc>
        <w:tc>
          <w:tcPr>
            <w:tcW w:w="818" w:type="dxa"/>
            <w:shd w:val="clear" w:color="auto" w:fill="auto"/>
            <w:vAlign w:val="bottom"/>
          </w:tcPr>
          <w:p w14:paraId="67C13643"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7 844</w:t>
            </w:r>
          </w:p>
        </w:tc>
      </w:tr>
      <w:tr w:rsidR="008D2F10" w:rsidRPr="00D43575" w14:paraId="4E56CF04" w14:textId="77777777" w:rsidTr="00BD7BE9">
        <w:tc>
          <w:tcPr>
            <w:tcW w:w="1080" w:type="dxa"/>
            <w:shd w:val="clear" w:color="auto" w:fill="auto"/>
            <w:vAlign w:val="bottom"/>
          </w:tcPr>
          <w:p w14:paraId="3E916797"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440" w:type="dxa"/>
            <w:shd w:val="clear" w:color="auto" w:fill="auto"/>
            <w:vAlign w:val="bottom"/>
          </w:tcPr>
          <w:p w14:paraId="6B3FD9B4"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Candidatos</w:t>
            </w:r>
          </w:p>
        </w:tc>
        <w:tc>
          <w:tcPr>
            <w:tcW w:w="818" w:type="dxa"/>
            <w:shd w:val="clear" w:color="auto" w:fill="auto"/>
            <w:vAlign w:val="bottom"/>
          </w:tcPr>
          <w:p w14:paraId="0B8FC408"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w:t>
            </w:r>
          </w:p>
        </w:tc>
        <w:tc>
          <w:tcPr>
            <w:tcW w:w="818" w:type="dxa"/>
            <w:shd w:val="clear" w:color="auto" w:fill="auto"/>
            <w:vAlign w:val="bottom"/>
          </w:tcPr>
          <w:p w14:paraId="25602147"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113</w:t>
            </w:r>
          </w:p>
        </w:tc>
        <w:tc>
          <w:tcPr>
            <w:tcW w:w="818" w:type="dxa"/>
            <w:gridSpan w:val="2"/>
            <w:shd w:val="clear" w:color="auto" w:fill="auto"/>
            <w:vAlign w:val="bottom"/>
          </w:tcPr>
          <w:p w14:paraId="73E9675F"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w:t>
            </w:r>
          </w:p>
        </w:tc>
        <w:tc>
          <w:tcPr>
            <w:tcW w:w="818" w:type="dxa"/>
            <w:shd w:val="clear" w:color="auto" w:fill="auto"/>
            <w:vAlign w:val="bottom"/>
          </w:tcPr>
          <w:p w14:paraId="5C2FABC2"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97</w:t>
            </w:r>
          </w:p>
        </w:tc>
        <w:tc>
          <w:tcPr>
            <w:tcW w:w="818" w:type="dxa"/>
            <w:gridSpan w:val="2"/>
            <w:shd w:val="clear" w:color="auto" w:fill="auto"/>
            <w:vAlign w:val="bottom"/>
          </w:tcPr>
          <w:p w14:paraId="2BDD223F"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w:t>
            </w:r>
          </w:p>
        </w:tc>
        <w:tc>
          <w:tcPr>
            <w:tcW w:w="818" w:type="dxa"/>
            <w:shd w:val="clear" w:color="auto" w:fill="auto"/>
            <w:vAlign w:val="bottom"/>
          </w:tcPr>
          <w:p w14:paraId="5D778C86"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131</w:t>
            </w:r>
          </w:p>
        </w:tc>
      </w:tr>
      <w:tr w:rsidR="008D2F10" w:rsidRPr="00D43575" w14:paraId="447A8918" w14:textId="77777777" w:rsidTr="00BD7BE9">
        <w:tc>
          <w:tcPr>
            <w:tcW w:w="1080" w:type="dxa"/>
            <w:shd w:val="clear" w:color="auto" w:fill="auto"/>
            <w:vAlign w:val="bottom"/>
          </w:tcPr>
          <w:p w14:paraId="73509A3A"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440" w:type="dxa"/>
            <w:shd w:val="clear" w:color="auto" w:fill="auto"/>
            <w:vAlign w:val="bottom"/>
          </w:tcPr>
          <w:p w14:paraId="763991BD"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Elegidos</w:t>
            </w:r>
          </w:p>
        </w:tc>
        <w:tc>
          <w:tcPr>
            <w:tcW w:w="818" w:type="dxa"/>
            <w:shd w:val="clear" w:color="auto" w:fill="auto"/>
            <w:vAlign w:val="bottom"/>
          </w:tcPr>
          <w:p w14:paraId="1998E471"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818" w:type="dxa"/>
            <w:shd w:val="clear" w:color="auto" w:fill="auto"/>
            <w:vAlign w:val="bottom"/>
          </w:tcPr>
          <w:p w14:paraId="1980825E"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28</w:t>
            </w:r>
          </w:p>
        </w:tc>
        <w:tc>
          <w:tcPr>
            <w:tcW w:w="818" w:type="dxa"/>
            <w:gridSpan w:val="2"/>
            <w:shd w:val="clear" w:color="auto" w:fill="auto"/>
            <w:vAlign w:val="bottom"/>
          </w:tcPr>
          <w:p w14:paraId="72161647"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818" w:type="dxa"/>
            <w:shd w:val="clear" w:color="auto" w:fill="auto"/>
            <w:vAlign w:val="bottom"/>
          </w:tcPr>
          <w:p w14:paraId="5461A298"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28</w:t>
            </w:r>
          </w:p>
        </w:tc>
        <w:tc>
          <w:tcPr>
            <w:tcW w:w="818" w:type="dxa"/>
            <w:gridSpan w:val="2"/>
            <w:shd w:val="clear" w:color="auto" w:fill="auto"/>
            <w:vAlign w:val="bottom"/>
          </w:tcPr>
          <w:p w14:paraId="40A78459"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w:t>
            </w:r>
          </w:p>
        </w:tc>
        <w:tc>
          <w:tcPr>
            <w:tcW w:w="818" w:type="dxa"/>
            <w:shd w:val="clear" w:color="auto" w:fill="auto"/>
            <w:vAlign w:val="bottom"/>
          </w:tcPr>
          <w:p w14:paraId="758D3015"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27</w:t>
            </w:r>
          </w:p>
        </w:tc>
      </w:tr>
      <w:tr w:rsidR="008D2F10" w:rsidRPr="00D43575" w14:paraId="6C3E12CE" w14:textId="77777777" w:rsidTr="00BD7BE9">
        <w:tc>
          <w:tcPr>
            <w:tcW w:w="1080" w:type="dxa"/>
            <w:shd w:val="clear" w:color="auto" w:fill="auto"/>
            <w:vAlign w:val="bottom"/>
          </w:tcPr>
          <w:p w14:paraId="2BEA341D"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Porcentaje</w:t>
            </w:r>
          </w:p>
        </w:tc>
        <w:tc>
          <w:tcPr>
            <w:tcW w:w="1440" w:type="dxa"/>
            <w:shd w:val="clear" w:color="auto" w:fill="auto"/>
            <w:vAlign w:val="bottom"/>
          </w:tcPr>
          <w:p w14:paraId="52DE0092"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Electores</w:t>
            </w:r>
          </w:p>
        </w:tc>
        <w:tc>
          <w:tcPr>
            <w:tcW w:w="818" w:type="dxa"/>
            <w:shd w:val="clear" w:color="auto" w:fill="auto"/>
            <w:vAlign w:val="bottom"/>
          </w:tcPr>
          <w:p w14:paraId="29C8B82F"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48,4</w:t>
            </w:r>
          </w:p>
        </w:tc>
        <w:tc>
          <w:tcPr>
            <w:tcW w:w="818" w:type="dxa"/>
            <w:shd w:val="clear" w:color="auto" w:fill="auto"/>
            <w:vAlign w:val="bottom"/>
          </w:tcPr>
          <w:p w14:paraId="144EA012"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51,6</w:t>
            </w:r>
          </w:p>
        </w:tc>
        <w:tc>
          <w:tcPr>
            <w:tcW w:w="818" w:type="dxa"/>
            <w:gridSpan w:val="2"/>
            <w:shd w:val="clear" w:color="auto" w:fill="auto"/>
            <w:vAlign w:val="bottom"/>
          </w:tcPr>
          <w:p w14:paraId="275F8079"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49,7</w:t>
            </w:r>
          </w:p>
        </w:tc>
        <w:tc>
          <w:tcPr>
            <w:tcW w:w="818" w:type="dxa"/>
            <w:shd w:val="clear" w:color="auto" w:fill="auto"/>
            <w:vAlign w:val="bottom"/>
          </w:tcPr>
          <w:p w14:paraId="15D062B3"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50,3</w:t>
            </w:r>
          </w:p>
        </w:tc>
        <w:tc>
          <w:tcPr>
            <w:tcW w:w="818" w:type="dxa"/>
            <w:gridSpan w:val="2"/>
            <w:shd w:val="clear" w:color="auto" w:fill="auto"/>
            <w:vAlign w:val="bottom"/>
          </w:tcPr>
          <w:p w14:paraId="76671E1A"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44,6</w:t>
            </w:r>
          </w:p>
        </w:tc>
        <w:tc>
          <w:tcPr>
            <w:tcW w:w="818" w:type="dxa"/>
            <w:shd w:val="clear" w:color="auto" w:fill="auto"/>
            <w:vAlign w:val="bottom"/>
          </w:tcPr>
          <w:p w14:paraId="6CFACAAC"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55,4</w:t>
            </w:r>
          </w:p>
        </w:tc>
      </w:tr>
      <w:tr w:rsidR="008D2F10" w:rsidRPr="00D43575" w14:paraId="6788E1E2" w14:textId="77777777" w:rsidTr="00BD7BE9">
        <w:tc>
          <w:tcPr>
            <w:tcW w:w="1080" w:type="dxa"/>
            <w:shd w:val="clear" w:color="auto" w:fill="auto"/>
            <w:vAlign w:val="bottom"/>
          </w:tcPr>
          <w:p w14:paraId="24645F73"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440" w:type="dxa"/>
            <w:shd w:val="clear" w:color="auto" w:fill="auto"/>
            <w:vAlign w:val="bottom"/>
          </w:tcPr>
          <w:p w14:paraId="39AE86EF"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Votantes</w:t>
            </w:r>
          </w:p>
        </w:tc>
        <w:tc>
          <w:tcPr>
            <w:tcW w:w="818" w:type="dxa"/>
            <w:shd w:val="clear" w:color="auto" w:fill="auto"/>
            <w:vAlign w:val="bottom"/>
          </w:tcPr>
          <w:p w14:paraId="777B5597"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50,5</w:t>
            </w:r>
          </w:p>
        </w:tc>
        <w:tc>
          <w:tcPr>
            <w:tcW w:w="818" w:type="dxa"/>
            <w:shd w:val="clear" w:color="auto" w:fill="auto"/>
            <w:vAlign w:val="bottom"/>
          </w:tcPr>
          <w:p w14:paraId="518F68BB"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49,5</w:t>
            </w:r>
          </w:p>
        </w:tc>
        <w:tc>
          <w:tcPr>
            <w:tcW w:w="818" w:type="dxa"/>
            <w:gridSpan w:val="2"/>
            <w:shd w:val="clear" w:color="auto" w:fill="auto"/>
            <w:vAlign w:val="bottom"/>
          </w:tcPr>
          <w:p w14:paraId="05B1B6E9"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45,0</w:t>
            </w:r>
          </w:p>
        </w:tc>
        <w:tc>
          <w:tcPr>
            <w:tcW w:w="818" w:type="dxa"/>
            <w:shd w:val="clear" w:color="auto" w:fill="auto"/>
            <w:vAlign w:val="bottom"/>
          </w:tcPr>
          <w:p w14:paraId="0DC2CE7B"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55,0</w:t>
            </w:r>
          </w:p>
        </w:tc>
        <w:tc>
          <w:tcPr>
            <w:tcW w:w="818" w:type="dxa"/>
            <w:gridSpan w:val="2"/>
            <w:shd w:val="clear" w:color="auto" w:fill="auto"/>
            <w:vAlign w:val="bottom"/>
          </w:tcPr>
          <w:p w14:paraId="05780341"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46,5</w:t>
            </w:r>
          </w:p>
        </w:tc>
        <w:tc>
          <w:tcPr>
            <w:tcW w:w="818" w:type="dxa"/>
            <w:shd w:val="clear" w:color="auto" w:fill="auto"/>
            <w:vAlign w:val="bottom"/>
          </w:tcPr>
          <w:p w14:paraId="68217B6D"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53,5</w:t>
            </w:r>
          </w:p>
        </w:tc>
      </w:tr>
      <w:tr w:rsidR="008D2F10" w:rsidRPr="00D43575" w14:paraId="4E4156CE" w14:textId="77777777" w:rsidTr="00BD7BE9">
        <w:tc>
          <w:tcPr>
            <w:tcW w:w="1080" w:type="dxa"/>
            <w:shd w:val="clear" w:color="auto" w:fill="auto"/>
            <w:vAlign w:val="bottom"/>
          </w:tcPr>
          <w:p w14:paraId="094E7A6A"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440" w:type="dxa"/>
            <w:shd w:val="clear" w:color="auto" w:fill="auto"/>
            <w:vAlign w:val="bottom"/>
          </w:tcPr>
          <w:p w14:paraId="22BAE9C9"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Candidatos</w:t>
            </w:r>
          </w:p>
        </w:tc>
        <w:tc>
          <w:tcPr>
            <w:tcW w:w="818" w:type="dxa"/>
            <w:shd w:val="clear" w:color="auto" w:fill="auto"/>
            <w:vAlign w:val="bottom"/>
          </w:tcPr>
          <w:p w14:paraId="77A77D1D"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2,6</w:t>
            </w:r>
          </w:p>
        </w:tc>
        <w:tc>
          <w:tcPr>
            <w:tcW w:w="818" w:type="dxa"/>
            <w:shd w:val="clear" w:color="auto" w:fill="auto"/>
            <w:vAlign w:val="bottom"/>
          </w:tcPr>
          <w:p w14:paraId="6F77AB1B"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97,4</w:t>
            </w:r>
          </w:p>
        </w:tc>
        <w:tc>
          <w:tcPr>
            <w:tcW w:w="818" w:type="dxa"/>
            <w:gridSpan w:val="2"/>
            <w:shd w:val="clear" w:color="auto" w:fill="auto"/>
            <w:vAlign w:val="bottom"/>
          </w:tcPr>
          <w:p w14:paraId="5CEC2876"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4,0</w:t>
            </w:r>
          </w:p>
        </w:tc>
        <w:tc>
          <w:tcPr>
            <w:tcW w:w="818" w:type="dxa"/>
            <w:shd w:val="clear" w:color="auto" w:fill="auto"/>
            <w:vAlign w:val="bottom"/>
          </w:tcPr>
          <w:p w14:paraId="6AD9283B"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96,0</w:t>
            </w:r>
          </w:p>
        </w:tc>
        <w:tc>
          <w:tcPr>
            <w:tcW w:w="818" w:type="dxa"/>
            <w:gridSpan w:val="2"/>
            <w:shd w:val="clear" w:color="auto" w:fill="auto"/>
            <w:vAlign w:val="bottom"/>
          </w:tcPr>
          <w:p w14:paraId="27E958D2"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3,7</w:t>
            </w:r>
          </w:p>
        </w:tc>
        <w:tc>
          <w:tcPr>
            <w:tcW w:w="818" w:type="dxa"/>
            <w:shd w:val="clear" w:color="auto" w:fill="auto"/>
            <w:vAlign w:val="bottom"/>
          </w:tcPr>
          <w:p w14:paraId="3E012DA8"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96,3</w:t>
            </w:r>
          </w:p>
        </w:tc>
      </w:tr>
      <w:tr w:rsidR="008D2F10" w:rsidRPr="00D43575" w14:paraId="2D58E379" w14:textId="77777777" w:rsidTr="00BD7BE9">
        <w:tc>
          <w:tcPr>
            <w:tcW w:w="1080" w:type="dxa"/>
            <w:tcBorders>
              <w:bottom w:val="single" w:sz="12" w:space="0" w:color="auto"/>
            </w:tcBorders>
            <w:shd w:val="clear" w:color="auto" w:fill="auto"/>
            <w:vAlign w:val="bottom"/>
          </w:tcPr>
          <w:p w14:paraId="3BABEF55"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440" w:type="dxa"/>
            <w:tcBorders>
              <w:bottom w:val="single" w:sz="12" w:space="0" w:color="auto"/>
            </w:tcBorders>
            <w:shd w:val="clear" w:color="auto" w:fill="auto"/>
            <w:vAlign w:val="bottom"/>
          </w:tcPr>
          <w:p w14:paraId="4E096931"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Elegidos</w:t>
            </w:r>
          </w:p>
        </w:tc>
        <w:tc>
          <w:tcPr>
            <w:tcW w:w="818" w:type="dxa"/>
            <w:tcBorders>
              <w:bottom w:val="single" w:sz="12" w:space="0" w:color="auto"/>
            </w:tcBorders>
            <w:shd w:val="clear" w:color="auto" w:fill="auto"/>
            <w:vAlign w:val="bottom"/>
          </w:tcPr>
          <w:p w14:paraId="5A156A6B"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3,4</w:t>
            </w:r>
          </w:p>
        </w:tc>
        <w:tc>
          <w:tcPr>
            <w:tcW w:w="818" w:type="dxa"/>
            <w:tcBorders>
              <w:bottom w:val="single" w:sz="12" w:space="0" w:color="auto"/>
            </w:tcBorders>
            <w:shd w:val="clear" w:color="auto" w:fill="auto"/>
            <w:vAlign w:val="bottom"/>
          </w:tcPr>
          <w:p w14:paraId="02A0811D"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96,6</w:t>
            </w:r>
          </w:p>
        </w:tc>
        <w:tc>
          <w:tcPr>
            <w:tcW w:w="818" w:type="dxa"/>
            <w:gridSpan w:val="2"/>
            <w:tcBorders>
              <w:bottom w:val="single" w:sz="12" w:space="0" w:color="auto"/>
            </w:tcBorders>
            <w:shd w:val="clear" w:color="auto" w:fill="auto"/>
            <w:vAlign w:val="bottom"/>
          </w:tcPr>
          <w:p w14:paraId="6285DAC6"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3,4</w:t>
            </w:r>
          </w:p>
        </w:tc>
        <w:tc>
          <w:tcPr>
            <w:tcW w:w="818" w:type="dxa"/>
            <w:tcBorders>
              <w:bottom w:val="single" w:sz="12" w:space="0" w:color="auto"/>
            </w:tcBorders>
            <w:shd w:val="clear" w:color="auto" w:fill="auto"/>
            <w:vAlign w:val="bottom"/>
          </w:tcPr>
          <w:p w14:paraId="4426C256"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96,6</w:t>
            </w:r>
          </w:p>
        </w:tc>
        <w:tc>
          <w:tcPr>
            <w:tcW w:w="818" w:type="dxa"/>
            <w:gridSpan w:val="2"/>
            <w:tcBorders>
              <w:bottom w:val="single" w:sz="12" w:space="0" w:color="auto"/>
            </w:tcBorders>
            <w:shd w:val="clear" w:color="auto" w:fill="auto"/>
            <w:vAlign w:val="bottom"/>
          </w:tcPr>
          <w:p w14:paraId="1DFA3702"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6,9</w:t>
            </w:r>
          </w:p>
        </w:tc>
        <w:tc>
          <w:tcPr>
            <w:tcW w:w="818" w:type="dxa"/>
            <w:tcBorders>
              <w:bottom w:val="single" w:sz="12" w:space="0" w:color="auto"/>
            </w:tcBorders>
            <w:shd w:val="clear" w:color="auto" w:fill="auto"/>
            <w:vAlign w:val="bottom"/>
          </w:tcPr>
          <w:p w14:paraId="231D126F" w14:textId="77777777" w:rsidR="008D2F10" w:rsidRPr="00D43575" w:rsidRDefault="008D2F10" w:rsidP="005A40B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93,1</w:t>
            </w:r>
          </w:p>
        </w:tc>
      </w:tr>
    </w:tbl>
    <w:p w14:paraId="461B66CF" w14:textId="77777777" w:rsidR="008D2F10" w:rsidRPr="00D43575" w:rsidRDefault="008D2F10" w:rsidP="008D2F10">
      <w:pPr>
        <w:pStyle w:val="SingleTxt"/>
        <w:spacing w:after="0" w:line="120" w:lineRule="exact"/>
        <w:rPr>
          <w:sz w:val="10"/>
        </w:rPr>
      </w:pPr>
    </w:p>
    <w:p w14:paraId="2443E27A" w14:textId="007CFCBD" w:rsidR="008D2F10"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Ministerio de Planificación del Desarrollo y Estadísticas, Estado de Qatar</w:t>
      </w:r>
      <w:r w:rsidR="00083383" w:rsidRPr="00D43575">
        <w:rPr>
          <w:rFonts w:eastAsiaTheme="minorHAnsi"/>
          <w:iCs/>
          <w:w w:val="103"/>
          <w:kern w:val="14"/>
          <w:szCs w:val="20"/>
        </w:rPr>
        <w:t>.</w:t>
      </w:r>
    </w:p>
    <w:p w14:paraId="5B541C8A" w14:textId="77777777" w:rsidR="008D2F10" w:rsidRPr="00D43575" w:rsidRDefault="008D2F10" w:rsidP="006820D1">
      <w:pPr>
        <w:pStyle w:val="SingleTxt"/>
        <w:spacing w:after="0" w:line="120" w:lineRule="exact"/>
        <w:rPr>
          <w:sz w:val="10"/>
        </w:rPr>
      </w:pPr>
    </w:p>
    <w:p w14:paraId="44D7B924" w14:textId="77777777" w:rsidR="008D2F10" w:rsidRPr="00D43575" w:rsidRDefault="008D2F10" w:rsidP="006820D1">
      <w:pPr>
        <w:pStyle w:val="SingleTxt"/>
        <w:spacing w:after="0" w:line="120" w:lineRule="exact"/>
        <w:rPr>
          <w:sz w:val="10"/>
        </w:rPr>
      </w:pPr>
    </w:p>
    <w:p w14:paraId="6F8130F9" w14:textId="2ECD17EF" w:rsidR="00083383" w:rsidRPr="00D43575" w:rsidRDefault="008D2F10" w:rsidP="00483D4F">
      <w:pPr>
        <w:pStyle w:val="SingleTxt"/>
        <w:keepLines/>
        <w:numPr>
          <w:ilvl w:val="0"/>
          <w:numId w:val="10"/>
        </w:numPr>
        <w:ind w:left="1267" w:firstLine="0"/>
      </w:pPr>
      <w:r w:rsidRPr="00D43575">
        <w:t>Las leyes nacionales promulgadas en los últimos años han tratado de impulsar los derechos de la mujer, a fin de eliminar la discriminación entre hombres y mujeres y establecer normas que rijan la igualdad de género en diversas esferas</w:t>
      </w:r>
      <w:r w:rsidR="00083383" w:rsidRPr="00D43575">
        <w:t>.</w:t>
      </w:r>
      <w:r w:rsidRPr="00D43575">
        <w:t xml:space="preserve"> Contienen frases de formulación amplia a la hora de concretar los derechos o determinar las obligaciones de aquellos a quienes se aplica su articulado, de manera que no se establece ninguna distinción entre el hombre y la mujer</w:t>
      </w:r>
      <w:r w:rsidR="00083383" w:rsidRPr="00D43575">
        <w:t>.</w:t>
      </w:r>
      <w:r w:rsidRPr="00D43575">
        <w:t xml:space="preserve"> Las mujeres qataríes han ocupado numerosos puestos de categoría superior y otros puestos de dirección y supervisión en el Estado</w:t>
      </w:r>
      <w:r w:rsidR="00083383" w:rsidRPr="00D43575">
        <w:t>.</w:t>
      </w:r>
      <w:r w:rsidRPr="00D43575">
        <w:t xml:space="preserve"> Entre ellos cabe destacar puestos ministeriales en el Ministerio de Salud Pública, el Ministerio de Educación y Enseñanza Superior</w:t>
      </w:r>
      <w:r w:rsidR="00083383" w:rsidRPr="00D43575">
        <w:t xml:space="preserve"> </w:t>
      </w:r>
      <w:r w:rsidRPr="00D43575">
        <w:t>y los sistemas de información ministeriales, cargos como viceministras, viceministras adjuntas y directoras de departamento en otros ministerios y organismos públicos</w:t>
      </w:r>
      <w:r w:rsidR="00083383" w:rsidRPr="00D43575">
        <w:t>.</w:t>
      </w:r>
      <w:r w:rsidRPr="00D43575">
        <w:t xml:space="preserve"> Las mujeres también han asumido cargos de juezas y fiscales</w:t>
      </w:r>
      <w:r w:rsidR="00083383" w:rsidRPr="00D43575">
        <w:t>.</w:t>
      </w:r>
    </w:p>
    <w:p w14:paraId="7FD13AD4" w14:textId="7367C86F" w:rsidR="008D2F10" w:rsidRPr="00D43575" w:rsidRDefault="008D2F10" w:rsidP="008D2F10">
      <w:pPr>
        <w:pStyle w:val="SingleTxt"/>
        <w:spacing w:after="0" w:line="120" w:lineRule="exact"/>
        <w:rPr>
          <w:sz w:val="10"/>
        </w:rPr>
      </w:pPr>
    </w:p>
    <w:p w14:paraId="18CAE575"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Cumplimiento de las recomendaciones sobre el artículo 7</w:t>
      </w:r>
    </w:p>
    <w:p w14:paraId="3AD17885" w14:textId="77777777" w:rsidR="008D2F10" w:rsidRPr="00D43575" w:rsidRDefault="008D2F10" w:rsidP="008D2F10">
      <w:pPr>
        <w:pStyle w:val="SingleTxt"/>
        <w:spacing w:after="0" w:line="120" w:lineRule="exact"/>
        <w:rPr>
          <w:sz w:val="10"/>
        </w:rPr>
      </w:pPr>
    </w:p>
    <w:p w14:paraId="110956F1" w14:textId="77777777" w:rsidR="008D2F10" w:rsidRPr="00D43575" w:rsidRDefault="008D2F10" w:rsidP="00083383">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2290"/>
        <w:rPr>
          <w:bCs w:val="0"/>
          <w:szCs w:val="20"/>
        </w:rPr>
      </w:pPr>
      <w:r w:rsidRPr="00D43575">
        <w:rPr>
          <w:bCs w:val="0"/>
          <w:szCs w:val="20"/>
        </w:rPr>
        <w:tab/>
      </w:r>
      <w:r w:rsidRPr="00D43575">
        <w:rPr>
          <w:bCs w:val="0"/>
          <w:szCs w:val="20"/>
        </w:rPr>
        <w:tab/>
        <w:t>Adopción de medidas especiales de carácter temporal para garantizar la participación de la mujer en el Consejo Consultivo</w:t>
      </w:r>
    </w:p>
    <w:p w14:paraId="2E59201D" w14:textId="77777777" w:rsidR="008D2F10" w:rsidRPr="00D43575" w:rsidRDefault="008D2F10" w:rsidP="008D2F10">
      <w:pPr>
        <w:pStyle w:val="SingleTxt"/>
        <w:spacing w:after="0" w:line="120" w:lineRule="exact"/>
        <w:rPr>
          <w:sz w:val="10"/>
        </w:rPr>
      </w:pPr>
    </w:p>
    <w:p w14:paraId="2C31B3BB" w14:textId="5C33F392" w:rsidR="008D2F10" w:rsidRPr="009D5F93" w:rsidRDefault="008D2F10" w:rsidP="001D1AD0">
      <w:pPr>
        <w:pStyle w:val="SingleTxt"/>
        <w:numPr>
          <w:ilvl w:val="0"/>
          <w:numId w:val="10"/>
        </w:numPr>
        <w:ind w:left="1267" w:firstLine="0"/>
      </w:pPr>
      <w:r w:rsidRPr="00D43575">
        <w:t xml:space="preserve">El Decreto </w:t>
      </w:r>
      <w:r w:rsidR="009D5F93">
        <w:t>del Emir</w:t>
      </w:r>
      <w:r w:rsidR="009D5F93" w:rsidRPr="009D5F93">
        <w:t xml:space="preserve"> </w:t>
      </w:r>
      <w:r w:rsidRPr="009D5F93">
        <w:t>núm</w:t>
      </w:r>
      <w:r w:rsidR="00083383" w:rsidRPr="009D5F93">
        <w:t>.</w:t>
      </w:r>
      <w:r w:rsidRPr="009D5F93">
        <w:t xml:space="preserve"> 22/2017 prevé el nombramiento de cuatro mujeres qataríes como miembros del Consejo Consultivo, lo cual pone de manifiesto que el Estado cree en la importancia del papel de la mujer en el sistema legislativo y su apoyo a los derechos de la mujer consagrados en la Constitución</w:t>
      </w:r>
      <w:r w:rsidR="00083383" w:rsidRPr="009D5F93">
        <w:t>.</w:t>
      </w:r>
    </w:p>
    <w:p w14:paraId="09C8D372" w14:textId="413E160E" w:rsidR="008D2F10" w:rsidRPr="00D43575" w:rsidRDefault="008D2F10" w:rsidP="001D1AD0">
      <w:pPr>
        <w:pStyle w:val="SingleTxt"/>
        <w:numPr>
          <w:ilvl w:val="0"/>
          <w:numId w:val="10"/>
        </w:numPr>
        <w:ind w:left="1267" w:firstLine="0"/>
      </w:pPr>
      <w:r w:rsidRPr="00D43575">
        <w:t>Además de lo que se ha señalado anteriormente, el 14 de noviembre de 2017, en la sesión de apertura del 46º Consejo Consultivo, Su Alteza el Emir ordenó que comenzaran los preparativos para las elecciones al Consejo Consultivo, lo que marca la culminación del proyecto de reforma del Gobierno en pro de la participación democrática y constituye una de las medidas destinadas a crear un entorno adecuado para aumentar dicha participación</w:t>
      </w:r>
      <w:r w:rsidR="00083383" w:rsidRPr="00D43575">
        <w:t>.</w:t>
      </w:r>
    </w:p>
    <w:p w14:paraId="78646CF7" w14:textId="77777777" w:rsidR="008D2F10" w:rsidRPr="00D43575" w:rsidRDefault="008D2F10" w:rsidP="008D2F10">
      <w:pPr>
        <w:pStyle w:val="SingleTxt"/>
        <w:spacing w:after="0" w:line="120" w:lineRule="exact"/>
        <w:rPr>
          <w:sz w:val="10"/>
        </w:rPr>
      </w:pPr>
    </w:p>
    <w:p w14:paraId="3FB5348B" w14:textId="77777777" w:rsidR="008D2F10" w:rsidRPr="00D43575" w:rsidRDefault="008D2F10" w:rsidP="00FC6BA7">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lastRenderedPageBreak/>
        <w:tab/>
      </w:r>
      <w:r w:rsidRPr="00D43575">
        <w:rPr>
          <w:bCs w:val="0"/>
          <w:szCs w:val="20"/>
        </w:rPr>
        <w:tab/>
        <w:t>Artículo 8: Representación internacional</w:t>
      </w:r>
    </w:p>
    <w:p w14:paraId="25AD993B" w14:textId="77777777" w:rsidR="008D2F10" w:rsidRPr="00D43575" w:rsidRDefault="008D2F10" w:rsidP="00FC6BA7">
      <w:pPr>
        <w:pStyle w:val="SingleTxt"/>
        <w:keepNext/>
        <w:keepLines/>
        <w:spacing w:after="0" w:line="120" w:lineRule="exact"/>
        <w:rPr>
          <w:sz w:val="10"/>
        </w:rPr>
      </w:pPr>
    </w:p>
    <w:p w14:paraId="0FDC3305" w14:textId="77777777" w:rsidR="008D2F10" w:rsidRPr="00D43575" w:rsidRDefault="008D2F10" w:rsidP="00FC6BA7">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Cumplimiento de las recomendaciones sobre el artículo 8</w:t>
      </w:r>
    </w:p>
    <w:p w14:paraId="0D9DFE57" w14:textId="77777777" w:rsidR="008D2F10" w:rsidRPr="00D43575" w:rsidRDefault="008D2F10" w:rsidP="00FC6BA7">
      <w:pPr>
        <w:pStyle w:val="SingleTxt"/>
        <w:keepNext/>
        <w:keepLines/>
        <w:spacing w:after="0" w:line="120" w:lineRule="exact"/>
        <w:rPr>
          <w:sz w:val="10"/>
        </w:rPr>
      </w:pPr>
    </w:p>
    <w:p w14:paraId="013319F0" w14:textId="77777777" w:rsidR="008D2F10" w:rsidRPr="00D43575" w:rsidRDefault="008D2F10" w:rsidP="00FC6BA7">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Apoyo al empoderamiento de las mujeres</w:t>
      </w:r>
    </w:p>
    <w:p w14:paraId="2076C6DC" w14:textId="77777777" w:rsidR="008D2F10" w:rsidRPr="00D43575" w:rsidRDefault="008D2F10" w:rsidP="00FC6BA7">
      <w:pPr>
        <w:pStyle w:val="SingleTxt"/>
        <w:keepNext/>
        <w:keepLines/>
        <w:spacing w:after="0" w:line="120" w:lineRule="exact"/>
        <w:rPr>
          <w:sz w:val="10"/>
        </w:rPr>
      </w:pPr>
    </w:p>
    <w:p w14:paraId="07B7A205" w14:textId="2CBE21B4" w:rsidR="008D2F10" w:rsidRPr="00D43575" w:rsidRDefault="008D2F10" w:rsidP="00FC6BA7">
      <w:pPr>
        <w:pStyle w:val="SingleTxt"/>
        <w:keepNext/>
        <w:keepLines/>
        <w:numPr>
          <w:ilvl w:val="0"/>
          <w:numId w:val="10"/>
        </w:numPr>
        <w:ind w:left="1267" w:firstLine="0"/>
      </w:pPr>
      <w:r w:rsidRPr="00D43575">
        <w:t>Además de la información que figura en los párrafos 194 y 195 del informe inicial, el Estado continúa apoyando el empoderamiento de la mujer para que represente al Estado en las reuniones internacionales en igualdad de condiciones con el hombre y sin discriminación alguna</w:t>
      </w:r>
      <w:r w:rsidR="00083383" w:rsidRPr="00D43575">
        <w:t>.</w:t>
      </w:r>
      <w:r w:rsidRPr="00D43575">
        <w:t xml:space="preserve"> Se han logrado progresos tangibles a este respecto</w:t>
      </w:r>
      <w:r w:rsidR="00083383" w:rsidRPr="00D43575">
        <w:t>.</w:t>
      </w:r>
      <w:r w:rsidRPr="00D43575">
        <w:t xml:space="preserve"> Ha aumentado el número de mujeres que ocupan importantes puestos directivos y decisorios y participan como representantes a escala internacional</w:t>
      </w:r>
      <w:r w:rsidR="00083383" w:rsidRPr="00D43575">
        <w:t>.</w:t>
      </w:r>
      <w:r w:rsidRPr="00D43575">
        <w:t xml:space="preserve"> En los últimos años se ha observado un aumento del número de mujeres qataríes que trabajan en el cuerpo diplomático</w:t>
      </w:r>
      <w:r w:rsidR="00083383" w:rsidRPr="00D43575">
        <w:t>.</w:t>
      </w:r>
      <w:r w:rsidRPr="00D43575">
        <w:t xml:space="preserve"> Durante el período 1996</w:t>
      </w:r>
      <w:r w:rsidR="00083383" w:rsidRPr="00D43575">
        <w:noBreakHyphen/>
      </w:r>
      <w:r w:rsidRPr="00D43575">
        <w:t>2002, hubo en total 18</w:t>
      </w:r>
      <w:r w:rsidR="00083383" w:rsidRPr="00D43575">
        <w:t xml:space="preserve"> </w:t>
      </w:r>
      <w:r w:rsidRPr="00D43575">
        <w:t>mujeres miembros del cuerpo diplomático</w:t>
      </w:r>
      <w:r w:rsidR="00083383" w:rsidRPr="00D43575">
        <w:t>.</w:t>
      </w:r>
      <w:r w:rsidRPr="00D43575">
        <w:t xml:space="preserve"> En 2010 esta cifra aumentó a 38</w:t>
      </w:r>
      <w:r w:rsidR="00083383" w:rsidRPr="00D43575">
        <w:t xml:space="preserve"> </w:t>
      </w:r>
      <w:r w:rsidRPr="00D43575">
        <w:t>diplomáticas</w:t>
      </w:r>
      <w:r w:rsidR="00083383" w:rsidRPr="00D43575">
        <w:t>.</w:t>
      </w:r>
      <w:r w:rsidRPr="00D43575">
        <w:t xml:space="preserve"> En 2017 el número de mujeres qataríes adscritas al cuerpo había ascendido a 90, incluidas 3 diplomáticas con rango de embajadoras</w:t>
      </w:r>
      <w:r w:rsidR="00083383" w:rsidRPr="00D43575">
        <w:t>.</w:t>
      </w:r>
      <w:r w:rsidRPr="00D43575">
        <w:t xml:space="preserve"> En ese mismo año, una mujer fue nombrada portavoz oficial del Ministerio de Relaciones Exteriores</w:t>
      </w:r>
      <w:r w:rsidR="00083383" w:rsidRPr="00D43575">
        <w:t>.</w:t>
      </w:r>
      <w:r w:rsidRPr="00D43575">
        <w:t xml:space="preserve"> Se trata de la primera mujer qatarí en ocupar ese puesto</w:t>
      </w:r>
      <w:r w:rsidR="00083383" w:rsidRPr="00D43575">
        <w:t>.</w:t>
      </w:r>
      <w:r w:rsidRPr="00D43575">
        <w:t xml:space="preserve"> Con esta decisión, la portavoz oficial del Ministerio de Relaciones Exteriores se ha unido a las filas de las mujeres qataríes que ocupan puestos políticos o diplomáticos de</w:t>
      </w:r>
      <w:r w:rsidR="00083383" w:rsidRPr="00D43575">
        <w:t xml:space="preserve"> </w:t>
      </w:r>
      <w:r w:rsidRPr="00D43575">
        <w:t>categoría superior</w:t>
      </w:r>
      <w:r w:rsidR="00083383" w:rsidRPr="00D43575">
        <w:t>.</w:t>
      </w:r>
    </w:p>
    <w:p w14:paraId="32065B50" w14:textId="0C4CC4C4" w:rsidR="00083383" w:rsidRPr="00D43575" w:rsidRDefault="008D2F10" w:rsidP="00483D4F">
      <w:pPr>
        <w:pStyle w:val="SingleTxt"/>
        <w:keepLines/>
        <w:numPr>
          <w:ilvl w:val="0"/>
          <w:numId w:val="10"/>
        </w:numPr>
        <w:ind w:left="1267" w:firstLine="0"/>
      </w:pPr>
      <w:r w:rsidRPr="00D43575">
        <w:t>El Ministerio de Relaciones Exteriores se ha comprometido a apoyar y capacitar a las mujeres qataríes, alentándolas a ingresar en el cuerpo diplomático y organizando sesiones de formación especializada en la labor diplomática</w:t>
      </w:r>
      <w:r w:rsidR="00083383" w:rsidRPr="00D43575">
        <w:t>.</w:t>
      </w:r>
      <w:r w:rsidRPr="00D43575">
        <w:t xml:space="preserve"> El Ministerio ha establecido un Instituto Diplomático que inició sus operaciones en 2012 y que desempeña una labor de capacitación y formación dentro del Ministerio</w:t>
      </w:r>
      <w:r w:rsidR="00083383" w:rsidRPr="00D43575">
        <w:t>.</w:t>
      </w:r>
      <w:r w:rsidRPr="00D43575">
        <w:t xml:space="preserve"> El Instituto Diplomático se encarga de la preparación, la formación y la capacitación de miembros del personal del Ministerio para que ocupen puestos en el cuerpo diplomático y consular y en el ámbito de la cooperación internacional</w:t>
      </w:r>
      <w:r w:rsidR="00083383" w:rsidRPr="00D43575">
        <w:t>.</w:t>
      </w:r>
      <w:r w:rsidRPr="00D43575">
        <w:t xml:space="preserve"> Su objetivo es formarlos, que adquieran los conocimientos necesarios para el desempeño de sus tareas y que desarrollen su capacidad intelectual en el plano teórico y práctico a través de cursos y programas de capacitación y formación especializada</w:t>
      </w:r>
      <w:r w:rsidR="00083383" w:rsidRPr="00D43575">
        <w:t>.</w:t>
      </w:r>
    </w:p>
    <w:p w14:paraId="6DB11988" w14:textId="47E1C0B8" w:rsidR="008D2F10" w:rsidRPr="00D43575" w:rsidRDefault="008D2F10" w:rsidP="001D1AD0">
      <w:pPr>
        <w:pStyle w:val="SingleTxt"/>
        <w:numPr>
          <w:ilvl w:val="0"/>
          <w:numId w:val="10"/>
        </w:numPr>
        <w:ind w:left="1267" w:firstLine="0"/>
      </w:pPr>
      <w:r w:rsidRPr="00D43575">
        <w:t>El Instituto Diplomático procura empoderar y apoyar a las mujeres para que representen al Gobierno en el plano internacional ofreciéndoles cursos y programas de capacitación en los que participan en pie de igualdad con los hombres</w:t>
      </w:r>
      <w:r w:rsidR="00083383" w:rsidRPr="00D43575">
        <w:t>.</w:t>
      </w:r>
      <w:r w:rsidRPr="00D43575">
        <w:t xml:space="preserve"> Entre las actividades que pone en marcha destacan, entre otras:</w:t>
      </w:r>
    </w:p>
    <w:p w14:paraId="3E2D7021" w14:textId="77777777" w:rsidR="008D2F10" w:rsidRPr="00D43575" w:rsidRDefault="008D2F10" w:rsidP="008D2F10">
      <w:pPr>
        <w:pStyle w:val="SingleTxt"/>
        <w:tabs>
          <w:tab w:val="right" w:pos="1685"/>
        </w:tabs>
        <w:ind w:left="1742" w:hanging="475"/>
      </w:pPr>
      <w:r w:rsidRPr="00D43575">
        <w:tab/>
        <w:t>–</w:t>
      </w:r>
      <w:r w:rsidRPr="00D43575">
        <w:tab/>
        <w:t>Programas de capacitación en la labor diplomática dirigidos a las mujeres miembros del personal administrativo, para que ocupen puestos de categoría diplomática y puedan llevar a cabo misiones diplomáticas en el extranjero;</w:t>
      </w:r>
    </w:p>
    <w:p w14:paraId="70336BA4" w14:textId="77777777" w:rsidR="008D2F10" w:rsidRPr="00D43575" w:rsidRDefault="008D2F10" w:rsidP="008D2F10">
      <w:pPr>
        <w:pStyle w:val="SingleTxt"/>
        <w:tabs>
          <w:tab w:val="right" w:pos="1685"/>
        </w:tabs>
        <w:ind w:left="1742" w:hanging="475"/>
      </w:pPr>
      <w:r w:rsidRPr="00D43575">
        <w:tab/>
        <w:t>–</w:t>
      </w:r>
      <w:r w:rsidRPr="00D43575">
        <w:tab/>
        <w:t>Programas especializados para las mujeres diplomáticas destinadas en el extranjero;</w:t>
      </w:r>
    </w:p>
    <w:p w14:paraId="7FB5619E" w14:textId="77777777" w:rsidR="008D2F10" w:rsidRPr="00D43575" w:rsidRDefault="008D2F10" w:rsidP="008D2F10">
      <w:pPr>
        <w:pStyle w:val="SingleTxt"/>
        <w:tabs>
          <w:tab w:val="right" w:pos="1685"/>
        </w:tabs>
        <w:ind w:left="1742" w:hanging="475"/>
      </w:pPr>
      <w:r w:rsidRPr="00D43575">
        <w:tab/>
        <w:t>–</w:t>
      </w:r>
      <w:r w:rsidRPr="00D43575">
        <w:tab/>
        <w:t>Seminarios y reuniones sobre la labor diplomática dirigidos a mujeres;</w:t>
      </w:r>
    </w:p>
    <w:p w14:paraId="6C6EF217" w14:textId="77777777" w:rsidR="008D2F10" w:rsidRPr="00D43575" w:rsidRDefault="008D2F10" w:rsidP="008D2F10">
      <w:pPr>
        <w:pStyle w:val="SingleTxt"/>
        <w:tabs>
          <w:tab w:val="right" w:pos="1685"/>
        </w:tabs>
        <w:ind w:left="1742" w:hanging="475"/>
      </w:pPr>
      <w:r w:rsidRPr="00D43575">
        <w:tab/>
        <w:t>–</w:t>
      </w:r>
      <w:r w:rsidRPr="00D43575">
        <w:tab/>
        <w:t>La organización de visitas de mujeres que trabajan en el Ministerio de Relaciones Exteriores a los principales centros e institutos de investigación regionales e internacionales;</w:t>
      </w:r>
    </w:p>
    <w:p w14:paraId="774A5AC2" w14:textId="56A6E72C" w:rsidR="008D2F10" w:rsidRPr="00D43575" w:rsidRDefault="008D2F10" w:rsidP="008D2F10">
      <w:pPr>
        <w:pStyle w:val="SingleTxt"/>
        <w:tabs>
          <w:tab w:val="right" w:pos="1685"/>
        </w:tabs>
        <w:ind w:left="1742" w:hanging="475"/>
      </w:pPr>
      <w:r w:rsidRPr="00D43575">
        <w:tab/>
        <w:t>–</w:t>
      </w:r>
      <w:r w:rsidRPr="00D43575">
        <w:tab/>
        <w:t>Cursos de formación en oratoria y retórica, así como en competencias para saber tratar con los medios de comunicación</w:t>
      </w:r>
      <w:r w:rsidR="00083383" w:rsidRPr="00D43575">
        <w:t>.</w:t>
      </w:r>
    </w:p>
    <w:p w14:paraId="7A88AECC" w14:textId="77777777" w:rsidR="008D2F10" w:rsidRPr="00D43575" w:rsidRDefault="008D2F10" w:rsidP="001D1AD0">
      <w:pPr>
        <w:pStyle w:val="SingleTxt"/>
        <w:numPr>
          <w:ilvl w:val="0"/>
          <w:numId w:val="10"/>
        </w:numPr>
        <w:ind w:left="1267" w:firstLine="0"/>
      </w:pPr>
      <w:r w:rsidRPr="00D43575">
        <w:t>Otras mujeres qataríes ocupan puestos diplomáticos en delegaciones en el exterior y son miembros de numerosas organizaciones internacionales, en particular en las esferas de los derechos humanos y el desarrollo social, incluidas las siguientes funciones:</w:t>
      </w:r>
    </w:p>
    <w:p w14:paraId="68A6BEB8" w14:textId="77777777" w:rsidR="008D2F10" w:rsidRPr="00D43575" w:rsidRDefault="008D2F10" w:rsidP="008D2F10">
      <w:pPr>
        <w:pStyle w:val="SingleTxt"/>
        <w:tabs>
          <w:tab w:val="right" w:pos="1685"/>
        </w:tabs>
        <w:ind w:left="1742" w:hanging="475"/>
      </w:pPr>
      <w:r w:rsidRPr="00D43575">
        <w:tab/>
        <w:t>–</w:t>
      </w:r>
      <w:r w:rsidRPr="00D43575">
        <w:tab/>
        <w:t>Relatora Especial de las Naciones Unidas sobre Discapacidad (en el pasado);</w:t>
      </w:r>
    </w:p>
    <w:p w14:paraId="5FEF875D" w14:textId="77777777" w:rsidR="008D2F10" w:rsidRPr="00D43575" w:rsidRDefault="008D2F10" w:rsidP="008D2F10">
      <w:pPr>
        <w:pStyle w:val="SingleTxt"/>
        <w:tabs>
          <w:tab w:val="right" w:pos="1685"/>
        </w:tabs>
        <w:ind w:left="1742" w:hanging="475"/>
      </w:pPr>
      <w:r w:rsidRPr="00D43575">
        <w:lastRenderedPageBreak/>
        <w:tab/>
        <w:t>–</w:t>
      </w:r>
      <w:r w:rsidRPr="00D43575">
        <w:tab/>
        <w:t>Enviada Especial de la Liga de los Estados Árabes para el Socorro Humanitario;</w:t>
      </w:r>
    </w:p>
    <w:p w14:paraId="0328D18E" w14:textId="77777777" w:rsidR="008D2F10" w:rsidRPr="00D43575" w:rsidRDefault="008D2F10" w:rsidP="008D2F10">
      <w:pPr>
        <w:pStyle w:val="SingleTxt"/>
        <w:tabs>
          <w:tab w:val="right" w:pos="1685"/>
        </w:tabs>
        <w:ind w:left="1742" w:hanging="475"/>
      </w:pPr>
      <w:r w:rsidRPr="00D43575">
        <w:tab/>
        <w:t>–</w:t>
      </w:r>
      <w:r w:rsidRPr="00D43575">
        <w:tab/>
        <w:t>Miembro del Comité de los Derechos del Niño;</w:t>
      </w:r>
    </w:p>
    <w:p w14:paraId="4FFBF519" w14:textId="7CAEDC69" w:rsidR="008D2F10" w:rsidRPr="00D43575" w:rsidRDefault="008D2F10" w:rsidP="008D2F10">
      <w:pPr>
        <w:pStyle w:val="SingleTxt"/>
        <w:tabs>
          <w:tab w:val="right" w:pos="1685"/>
        </w:tabs>
        <w:ind w:left="1742" w:hanging="475"/>
      </w:pPr>
      <w:r w:rsidRPr="00D43575">
        <w:tab/>
        <w:t>–</w:t>
      </w:r>
      <w:r w:rsidRPr="00D43575">
        <w:tab/>
        <w:t>Miembro del Comité sobre los Derechos de las Personas con Discapacidad (en</w:t>
      </w:r>
      <w:r w:rsidR="00083383" w:rsidRPr="00D43575">
        <w:t xml:space="preserve"> </w:t>
      </w:r>
      <w:r w:rsidRPr="00D43575">
        <w:t>el pasado);</w:t>
      </w:r>
    </w:p>
    <w:p w14:paraId="0FF6A8FD" w14:textId="7098854D" w:rsidR="008D2F10" w:rsidRPr="00D43575" w:rsidRDefault="008D2F10" w:rsidP="008D2F10">
      <w:pPr>
        <w:pStyle w:val="SingleTxt"/>
        <w:tabs>
          <w:tab w:val="right" w:pos="1685"/>
        </w:tabs>
        <w:ind w:left="1742" w:hanging="475"/>
      </w:pPr>
      <w:r w:rsidRPr="00D43575">
        <w:tab/>
        <w:t>–</w:t>
      </w:r>
      <w:r w:rsidRPr="00D43575">
        <w:tab/>
        <w:t>Miembro del Comité de las Naciones Unidas para la Eliminación de la Discriminación contra la Mujer (en el pasado)</w:t>
      </w:r>
      <w:r w:rsidR="00083383" w:rsidRPr="00D43575">
        <w:t>.</w:t>
      </w:r>
    </w:p>
    <w:p w14:paraId="002E4035" w14:textId="1F8EFB66" w:rsidR="00083383" w:rsidRPr="00D43575" w:rsidRDefault="008D2F10" w:rsidP="001D1AD0">
      <w:pPr>
        <w:pStyle w:val="SingleTxt"/>
        <w:numPr>
          <w:ilvl w:val="0"/>
          <w:numId w:val="10"/>
        </w:numPr>
        <w:ind w:left="1267" w:firstLine="0"/>
      </w:pPr>
      <w:r w:rsidRPr="00D43575">
        <w:t>Las mujeres qataríes ocupan puestos directivos de categoría superior en instituciones y organizaciones de la sociedad civil</w:t>
      </w:r>
      <w:r w:rsidR="00083383" w:rsidRPr="00D43575">
        <w:t>.</w:t>
      </w:r>
      <w:r w:rsidRPr="00D43575">
        <w:t xml:space="preserve"> Varias mujeres son miembros de las juntas directivas de los consejos superiores y de las instituciones y los órganos gubernamentales</w:t>
      </w:r>
      <w:r w:rsidR="00083383" w:rsidRPr="00D43575">
        <w:t>.</w:t>
      </w:r>
      <w:r w:rsidRPr="00D43575">
        <w:t xml:space="preserve"> Las mujeres también son miembros de los comités permanentes encargados de la elaboración de las políticas y estrategias —como el Comité Permanente de Población— y otros comités especiales que formulan leyes</w:t>
      </w:r>
      <w:r w:rsidR="00083383" w:rsidRPr="00D43575">
        <w:t>.</w:t>
      </w:r>
    </w:p>
    <w:p w14:paraId="79E63F7D" w14:textId="3ADF18A1" w:rsidR="008D2F10" w:rsidRPr="00D43575" w:rsidRDefault="008D2F10" w:rsidP="001D1AD0">
      <w:pPr>
        <w:pStyle w:val="SingleTxt"/>
        <w:numPr>
          <w:ilvl w:val="0"/>
          <w:numId w:val="10"/>
        </w:numPr>
        <w:ind w:left="1267" w:firstLine="0"/>
      </w:pPr>
      <w:r w:rsidRPr="00D43575">
        <w:t>El tema del apoyo a la educación de la mujer en las esferas de la diplomacia y la política se examinará en relación con el artículo 10 de la Convención</w:t>
      </w:r>
      <w:r w:rsidR="00083383" w:rsidRPr="00D43575">
        <w:t>.</w:t>
      </w:r>
    </w:p>
    <w:p w14:paraId="111E9267" w14:textId="77777777" w:rsidR="008D2F10" w:rsidRPr="00D43575" w:rsidRDefault="008D2F10" w:rsidP="008D2F10">
      <w:pPr>
        <w:pStyle w:val="SingleTxt"/>
        <w:spacing w:after="0" w:line="120" w:lineRule="exact"/>
        <w:rPr>
          <w:sz w:val="10"/>
        </w:rPr>
      </w:pPr>
    </w:p>
    <w:p w14:paraId="5CE333C9"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Artículo 9: Nacionalidad</w:t>
      </w:r>
    </w:p>
    <w:p w14:paraId="134692F8" w14:textId="77777777" w:rsidR="008D2F10" w:rsidRPr="00D43575" w:rsidRDefault="008D2F10" w:rsidP="008D2F10">
      <w:pPr>
        <w:pStyle w:val="SingleTxt"/>
        <w:spacing w:after="0" w:line="120" w:lineRule="exact"/>
        <w:rPr>
          <w:sz w:val="10"/>
        </w:rPr>
      </w:pPr>
    </w:p>
    <w:p w14:paraId="1580EB9E" w14:textId="684FEDBD" w:rsidR="008D2F10" w:rsidRPr="00D43575" w:rsidRDefault="008D2F10" w:rsidP="001D1AD0">
      <w:pPr>
        <w:pStyle w:val="SingleTxt"/>
        <w:numPr>
          <w:ilvl w:val="0"/>
          <w:numId w:val="10"/>
        </w:numPr>
        <w:ind w:left="1267" w:firstLine="0"/>
      </w:pPr>
      <w:r w:rsidRPr="00D43575">
        <w:t xml:space="preserve">El artículo 41 de la Constitución Permanente establece que </w:t>
      </w:r>
      <w:r w:rsidR="00F652D5" w:rsidRPr="00D43575">
        <w:t>“</w:t>
      </w:r>
      <w:r w:rsidRPr="00D43575">
        <w:t>la nacionalidad qatarí y la reglamentación pertinente competen al dominio de la ley</w:t>
      </w:r>
      <w:r w:rsidR="00083383" w:rsidRPr="00D43575">
        <w:t>.</w:t>
      </w:r>
      <w:r w:rsidRPr="00D43575">
        <w:t xml:space="preserve"> Dicha reglamentación tiene rango de norma constitucional</w:t>
      </w:r>
      <w:r w:rsidR="00F652D5" w:rsidRPr="00D43575">
        <w:t>”</w:t>
      </w:r>
      <w:r w:rsidR="00083383" w:rsidRPr="00D43575">
        <w:t>.</w:t>
      </w:r>
      <w:r w:rsidRPr="00D43575">
        <w:t xml:space="preserve"> El artículo 1 de la Ley de la Nacionalidad Qatarí (núm</w:t>
      </w:r>
      <w:r w:rsidR="00083383" w:rsidRPr="00D43575">
        <w:t>.</w:t>
      </w:r>
      <w:r w:rsidRPr="00D43575">
        <w:t xml:space="preserve"> 28/2005) ofrece una definición de quién es ciudadano qatarí</w:t>
      </w:r>
      <w:r w:rsidR="00083383" w:rsidRPr="00D43575">
        <w:t>.</w:t>
      </w:r>
      <w:r w:rsidRPr="00D43575">
        <w:t xml:space="preserve"> Su artículo 2 regula las condiciones que debe cumplir un ciudadano no qatarí para adquirirla y no establece distingos entre el hombre y la mujer</w:t>
      </w:r>
      <w:r w:rsidR="00083383" w:rsidRPr="00D43575">
        <w:t>.</w:t>
      </w:r>
      <w:r w:rsidRPr="00D43575">
        <w:t xml:space="preserve"> Cabe mencionar, además, las siguientes disposiciones:</w:t>
      </w:r>
    </w:p>
    <w:p w14:paraId="0DDBD6BB" w14:textId="55846110" w:rsidR="008D2F10" w:rsidRPr="00D43575" w:rsidRDefault="008D2F10" w:rsidP="008D2F10">
      <w:pPr>
        <w:pStyle w:val="SingleTxt"/>
        <w:tabs>
          <w:tab w:val="right" w:pos="1685"/>
        </w:tabs>
        <w:ind w:left="1742" w:hanging="475"/>
      </w:pPr>
      <w:r w:rsidRPr="00D43575">
        <w:tab/>
        <w:t>•</w:t>
      </w:r>
      <w:r w:rsidRPr="00D43575">
        <w:tab/>
        <w:t>Los artículos 11 y 12 especifican en términos generales los casos de retirada o privación de la nacionalidad sin discriminación entre hombres y mujeres</w:t>
      </w:r>
      <w:r w:rsidR="00083383" w:rsidRPr="00D43575">
        <w:t>.</w:t>
      </w:r>
    </w:p>
    <w:p w14:paraId="45C97E9A" w14:textId="741F85C6" w:rsidR="008D2F10" w:rsidRPr="00D43575" w:rsidRDefault="008D2F10" w:rsidP="008D2F10">
      <w:pPr>
        <w:pStyle w:val="SingleTxt"/>
        <w:tabs>
          <w:tab w:val="right" w:pos="1685"/>
        </w:tabs>
        <w:ind w:left="1742" w:hanging="475"/>
      </w:pPr>
      <w:r w:rsidRPr="00D43575">
        <w:tab/>
        <w:t>•</w:t>
      </w:r>
      <w:r w:rsidRPr="00D43575">
        <w:tab/>
        <w:t>El artículo 18 prohíbe la doble nacionalidad qatarí y de otro Estado, salvo que se promulgue una resolución de Su Alteza el Emir</w:t>
      </w:r>
      <w:r w:rsidR="00083383" w:rsidRPr="00D43575">
        <w:t>.</w:t>
      </w:r>
      <w:r w:rsidRPr="00D43575">
        <w:t xml:space="preserve"> La adquisición de la nacionalidad de otro Estado da lugar a la pérdida de la nacionalidad qatarí</w:t>
      </w:r>
      <w:r w:rsidR="00083383" w:rsidRPr="00D43575">
        <w:t>.</w:t>
      </w:r>
    </w:p>
    <w:p w14:paraId="5E0ABC66" w14:textId="0A79F021" w:rsidR="008D2F10" w:rsidRPr="00D43575" w:rsidRDefault="008D2F10" w:rsidP="008D2F10">
      <w:pPr>
        <w:pStyle w:val="SingleTxt"/>
        <w:tabs>
          <w:tab w:val="right" w:pos="1685"/>
        </w:tabs>
        <w:ind w:left="1742" w:hanging="475"/>
      </w:pPr>
      <w:r w:rsidRPr="00D43575">
        <w:tab/>
        <w:t>•</w:t>
      </w:r>
      <w:r w:rsidRPr="00D43575">
        <w:tab/>
        <w:t>El artículo 10 dispone que la mujer qatarí no pierde su nacionalidad en caso de contraer matrimonio con un no qatarí, salvo que adquiera la nacionalidad del esposo</w:t>
      </w:r>
      <w:r w:rsidR="00083383" w:rsidRPr="00D43575">
        <w:t>.</w:t>
      </w:r>
      <w:r w:rsidRPr="00D43575">
        <w:t xml:space="preserve"> En tal supuesto, podrá recuperar la nacionalidad qatarí tras renunciar a la otra nacionalidad</w:t>
      </w:r>
      <w:r w:rsidR="00083383" w:rsidRPr="00D43575">
        <w:t>.</w:t>
      </w:r>
    </w:p>
    <w:p w14:paraId="5CEA88D1" w14:textId="65A9A97F" w:rsidR="008D2F10" w:rsidRPr="00D43575" w:rsidRDefault="008D2F10" w:rsidP="008D2F10">
      <w:pPr>
        <w:pStyle w:val="SingleTxt"/>
        <w:tabs>
          <w:tab w:val="right" w:pos="1685"/>
        </w:tabs>
        <w:ind w:left="1742" w:hanging="475"/>
      </w:pPr>
      <w:r w:rsidRPr="00D43575">
        <w:tab/>
        <w:t>•</w:t>
      </w:r>
      <w:r w:rsidRPr="00D43575">
        <w:tab/>
        <w:t>Una mujer qatarí por naturalización no pierde su nacionalidad a la muerte de su marido ni en caso de divorcio, a menos que hubiera contraído matrimonio contraviniendo lo dispuesto en la Ley núm</w:t>
      </w:r>
      <w:r w:rsidR="00083383" w:rsidRPr="00D43575">
        <w:t>.</w:t>
      </w:r>
      <w:r w:rsidRPr="00D43575">
        <w:t xml:space="preserve"> 21/1989 relativa al matrimonio con extranjeros o hubiera recuperado o adquirido otra nacionalidad</w:t>
      </w:r>
      <w:r w:rsidR="00083383" w:rsidRPr="00D43575">
        <w:t>.</w:t>
      </w:r>
      <w:r w:rsidRPr="00D43575">
        <w:t xml:space="preserve"> El esposo que adquiere la nacionalidad de su mujer durante el matrimonio no pierde la nacionalidad qatarí</w:t>
      </w:r>
      <w:r w:rsidR="00083383" w:rsidRPr="00D43575">
        <w:t>.</w:t>
      </w:r>
      <w:r w:rsidRPr="00D43575">
        <w:t xml:space="preserve"> La ley no contempla este supuesto como uno de los motivos o condiciones para la pérdida de la ciudadanía</w:t>
      </w:r>
      <w:r w:rsidR="00083383" w:rsidRPr="00D43575">
        <w:t>.</w:t>
      </w:r>
    </w:p>
    <w:p w14:paraId="2C8FAC1E" w14:textId="77777777" w:rsidR="008D2F10" w:rsidRPr="00D43575" w:rsidRDefault="008D2F10" w:rsidP="00911F53">
      <w:pPr>
        <w:pStyle w:val="SingleTxt"/>
        <w:spacing w:after="0" w:line="120" w:lineRule="exact"/>
        <w:rPr>
          <w:sz w:val="10"/>
        </w:rPr>
      </w:pPr>
    </w:p>
    <w:p w14:paraId="1ECACDD9"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Cumplimiento de las recomendaciones sobre el artículo 9</w:t>
      </w:r>
    </w:p>
    <w:p w14:paraId="6547B43A" w14:textId="77777777" w:rsidR="008D2F10" w:rsidRPr="00D43575" w:rsidRDefault="008D2F10" w:rsidP="008D2F10">
      <w:pPr>
        <w:pStyle w:val="SingleTxt"/>
        <w:spacing w:after="0" w:line="120" w:lineRule="exact"/>
        <w:rPr>
          <w:sz w:val="10"/>
        </w:rPr>
      </w:pPr>
    </w:p>
    <w:p w14:paraId="09A521BA" w14:textId="5C3335F9" w:rsidR="00083383" w:rsidRPr="00D43575" w:rsidRDefault="008D2F10" w:rsidP="001D1AD0">
      <w:pPr>
        <w:pStyle w:val="SingleTxt"/>
        <w:numPr>
          <w:ilvl w:val="0"/>
          <w:numId w:val="10"/>
        </w:numPr>
        <w:ind w:left="1267" w:firstLine="0"/>
      </w:pPr>
      <w:r w:rsidRPr="00D43575">
        <w:t>Aunque la legislación qatarí no trata por igual a hombres y mujeres en lo que respecta a la concesión de la nacionalidad a los hijos, otorga prioridad para la naturalización a los hijos de madre qatarí, de conformidad con las disposiciones del artículo 2</w:t>
      </w:r>
      <w:r w:rsidR="00083383" w:rsidRPr="00D43575">
        <w:t>.</w:t>
      </w:r>
    </w:p>
    <w:p w14:paraId="6AB138A2" w14:textId="6228FEDE" w:rsidR="008D2F10" w:rsidRPr="00D43575" w:rsidRDefault="008D2F10" w:rsidP="001D1AD0">
      <w:pPr>
        <w:pStyle w:val="SingleTxt"/>
        <w:numPr>
          <w:ilvl w:val="0"/>
          <w:numId w:val="10"/>
        </w:numPr>
        <w:ind w:left="1267" w:firstLine="0"/>
      </w:pPr>
      <w:r w:rsidRPr="00D43575">
        <w:t>En lo que respecta a las revisiones y modificaciones de la legislación sobre la nacionalidad, cabe señalar que las disposiciones de la Ley de la Nacionalidad tienen rango de norma constitucional en virtud del artículo 41 de la Constitución</w:t>
      </w:r>
      <w:r w:rsidR="00083383" w:rsidRPr="00D43575">
        <w:t>.</w:t>
      </w:r>
      <w:r w:rsidRPr="00D43575">
        <w:t xml:space="preserve"> Por lo tanto, los procedimientos necesarios para modificarla son los mismos que para </w:t>
      </w:r>
      <w:r w:rsidRPr="00D43575">
        <w:lastRenderedPageBreak/>
        <w:t>modificar las disposiciones de la Constitución</w:t>
      </w:r>
      <w:r w:rsidR="00083383" w:rsidRPr="00D43575">
        <w:t>.</w:t>
      </w:r>
      <w:r w:rsidRPr="00D43575">
        <w:t xml:space="preserve"> Se trata de una labor más compleja que los procedimientos para modificar otras leyes</w:t>
      </w:r>
      <w:r w:rsidR="00083383" w:rsidRPr="00D43575">
        <w:t>.</w:t>
      </w:r>
      <w:r w:rsidRPr="00D43575">
        <w:t xml:space="preserve"> Además, realizar modificaciones en las disposiciones relativas a esta cuestión conllevaría examinar otras leyes pertinentes, como la ley por la que se regula el matrimonio con extranjeros</w:t>
      </w:r>
      <w:r w:rsidR="00083383" w:rsidRPr="00D43575">
        <w:t>.</w:t>
      </w:r>
      <w:r w:rsidRPr="00D43575">
        <w:t xml:space="preserve"> Cabe señalar que el Estado de Qatar ha adoptado varias medidas en esta dirección, entre ellas las siguientes:</w:t>
      </w:r>
    </w:p>
    <w:p w14:paraId="2BD6A20D" w14:textId="2A0410A2" w:rsidR="008D2F10" w:rsidRPr="00D43575" w:rsidRDefault="008D2F10" w:rsidP="008D2F10">
      <w:pPr>
        <w:pStyle w:val="SingleTxt"/>
        <w:tabs>
          <w:tab w:val="right" w:pos="1685"/>
        </w:tabs>
        <w:ind w:left="1742" w:hanging="475"/>
      </w:pPr>
      <w:r w:rsidRPr="00D43575">
        <w:tab/>
        <w:t>•</w:t>
      </w:r>
      <w:r w:rsidRPr="00D43575">
        <w:tab/>
        <w:t>Se ha creado un grupo de trabajo integrado por los organismos públicos pertinentes para estudiar el articulado de la Ley de la Nacionalidad y otras leyes conexas</w:t>
      </w:r>
      <w:r w:rsidR="00083383" w:rsidRPr="00D43575">
        <w:t>.</w:t>
      </w:r>
      <w:r w:rsidRPr="00D43575">
        <w:t xml:space="preserve"> Este grupo está considerando modificar la ley para incluir disposiciones que garanticen la igualdad entre los hijos de mujeres qataríes casadas con extranjeros y los de madres qataríes casadas con nacionales en lo que respecta a la adquisición de la nacionalidad qatarí</w:t>
      </w:r>
      <w:r w:rsidR="00083383" w:rsidRPr="00D43575">
        <w:t>.</w:t>
      </w:r>
      <w:r w:rsidRPr="00D43575">
        <w:t xml:space="preserve"> El grupo de trabajo presentará sus conclusiones a los más altos funcionarios del Estado</w:t>
      </w:r>
      <w:r w:rsidR="00083383" w:rsidRPr="00D43575">
        <w:t>.</w:t>
      </w:r>
    </w:p>
    <w:p w14:paraId="6413A895" w14:textId="4DBC6A08" w:rsidR="008D2F10" w:rsidRPr="00D43575" w:rsidRDefault="00421283" w:rsidP="00483D4F">
      <w:pPr>
        <w:pStyle w:val="SingleTxt"/>
        <w:keepLines/>
        <w:tabs>
          <w:tab w:val="right" w:pos="1685"/>
        </w:tabs>
        <w:ind w:left="1742" w:hanging="475"/>
      </w:pPr>
      <w:r w:rsidRPr="00D43575">
        <w:tab/>
        <w:t>•</w:t>
      </w:r>
      <w:r w:rsidRPr="00D43575">
        <w:tab/>
      </w:r>
      <w:r w:rsidR="008D2F10" w:rsidRPr="00D43575">
        <w:t>El Consejo de Ministros aprobó en reunión celebrada el 2 de agosto de 2017 el proyecto de Ley de la Tarjeta de Residencia Permanente, que permitirá conceder la residencia permanente a los hijos de mujeres qataríes casadas con extranjeros, a los extranjeros que hubieran prestado servicios distinguidos al Estado y a personas con competencias especiales de las que precise el país</w:t>
      </w:r>
      <w:r w:rsidR="00083383" w:rsidRPr="00D43575">
        <w:t>.</w:t>
      </w:r>
      <w:r w:rsidR="008D2F10" w:rsidRPr="00D43575">
        <w:t xml:space="preserve"> Con sujeción a las resoluciones ejecutivas que el Consejo de Ministros promulgará en aplicación de la Ley citada, la tarjeta de residencia permanente garantizará a su titular diversos privilegios en las esferas de la educación, la atención de la salud y la designación para cargos públicos militares y civiles, así como derecho a la titularidad de bienes inmuebles en el Estado</w:t>
      </w:r>
      <w:r w:rsidR="00083383" w:rsidRPr="00D43575">
        <w:t>.</w:t>
      </w:r>
      <w:r w:rsidR="008D2F10" w:rsidRPr="00D43575">
        <w:t xml:space="preserve"> La Ley también prevé el establecimiento de una comisión permanente en el seno del Ministerio del Interior, denominada Comisión para la Concesión de la Tarjeta de Residencia Permanente, que examinará las solicitudes pertinentes</w:t>
      </w:r>
      <w:r w:rsidR="00083383" w:rsidRPr="00D43575">
        <w:t>.</w:t>
      </w:r>
    </w:p>
    <w:p w14:paraId="6137507E" w14:textId="68A47CC6" w:rsidR="008D2F10" w:rsidRPr="00D43575" w:rsidRDefault="008D2F10" w:rsidP="008D2F10">
      <w:pPr>
        <w:pStyle w:val="SingleTxt"/>
        <w:tabs>
          <w:tab w:val="right" w:pos="1685"/>
        </w:tabs>
        <w:ind w:left="1742" w:hanging="475"/>
      </w:pPr>
      <w:r w:rsidRPr="00D43575">
        <w:tab/>
        <w:t>•</w:t>
      </w:r>
      <w:r w:rsidRPr="00D43575">
        <w:tab/>
        <w:t>Se ha propuesto una modificación legislativa a la Ley núm</w:t>
      </w:r>
      <w:r w:rsidR="00083383" w:rsidRPr="00D43575">
        <w:t>.</w:t>
      </w:r>
      <w:r w:rsidRPr="00D43575">
        <w:t xml:space="preserve"> 21/1989, que regula el matrimonio con extranjeros, que reconoce el derecho de los hijos de mujeres qataríes casadas con extranjeros a poseer bienes inmuebles que han heredado</w:t>
      </w:r>
      <w:r w:rsidR="00083383" w:rsidRPr="00D43575">
        <w:t>.</w:t>
      </w:r>
      <w:r w:rsidRPr="00D43575">
        <w:t xml:space="preserve"> En estos momentos, se están llevando a cabo los procedimientos legislativos correspondientes para dicha modificación</w:t>
      </w:r>
      <w:r w:rsidR="00083383" w:rsidRPr="00D43575">
        <w:t>.</w:t>
      </w:r>
    </w:p>
    <w:p w14:paraId="2217CEFD" w14:textId="77777777" w:rsidR="008D2F10" w:rsidRPr="00D43575" w:rsidRDefault="008D2F10" w:rsidP="00911F53">
      <w:pPr>
        <w:pStyle w:val="SingleTxt"/>
        <w:spacing w:after="0" w:line="120" w:lineRule="exact"/>
        <w:rPr>
          <w:sz w:val="10"/>
        </w:rPr>
      </w:pPr>
    </w:p>
    <w:p w14:paraId="066C71E4"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Artículo 10: Educación</w:t>
      </w:r>
    </w:p>
    <w:p w14:paraId="0959F13A" w14:textId="77777777" w:rsidR="008D2F10" w:rsidRPr="00D43575" w:rsidRDefault="008D2F10" w:rsidP="008D2F10">
      <w:pPr>
        <w:pStyle w:val="SingleTxt"/>
        <w:spacing w:after="0" w:line="120" w:lineRule="exact"/>
        <w:rPr>
          <w:sz w:val="10"/>
        </w:rPr>
      </w:pPr>
    </w:p>
    <w:p w14:paraId="5A87F6CA" w14:textId="3F725917" w:rsidR="008D2F10" w:rsidRPr="00D43575" w:rsidRDefault="008D2F10" w:rsidP="001D1AD0">
      <w:pPr>
        <w:pStyle w:val="SingleTxt"/>
        <w:numPr>
          <w:ilvl w:val="0"/>
          <w:numId w:val="10"/>
        </w:numPr>
        <w:ind w:left="1267" w:firstLine="0"/>
      </w:pPr>
      <w:r w:rsidRPr="00D43575">
        <w:t>La educación es uno de los principales pilares de la igualdad de género en el Estado de Qatar</w:t>
      </w:r>
      <w:r w:rsidR="00083383" w:rsidRPr="00D43575">
        <w:t>.</w:t>
      </w:r>
      <w:r w:rsidRPr="00D43575">
        <w:t xml:space="preserve"> El Estado se ha propuesto lograr la igualdad y la paridad de género en lo que respecta a las matriculaciones en educación y a los beneficios de todas las oportunidades que ofrece</w:t>
      </w:r>
      <w:r w:rsidR="00083383" w:rsidRPr="00D43575">
        <w:t>.</w:t>
      </w:r>
      <w:r w:rsidRPr="00D43575">
        <w:t xml:space="preserve"> En la legislación aprobada y las estrategias puestas en marcha por el Estado, que no contienen ninguna forma de discriminación, se da cuenta claramente de este compromiso</w:t>
      </w:r>
      <w:r w:rsidR="00083383" w:rsidRPr="00D43575">
        <w:t>.</w:t>
      </w:r>
    </w:p>
    <w:p w14:paraId="2D13907B" w14:textId="5014168F" w:rsidR="007D35C8" w:rsidRPr="00D43575" w:rsidRDefault="008D2F10" w:rsidP="001D1AD0">
      <w:pPr>
        <w:pStyle w:val="SingleTxt"/>
        <w:numPr>
          <w:ilvl w:val="0"/>
          <w:numId w:val="10"/>
        </w:numPr>
        <w:ind w:left="1267" w:firstLine="0"/>
      </w:pPr>
      <w:r w:rsidRPr="00D43575">
        <w:t xml:space="preserve">El Decreto </w:t>
      </w:r>
      <w:r w:rsidR="009D5F93">
        <w:t>del Emir</w:t>
      </w:r>
      <w:r w:rsidR="009D5F93" w:rsidRPr="009D5F93">
        <w:t xml:space="preserve"> </w:t>
      </w:r>
      <w:r w:rsidRPr="009D5F93">
        <w:t>núm</w:t>
      </w:r>
      <w:r w:rsidR="00083383" w:rsidRPr="009D5F93">
        <w:t>.</w:t>
      </w:r>
      <w:r w:rsidRPr="009D5F93">
        <w:t xml:space="preserve"> 25, publicado en septiembre de 2001, dispuso que la enseñanza era obligatoria para todos los niños en el territorio del Estado, desde la enseñanza primaria hasta la escuela preparatoria, o hasta la edad de 18 años, si ello ocurriera antes</w:t>
      </w:r>
      <w:r w:rsidR="00083383" w:rsidRPr="00D43575">
        <w:t>.</w:t>
      </w:r>
      <w:r w:rsidRPr="00D43575">
        <w:t xml:space="preserve"> El cuadro 4 muestra el porcentaje de mujeres en los niveles de enseñanza obligatoria de 2012 a 2016</w:t>
      </w:r>
      <w:r w:rsidR="00083383" w:rsidRPr="00D43575">
        <w:t>.</w:t>
      </w:r>
    </w:p>
    <w:p w14:paraId="51334C93" w14:textId="77777777" w:rsidR="007D35C8" w:rsidRPr="00D43575" w:rsidRDefault="007D35C8">
      <w:pPr>
        <w:suppressAutoHyphens w:val="0"/>
        <w:spacing w:line="240" w:lineRule="auto"/>
        <w:rPr>
          <w:kern w:val="14"/>
        </w:rPr>
      </w:pPr>
      <w:r w:rsidRPr="00D43575">
        <w:br w:type="page"/>
      </w:r>
    </w:p>
    <w:p w14:paraId="5CCC4187" w14:textId="3D13A782"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lastRenderedPageBreak/>
        <w:tab/>
      </w:r>
      <w:r w:rsidRPr="00D43575">
        <w:rPr>
          <w:bCs w:val="0"/>
          <w:szCs w:val="20"/>
        </w:rPr>
        <w:tab/>
      </w:r>
      <w:r w:rsidR="00203B27">
        <w:rPr>
          <w:b w:val="0"/>
          <w:bCs w:val="0"/>
          <w:szCs w:val="20"/>
        </w:rPr>
        <w:t>Cuadro 4</w:t>
      </w:r>
      <w:r w:rsidR="009070BD" w:rsidRPr="00D43575">
        <w:rPr>
          <w:b w:val="0"/>
          <w:bCs w:val="0"/>
          <w:szCs w:val="20"/>
        </w:rPr>
        <w:br/>
      </w:r>
      <w:r w:rsidRPr="00D43575">
        <w:rPr>
          <w:bCs w:val="0"/>
          <w:szCs w:val="20"/>
        </w:rPr>
        <w:t>Porcentaje de mujeres en los niveles de enseñanza obligatoria de 2012 a 2016</w:t>
      </w:r>
    </w:p>
    <w:p w14:paraId="22FAB9D4" w14:textId="77777777" w:rsidR="008D2F10" w:rsidRPr="00D43575" w:rsidRDefault="008D2F10" w:rsidP="008D2F1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23"/>
        <w:gridCol w:w="915"/>
        <w:gridCol w:w="915"/>
        <w:gridCol w:w="915"/>
        <w:gridCol w:w="1002"/>
        <w:gridCol w:w="930"/>
        <w:gridCol w:w="861"/>
        <w:gridCol w:w="819"/>
      </w:tblGrid>
      <w:tr w:rsidR="008D2F10" w:rsidRPr="00D43575" w14:paraId="5BFEE1CA" w14:textId="77777777" w:rsidTr="00BE5E99">
        <w:trPr>
          <w:tblHeader/>
        </w:trPr>
        <w:tc>
          <w:tcPr>
            <w:tcW w:w="1023" w:type="dxa"/>
            <w:tcBorders>
              <w:top w:val="single" w:sz="4" w:space="0" w:color="auto"/>
              <w:bottom w:val="single" w:sz="12" w:space="0" w:color="auto"/>
            </w:tcBorders>
            <w:shd w:val="clear" w:color="auto" w:fill="auto"/>
            <w:vAlign w:val="bottom"/>
          </w:tcPr>
          <w:p w14:paraId="07B7AF12" w14:textId="77777777" w:rsidR="008D2F10" w:rsidRPr="00D43575" w:rsidRDefault="008D2F10" w:rsidP="00B06AC3">
            <w:pPr>
              <w:pStyle w:val="SingleTxt"/>
              <w:spacing w:before="80" w:after="80" w:line="160" w:lineRule="exact"/>
              <w:ind w:left="11" w:right="43"/>
              <w:jc w:val="left"/>
              <w:rPr>
                <w:i/>
                <w:iCs/>
                <w:sz w:val="14"/>
              </w:rPr>
            </w:pPr>
            <w:r w:rsidRPr="00D43575">
              <w:rPr>
                <w:i/>
                <w:iCs/>
                <w:sz w:val="14"/>
              </w:rPr>
              <w:t>Curso académico</w:t>
            </w:r>
          </w:p>
        </w:tc>
        <w:tc>
          <w:tcPr>
            <w:tcW w:w="915" w:type="dxa"/>
            <w:tcBorders>
              <w:top w:val="single" w:sz="4" w:space="0" w:color="auto"/>
              <w:bottom w:val="single" w:sz="12" w:space="0" w:color="auto"/>
            </w:tcBorders>
            <w:shd w:val="clear" w:color="auto" w:fill="auto"/>
            <w:vAlign w:val="bottom"/>
          </w:tcPr>
          <w:p w14:paraId="2CC3E9BB" w14:textId="77777777" w:rsidR="008D2F10" w:rsidRPr="00D43575" w:rsidRDefault="008D2F10" w:rsidP="00B06AC3">
            <w:pPr>
              <w:pStyle w:val="SingleTxt"/>
              <w:spacing w:before="80" w:after="80" w:line="160" w:lineRule="exact"/>
              <w:ind w:left="63" w:right="43"/>
              <w:jc w:val="right"/>
              <w:rPr>
                <w:i/>
                <w:iCs/>
                <w:sz w:val="14"/>
              </w:rPr>
            </w:pPr>
            <w:r w:rsidRPr="00D43575">
              <w:rPr>
                <w:i/>
                <w:iCs/>
                <w:sz w:val="14"/>
              </w:rPr>
              <w:t>Alumnas en la enseñanza primaria</w:t>
            </w:r>
          </w:p>
        </w:tc>
        <w:tc>
          <w:tcPr>
            <w:tcW w:w="915" w:type="dxa"/>
            <w:tcBorders>
              <w:top w:val="single" w:sz="4" w:space="0" w:color="auto"/>
              <w:bottom w:val="single" w:sz="12" w:space="0" w:color="auto"/>
            </w:tcBorders>
            <w:shd w:val="clear" w:color="auto" w:fill="auto"/>
            <w:vAlign w:val="bottom"/>
          </w:tcPr>
          <w:p w14:paraId="72EA7A81" w14:textId="77777777" w:rsidR="008D2F10" w:rsidRPr="00D43575" w:rsidRDefault="008D2F10" w:rsidP="00B06AC3">
            <w:pPr>
              <w:pStyle w:val="SingleTxt"/>
              <w:spacing w:before="80" w:after="80" w:line="160" w:lineRule="exact"/>
              <w:ind w:left="63" w:right="43"/>
              <w:jc w:val="right"/>
              <w:rPr>
                <w:i/>
                <w:iCs/>
                <w:sz w:val="14"/>
              </w:rPr>
            </w:pPr>
            <w:r w:rsidRPr="00D43575">
              <w:rPr>
                <w:i/>
                <w:iCs/>
                <w:sz w:val="14"/>
              </w:rPr>
              <w:t>Alumnas en la escuela preparatoria</w:t>
            </w:r>
          </w:p>
        </w:tc>
        <w:tc>
          <w:tcPr>
            <w:tcW w:w="915" w:type="dxa"/>
            <w:tcBorders>
              <w:top w:val="single" w:sz="4" w:space="0" w:color="auto"/>
              <w:bottom w:val="single" w:sz="12" w:space="0" w:color="auto"/>
            </w:tcBorders>
            <w:shd w:val="clear" w:color="auto" w:fill="auto"/>
            <w:vAlign w:val="bottom"/>
          </w:tcPr>
          <w:p w14:paraId="286AA352" w14:textId="77777777" w:rsidR="008D2F10" w:rsidRPr="00D43575" w:rsidRDefault="008D2F10" w:rsidP="00B06AC3">
            <w:pPr>
              <w:pStyle w:val="SingleTxt"/>
              <w:spacing w:before="80" w:after="80" w:line="160" w:lineRule="exact"/>
              <w:ind w:left="63" w:right="43"/>
              <w:jc w:val="right"/>
              <w:rPr>
                <w:i/>
                <w:iCs/>
                <w:sz w:val="14"/>
              </w:rPr>
            </w:pPr>
            <w:r w:rsidRPr="00D43575">
              <w:rPr>
                <w:i/>
                <w:iCs/>
                <w:sz w:val="14"/>
              </w:rPr>
              <w:t>Total</w:t>
            </w:r>
            <w:r w:rsidR="00BE5E99" w:rsidRPr="00D43575">
              <w:rPr>
                <w:i/>
                <w:iCs/>
                <w:sz w:val="14"/>
              </w:rPr>
              <w:br/>
            </w:r>
            <w:r w:rsidRPr="00D43575">
              <w:rPr>
                <w:i/>
                <w:iCs/>
                <w:sz w:val="14"/>
              </w:rPr>
              <w:t xml:space="preserve"> de alumnas en los niveles de enseñanza obligatoria</w:t>
            </w:r>
          </w:p>
        </w:tc>
        <w:tc>
          <w:tcPr>
            <w:tcW w:w="1002" w:type="dxa"/>
            <w:tcBorders>
              <w:top w:val="single" w:sz="4" w:space="0" w:color="auto"/>
              <w:bottom w:val="single" w:sz="12" w:space="0" w:color="auto"/>
            </w:tcBorders>
            <w:shd w:val="clear" w:color="auto" w:fill="auto"/>
            <w:vAlign w:val="bottom"/>
          </w:tcPr>
          <w:p w14:paraId="1E084F64" w14:textId="77777777" w:rsidR="008D2F10" w:rsidRPr="00D43575" w:rsidRDefault="008D2F10" w:rsidP="00B06AC3">
            <w:pPr>
              <w:pStyle w:val="SingleTxt"/>
              <w:spacing w:before="80" w:after="80" w:line="160" w:lineRule="exact"/>
              <w:ind w:left="63" w:right="43"/>
              <w:jc w:val="right"/>
              <w:rPr>
                <w:i/>
                <w:iCs/>
                <w:sz w:val="14"/>
              </w:rPr>
            </w:pPr>
            <w:r w:rsidRPr="00D43575">
              <w:rPr>
                <w:i/>
                <w:iCs/>
                <w:sz w:val="14"/>
              </w:rPr>
              <w:t>Total de alumnos en la enseñanza primaria</w:t>
            </w:r>
          </w:p>
        </w:tc>
        <w:tc>
          <w:tcPr>
            <w:tcW w:w="930" w:type="dxa"/>
            <w:tcBorders>
              <w:top w:val="single" w:sz="4" w:space="0" w:color="auto"/>
              <w:bottom w:val="single" w:sz="12" w:space="0" w:color="auto"/>
            </w:tcBorders>
            <w:shd w:val="clear" w:color="auto" w:fill="auto"/>
            <w:vAlign w:val="bottom"/>
          </w:tcPr>
          <w:p w14:paraId="3FDA778F" w14:textId="77777777" w:rsidR="008D2F10" w:rsidRPr="00D43575" w:rsidRDefault="008D2F10" w:rsidP="00B06AC3">
            <w:pPr>
              <w:pStyle w:val="SingleTxt"/>
              <w:spacing w:before="80" w:after="80" w:line="160" w:lineRule="exact"/>
              <w:ind w:left="63" w:right="43"/>
              <w:jc w:val="right"/>
              <w:rPr>
                <w:i/>
                <w:iCs/>
                <w:sz w:val="14"/>
              </w:rPr>
            </w:pPr>
            <w:r w:rsidRPr="00D43575">
              <w:rPr>
                <w:i/>
                <w:iCs/>
                <w:sz w:val="14"/>
              </w:rPr>
              <w:t>Total de alumnos en la escuela preparatoria</w:t>
            </w:r>
          </w:p>
        </w:tc>
        <w:tc>
          <w:tcPr>
            <w:tcW w:w="861" w:type="dxa"/>
            <w:tcBorders>
              <w:top w:val="single" w:sz="4" w:space="0" w:color="auto"/>
              <w:bottom w:val="single" w:sz="12" w:space="0" w:color="auto"/>
            </w:tcBorders>
            <w:shd w:val="clear" w:color="auto" w:fill="auto"/>
            <w:vAlign w:val="bottom"/>
          </w:tcPr>
          <w:p w14:paraId="3B2986AF" w14:textId="77777777" w:rsidR="008D2F10" w:rsidRPr="00D43575" w:rsidRDefault="008D2F10" w:rsidP="00B06AC3">
            <w:pPr>
              <w:pStyle w:val="SingleTxt"/>
              <w:spacing w:before="80" w:after="80" w:line="160" w:lineRule="exact"/>
              <w:ind w:left="63" w:right="43"/>
              <w:jc w:val="right"/>
              <w:rPr>
                <w:i/>
                <w:iCs/>
                <w:sz w:val="14"/>
              </w:rPr>
            </w:pPr>
            <w:r w:rsidRPr="00D43575">
              <w:rPr>
                <w:i/>
                <w:iCs/>
                <w:sz w:val="14"/>
              </w:rPr>
              <w:t>Total</w:t>
            </w:r>
            <w:r w:rsidR="00BE5E99" w:rsidRPr="00D43575">
              <w:rPr>
                <w:i/>
                <w:iCs/>
                <w:sz w:val="14"/>
              </w:rPr>
              <w:br/>
            </w:r>
            <w:r w:rsidRPr="00D43575">
              <w:rPr>
                <w:i/>
                <w:iCs/>
                <w:sz w:val="14"/>
              </w:rPr>
              <w:t xml:space="preserve"> de alumnos en los niveles de enseñanza obligatoria</w:t>
            </w:r>
          </w:p>
        </w:tc>
        <w:tc>
          <w:tcPr>
            <w:tcW w:w="819" w:type="dxa"/>
            <w:tcBorders>
              <w:top w:val="single" w:sz="4" w:space="0" w:color="auto"/>
              <w:bottom w:val="single" w:sz="12" w:space="0" w:color="auto"/>
            </w:tcBorders>
            <w:shd w:val="clear" w:color="auto" w:fill="auto"/>
            <w:vAlign w:val="bottom"/>
          </w:tcPr>
          <w:p w14:paraId="4320CA54" w14:textId="77777777" w:rsidR="008D2F10" w:rsidRPr="00D43575" w:rsidRDefault="008D2F10" w:rsidP="00B06AC3">
            <w:pPr>
              <w:pStyle w:val="SingleTxt"/>
              <w:spacing w:before="80" w:after="80" w:line="160" w:lineRule="exact"/>
              <w:ind w:left="63" w:right="43"/>
              <w:jc w:val="right"/>
              <w:rPr>
                <w:i/>
                <w:iCs/>
                <w:sz w:val="14"/>
              </w:rPr>
            </w:pPr>
            <w:r w:rsidRPr="00D43575">
              <w:rPr>
                <w:i/>
                <w:iCs/>
                <w:sz w:val="14"/>
              </w:rPr>
              <w:t>Porcentaje de mujeres</w:t>
            </w:r>
          </w:p>
        </w:tc>
      </w:tr>
      <w:tr w:rsidR="008D2F10" w:rsidRPr="00D43575" w14:paraId="4A6EE79E" w14:textId="77777777" w:rsidTr="00BE5E99">
        <w:trPr>
          <w:trHeight w:hRule="exact" w:val="115"/>
          <w:tblHeader/>
        </w:trPr>
        <w:tc>
          <w:tcPr>
            <w:tcW w:w="1023" w:type="dxa"/>
            <w:tcBorders>
              <w:top w:val="single" w:sz="12" w:space="0" w:color="auto"/>
            </w:tcBorders>
            <w:shd w:val="clear" w:color="auto" w:fill="auto"/>
            <w:vAlign w:val="bottom"/>
          </w:tcPr>
          <w:p w14:paraId="5C28E417" w14:textId="77777777" w:rsidR="008D2F10" w:rsidRPr="00D43575" w:rsidRDefault="008D2F10" w:rsidP="00BD7BE9">
            <w:pPr>
              <w:tabs>
                <w:tab w:val="left" w:pos="288"/>
                <w:tab w:val="left" w:pos="576"/>
                <w:tab w:val="left" w:pos="864"/>
                <w:tab w:val="left" w:pos="1152"/>
              </w:tabs>
              <w:spacing w:before="40" w:after="40" w:line="210" w:lineRule="exact"/>
              <w:ind w:right="40"/>
              <w:rPr>
                <w:sz w:val="17"/>
              </w:rPr>
            </w:pPr>
          </w:p>
        </w:tc>
        <w:tc>
          <w:tcPr>
            <w:tcW w:w="915" w:type="dxa"/>
            <w:tcBorders>
              <w:top w:val="single" w:sz="12" w:space="0" w:color="auto"/>
            </w:tcBorders>
            <w:shd w:val="clear" w:color="auto" w:fill="auto"/>
            <w:vAlign w:val="bottom"/>
          </w:tcPr>
          <w:p w14:paraId="27C31ACD"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c>
          <w:tcPr>
            <w:tcW w:w="915" w:type="dxa"/>
            <w:tcBorders>
              <w:top w:val="single" w:sz="12" w:space="0" w:color="auto"/>
            </w:tcBorders>
            <w:shd w:val="clear" w:color="auto" w:fill="auto"/>
            <w:vAlign w:val="bottom"/>
          </w:tcPr>
          <w:p w14:paraId="02E7F927" w14:textId="77777777" w:rsidR="008D2F10" w:rsidRPr="00D43575" w:rsidRDefault="008D2F10" w:rsidP="00BD7BE9">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shd w:val="clear" w:color="auto" w:fill="auto"/>
            <w:vAlign w:val="bottom"/>
          </w:tcPr>
          <w:p w14:paraId="184DF602" w14:textId="77777777" w:rsidR="008D2F10" w:rsidRPr="00D43575" w:rsidRDefault="008D2F10" w:rsidP="00BD7BE9">
            <w:pPr>
              <w:tabs>
                <w:tab w:val="left" w:pos="288"/>
                <w:tab w:val="left" w:pos="576"/>
                <w:tab w:val="left" w:pos="864"/>
                <w:tab w:val="left" w:pos="1152"/>
              </w:tabs>
              <w:spacing w:before="40" w:after="40" w:line="210" w:lineRule="exact"/>
              <w:ind w:left="15" w:right="40"/>
              <w:jc w:val="right"/>
              <w:rPr>
                <w:sz w:val="17"/>
              </w:rPr>
            </w:pPr>
          </w:p>
        </w:tc>
        <w:tc>
          <w:tcPr>
            <w:tcW w:w="1002" w:type="dxa"/>
            <w:tcBorders>
              <w:top w:val="single" w:sz="12" w:space="0" w:color="auto"/>
            </w:tcBorders>
            <w:shd w:val="clear" w:color="auto" w:fill="auto"/>
            <w:vAlign w:val="bottom"/>
          </w:tcPr>
          <w:p w14:paraId="01E35DFC"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c>
          <w:tcPr>
            <w:tcW w:w="930" w:type="dxa"/>
            <w:tcBorders>
              <w:top w:val="single" w:sz="12" w:space="0" w:color="auto"/>
            </w:tcBorders>
            <w:shd w:val="clear" w:color="auto" w:fill="auto"/>
            <w:vAlign w:val="bottom"/>
          </w:tcPr>
          <w:p w14:paraId="0A9939F5" w14:textId="77777777" w:rsidR="008D2F10" w:rsidRPr="00D43575" w:rsidRDefault="008D2F10" w:rsidP="00BD7BE9">
            <w:pPr>
              <w:tabs>
                <w:tab w:val="left" w:pos="288"/>
                <w:tab w:val="left" w:pos="576"/>
                <w:tab w:val="left" w:pos="864"/>
                <w:tab w:val="left" w:pos="1152"/>
              </w:tabs>
              <w:spacing w:before="40" w:after="40" w:line="210" w:lineRule="exact"/>
              <w:ind w:left="-21" w:right="40"/>
              <w:jc w:val="right"/>
              <w:rPr>
                <w:sz w:val="17"/>
              </w:rPr>
            </w:pPr>
          </w:p>
        </w:tc>
        <w:tc>
          <w:tcPr>
            <w:tcW w:w="861" w:type="dxa"/>
            <w:tcBorders>
              <w:top w:val="single" w:sz="12" w:space="0" w:color="auto"/>
            </w:tcBorders>
            <w:shd w:val="clear" w:color="auto" w:fill="auto"/>
            <w:vAlign w:val="bottom"/>
          </w:tcPr>
          <w:p w14:paraId="33512255" w14:textId="77777777" w:rsidR="008D2F10" w:rsidRPr="00D43575" w:rsidRDefault="008D2F10" w:rsidP="00BD7BE9">
            <w:pPr>
              <w:tabs>
                <w:tab w:val="left" w:pos="288"/>
                <w:tab w:val="left" w:pos="576"/>
                <w:tab w:val="left" w:pos="864"/>
                <w:tab w:val="left" w:pos="1152"/>
              </w:tabs>
              <w:spacing w:before="40" w:after="40" w:line="210" w:lineRule="exact"/>
              <w:ind w:left="27" w:right="40"/>
              <w:jc w:val="right"/>
              <w:rPr>
                <w:sz w:val="17"/>
              </w:rPr>
            </w:pPr>
          </w:p>
        </w:tc>
        <w:tc>
          <w:tcPr>
            <w:tcW w:w="819" w:type="dxa"/>
            <w:tcBorders>
              <w:top w:val="single" w:sz="12" w:space="0" w:color="auto"/>
            </w:tcBorders>
            <w:shd w:val="clear" w:color="auto" w:fill="auto"/>
            <w:vAlign w:val="bottom"/>
          </w:tcPr>
          <w:p w14:paraId="4A9ED56F" w14:textId="77777777" w:rsidR="008D2F10" w:rsidRPr="00D43575" w:rsidRDefault="008D2F10" w:rsidP="00BD7BE9">
            <w:pPr>
              <w:tabs>
                <w:tab w:val="left" w:pos="288"/>
                <w:tab w:val="left" w:pos="576"/>
                <w:tab w:val="left" w:pos="864"/>
                <w:tab w:val="left" w:pos="1152"/>
              </w:tabs>
              <w:spacing w:before="40" w:after="40" w:line="210" w:lineRule="exact"/>
              <w:ind w:left="-52" w:right="40"/>
              <w:jc w:val="right"/>
              <w:rPr>
                <w:sz w:val="17"/>
              </w:rPr>
            </w:pPr>
          </w:p>
        </w:tc>
      </w:tr>
      <w:tr w:rsidR="008D2F10" w:rsidRPr="00D43575" w14:paraId="70F478C5" w14:textId="77777777" w:rsidTr="00BE5E99">
        <w:tc>
          <w:tcPr>
            <w:tcW w:w="1023" w:type="dxa"/>
            <w:shd w:val="clear" w:color="auto" w:fill="auto"/>
            <w:vAlign w:val="bottom"/>
          </w:tcPr>
          <w:p w14:paraId="1BB863EE" w14:textId="7CCB915F"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2015</w:t>
            </w:r>
            <w:r w:rsidR="00083383" w:rsidRPr="00D43575">
              <w:rPr>
                <w:sz w:val="17"/>
              </w:rPr>
              <w:noBreakHyphen/>
            </w:r>
            <w:r w:rsidRPr="00D43575">
              <w:rPr>
                <w:sz w:val="17"/>
              </w:rPr>
              <w:t>2016</w:t>
            </w:r>
          </w:p>
        </w:tc>
        <w:tc>
          <w:tcPr>
            <w:tcW w:w="915" w:type="dxa"/>
            <w:shd w:val="clear" w:color="auto" w:fill="auto"/>
            <w:vAlign w:val="bottom"/>
          </w:tcPr>
          <w:p w14:paraId="0BDE5889"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67 716</w:t>
            </w:r>
          </w:p>
        </w:tc>
        <w:tc>
          <w:tcPr>
            <w:tcW w:w="915" w:type="dxa"/>
            <w:shd w:val="clear" w:color="auto" w:fill="auto"/>
            <w:vAlign w:val="bottom"/>
          </w:tcPr>
          <w:p w14:paraId="6BF746A6"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26 131</w:t>
            </w:r>
          </w:p>
        </w:tc>
        <w:tc>
          <w:tcPr>
            <w:tcW w:w="915" w:type="dxa"/>
            <w:shd w:val="clear" w:color="auto" w:fill="auto"/>
            <w:vAlign w:val="bottom"/>
          </w:tcPr>
          <w:p w14:paraId="085E4811"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93 847</w:t>
            </w:r>
          </w:p>
        </w:tc>
        <w:tc>
          <w:tcPr>
            <w:tcW w:w="1002" w:type="dxa"/>
            <w:shd w:val="clear" w:color="auto" w:fill="auto"/>
            <w:vAlign w:val="bottom"/>
          </w:tcPr>
          <w:p w14:paraId="23FF6E19"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138 715</w:t>
            </w:r>
          </w:p>
        </w:tc>
        <w:tc>
          <w:tcPr>
            <w:tcW w:w="930" w:type="dxa"/>
            <w:shd w:val="clear" w:color="auto" w:fill="auto"/>
            <w:vAlign w:val="bottom"/>
          </w:tcPr>
          <w:p w14:paraId="192F7838"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53 052</w:t>
            </w:r>
          </w:p>
        </w:tc>
        <w:tc>
          <w:tcPr>
            <w:tcW w:w="861" w:type="dxa"/>
            <w:shd w:val="clear" w:color="auto" w:fill="auto"/>
            <w:vAlign w:val="bottom"/>
          </w:tcPr>
          <w:p w14:paraId="4D23CC97"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191 767</w:t>
            </w:r>
          </w:p>
        </w:tc>
        <w:tc>
          <w:tcPr>
            <w:tcW w:w="819" w:type="dxa"/>
            <w:shd w:val="clear" w:color="auto" w:fill="auto"/>
            <w:vAlign w:val="bottom"/>
          </w:tcPr>
          <w:p w14:paraId="716CAB4C"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48,94</w:t>
            </w:r>
          </w:p>
        </w:tc>
      </w:tr>
      <w:tr w:rsidR="008D2F10" w:rsidRPr="00D43575" w14:paraId="6FF84250" w14:textId="77777777" w:rsidTr="00BE5E99">
        <w:tc>
          <w:tcPr>
            <w:tcW w:w="1023" w:type="dxa"/>
            <w:shd w:val="clear" w:color="auto" w:fill="auto"/>
            <w:vAlign w:val="bottom"/>
          </w:tcPr>
          <w:p w14:paraId="6DCA08A3" w14:textId="7394C620"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2014</w:t>
            </w:r>
            <w:r w:rsidR="00083383" w:rsidRPr="00D43575">
              <w:rPr>
                <w:sz w:val="17"/>
              </w:rPr>
              <w:noBreakHyphen/>
            </w:r>
            <w:r w:rsidRPr="00D43575">
              <w:rPr>
                <w:sz w:val="17"/>
              </w:rPr>
              <w:t>2015</w:t>
            </w:r>
          </w:p>
        </w:tc>
        <w:tc>
          <w:tcPr>
            <w:tcW w:w="915" w:type="dxa"/>
            <w:shd w:val="clear" w:color="auto" w:fill="auto"/>
            <w:vAlign w:val="bottom"/>
          </w:tcPr>
          <w:p w14:paraId="7ABA44C8"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63 098</w:t>
            </w:r>
          </w:p>
        </w:tc>
        <w:tc>
          <w:tcPr>
            <w:tcW w:w="915" w:type="dxa"/>
            <w:shd w:val="clear" w:color="auto" w:fill="auto"/>
            <w:vAlign w:val="bottom"/>
          </w:tcPr>
          <w:p w14:paraId="56ED9854"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24 431</w:t>
            </w:r>
          </w:p>
        </w:tc>
        <w:tc>
          <w:tcPr>
            <w:tcW w:w="915" w:type="dxa"/>
            <w:shd w:val="clear" w:color="auto" w:fill="auto"/>
            <w:vAlign w:val="bottom"/>
          </w:tcPr>
          <w:p w14:paraId="73F9A91A"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87 529</w:t>
            </w:r>
          </w:p>
        </w:tc>
        <w:tc>
          <w:tcPr>
            <w:tcW w:w="1002" w:type="dxa"/>
            <w:shd w:val="clear" w:color="auto" w:fill="auto"/>
            <w:vAlign w:val="bottom"/>
          </w:tcPr>
          <w:p w14:paraId="4BD93B70"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129 301</w:t>
            </w:r>
          </w:p>
        </w:tc>
        <w:tc>
          <w:tcPr>
            <w:tcW w:w="930" w:type="dxa"/>
            <w:shd w:val="clear" w:color="auto" w:fill="auto"/>
            <w:vAlign w:val="bottom"/>
          </w:tcPr>
          <w:p w14:paraId="67CA0E3A"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49 781</w:t>
            </w:r>
          </w:p>
        </w:tc>
        <w:tc>
          <w:tcPr>
            <w:tcW w:w="861" w:type="dxa"/>
            <w:shd w:val="clear" w:color="auto" w:fill="auto"/>
            <w:vAlign w:val="bottom"/>
          </w:tcPr>
          <w:p w14:paraId="4D90BF68"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179 082</w:t>
            </w:r>
          </w:p>
        </w:tc>
        <w:tc>
          <w:tcPr>
            <w:tcW w:w="819" w:type="dxa"/>
            <w:shd w:val="clear" w:color="auto" w:fill="auto"/>
            <w:vAlign w:val="bottom"/>
          </w:tcPr>
          <w:p w14:paraId="450BC7AE"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48,88</w:t>
            </w:r>
          </w:p>
        </w:tc>
      </w:tr>
      <w:tr w:rsidR="008D2F10" w:rsidRPr="00D43575" w14:paraId="7CDEEEF7" w14:textId="77777777" w:rsidTr="00BE5E99">
        <w:tc>
          <w:tcPr>
            <w:tcW w:w="1023" w:type="dxa"/>
            <w:shd w:val="clear" w:color="auto" w:fill="auto"/>
            <w:vAlign w:val="bottom"/>
          </w:tcPr>
          <w:p w14:paraId="2214EAAE" w14:textId="61A68FA9"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2013</w:t>
            </w:r>
            <w:r w:rsidR="00083383" w:rsidRPr="00D43575">
              <w:rPr>
                <w:sz w:val="17"/>
              </w:rPr>
              <w:noBreakHyphen/>
            </w:r>
            <w:r w:rsidRPr="00D43575">
              <w:rPr>
                <w:sz w:val="17"/>
              </w:rPr>
              <w:t>2014</w:t>
            </w:r>
          </w:p>
        </w:tc>
        <w:tc>
          <w:tcPr>
            <w:tcW w:w="915" w:type="dxa"/>
            <w:shd w:val="clear" w:color="auto" w:fill="auto"/>
            <w:vAlign w:val="bottom"/>
          </w:tcPr>
          <w:p w14:paraId="177BD32E"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57 027</w:t>
            </w:r>
          </w:p>
        </w:tc>
        <w:tc>
          <w:tcPr>
            <w:tcW w:w="915" w:type="dxa"/>
            <w:shd w:val="clear" w:color="auto" w:fill="auto"/>
            <w:vAlign w:val="bottom"/>
          </w:tcPr>
          <w:p w14:paraId="04614782"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22 603</w:t>
            </w:r>
          </w:p>
        </w:tc>
        <w:tc>
          <w:tcPr>
            <w:tcW w:w="915" w:type="dxa"/>
            <w:shd w:val="clear" w:color="auto" w:fill="auto"/>
            <w:vAlign w:val="bottom"/>
          </w:tcPr>
          <w:p w14:paraId="2300F7C2"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79 630</w:t>
            </w:r>
          </w:p>
        </w:tc>
        <w:tc>
          <w:tcPr>
            <w:tcW w:w="1002" w:type="dxa"/>
            <w:shd w:val="clear" w:color="auto" w:fill="auto"/>
            <w:vAlign w:val="bottom"/>
          </w:tcPr>
          <w:p w14:paraId="772D836C"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116 721</w:t>
            </w:r>
          </w:p>
        </w:tc>
        <w:tc>
          <w:tcPr>
            <w:tcW w:w="930" w:type="dxa"/>
            <w:shd w:val="clear" w:color="auto" w:fill="auto"/>
            <w:vAlign w:val="bottom"/>
          </w:tcPr>
          <w:p w14:paraId="2817BE0C"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46 029</w:t>
            </w:r>
          </w:p>
        </w:tc>
        <w:tc>
          <w:tcPr>
            <w:tcW w:w="861" w:type="dxa"/>
            <w:shd w:val="clear" w:color="auto" w:fill="auto"/>
            <w:vAlign w:val="bottom"/>
          </w:tcPr>
          <w:p w14:paraId="31E296EC"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162 750</w:t>
            </w:r>
          </w:p>
        </w:tc>
        <w:tc>
          <w:tcPr>
            <w:tcW w:w="819" w:type="dxa"/>
            <w:shd w:val="clear" w:color="auto" w:fill="auto"/>
            <w:vAlign w:val="bottom"/>
          </w:tcPr>
          <w:p w14:paraId="5CC496ED"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48,93</w:t>
            </w:r>
          </w:p>
        </w:tc>
      </w:tr>
      <w:tr w:rsidR="008D2F10" w:rsidRPr="00D43575" w14:paraId="64EB199E" w14:textId="77777777" w:rsidTr="00BE5E99">
        <w:tc>
          <w:tcPr>
            <w:tcW w:w="1023" w:type="dxa"/>
            <w:tcBorders>
              <w:bottom w:val="single" w:sz="12" w:space="0" w:color="auto"/>
            </w:tcBorders>
            <w:shd w:val="clear" w:color="auto" w:fill="auto"/>
            <w:vAlign w:val="bottom"/>
          </w:tcPr>
          <w:p w14:paraId="0F827704" w14:textId="7799885A"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2012</w:t>
            </w:r>
            <w:r w:rsidR="00083383" w:rsidRPr="00D43575">
              <w:rPr>
                <w:sz w:val="17"/>
              </w:rPr>
              <w:noBreakHyphen/>
            </w:r>
            <w:r w:rsidRPr="00D43575">
              <w:rPr>
                <w:sz w:val="17"/>
              </w:rPr>
              <w:t>2013</w:t>
            </w:r>
          </w:p>
        </w:tc>
        <w:tc>
          <w:tcPr>
            <w:tcW w:w="915" w:type="dxa"/>
            <w:tcBorders>
              <w:bottom w:val="single" w:sz="12" w:space="0" w:color="auto"/>
            </w:tcBorders>
            <w:shd w:val="clear" w:color="auto" w:fill="auto"/>
            <w:vAlign w:val="bottom"/>
          </w:tcPr>
          <w:p w14:paraId="1B1C7C8B"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51 896</w:t>
            </w:r>
          </w:p>
        </w:tc>
        <w:tc>
          <w:tcPr>
            <w:tcW w:w="915" w:type="dxa"/>
            <w:tcBorders>
              <w:bottom w:val="single" w:sz="12" w:space="0" w:color="auto"/>
            </w:tcBorders>
            <w:shd w:val="clear" w:color="auto" w:fill="auto"/>
            <w:vAlign w:val="bottom"/>
          </w:tcPr>
          <w:p w14:paraId="2EE29ACB"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20 664</w:t>
            </w:r>
          </w:p>
        </w:tc>
        <w:tc>
          <w:tcPr>
            <w:tcW w:w="915" w:type="dxa"/>
            <w:tcBorders>
              <w:bottom w:val="single" w:sz="12" w:space="0" w:color="auto"/>
            </w:tcBorders>
            <w:shd w:val="clear" w:color="auto" w:fill="auto"/>
            <w:vAlign w:val="bottom"/>
          </w:tcPr>
          <w:p w14:paraId="46591D5C"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72 560</w:t>
            </w:r>
          </w:p>
        </w:tc>
        <w:tc>
          <w:tcPr>
            <w:tcW w:w="1002" w:type="dxa"/>
            <w:tcBorders>
              <w:bottom w:val="single" w:sz="12" w:space="0" w:color="auto"/>
            </w:tcBorders>
            <w:shd w:val="clear" w:color="auto" w:fill="auto"/>
            <w:vAlign w:val="bottom"/>
          </w:tcPr>
          <w:p w14:paraId="63C8346D"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105 942</w:t>
            </w:r>
          </w:p>
        </w:tc>
        <w:tc>
          <w:tcPr>
            <w:tcW w:w="930" w:type="dxa"/>
            <w:tcBorders>
              <w:bottom w:val="single" w:sz="12" w:space="0" w:color="auto"/>
            </w:tcBorders>
            <w:shd w:val="clear" w:color="auto" w:fill="auto"/>
            <w:vAlign w:val="bottom"/>
          </w:tcPr>
          <w:p w14:paraId="129029EB"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42 328</w:t>
            </w:r>
          </w:p>
        </w:tc>
        <w:tc>
          <w:tcPr>
            <w:tcW w:w="861" w:type="dxa"/>
            <w:tcBorders>
              <w:bottom w:val="single" w:sz="12" w:space="0" w:color="auto"/>
            </w:tcBorders>
            <w:shd w:val="clear" w:color="auto" w:fill="auto"/>
            <w:vAlign w:val="bottom"/>
          </w:tcPr>
          <w:p w14:paraId="3FA4DA90"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148 270</w:t>
            </w:r>
          </w:p>
        </w:tc>
        <w:tc>
          <w:tcPr>
            <w:tcW w:w="819" w:type="dxa"/>
            <w:tcBorders>
              <w:bottom w:val="single" w:sz="12" w:space="0" w:color="auto"/>
            </w:tcBorders>
            <w:shd w:val="clear" w:color="auto" w:fill="auto"/>
            <w:vAlign w:val="bottom"/>
          </w:tcPr>
          <w:p w14:paraId="32619703"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48,94</w:t>
            </w:r>
          </w:p>
        </w:tc>
      </w:tr>
    </w:tbl>
    <w:p w14:paraId="2A429FD6" w14:textId="77777777" w:rsidR="008D2F10" w:rsidRPr="00D43575" w:rsidRDefault="008D2F10" w:rsidP="008D2F10">
      <w:pPr>
        <w:pStyle w:val="SingleTxt"/>
        <w:spacing w:after="0" w:line="120" w:lineRule="exact"/>
        <w:rPr>
          <w:sz w:val="10"/>
        </w:rPr>
      </w:pPr>
    </w:p>
    <w:p w14:paraId="58FA9BA0" w14:textId="3ABFF207" w:rsidR="008D2F10"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Estado de Qatar, Ministerio de Educación y Enseñanza Superior, Departamento de Investigaciones y Políticas Educativas, División de Estadística, 2017</w:t>
      </w:r>
      <w:r w:rsidR="00083383" w:rsidRPr="00D43575">
        <w:rPr>
          <w:rFonts w:eastAsiaTheme="minorHAnsi"/>
          <w:iCs/>
          <w:w w:val="103"/>
          <w:kern w:val="14"/>
          <w:szCs w:val="20"/>
        </w:rPr>
        <w:t>.</w:t>
      </w:r>
    </w:p>
    <w:p w14:paraId="21311C86" w14:textId="77777777" w:rsidR="008D2F10" w:rsidRPr="00D43575" w:rsidRDefault="008D2F10" w:rsidP="00BE5E99">
      <w:pPr>
        <w:pStyle w:val="SingleTxt"/>
        <w:spacing w:after="0" w:line="120" w:lineRule="exact"/>
        <w:rPr>
          <w:sz w:val="10"/>
        </w:rPr>
      </w:pPr>
    </w:p>
    <w:p w14:paraId="741FFA85" w14:textId="77777777" w:rsidR="008D2F10" w:rsidRPr="00D43575" w:rsidRDefault="008D2F10" w:rsidP="00BE5E99">
      <w:pPr>
        <w:pStyle w:val="SingleTxt"/>
        <w:spacing w:after="0" w:line="120" w:lineRule="exact"/>
        <w:rPr>
          <w:sz w:val="10"/>
        </w:rPr>
      </w:pPr>
    </w:p>
    <w:p w14:paraId="09DAC937" w14:textId="2AB64D5C" w:rsidR="008D2F10" w:rsidRPr="009D5F93" w:rsidRDefault="008D2F10" w:rsidP="00483D4F">
      <w:pPr>
        <w:pStyle w:val="SingleTxt"/>
        <w:keepLines/>
        <w:numPr>
          <w:ilvl w:val="0"/>
          <w:numId w:val="10"/>
        </w:numPr>
        <w:ind w:left="1267" w:firstLine="0"/>
      </w:pPr>
      <w:r w:rsidRPr="00D43575">
        <w:t>El cuadro 4 permite apreciar la relativa estabilidad del porcentaje de matriculación de mujeres en la educación obligatoria, que se acerca al de los hombres</w:t>
      </w:r>
      <w:r w:rsidR="00083383" w:rsidRPr="00D43575">
        <w:t>.</w:t>
      </w:r>
      <w:r w:rsidRPr="00D43575">
        <w:t xml:space="preserve"> El cuadro 5 muestra el porcentaje de alumnos matriculados en la enseñanza secundaria, por sexo, tipo de centro y año</w:t>
      </w:r>
      <w:r w:rsidR="00083383" w:rsidRPr="00D43575">
        <w:t>.</w:t>
      </w:r>
      <w:r w:rsidRPr="00D43575">
        <w:t xml:space="preserve"> Debe tenerse en cuenta que este nivel de enseñanza aún no es obligatorio según lo dispuesto en dicho Decreto</w:t>
      </w:r>
      <w:r w:rsidR="00083383" w:rsidRPr="009D5F93">
        <w:t>.</w:t>
      </w:r>
    </w:p>
    <w:p w14:paraId="2965F110" w14:textId="77777777" w:rsidR="00BE5E99" w:rsidRPr="00D43575" w:rsidRDefault="00BE5E99" w:rsidP="00BE5E99">
      <w:pPr>
        <w:pStyle w:val="SingleTxt"/>
        <w:spacing w:after="0" w:line="120" w:lineRule="exact"/>
        <w:rPr>
          <w:sz w:val="10"/>
        </w:rPr>
      </w:pPr>
    </w:p>
    <w:p w14:paraId="46DDC17D" w14:textId="3717C7B1" w:rsidR="008D2F10" w:rsidRPr="00D43575" w:rsidRDefault="008D2F10" w:rsidP="00083383">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2560"/>
        <w:rPr>
          <w:bCs w:val="0"/>
          <w:szCs w:val="20"/>
        </w:rPr>
      </w:pPr>
      <w:r w:rsidRPr="00D43575">
        <w:rPr>
          <w:bCs w:val="0"/>
          <w:szCs w:val="20"/>
        </w:rPr>
        <w:tab/>
      </w:r>
      <w:r w:rsidRPr="00D43575">
        <w:rPr>
          <w:bCs w:val="0"/>
          <w:szCs w:val="20"/>
        </w:rPr>
        <w:tab/>
      </w:r>
      <w:r w:rsidR="00203B27">
        <w:rPr>
          <w:b w:val="0"/>
          <w:bCs w:val="0"/>
          <w:szCs w:val="20"/>
        </w:rPr>
        <w:t>Cuadro 5</w:t>
      </w:r>
      <w:r w:rsidR="009070BD" w:rsidRPr="00D43575">
        <w:rPr>
          <w:b w:val="0"/>
          <w:bCs w:val="0"/>
          <w:szCs w:val="20"/>
        </w:rPr>
        <w:br/>
      </w:r>
      <w:r w:rsidRPr="00D43575">
        <w:rPr>
          <w:bCs w:val="0"/>
          <w:szCs w:val="20"/>
        </w:rPr>
        <w:t>Porcentaje de alumnos en la enseñanza secundaria, por sexo, tipo de centro y año, de 2012 a 2016</w:t>
      </w:r>
    </w:p>
    <w:p w14:paraId="4454A79C" w14:textId="77777777" w:rsidR="008D2F10" w:rsidRPr="00D43575" w:rsidRDefault="008D2F10" w:rsidP="006820D1">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154"/>
        <w:gridCol w:w="1046"/>
        <w:gridCol w:w="1046"/>
        <w:gridCol w:w="136"/>
        <w:gridCol w:w="910"/>
        <w:gridCol w:w="1046"/>
        <w:gridCol w:w="136"/>
        <w:gridCol w:w="910"/>
        <w:gridCol w:w="1046"/>
      </w:tblGrid>
      <w:tr w:rsidR="008D2F10" w:rsidRPr="00D43575" w14:paraId="6D823A21" w14:textId="77777777" w:rsidTr="00BD7BE9">
        <w:trPr>
          <w:tblHeader/>
        </w:trPr>
        <w:tc>
          <w:tcPr>
            <w:tcW w:w="1154" w:type="dxa"/>
            <w:tcBorders>
              <w:top w:val="single" w:sz="4" w:space="0" w:color="auto"/>
            </w:tcBorders>
            <w:shd w:val="clear" w:color="auto" w:fill="auto"/>
            <w:vAlign w:val="bottom"/>
          </w:tcPr>
          <w:p w14:paraId="7EAEE548" w14:textId="77777777" w:rsidR="008D2F10" w:rsidRPr="00D43575" w:rsidRDefault="008D2F10" w:rsidP="00B06AC3">
            <w:pPr>
              <w:pStyle w:val="SingleTxt"/>
              <w:spacing w:before="80" w:after="80" w:line="160" w:lineRule="exact"/>
              <w:ind w:left="11" w:right="43"/>
              <w:jc w:val="left"/>
              <w:rPr>
                <w:i/>
                <w:iCs/>
                <w:sz w:val="14"/>
              </w:rPr>
            </w:pPr>
          </w:p>
        </w:tc>
        <w:tc>
          <w:tcPr>
            <w:tcW w:w="6276" w:type="dxa"/>
            <w:gridSpan w:val="8"/>
            <w:tcBorders>
              <w:top w:val="single" w:sz="4" w:space="0" w:color="auto"/>
              <w:bottom w:val="single" w:sz="4" w:space="0" w:color="auto"/>
            </w:tcBorders>
            <w:shd w:val="clear" w:color="auto" w:fill="auto"/>
            <w:vAlign w:val="bottom"/>
          </w:tcPr>
          <w:p w14:paraId="169F04A7" w14:textId="77777777" w:rsidR="008D2F10" w:rsidRPr="00D43575" w:rsidRDefault="008D2F10" w:rsidP="00B06AC3">
            <w:pPr>
              <w:pStyle w:val="SingleTxt"/>
              <w:spacing w:before="80" w:after="80" w:line="160" w:lineRule="exact"/>
              <w:ind w:left="144" w:right="43"/>
              <w:jc w:val="center"/>
              <w:rPr>
                <w:i/>
                <w:iCs/>
                <w:sz w:val="14"/>
              </w:rPr>
            </w:pPr>
            <w:r w:rsidRPr="00D43575">
              <w:rPr>
                <w:i/>
                <w:iCs/>
                <w:sz w:val="14"/>
              </w:rPr>
              <w:t>Educación secundaria</w:t>
            </w:r>
          </w:p>
        </w:tc>
      </w:tr>
      <w:tr w:rsidR="008D2F10" w:rsidRPr="00D43575" w14:paraId="05FF13A8" w14:textId="77777777" w:rsidTr="00BD7BE9">
        <w:trPr>
          <w:tblHeader/>
        </w:trPr>
        <w:tc>
          <w:tcPr>
            <w:tcW w:w="1154" w:type="dxa"/>
            <w:shd w:val="clear" w:color="auto" w:fill="auto"/>
            <w:vAlign w:val="bottom"/>
          </w:tcPr>
          <w:p w14:paraId="37FCFE6C" w14:textId="77777777" w:rsidR="008D2F10" w:rsidRPr="00D43575" w:rsidRDefault="008D2F10" w:rsidP="00B06AC3">
            <w:pPr>
              <w:pStyle w:val="SingleTxt"/>
              <w:spacing w:before="80" w:after="80" w:line="160" w:lineRule="exact"/>
              <w:ind w:left="11" w:right="43"/>
              <w:jc w:val="left"/>
              <w:rPr>
                <w:i/>
                <w:iCs/>
                <w:sz w:val="14"/>
              </w:rPr>
            </w:pPr>
          </w:p>
        </w:tc>
        <w:tc>
          <w:tcPr>
            <w:tcW w:w="2092" w:type="dxa"/>
            <w:gridSpan w:val="2"/>
            <w:tcBorders>
              <w:top w:val="single" w:sz="4" w:space="0" w:color="auto"/>
              <w:bottom w:val="single" w:sz="4" w:space="0" w:color="auto"/>
            </w:tcBorders>
            <w:shd w:val="clear" w:color="auto" w:fill="auto"/>
            <w:vAlign w:val="bottom"/>
          </w:tcPr>
          <w:p w14:paraId="7FB94794" w14:textId="77777777" w:rsidR="008D2F10" w:rsidRPr="00D43575" w:rsidRDefault="008D2F10" w:rsidP="00B06AC3">
            <w:pPr>
              <w:pStyle w:val="SingleTxt"/>
              <w:spacing w:before="80" w:after="80" w:line="160" w:lineRule="exact"/>
              <w:ind w:left="144" w:right="43"/>
              <w:jc w:val="center"/>
              <w:rPr>
                <w:i/>
                <w:iCs/>
                <w:sz w:val="14"/>
              </w:rPr>
            </w:pPr>
            <w:r w:rsidRPr="00D43575">
              <w:rPr>
                <w:i/>
                <w:iCs/>
                <w:sz w:val="14"/>
              </w:rPr>
              <w:t>Centros públicos</w:t>
            </w:r>
          </w:p>
        </w:tc>
        <w:tc>
          <w:tcPr>
            <w:tcW w:w="136" w:type="dxa"/>
            <w:tcBorders>
              <w:top w:val="single" w:sz="4" w:space="0" w:color="auto"/>
            </w:tcBorders>
            <w:shd w:val="clear" w:color="auto" w:fill="auto"/>
            <w:vAlign w:val="bottom"/>
          </w:tcPr>
          <w:p w14:paraId="01FBEA83" w14:textId="77777777" w:rsidR="008D2F10" w:rsidRPr="00D43575" w:rsidRDefault="008D2F10" w:rsidP="00BD7BE9">
            <w:pPr>
              <w:keepNext/>
              <w:keepLines/>
              <w:widowControl w:val="0"/>
              <w:tabs>
                <w:tab w:val="left" w:pos="288"/>
                <w:tab w:val="left" w:pos="576"/>
                <w:tab w:val="left" w:pos="864"/>
                <w:tab w:val="left" w:pos="1152"/>
              </w:tabs>
              <w:spacing w:before="81" w:after="81" w:line="160" w:lineRule="exact"/>
              <w:ind w:left="144" w:right="40"/>
              <w:jc w:val="center"/>
              <w:rPr>
                <w:i/>
                <w:sz w:val="14"/>
              </w:rPr>
            </w:pPr>
          </w:p>
        </w:tc>
        <w:tc>
          <w:tcPr>
            <w:tcW w:w="1956" w:type="dxa"/>
            <w:gridSpan w:val="2"/>
            <w:tcBorders>
              <w:top w:val="single" w:sz="4" w:space="0" w:color="auto"/>
              <w:bottom w:val="single" w:sz="4" w:space="0" w:color="auto"/>
            </w:tcBorders>
            <w:shd w:val="clear" w:color="auto" w:fill="auto"/>
            <w:vAlign w:val="bottom"/>
          </w:tcPr>
          <w:p w14:paraId="38604CE0" w14:textId="77777777" w:rsidR="008D2F10" w:rsidRPr="00D43575" w:rsidRDefault="008D2F10" w:rsidP="00B06AC3">
            <w:pPr>
              <w:pStyle w:val="SingleTxt"/>
              <w:spacing w:before="80" w:after="80" w:line="160" w:lineRule="exact"/>
              <w:ind w:left="144" w:right="43"/>
              <w:jc w:val="center"/>
              <w:rPr>
                <w:i/>
                <w:iCs/>
                <w:sz w:val="14"/>
              </w:rPr>
            </w:pPr>
            <w:r w:rsidRPr="00D43575">
              <w:rPr>
                <w:i/>
                <w:iCs/>
                <w:sz w:val="14"/>
              </w:rPr>
              <w:t>Centros privados</w:t>
            </w:r>
          </w:p>
        </w:tc>
        <w:tc>
          <w:tcPr>
            <w:tcW w:w="136" w:type="dxa"/>
            <w:tcBorders>
              <w:top w:val="single" w:sz="4" w:space="0" w:color="auto"/>
            </w:tcBorders>
            <w:shd w:val="clear" w:color="auto" w:fill="auto"/>
            <w:vAlign w:val="bottom"/>
          </w:tcPr>
          <w:p w14:paraId="61720A70" w14:textId="77777777" w:rsidR="008D2F10" w:rsidRPr="00D43575" w:rsidRDefault="008D2F10" w:rsidP="00BD7BE9">
            <w:pPr>
              <w:keepNext/>
              <w:keepLines/>
              <w:widowControl w:val="0"/>
              <w:tabs>
                <w:tab w:val="left" w:pos="288"/>
                <w:tab w:val="left" w:pos="576"/>
                <w:tab w:val="left" w:pos="864"/>
                <w:tab w:val="left" w:pos="1152"/>
              </w:tabs>
              <w:spacing w:before="81" w:after="81" w:line="160" w:lineRule="exact"/>
              <w:ind w:left="144" w:right="40"/>
              <w:jc w:val="center"/>
              <w:rPr>
                <w:i/>
                <w:sz w:val="14"/>
              </w:rPr>
            </w:pPr>
          </w:p>
        </w:tc>
        <w:tc>
          <w:tcPr>
            <w:tcW w:w="1956" w:type="dxa"/>
            <w:gridSpan w:val="2"/>
            <w:tcBorders>
              <w:top w:val="single" w:sz="4" w:space="0" w:color="auto"/>
              <w:bottom w:val="single" w:sz="4" w:space="0" w:color="auto"/>
            </w:tcBorders>
            <w:shd w:val="clear" w:color="auto" w:fill="auto"/>
            <w:vAlign w:val="bottom"/>
          </w:tcPr>
          <w:p w14:paraId="6F074C17" w14:textId="77777777" w:rsidR="008D2F10" w:rsidRPr="00D43575" w:rsidRDefault="008D2F10" w:rsidP="00B06AC3">
            <w:pPr>
              <w:pStyle w:val="SingleTxt"/>
              <w:spacing w:before="80" w:after="80" w:line="160" w:lineRule="exact"/>
              <w:ind w:left="144" w:right="43"/>
              <w:jc w:val="center"/>
              <w:rPr>
                <w:i/>
                <w:iCs/>
                <w:sz w:val="14"/>
              </w:rPr>
            </w:pPr>
            <w:r w:rsidRPr="00D43575">
              <w:rPr>
                <w:i/>
                <w:iCs/>
                <w:sz w:val="14"/>
              </w:rPr>
              <w:t>Total de centros públicos</w:t>
            </w:r>
            <w:r w:rsidR="00B06AC3" w:rsidRPr="00D43575">
              <w:rPr>
                <w:i/>
                <w:iCs/>
                <w:sz w:val="14"/>
              </w:rPr>
              <w:br/>
            </w:r>
            <w:r w:rsidRPr="00D43575">
              <w:rPr>
                <w:i/>
                <w:iCs/>
                <w:sz w:val="14"/>
              </w:rPr>
              <w:t xml:space="preserve"> y privados</w:t>
            </w:r>
          </w:p>
        </w:tc>
      </w:tr>
      <w:tr w:rsidR="008D2F10" w:rsidRPr="00D43575" w14:paraId="7A75B592" w14:textId="77777777" w:rsidTr="00BD7BE9">
        <w:trPr>
          <w:tblHeader/>
        </w:trPr>
        <w:tc>
          <w:tcPr>
            <w:tcW w:w="1154" w:type="dxa"/>
            <w:tcBorders>
              <w:bottom w:val="single" w:sz="12" w:space="0" w:color="auto"/>
            </w:tcBorders>
            <w:shd w:val="clear" w:color="auto" w:fill="auto"/>
            <w:vAlign w:val="bottom"/>
          </w:tcPr>
          <w:p w14:paraId="25A1CCE7" w14:textId="77777777" w:rsidR="008D2F10" w:rsidRPr="00D43575" w:rsidRDefault="008D2F10" w:rsidP="00B06AC3">
            <w:pPr>
              <w:pStyle w:val="SingleTxt"/>
              <w:spacing w:before="80" w:after="80" w:line="160" w:lineRule="exact"/>
              <w:ind w:left="11" w:right="43"/>
              <w:jc w:val="left"/>
              <w:rPr>
                <w:i/>
                <w:iCs/>
                <w:sz w:val="14"/>
              </w:rPr>
            </w:pPr>
            <w:r w:rsidRPr="00D43575">
              <w:rPr>
                <w:i/>
                <w:iCs/>
                <w:sz w:val="14"/>
              </w:rPr>
              <w:t>Curso académico</w:t>
            </w:r>
          </w:p>
        </w:tc>
        <w:tc>
          <w:tcPr>
            <w:tcW w:w="1046" w:type="dxa"/>
            <w:tcBorders>
              <w:top w:val="single" w:sz="4" w:space="0" w:color="auto"/>
              <w:bottom w:val="single" w:sz="12" w:space="0" w:color="auto"/>
            </w:tcBorders>
            <w:shd w:val="clear" w:color="auto" w:fill="auto"/>
          </w:tcPr>
          <w:p w14:paraId="4B3E8E96" w14:textId="77777777" w:rsidR="008D2F10" w:rsidRPr="00D43575" w:rsidRDefault="008D2F10" w:rsidP="00B06AC3">
            <w:pPr>
              <w:pStyle w:val="SingleTxt"/>
              <w:spacing w:before="80" w:after="80" w:line="160" w:lineRule="exact"/>
              <w:ind w:left="63" w:right="43"/>
              <w:jc w:val="right"/>
              <w:rPr>
                <w:i/>
                <w:iCs/>
                <w:sz w:val="14"/>
              </w:rPr>
            </w:pPr>
            <w:r w:rsidRPr="00D43575">
              <w:rPr>
                <w:i/>
                <w:iCs/>
                <w:sz w:val="14"/>
              </w:rPr>
              <w:t>Porcentaje</w:t>
            </w:r>
            <w:r w:rsidR="00B06AC3" w:rsidRPr="00D43575">
              <w:rPr>
                <w:i/>
                <w:iCs/>
                <w:sz w:val="14"/>
              </w:rPr>
              <w:br/>
            </w:r>
            <w:r w:rsidRPr="00D43575">
              <w:rPr>
                <w:i/>
                <w:iCs/>
                <w:sz w:val="14"/>
              </w:rPr>
              <w:t xml:space="preserve"> de hombres</w:t>
            </w:r>
          </w:p>
        </w:tc>
        <w:tc>
          <w:tcPr>
            <w:tcW w:w="1046" w:type="dxa"/>
            <w:tcBorders>
              <w:top w:val="single" w:sz="4" w:space="0" w:color="auto"/>
              <w:bottom w:val="single" w:sz="12" w:space="0" w:color="auto"/>
            </w:tcBorders>
            <w:shd w:val="clear" w:color="auto" w:fill="auto"/>
          </w:tcPr>
          <w:p w14:paraId="39F0F413" w14:textId="77777777" w:rsidR="008D2F10" w:rsidRPr="00D43575" w:rsidRDefault="008D2F10" w:rsidP="00B06AC3">
            <w:pPr>
              <w:pStyle w:val="SingleTxt"/>
              <w:spacing w:before="80" w:after="80" w:line="160" w:lineRule="exact"/>
              <w:ind w:left="63" w:right="43"/>
              <w:jc w:val="right"/>
              <w:rPr>
                <w:i/>
                <w:iCs/>
                <w:sz w:val="14"/>
              </w:rPr>
            </w:pPr>
            <w:r w:rsidRPr="00D43575">
              <w:rPr>
                <w:i/>
                <w:iCs/>
                <w:sz w:val="14"/>
              </w:rPr>
              <w:t>Porcentaje</w:t>
            </w:r>
            <w:r w:rsidR="00B06AC3" w:rsidRPr="00D43575">
              <w:rPr>
                <w:i/>
                <w:iCs/>
                <w:sz w:val="14"/>
              </w:rPr>
              <w:br/>
            </w:r>
            <w:r w:rsidRPr="00D43575">
              <w:rPr>
                <w:i/>
                <w:iCs/>
                <w:sz w:val="14"/>
              </w:rPr>
              <w:t xml:space="preserve"> de mujeres</w:t>
            </w:r>
          </w:p>
        </w:tc>
        <w:tc>
          <w:tcPr>
            <w:tcW w:w="1046" w:type="dxa"/>
            <w:gridSpan w:val="2"/>
            <w:tcBorders>
              <w:bottom w:val="single" w:sz="12" w:space="0" w:color="auto"/>
            </w:tcBorders>
            <w:shd w:val="clear" w:color="auto" w:fill="auto"/>
          </w:tcPr>
          <w:p w14:paraId="6BD03FBC" w14:textId="77777777" w:rsidR="008D2F10" w:rsidRPr="00D43575" w:rsidRDefault="008D2F10" w:rsidP="00B06AC3">
            <w:pPr>
              <w:pStyle w:val="SingleTxt"/>
              <w:spacing w:before="80" w:after="80" w:line="160" w:lineRule="exact"/>
              <w:ind w:left="63" w:right="43"/>
              <w:jc w:val="right"/>
              <w:rPr>
                <w:i/>
                <w:iCs/>
                <w:sz w:val="14"/>
              </w:rPr>
            </w:pPr>
            <w:r w:rsidRPr="00D43575">
              <w:rPr>
                <w:i/>
                <w:iCs/>
                <w:sz w:val="14"/>
              </w:rPr>
              <w:t>Porcentaje</w:t>
            </w:r>
            <w:r w:rsidR="00B06AC3" w:rsidRPr="00D43575">
              <w:rPr>
                <w:i/>
                <w:iCs/>
                <w:sz w:val="14"/>
              </w:rPr>
              <w:br/>
            </w:r>
            <w:r w:rsidRPr="00D43575">
              <w:rPr>
                <w:i/>
                <w:iCs/>
                <w:sz w:val="14"/>
              </w:rPr>
              <w:t xml:space="preserve"> de hombres</w:t>
            </w:r>
          </w:p>
        </w:tc>
        <w:tc>
          <w:tcPr>
            <w:tcW w:w="1046" w:type="dxa"/>
            <w:tcBorders>
              <w:bottom w:val="single" w:sz="12" w:space="0" w:color="auto"/>
            </w:tcBorders>
            <w:shd w:val="clear" w:color="auto" w:fill="auto"/>
          </w:tcPr>
          <w:p w14:paraId="2F2A1066" w14:textId="77777777" w:rsidR="008D2F10" w:rsidRPr="00D43575" w:rsidRDefault="008D2F10" w:rsidP="00B06AC3">
            <w:pPr>
              <w:pStyle w:val="SingleTxt"/>
              <w:spacing w:before="80" w:after="80" w:line="160" w:lineRule="exact"/>
              <w:ind w:left="63" w:right="43"/>
              <w:jc w:val="right"/>
              <w:rPr>
                <w:i/>
                <w:iCs/>
                <w:sz w:val="14"/>
              </w:rPr>
            </w:pPr>
            <w:r w:rsidRPr="00D43575">
              <w:rPr>
                <w:i/>
                <w:iCs/>
                <w:sz w:val="14"/>
              </w:rPr>
              <w:t>Porcentaje</w:t>
            </w:r>
            <w:r w:rsidR="00B06AC3" w:rsidRPr="00D43575">
              <w:rPr>
                <w:i/>
                <w:iCs/>
                <w:sz w:val="14"/>
              </w:rPr>
              <w:br/>
            </w:r>
            <w:r w:rsidRPr="00D43575">
              <w:rPr>
                <w:i/>
                <w:iCs/>
                <w:sz w:val="14"/>
              </w:rPr>
              <w:t xml:space="preserve"> de mujeres</w:t>
            </w:r>
          </w:p>
        </w:tc>
        <w:tc>
          <w:tcPr>
            <w:tcW w:w="1046" w:type="dxa"/>
            <w:gridSpan w:val="2"/>
            <w:tcBorders>
              <w:bottom w:val="single" w:sz="12" w:space="0" w:color="auto"/>
            </w:tcBorders>
            <w:shd w:val="clear" w:color="auto" w:fill="auto"/>
          </w:tcPr>
          <w:p w14:paraId="7BC3F1B1" w14:textId="77777777" w:rsidR="008D2F10" w:rsidRPr="00D43575" w:rsidRDefault="008D2F10" w:rsidP="00B06AC3">
            <w:pPr>
              <w:pStyle w:val="SingleTxt"/>
              <w:spacing w:before="80" w:after="80" w:line="160" w:lineRule="exact"/>
              <w:ind w:left="63" w:right="43"/>
              <w:jc w:val="right"/>
              <w:rPr>
                <w:i/>
                <w:iCs/>
                <w:sz w:val="14"/>
              </w:rPr>
            </w:pPr>
            <w:r w:rsidRPr="00D43575">
              <w:rPr>
                <w:i/>
                <w:iCs/>
                <w:sz w:val="14"/>
              </w:rPr>
              <w:t>Porcentaje</w:t>
            </w:r>
            <w:r w:rsidR="00B06AC3" w:rsidRPr="00D43575">
              <w:rPr>
                <w:i/>
                <w:iCs/>
                <w:sz w:val="14"/>
              </w:rPr>
              <w:br/>
            </w:r>
            <w:r w:rsidRPr="00D43575">
              <w:rPr>
                <w:i/>
                <w:iCs/>
                <w:sz w:val="14"/>
              </w:rPr>
              <w:t xml:space="preserve"> de hombres</w:t>
            </w:r>
          </w:p>
        </w:tc>
        <w:tc>
          <w:tcPr>
            <w:tcW w:w="1046" w:type="dxa"/>
            <w:tcBorders>
              <w:bottom w:val="single" w:sz="12" w:space="0" w:color="auto"/>
            </w:tcBorders>
            <w:shd w:val="clear" w:color="auto" w:fill="auto"/>
          </w:tcPr>
          <w:p w14:paraId="271C0EEF" w14:textId="77777777" w:rsidR="008D2F10" w:rsidRPr="00D43575" w:rsidRDefault="008D2F10" w:rsidP="00B06AC3">
            <w:pPr>
              <w:pStyle w:val="SingleTxt"/>
              <w:spacing w:before="80" w:after="80" w:line="160" w:lineRule="exact"/>
              <w:ind w:left="63" w:right="43"/>
              <w:jc w:val="right"/>
              <w:rPr>
                <w:i/>
                <w:iCs/>
                <w:sz w:val="14"/>
              </w:rPr>
            </w:pPr>
            <w:r w:rsidRPr="00D43575">
              <w:rPr>
                <w:i/>
                <w:iCs/>
                <w:sz w:val="14"/>
              </w:rPr>
              <w:t>Porcentaje</w:t>
            </w:r>
            <w:r w:rsidR="00B06AC3" w:rsidRPr="00D43575">
              <w:rPr>
                <w:i/>
                <w:iCs/>
                <w:sz w:val="14"/>
              </w:rPr>
              <w:br/>
            </w:r>
            <w:r w:rsidRPr="00D43575">
              <w:rPr>
                <w:i/>
                <w:iCs/>
                <w:sz w:val="14"/>
              </w:rPr>
              <w:t xml:space="preserve"> de mujeres</w:t>
            </w:r>
          </w:p>
        </w:tc>
      </w:tr>
      <w:tr w:rsidR="008D2F10" w:rsidRPr="00D43575" w14:paraId="3E39E571" w14:textId="77777777" w:rsidTr="00BD7BE9">
        <w:trPr>
          <w:trHeight w:hRule="exact" w:val="115"/>
          <w:tblHeader/>
        </w:trPr>
        <w:tc>
          <w:tcPr>
            <w:tcW w:w="1154" w:type="dxa"/>
            <w:tcBorders>
              <w:top w:val="single" w:sz="12" w:space="0" w:color="auto"/>
            </w:tcBorders>
            <w:shd w:val="clear" w:color="auto" w:fill="auto"/>
            <w:vAlign w:val="bottom"/>
          </w:tcPr>
          <w:p w14:paraId="10C39E93" w14:textId="77777777" w:rsidR="008D2F10" w:rsidRPr="00D43575" w:rsidRDefault="008D2F10" w:rsidP="00BD7BE9">
            <w:pPr>
              <w:keepNext/>
              <w:keepLines/>
              <w:widowControl w:val="0"/>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shd w:val="clear" w:color="auto" w:fill="auto"/>
            <w:vAlign w:val="bottom"/>
          </w:tcPr>
          <w:p w14:paraId="3BA71CAF" w14:textId="77777777" w:rsidR="008D2F10" w:rsidRPr="00D43575" w:rsidRDefault="008D2F10" w:rsidP="00BD7BE9">
            <w:pPr>
              <w:keepNext/>
              <w:keepLines/>
              <w:widowControl w:val="0"/>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150430A8" w14:textId="77777777" w:rsidR="008D2F10" w:rsidRPr="00D43575" w:rsidRDefault="008D2F10" w:rsidP="00BD7BE9">
            <w:pPr>
              <w:keepNext/>
              <w:keepLines/>
              <w:widowControl w:val="0"/>
              <w:tabs>
                <w:tab w:val="left" w:pos="288"/>
                <w:tab w:val="left" w:pos="576"/>
                <w:tab w:val="left" w:pos="864"/>
                <w:tab w:val="left" w:pos="1152"/>
              </w:tabs>
              <w:spacing w:before="40" w:after="40" w:line="210" w:lineRule="exact"/>
              <w:ind w:left="144" w:right="40"/>
              <w:jc w:val="right"/>
              <w:rPr>
                <w:sz w:val="17"/>
              </w:rPr>
            </w:pPr>
          </w:p>
        </w:tc>
        <w:tc>
          <w:tcPr>
            <w:tcW w:w="1046" w:type="dxa"/>
            <w:gridSpan w:val="2"/>
            <w:tcBorders>
              <w:top w:val="single" w:sz="12" w:space="0" w:color="auto"/>
            </w:tcBorders>
            <w:shd w:val="clear" w:color="auto" w:fill="auto"/>
            <w:vAlign w:val="bottom"/>
          </w:tcPr>
          <w:p w14:paraId="5CCB50A8" w14:textId="77777777" w:rsidR="008D2F10" w:rsidRPr="00D43575" w:rsidRDefault="008D2F10" w:rsidP="00BD7BE9">
            <w:pPr>
              <w:keepNext/>
              <w:keepLines/>
              <w:widowControl w:val="0"/>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7EE21CA3" w14:textId="77777777" w:rsidR="008D2F10" w:rsidRPr="00D43575" w:rsidRDefault="008D2F10" w:rsidP="00BD7BE9">
            <w:pPr>
              <w:keepNext/>
              <w:keepLines/>
              <w:widowControl w:val="0"/>
              <w:tabs>
                <w:tab w:val="left" w:pos="288"/>
                <w:tab w:val="left" w:pos="576"/>
                <w:tab w:val="left" w:pos="864"/>
                <w:tab w:val="left" w:pos="1152"/>
              </w:tabs>
              <w:spacing w:before="40" w:after="40" w:line="210" w:lineRule="exact"/>
              <w:ind w:left="144" w:right="40"/>
              <w:jc w:val="right"/>
              <w:rPr>
                <w:sz w:val="17"/>
              </w:rPr>
            </w:pPr>
          </w:p>
        </w:tc>
        <w:tc>
          <w:tcPr>
            <w:tcW w:w="1046" w:type="dxa"/>
            <w:gridSpan w:val="2"/>
            <w:tcBorders>
              <w:top w:val="single" w:sz="12" w:space="0" w:color="auto"/>
            </w:tcBorders>
            <w:shd w:val="clear" w:color="auto" w:fill="auto"/>
            <w:vAlign w:val="bottom"/>
          </w:tcPr>
          <w:p w14:paraId="437190BA" w14:textId="77777777" w:rsidR="008D2F10" w:rsidRPr="00D43575" w:rsidRDefault="008D2F10" w:rsidP="00BD7BE9">
            <w:pPr>
              <w:keepNext/>
              <w:keepLines/>
              <w:widowControl w:val="0"/>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76C9FE9E" w14:textId="77777777" w:rsidR="008D2F10" w:rsidRPr="00D43575" w:rsidRDefault="008D2F10" w:rsidP="00BD7BE9">
            <w:pPr>
              <w:keepNext/>
              <w:keepLines/>
              <w:widowControl w:val="0"/>
              <w:tabs>
                <w:tab w:val="left" w:pos="288"/>
                <w:tab w:val="left" w:pos="576"/>
                <w:tab w:val="left" w:pos="864"/>
                <w:tab w:val="left" w:pos="1152"/>
              </w:tabs>
              <w:spacing w:before="40" w:after="40" w:line="210" w:lineRule="exact"/>
              <w:ind w:left="144" w:right="40"/>
              <w:jc w:val="right"/>
              <w:rPr>
                <w:sz w:val="17"/>
              </w:rPr>
            </w:pPr>
          </w:p>
        </w:tc>
      </w:tr>
      <w:tr w:rsidR="008D2F10" w:rsidRPr="00D43575" w14:paraId="661A9A55" w14:textId="77777777" w:rsidTr="00BD7BE9">
        <w:tc>
          <w:tcPr>
            <w:tcW w:w="1154" w:type="dxa"/>
            <w:shd w:val="clear" w:color="auto" w:fill="auto"/>
          </w:tcPr>
          <w:p w14:paraId="4E23E536"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2015/2016</w:t>
            </w:r>
          </w:p>
        </w:tc>
        <w:tc>
          <w:tcPr>
            <w:tcW w:w="1046" w:type="dxa"/>
            <w:shd w:val="clear" w:color="auto" w:fill="auto"/>
          </w:tcPr>
          <w:p w14:paraId="521D1531"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49,3</w:t>
            </w:r>
          </w:p>
        </w:tc>
        <w:tc>
          <w:tcPr>
            <w:tcW w:w="1046" w:type="dxa"/>
            <w:shd w:val="clear" w:color="auto" w:fill="auto"/>
          </w:tcPr>
          <w:p w14:paraId="40C2EB11"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50,7</w:t>
            </w:r>
          </w:p>
        </w:tc>
        <w:tc>
          <w:tcPr>
            <w:tcW w:w="1046" w:type="dxa"/>
            <w:gridSpan w:val="2"/>
            <w:shd w:val="clear" w:color="auto" w:fill="auto"/>
          </w:tcPr>
          <w:p w14:paraId="10C0C518"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45,9</w:t>
            </w:r>
          </w:p>
        </w:tc>
        <w:tc>
          <w:tcPr>
            <w:tcW w:w="1046" w:type="dxa"/>
            <w:shd w:val="clear" w:color="auto" w:fill="auto"/>
          </w:tcPr>
          <w:p w14:paraId="4E55DBFF"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54,1</w:t>
            </w:r>
          </w:p>
        </w:tc>
        <w:tc>
          <w:tcPr>
            <w:tcW w:w="1046" w:type="dxa"/>
            <w:gridSpan w:val="2"/>
            <w:shd w:val="clear" w:color="auto" w:fill="auto"/>
          </w:tcPr>
          <w:p w14:paraId="4EE59AE8"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47,9</w:t>
            </w:r>
          </w:p>
        </w:tc>
        <w:tc>
          <w:tcPr>
            <w:tcW w:w="1046" w:type="dxa"/>
            <w:shd w:val="clear" w:color="auto" w:fill="auto"/>
          </w:tcPr>
          <w:p w14:paraId="597484E1"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52,1</w:t>
            </w:r>
          </w:p>
        </w:tc>
      </w:tr>
      <w:tr w:rsidR="008D2F10" w:rsidRPr="00D43575" w14:paraId="450723DF" w14:textId="77777777" w:rsidTr="00BD7BE9">
        <w:tc>
          <w:tcPr>
            <w:tcW w:w="1154" w:type="dxa"/>
            <w:shd w:val="clear" w:color="auto" w:fill="auto"/>
          </w:tcPr>
          <w:p w14:paraId="259F8C9E"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2014/2015</w:t>
            </w:r>
          </w:p>
        </w:tc>
        <w:tc>
          <w:tcPr>
            <w:tcW w:w="1046" w:type="dxa"/>
            <w:shd w:val="clear" w:color="auto" w:fill="auto"/>
          </w:tcPr>
          <w:p w14:paraId="74E245CA"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48,0</w:t>
            </w:r>
          </w:p>
        </w:tc>
        <w:tc>
          <w:tcPr>
            <w:tcW w:w="1046" w:type="dxa"/>
            <w:shd w:val="clear" w:color="auto" w:fill="auto"/>
          </w:tcPr>
          <w:p w14:paraId="279C3FA9"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52,0</w:t>
            </w:r>
          </w:p>
        </w:tc>
        <w:tc>
          <w:tcPr>
            <w:tcW w:w="1046" w:type="dxa"/>
            <w:gridSpan w:val="2"/>
            <w:shd w:val="clear" w:color="auto" w:fill="auto"/>
          </w:tcPr>
          <w:p w14:paraId="3042F1D0"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46,0</w:t>
            </w:r>
          </w:p>
        </w:tc>
        <w:tc>
          <w:tcPr>
            <w:tcW w:w="1046" w:type="dxa"/>
            <w:shd w:val="clear" w:color="auto" w:fill="auto"/>
          </w:tcPr>
          <w:p w14:paraId="134393FA"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54,0</w:t>
            </w:r>
          </w:p>
        </w:tc>
        <w:tc>
          <w:tcPr>
            <w:tcW w:w="1046" w:type="dxa"/>
            <w:gridSpan w:val="2"/>
            <w:shd w:val="clear" w:color="auto" w:fill="auto"/>
          </w:tcPr>
          <w:p w14:paraId="2290A860"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47,1</w:t>
            </w:r>
          </w:p>
        </w:tc>
        <w:tc>
          <w:tcPr>
            <w:tcW w:w="1046" w:type="dxa"/>
            <w:shd w:val="clear" w:color="auto" w:fill="auto"/>
          </w:tcPr>
          <w:p w14:paraId="22983A73"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52,9</w:t>
            </w:r>
          </w:p>
        </w:tc>
      </w:tr>
      <w:tr w:rsidR="008D2F10" w:rsidRPr="00D43575" w14:paraId="1405AB83" w14:textId="77777777" w:rsidTr="00BD7BE9">
        <w:tc>
          <w:tcPr>
            <w:tcW w:w="1154" w:type="dxa"/>
            <w:shd w:val="clear" w:color="auto" w:fill="auto"/>
          </w:tcPr>
          <w:p w14:paraId="3DF7F089"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2013/2014</w:t>
            </w:r>
          </w:p>
        </w:tc>
        <w:tc>
          <w:tcPr>
            <w:tcW w:w="1046" w:type="dxa"/>
            <w:shd w:val="clear" w:color="auto" w:fill="auto"/>
          </w:tcPr>
          <w:p w14:paraId="6BD39F65"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48,4</w:t>
            </w:r>
          </w:p>
        </w:tc>
        <w:tc>
          <w:tcPr>
            <w:tcW w:w="1046" w:type="dxa"/>
            <w:shd w:val="clear" w:color="auto" w:fill="auto"/>
          </w:tcPr>
          <w:p w14:paraId="3096C78D"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51,6</w:t>
            </w:r>
          </w:p>
        </w:tc>
        <w:tc>
          <w:tcPr>
            <w:tcW w:w="1046" w:type="dxa"/>
            <w:gridSpan w:val="2"/>
            <w:shd w:val="clear" w:color="auto" w:fill="auto"/>
          </w:tcPr>
          <w:p w14:paraId="23722864"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45,6</w:t>
            </w:r>
          </w:p>
        </w:tc>
        <w:tc>
          <w:tcPr>
            <w:tcW w:w="1046" w:type="dxa"/>
            <w:shd w:val="clear" w:color="auto" w:fill="auto"/>
          </w:tcPr>
          <w:p w14:paraId="6D8458B2"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54,4</w:t>
            </w:r>
          </w:p>
        </w:tc>
        <w:tc>
          <w:tcPr>
            <w:tcW w:w="1046" w:type="dxa"/>
            <w:gridSpan w:val="2"/>
            <w:shd w:val="clear" w:color="auto" w:fill="auto"/>
          </w:tcPr>
          <w:p w14:paraId="094B92BD"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47,2</w:t>
            </w:r>
          </w:p>
        </w:tc>
        <w:tc>
          <w:tcPr>
            <w:tcW w:w="1046" w:type="dxa"/>
            <w:shd w:val="clear" w:color="auto" w:fill="auto"/>
          </w:tcPr>
          <w:p w14:paraId="334909B1"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52,8</w:t>
            </w:r>
          </w:p>
        </w:tc>
      </w:tr>
      <w:tr w:rsidR="008D2F10" w:rsidRPr="00D43575" w14:paraId="25500CA0" w14:textId="77777777" w:rsidTr="00BD7BE9">
        <w:tc>
          <w:tcPr>
            <w:tcW w:w="1154" w:type="dxa"/>
            <w:tcBorders>
              <w:bottom w:val="single" w:sz="12" w:space="0" w:color="auto"/>
            </w:tcBorders>
            <w:shd w:val="clear" w:color="auto" w:fill="auto"/>
          </w:tcPr>
          <w:p w14:paraId="38917CC2"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2012/2013</w:t>
            </w:r>
          </w:p>
        </w:tc>
        <w:tc>
          <w:tcPr>
            <w:tcW w:w="1046" w:type="dxa"/>
            <w:tcBorders>
              <w:bottom w:val="single" w:sz="12" w:space="0" w:color="auto"/>
            </w:tcBorders>
            <w:shd w:val="clear" w:color="auto" w:fill="auto"/>
          </w:tcPr>
          <w:p w14:paraId="406BF2D9"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48,0</w:t>
            </w:r>
          </w:p>
        </w:tc>
        <w:tc>
          <w:tcPr>
            <w:tcW w:w="1046" w:type="dxa"/>
            <w:tcBorders>
              <w:bottom w:val="single" w:sz="12" w:space="0" w:color="auto"/>
            </w:tcBorders>
            <w:shd w:val="clear" w:color="auto" w:fill="auto"/>
          </w:tcPr>
          <w:p w14:paraId="0850368B"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52,0</w:t>
            </w:r>
          </w:p>
        </w:tc>
        <w:tc>
          <w:tcPr>
            <w:tcW w:w="1046" w:type="dxa"/>
            <w:gridSpan w:val="2"/>
            <w:tcBorders>
              <w:bottom w:val="single" w:sz="12" w:space="0" w:color="auto"/>
            </w:tcBorders>
            <w:shd w:val="clear" w:color="auto" w:fill="auto"/>
          </w:tcPr>
          <w:p w14:paraId="08491F75"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45,1</w:t>
            </w:r>
          </w:p>
        </w:tc>
        <w:tc>
          <w:tcPr>
            <w:tcW w:w="1046" w:type="dxa"/>
            <w:tcBorders>
              <w:bottom w:val="single" w:sz="12" w:space="0" w:color="auto"/>
            </w:tcBorders>
            <w:shd w:val="clear" w:color="auto" w:fill="auto"/>
          </w:tcPr>
          <w:p w14:paraId="78487E61"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54,9</w:t>
            </w:r>
          </w:p>
        </w:tc>
        <w:tc>
          <w:tcPr>
            <w:tcW w:w="1046" w:type="dxa"/>
            <w:gridSpan w:val="2"/>
            <w:tcBorders>
              <w:bottom w:val="single" w:sz="12" w:space="0" w:color="auto"/>
            </w:tcBorders>
            <w:shd w:val="clear" w:color="auto" w:fill="auto"/>
          </w:tcPr>
          <w:p w14:paraId="102535E5"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46,9</w:t>
            </w:r>
          </w:p>
        </w:tc>
        <w:tc>
          <w:tcPr>
            <w:tcW w:w="1046" w:type="dxa"/>
            <w:tcBorders>
              <w:bottom w:val="single" w:sz="12" w:space="0" w:color="auto"/>
            </w:tcBorders>
            <w:shd w:val="clear" w:color="auto" w:fill="auto"/>
          </w:tcPr>
          <w:p w14:paraId="7E913FF8" w14:textId="77777777" w:rsidR="008D2F10" w:rsidRPr="00D43575" w:rsidRDefault="008D2F10" w:rsidP="00B06A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53,1</w:t>
            </w:r>
          </w:p>
        </w:tc>
      </w:tr>
    </w:tbl>
    <w:p w14:paraId="0B010F99" w14:textId="77777777" w:rsidR="008D2F10" w:rsidRPr="00D43575" w:rsidRDefault="008D2F10" w:rsidP="006820D1">
      <w:pPr>
        <w:pStyle w:val="SingleTxt"/>
        <w:spacing w:after="0" w:line="120" w:lineRule="exact"/>
        <w:rPr>
          <w:sz w:val="10"/>
        </w:rPr>
      </w:pPr>
    </w:p>
    <w:p w14:paraId="42C02045" w14:textId="7167083C" w:rsidR="008D2F10"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Estado de Qatar, Ministerio de Educación y Enseñanza Superior, Departamento de Investigaciones y Políticas Educativas, División de Estadística, 2017</w:t>
      </w:r>
      <w:r w:rsidR="00083383" w:rsidRPr="00D43575">
        <w:rPr>
          <w:rFonts w:eastAsiaTheme="minorHAnsi"/>
          <w:iCs/>
          <w:w w:val="103"/>
          <w:kern w:val="14"/>
          <w:szCs w:val="20"/>
        </w:rPr>
        <w:t>.</w:t>
      </w:r>
    </w:p>
    <w:p w14:paraId="5FA2E00A" w14:textId="77777777" w:rsidR="008D2F10" w:rsidRPr="00D43575" w:rsidRDefault="008D2F10" w:rsidP="006820D1">
      <w:pPr>
        <w:pStyle w:val="SingleTxt"/>
        <w:spacing w:after="0" w:line="120" w:lineRule="exact"/>
        <w:rPr>
          <w:sz w:val="10"/>
        </w:rPr>
      </w:pPr>
    </w:p>
    <w:p w14:paraId="0679CBD5" w14:textId="77777777" w:rsidR="008D2F10" w:rsidRPr="00D43575" w:rsidRDefault="008D2F10" w:rsidP="006820D1">
      <w:pPr>
        <w:pStyle w:val="SingleTxt"/>
        <w:spacing w:after="0" w:line="120" w:lineRule="exact"/>
        <w:rPr>
          <w:sz w:val="10"/>
        </w:rPr>
      </w:pPr>
    </w:p>
    <w:p w14:paraId="098D68F3" w14:textId="28DDB587" w:rsidR="008D2F10" w:rsidRPr="00D43575" w:rsidRDefault="008D2F10" w:rsidP="001D1AD0">
      <w:pPr>
        <w:pStyle w:val="SingleTxt"/>
        <w:numPr>
          <w:ilvl w:val="0"/>
          <w:numId w:val="10"/>
        </w:numPr>
        <w:ind w:left="1267" w:firstLine="0"/>
      </w:pPr>
      <w:r w:rsidRPr="00D43575">
        <w:t>Del cuadro 5 se desprende que el porcentaje de mujeres en centros públicos y privados supera el 50% entre 2012 y 2015</w:t>
      </w:r>
      <w:r w:rsidR="00083383" w:rsidRPr="00D43575">
        <w:t>.</w:t>
      </w:r>
      <w:r w:rsidRPr="00D43575">
        <w:t xml:space="preserve"> Se trata de un valor alto que da cuenta de que en el Estado de Qatar las mujeres continúan sus estudios durante su período de formación hasta la educación secundaria, pese a que no existe legislación alguna que establezca la obligatoriedad de este nivel de enseñanza en el país</w:t>
      </w:r>
      <w:r w:rsidR="00083383" w:rsidRPr="00D43575">
        <w:t>.</w:t>
      </w:r>
    </w:p>
    <w:p w14:paraId="10FFD918" w14:textId="20A2381B" w:rsidR="008D2F10" w:rsidRPr="00D43575" w:rsidRDefault="008D2F10" w:rsidP="001D1AD0">
      <w:pPr>
        <w:pStyle w:val="SingleTxt"/>
        <w:numPr>
          <w:ilvl w:val="0"/>
          <w:numId w:val="10"/>
        </w:numPr>
        <w:ind w:left="1267" w:firstLine="0"/>
      </w:pPr>
      <w:r w:rsidRPr="00D43575">
        <w:t>En lo que respecta a las oportunidades de formación profesional especializada que se brindan a las mujeres en el Estado de Qatar, en el curso académico 2015</w:t>
      </w:r>
      <w:r w:rsidR="00083383" w:rsidRPr="00D43575">
        <w:noBreakHyphen/>
      </w:r>
      <w:r w:rsidRPr="00D43575">
        <w:t>2016 se inauguró el Centro Femenino Independiente de Educación Secundaria en Finanzas y Administración de Empresas</w:t>
      </w:r>
      <w:r w:rsidR="00083383" w:rsidRPr="00D43575">
        <w:t>.</w:t>
      </w:r>
      <w:r w:rsidRPr="00D43575">
        <w:t xml:space="preserve"> Este centro ofrece una educación especializada de alta calidad en materia de finanzas y administración de empresas con miras a formar recursos humanos femeninos e integrarlos en el sector económico</w:t>
      </w:r>
      <w:r w:rsidR="00083383" w:rsidRPr="00D43575">
        <w:t>.</w:t>
      </w:r>
      <w:r w:rsidRPr="00D43575">
        <w:t xml:space="preserve"> Las mujeres que cursen estos estudios podrán solicitar su acceso a la universidad para estudiar finanzas y administración de empresas, o incorporarse al mercado de trabajo de este sector</w:t>
      </w:r>
      <w:r w:rsidR="00083383" w:rsidRPr="00D43575">
        <w:t>.</w:t>
      </w:r>
      <w:r w:rsidRPr="00D43575">
        <w:t xml:space="preserve"> Está previsto crear otras escuelas técnicas y especializadas que se ajusten a los gustos </w:t>
      </w:r>
      <w:r w:rsidRPr="00D43575">
        <w:lastRenderedPageBreak/>
        <w:t>y preferencias de las mujeres jóvenes, como centros de estudios científicos y tecnológicos</w:t>
      </w:r>
      <w:r w:rsidR="00083383" w:rsidRPr="00D43575">
        <w:t>.</w:t>
      </w:r>
    </w:p>
    <w:p w14:paraId="423824A4" w14:textId="1A145C79" w:rsidR="008D2F10" w:rsidRPr="00D43575" w:rsidRDefault="008D2F10" w:rsidP="001D1AD0">
      <w:pPr>
        <w:pStyle w:val="SingleTxt"/>
        <w:numPr>
          <w:ilvl w:val="0"/>
          <w:numId w:val="10"/>
        </w:numPr>
        <w:ind w:left="1267" w:firstLine="0"/>
      </w:pPr>
      <w:r w:rsidRPr="00D43575">
        <w:t>El Estado ha adoptado una serie de medidas para alentar a las mujeres a que se matriculen en este tipo de formación profesional especializada</w:t>
      </w:r>
      <w:r w:rsidR="00083383" w:rsidRPr="00D43575">
        <w:t>.</w:t>
      </w:r>
      <w:r w:rsidRPr="00D43575">
        <w:t xml:space="preserve"> Deseamos destacar las siguientes:</w:t>
      </w:r>
    </w:p>
    <w:p w14:paraId="1817C3C5" w14:textId="337FFB54" w:rsidR="00083383" w:rsidRPr="00D43575" w:rsidRDefault="008D2F10" w:rsidP="008D2F10">
      <w:pPr>
        <w:pStyle w:val="SingleTxt"/>
        <w:tabs>
          <w:tab w:val="right" w:pos="1685"/>
        </w:tabs>
        <w:ind w:left="1742" w:hanging="475"/>
      </w:pPr>
      <w:r w:rsidRPr="00D43575">
        <w:tab/>
        <w:t>•</w:t>
      </w:r>
      <w:r w:rsidRPr="00D43575">
        <w:tab/>
        <w:t>Se han reservado asignaciones presupuestarias para las alumnas como un incentivo a la matriculación</w:t>
      </w:r>
      <w:r w:rsidR="00083383" w:rsidRPr="00D43575">
        <w:t>.</w:t>
      </w:r>
    </w:p>
    <w:p w14:paraId="535D8E1A" w14:textId="675C3EEA" w:rsidR="008D2F10" w:rsidRPr="00D43575" w:rsidRDefault="008D2F10" w:rsidP="008D2F10">
      <w:pPr>
        <w:pStyle w:val="SingleTxt"/>
        <w:tabs>
          <w:tab w:val="right" w:pos="1685"/>
        </w:tabs>
        <w:ind w:left="1742" w:hanging="475"/>
      </w:pPr>
      <w:r w:rsidRPr="00D43575">
        <w:tab/>
        <w:t>•</w:t>
      </w:r>
      <w:r w:rsidRPr="00D43575">
        <w:tab/>
        <w:t>Se están llevando a cabo campañas de sensibilización de forma anual para que las estudiantes de la enseñanza preparatoria conozcan los programas que se ofrecen y alentarlas a que se matriculen en este nivel educativo</w:t>
      </w:r>
      <w:r w:rsidR="00083383" w:rsidRPr="00D43575">
        <w:t>.</w:t>
      </w:r>
    </w:p>
    <w:p w14:paraId="47215AFB" w14:textId="1E9A82F1" w:rsidR="008D2F10" w:rsidRPr="00D43575" w:rsidRDefault="008D2F10" w:rsidP="008D2F10">
      <w:pPr>
        <w:pStyle w:val="SingleTxt"/>
        <w:tabs>
          <w:tab w:val="right" w:pos="1685"/>
        </w:tabs>
        <w:ind w:left="1742" w:hanging="475"/>
      </w:pPr>
      <w:r w:rsidRPr="00D43575">
        <w:tab/>
        <w:t>•</w:t>
      </w:r>
      <w:r w:rsidRPr="00D43575">
        <w:tab/>
        <w:t>Existe el compromiso de proporcionar empleo a las mujeres graduadas tras acabar sus estudios</w:t>
      </w:r>
      <w:r w:rsidR="00083383" w:rsidRPr="00D43575">
        <w:t>.</w:t>
      </w:r>
    </w:p>
    <w:p w14:paraId="65AC195C" w14:textId="77777777" w:rsidR="008D2F10" w:rsidRPr="00D43575" w:rsidRDefault="008D2F10" w:rsidP="00E433AA">
      <w:pPr>
        <w:pStyle w:val="SingleTxt"/>
        <w:spacing w:after="0" w:line="120" w:lineRule="exact"/>
        <w:rPr>
          <w:sz w:val="10"/>
        </w:rPr>
      </w:pPr>
    </w:p>
    <w:p w14:paraId="1655D7E2" w14:textId="6F91ED93" w:rsidR="008D2F10" w:rsidRPr="00D43575" w:rsidRDefault="008D2F10" w:rsidP="00083383">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390"/>
        <w:rPr>
          <w:bCs w:val="0"/>
          <w:szCs w:val="20"/>
        </w:rPr>
      </w:pPr>
      <w:r w:rsidRPr="00D43575">
        <w:rPr>
          <w:bCs w:val="0"/>
          <w:szCs w:val="20"/>
        </w:rPr>
        <w:tab/>
      </w:r>
      <w:r w:rsidRPr="00D43575">
        <w:rPr>
          <w:bCs w:val="0"/>
          <w:szCs w:val="20"/>
        </w:rPr>
        <w:tab/>
      </w:r>
      <w:r w:rsidR="00203B27">
        <w:rPr>
          <w:b w:val="0"/>
          <w:bCs w:val="0"/>
          <w:szCs w:val="20"/>
        </w:rPr>
        <w:t>Cuadro 6</w:t>
      </w:r>
      <w:r w:rsidR="009070BD" w:rsidRPr="00D43575">
        <w:rPr>
          <w:b w:val="0"/>
          <w:bCs w:val="0"/>
          <w:szCs w:val="20"/>
        </w:rPr>
        <w:t xml:space="preserve"> </w:t>
      </w:r>
      <w:r w:rsidR="009070BD" w:rsidRPr="00D43575">
        <w:rPr>
          <w:b w:val="0"/>
          <w:bCs w:val="0"/>
          <w:szCs w:val="20"/>
        </w:rPr>
        <w:br/>
      </w:r>
      <w:r w:rsidRPr="00D43575">
        <w:rPr>
          <w:bCs w:val="0"/>
          <w:szCs w:val="20"/>
        </w:rPr>
        <w:t>Porcentaje de matriculación de alumnas en el Centro Femenino Independiente de Educación Secundaria en Finanzas y Administración de Empresas en</w:t>
      </w:r>
      <w:r w:rsidR="00203B27">
        <w:rPr>
          <w:bCs w:val="0"/>
          <w:szCs w:val="20"/>
        </w:rPr>
        <w:t xml:space="preserve"> </w:t>
      </w:r>
      <w:r w:rsidRPr="00D43575">
        <w:rPr>
          <w:bCs w:val="0"/>
          <w:szCs w:val="20"/>
        </w:rPr>
        <w:t>los</w:t>
      </w:r>
      <w:r w:rsidR="00203B27">
        <w:rPr>
          <w:bCs w:val="0"/>
          <w:szCs w:val="20"/>
        </w:rPr>
        <w:t xml:space="preserve"> </w:t>
      </w:r>
      <w:r w:rsidRPr="00D43575">
        <w:rPr>
          <w:bCs w:val="0"/>
          <w:szCs w:val="20"/>
        </w:rPr>
        <w:t>cursos académicos 2016</w:t>
      </w:r>
      <w:r w:rsidR="00083383" w:rsidRPr="00D43575">
        <w:rPr>
          <w:bCs w:val="0"/>
          <w:szCs w:val="20"/>
        </w:rPr>
        <w:noBreakHyphen/>
      </w:r>
      <w:r w:rsidRPr="00D43575">
        <w:rPr>
          <w:bCs w:val="0"/>
          <w:szCs w:val="20"/>
        </w:rPr>
        <w:t>2017 y 2017</w:t>
      </w:r>
      <w:r w:rsidR="00083383" w:rsidRPr="00D43575">
        <w:rPr>
          <w:bCs w:val="0"/>
          <w:szCs w:val="20"/>
        </w:rPr>
        <w:noBreakHyphen/>
      </w:r>
      <w:r w:rsidRPr="00D43575">
        <w:rPr>
          <w:bCs w:val="0"/>
          <w:szCs w:val="20"/>
        </w:rPr>
        <w:t>2018</w:t>
      </w:r>
    </w:p>
    <w:p w14:paraId="7647BD6F" w14:textId="77777777" w:rsidR="008D2F10" w:rsidRPr="00D43575" w:rsidRDefault="008D2F10" w:rsidP="00E433A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500"/>
        <w:gridCol w:w="1464"/>
        <w:gridCol w:w="1464"/>
      </w:tblGrid>
      <w:tr w:rsidR="008D2F10" w:rsidRPr="00D43575" w14:paraId="387897FC" w14:textId="77777777" w:rsidTr="00BD7BE9">
        <w:trPr>
          <w:tblHeader/>
        </w:trPr>
        <w:tc>
          <w:tcPr>
            <w:tcW w:w="4500" w:type="dxa"/>
            <w:vMerge w:val="restart"/>
            <w:tcBorders>
              <w:top w:val="single" w:sz="4" w:space="0" w:color="auto"/>
            </w:tcBorders>
            <w:shd w:val="clear" w:color="auto" w:fill="auto"/>
            <w:vAlign w:val="bottom"/>
          </w:tcPr>
          <w:p w14:paraId="393B3E57" w14:textId="77777777" w:rsidR="008D2F10" w:rsidRPr="00D43575" w:rsidRDefault="008D2F10" w:rsidP="00FD0BDE">
            <w:pPr>
              <w:pStyle w:val="SingleTxt"/>
              <w:spacing w:before="80" w:after="80" w:line="160" w:lineRule="exact"/>
              <w:ind w:left="11" w:right="43"/>
              <w:jc w:val="left"/>
              <w:rPr>
                <w:i/>
                <w:iCs/>
                <w:sz w:val="14"/>
              </w:rPr>
            </w:pPr>
            <w:r w:rsidRPr="00D43575">
              <w:rPr>
                <w:i/>
                <w:iCs/>
                <w:sz w:val="14"/>
              </w:rPr>
              <w:t>Número de alumnos matriculados en el Centro Independiente de Educación Secundaria en Finanzas y Administración de Empresas</w:t>
            </w:r>
          </w:p>
        </w:tc>
        <w:tc>
          <w:tcPr>
            <w:tcW w:w="2928" w:type="dxa"/>
            <w:gridSpan w:val="2"/>
            <w:tcBorders>
              <w:top w:val="single" w:sz="4" w:space="0" w:color="auto"/>
              <w:bottom w:val="single" w:sz="4" w:space="0" w:color="auto"/>
            </w:tcBorders>
            <w:shd w:val="clear" w:color="auto" w:fill="auto"/>
            <w:vAlign w:val="bottom"/>
          </w:tcPr>
          <w:p w14:paraId="30D3628D" w14:textId="77777777" w:rsidR="008D2F10" w:rsidRPr="00D43575" w:rsidRDefault="008D2F10" w:rsidP="00FD0BDE">
            <w:pPr>
              <w:pStyle w:val="SingleTxt"/>
              <w:spacing w:before="80" w:after="80" w:line="160" w:lineRule="exact"/>
              <w:ind w:left="144" w:right="43"/>
              <w:jc w:val="center"/>
              <w:rPr>
                <w:i/>
                <w:iCs/>
                <w:sz w:val="14"/>
              </w:rPr>
            </w:pPr>
            <w:r w:rsidRPr="00D43575">
              <w:rPr>
                <w:i/>
                <w:iCs/>
                <w:sz w:val="14"/>
              </w:rPr>
              <w:t>Curso académico</w:t>
            </w:r>
          </w:p>
        </w:tc>
      </w:tr>
      <w:tr w:rsidR="008D2F10" w:rsidRPr="00D43575" w14:paraId="6B404026" w14:textId="77777777" w:rsidTr="00BD7BE9">
        <w:trPr>
          <w:tblHeader/>
        </w:trPr>
        <w:tc>
          <w:tcPr>
            <w:tcW w:w="4500" w:type="dxa"/>
            <w:vMerge/>
            <w:tcBorders>
              <w:bottom w:val="single" w:sz="12" w:space="0" w:color="auto"/>
            </w:tcBorders>
            <w:shd w:val="clear" w:color="auto" w:fill="auto"/>
            <w:vAlign w:val="bottom"/>
          </w:tcPr>
          <w:p w14:paraId="056B7372" w14:textId="77777777" w:rsidR="008D2F10" w:rsidRPr="00D43575" w:rsidRDefault="008D2F10" w:rsidP="00BD7BE9">
            <w:pPr>
              <w:widowControl w:val="0"/>
              <w:tabs>
                <w:tab w:val="left" w:pos="288"/>
                <w:tab w:val="left" w:pos="576"/>
                <w:tab w:val="left" w:pos="864"/>
                <w:tab w:val="left" w:pos="1152"/>
              </w:tabs>
              <w:spacing w:before="81" w:after="81" w:line="160" w:lineRule="exact"/>
              <w:ind w:right="40"/>
              <w:rPr>
                <w:i/>
                <w:sz w:val="14"/>
              </w:rPr>
            </w:pPr>
          </w:p>
        </w:tc>
        <w:tc>
          <w:tcPr>
            <w:tcW w:w="1464" w:type="dxa"/>
            <w:tcBorders>
              <w:top w:val="single" w:sz="4" w:space="0" w:color="auto"/>
              <w:bottom w:val="single" w:sz="12" w:space="0" w:color="auto"/>
            </w:tcBorders>
            <w:shd w:val="clear" w:color="auto" w:fill="auto"/>
            <w:vAlign w:val="bottom"/>
          </w:tcPr>
          <w:p w14:paraId="0638882D" w14:textId="77777777" w:rsidR="008D2F10" w:rsidRPr="00D43575" w:rsidRDefault="008D2F10" w:rsidP="00FD0BDE">
            <w:pPr>
              <w:pStyle w:val="SingleTxt"/>
              <w:spacing w:before="80" w:after="80" w:line="160" w:lineRule="exact"/>
              <w:ind w:left="63" w:right="43"/>
              <w:jc w:val="right"/>
              <w:rPr>
                <w:i/>
                <w:iCs/>
                <w:sz w:val="14"/>
              </w:rPr>
            </w:pPr>
            <w:r w:rsidRPr="00D43575">
              <w:rPr>
                <w:i/>
                <w:iCs/>
                <w:sz w:val="14"/>
              </w:rPr>
              <w:t>2016/2017</w:t>
            </w:r>
          </w:p>
        </w:tc>
        <w:tc>
          <w:tcPr>
            <w:tcW w:w="1464" w:type="dxa"/>
            <w:tcBorders>
              <w:top w:val="single" w:sz="4" w:space="0" w:color="auto"/>
              <w:bottom w:val="single" w:sz="12" w:space="0" w:color="auto"/>
            </w:tcBorders>
            <w:shd w:val="clear" w:color="auto" w:fill="auto"/>
            <w:vAlign w:val="bottom"/>
          </w:tcPr>
          <w:p w14:paraId="41CCDCD2" w14:textId="77777777" w:rsidR="008D2F10" w:rsidRPr="00D43575" w:rsidRDefault="008D2F10" w:rsidP="00FD0BDE">
            <w:pPr>
              <w:pStyle w:val="SingleTxt"/>
              <w:spacing w:before="80" w:after="80" w:line="160" w:lineRule="exact"/>
              <w:ind w:left="63" w:right="43"/>
              <w:jc w:val="right"/>
              <w:rPr>
                <w:i/>
                <w:iCs/>
                <w:sz w:val="14"/>
              </w:rPr>
            </w:pPr>
            <w:r w:rsidRPr="00D43575">
              <w:rPr>
                <w:i/>
                <w:iCs/>
                <w:sz w:val="14"/>
              </w:rPr>
              <w:t>2017/2018</w:t>
            </w:r>
          </w:p>
        </w:tc>
      </w:tr>
      <w:tr w:rsidR="008D2F10" w:rsidRPr="00D43575" w14:paraId="16A36F7F" w14:textId="77777777" w:rsidTr="00BD7BE9">
        <w:trPr>
          <w:trHeight w:hRule="exact" w:val="115"/>
          <w:tblHeader/>
        </w:trPr>
        <w:tc>
          <w:tcPr>
            <w:tcW w:w="4500" w:type="dxa"/>
            <w:tcBorders>
              <w:top w:val="single" w:sz="12" w:space="0" w:color="auto"/>
            </w:tcBorders>
            <w:shd w:val="clear" w:color="auto" w:fill="auto"/>
            <w:vAlign w:val="bottom"/>
          </w:tcPr>
          <w:p w14:paraId="1AE9E62C" w14:textId="77777777" w:rsidR="008D2F10" w:rsidRPr="00D43575" w:rsidRDefault="008D2F10" w:rsidP="00BD7BE9">
            <w:pPr>
              <w:widowControl w:val="0"/>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shd w:val="clear" w:color="auto" w:fill="auto"/>
            <w:vAlign w:val="bottom"/>
          </w:tcPr>
          <w:p w14:paraId="1A2FDCE9" w14:textId="77777777" w:rsidR="008D2F10" w:rsidRPr="00D43575" w:rsidRDefault="008D2F10" w:rsidP="00BD7BE9">
            <w:pPr>
              <w:widowControl w:val="0"/>
              <w:tabs>
                <w:tab w:val="left" w:pos="288"/>
                <w:tab w:val="left" w:pos="576"/>
                <w:tab w:val="left" w:pos="864"/>
                <w:tab w:val="left" w:pos="1152"/>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393A8F97" w14:textId="77777777" w:rsidR="008D2F10" w:rsidRPr="00D43575" w:rsidRDefault="008D2F10" w:rsidP="00BD7BE9">
            <w:pPr>
              <w:widowControl w:val="0"/>
              <w:tabs>
                <w:tab w:val="left" w:pos="288"/>
                <w:tab w:val="left" w:pos="576"/>
                <w:tab w:val="left" w:pos="864"/>
                <w:tab w:val="left" w:pos="1152"/>
              </w:tabs>
              <w:spacing w:before="40" w:after="40" w:line="210" w:lineRule="exact"/>
              <w:ind w:left="144" w:right="40"/>
              <w:jc w:val="right"/>
              <w:rPr>
                <w:sz w:val="17"/>
              </w:rPr>
            </w:pPr>
          </w:p>
        </w:tc>
      </w:tr>
      <w:tr w:rsidR="008D2F10" w:rsidRPr="00D43575" w14:paraId="3B37ABE0" w14:textId="77777777" w:rsidTr="00BD7BE9">
        <w:tc>
          <w:tcPr>
            <w:tcW w:w="4500" w:type="dxa"/>
            <w:shd w:val="clear" w:color="auto" w:fill="auto"/>
          </w:tcPr>
          <w:p w14:paraId="16F9143C"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Número de hombres matriculados</w:t>
            </w:r>
          </w:p>
        </w:tc>
        <w:tc>
          <w:tcPr>
            <w:tcW w:w="1464" w:type="dxa"/>
            <w:shd w:val="clear" w:color="auto" w:fill="auto"/>
          </w:tcPr>
          <w:p w14:paraId="6C8A0501" w14:textId="77777777" w:rsidR="008D2F10" w:rsidRPr="00D43575" w:rsidRDefault="008D2F10" w:rsidP="00C52E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605</w:t>
            </w:r>
          </w:p>
        </w:tc>
        <w:tc>
          <w:tcPr>
            <w:tcW w:w="1464" w:type="dxa"/>
            <w:shd w:val="clear" w:color="auto" w:fill="auto"/>
          </w:tcPr>
          <w:p w14:paraId="05EEF4F2" w14:textId="77777777" w:rsidR="008D2F10" w:rsidRPr="00D43575" w:rsidRDefault="008D2F10" w:rsidP="00C52E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602</w:t>
            </w:r>
          </w:p>
        </w:tc>
      </w:tr>
      <w:tr w:rsidR="008D2F10" w:rsidRPr="00D43575" w14:paraId="08F87C85" w14:textId="77777777" w:rsidTr="00BD7BE9">
        <w:tc>
          <w:tcPr>
            <w:tcW w:w="4500" w:type="dxa"/>
            <w:tcBorders>
              <w:bottom w:val="single" w:sz="4" w:space="0" w:color="auto"/>
            </w:tcBorders>
            <w:shd w:val="clear" w:color="auto" w:fill="auto"/>
          </w:tcPr>
          <w:p w14:paraId="61C9808C" w14:textId="77777777" w:rsidR="008D2F10" w:rsidRPr="00D43575" w:rsidRDefault="008D2F10" w:rsidP="00C3393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Número de mujeres matriculadas</w:t>
            </w:r>
          </w:p>
        </w:tc>
        <w:tc>
          <w:tcPr>
            <w:tcW w:w="1464" w:type="dxa"/>
            <w:tcBorders>
              <w:bottom w:val="single" w:sz="4" w:space="0" w:color="auto"/>
            </w:tcBorders>
            <w:shd w:val="clear" w:color="auto" w:fill="auto"/>
          </w:tcPr>
          <w:p w14:paraId="0A556257" w14:textId="77777777" w:rsidR="008D2F10" w:rsidRPr="00D43575" w:rsidRDefault="008D2F10" w:rsidP="00C52E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49</w:t>
            </w:r>
          </w:p>
        </w:tc>
        <w:tc>
          <w:tcPr>
            <w:tcW w:w="1464" w:type="dxa"/>
            <w:tcBorders>
              <w:bottom w:val="single" w:sz="4" w:space="0" w:color="auto"/>
            </w:tcBorders>
            <w:shd w:val="clear" w:color="auto" w:fill="auto"/>
          </w:tcPr>
          <w:p w14:paraId="08AA512A" w14:textId="77777777" w:rsidR="008D2F10" w:rsidRPr="00D43575" w:rsidRDefault="008D2F10" w:rsidP="00C52E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84</w:t>
            </w:r>
          </w:p>
        </w:tc>
      </w:tr>
      <w:tr w:rsidR="008D2F10" w:rsidRPr="00D43575" w14:paraId="28B959D7" w14:textId="77777777" w:rsidTr="00C52ECD">
        <w:trPr>
          <w:trHeight w:val="260"/>
        </w:trPr>
        <w:tc>
          <w:tcPr>
            <w:tcW w:w="4500" w:type="dxa"/>
            <w:tcBorders>
              <w:top w:val="single" w:sz="4" w:space="0" w:color="auto"/>
              <w:bottom w:val="single" w:sz="4" w:space="0" w:color="auto"/>
            </w:tcBorders>
            <w:shd w:val="clear" w:color="auto" w:fill="auto"/>
          </w:tcPr>
          <w:p w14:paraId="3FCDC000" w14:textId="77777777" w:rsidR="008D2F10" w:rsidRPr="00D43575" w:rsidRDefault="008D2F10" w:rsidP="00C52ECD">
            <w:pPr>
              <w:tabs>
                <w:tab w:val="left" w:pos="288"/>
                <w:tab w:val="left" w:pos="576"/>
                <w:tab w:val="left" w:pos="864"/>
                <w:tab w:val="left" w:pos="1152"/>
                <w:tab w:val="left" w:pos="5112"/>
                <w:tab w:val="right" w:pos="8640"/>
              </w:tabs>
              <w:spacing w:before="81" w:after="81" w:line="210" w:lineRule="exact"/>
              <w:ind w:right="40"/>
              <w:rPr>
                <w:b/>
                <w:bCs/>
                <w:sz w:val="17"/>
                <w:szCs w:val="20"/>
              </w:rPr>
            </w:pPr>
            <w:r w:rsidRPr="00D43575">
              <w:rPr>
                <w:b/>
                <w:bCs/>
                <w:sz w:val="17"/>
                <w:szCs w:val="20"/>
              </w:rPr>
              <w:tab/>
              <w:t>Total</w:t>
            </w:r>
          </w:p>
        </w:tc>
        <w:tc>
          <w:tcPr>
            <w:tcW w:w="1464" w:type="dxa"/>
            <w:tcBorders>
              <w:top w:val="single" w:sz="4" w:space="0" w:color="auto"/>
              <w:bottom w:val="single" w:sz="4" w:space="0" w:color="auto"/>
            </w:tcBorders>
            <w:shd w:val="clear" w:color="auto" w:fill="auto"/>
          </w:tcPr>
          <w:p w14:paraId="534B96FE" w14:textId="77777777" w:rsidR="008D2F10" w:rsidRPr="00D43575" w:rsidRDefault="008D2F10" w:rsidP="00C52ECD">
            <w:pPr>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654</w:t>
            </w:r>
          </w:p>
        </w:tc>
        <w:tc>
          <w:tcPr>
            <w:tcW w:w="1464" w:type="dxa"/>
            <w:tcBorders>
              <w:top w:val="single" w:sz="4" w:space="0" w:color="auto"/>
              <w:bottom w:val="single" w:sz="4" w:space="0" w:color="auto"/>
            </w:tcBorders>
            <w:shd w:val="clear" w:color="auto" w:fill="auto"/>
          </w:tcPr>
          <w:p w14:paraId="15EC63B2" w14:textId="77777777" w:rsidR="008D2F10" w:rsidRPr="00D43575" w:rsidRDefault="008D2F10" w:rsidP="00C52ECD">
            <w:pPr>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686</w:t>
            </w:r>
          </w:p>
        </w:tc>
      </w:tr>
      <w:tr w:rsidR="008D2F10" w:rsidRPr="00D43575" w14:paraId="36D23860" w14:textId="77777777" w:rsidTr="00BD7BE9">
        <w:tc>
          <w:tcPr>
            <w:tcW w:w="4500" w:type="dxa"/>
            <w:tcBorders>
              <w:bottom w:val="single" w:sz="12" w:space="0" w:color="auto"/>
            </w:tcBorders>
            <w:shd w:val="clear" w:color="auto" w:fill="auto"/>
          </w:tcPr>
          <w:p w14:paraId="69B84D18" w14:textId="77777777" w:rsidR="008D2F10" w:rsidRPr="00D43575" w:rsidRDefault="008D2F10" w:rsidP="001722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Porcentaje de mujeres matriculadas en el Centro Femenino Independiente de Educación Secundaria en Finanzas y Administración de Empresas</w:t>
            </w:r>
          </w:p>
        </w:tc>
        <w:tc>
          <w:tcPr>
            <w:tcW w:w="1464" w:type="dxa"/>
            <w:tcBorders>
              <w:bottom w:val="single" w:sz="12" w:space="0" w:color="auto"/>
            </w:tcBorders>
            <w:shd w:val="clear" w:color="auto" w:fill="auto"/>
            <w:vAlign w:val="bottom"/>
          </w:tcPr>
          <w:p w14:paraId="5E727034" w14:textId="77777777" w:rsidR="008D2F10" w:rsidRPr="00D43575" w:rsidRDefault="008D2F10" w:rsidP="00C52E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7%</w:t>
            </w:r>
          </w:p>
        </w:tc>
        <w:tc>
          <w:tcPr>
            <w:tcW w:w="1464" w:type="dxa"/>
            <w:tcBorders>
              <w:bottom w:val="single" w:sz="12" w:space="0" w:color="auto"/>
            </w:tcBorders>
            <w:shd w:val="clear" w:color="auto" w:fill="auto"/>
            <w:vAlign w:val="bottom"/>
          </w:tcPr>
          <w:p w14:paraId="6747569A" w14:textId="77777777" w:rsidR="008D2F10" w:rsidRPr="00D43575" w:rsidRDefault="008D2F10" w:rsidP="00C52E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12%</w:t>
            </w:r>
          </w:p>
        </w:tc>
      </w:tr>
    </w:tbl>
    <w:p w14:paraId="39C979F7" w14:textId="77777777" w:rsidR="008D2F10" w:rsidRPr="00D43575" w:rsidRDefault="008D2F10" w:rsidP="008D2F10">
      <w:pPr>
        <w:pStyle w:val="SingleTxt"/>
        <w:spacing w:after="0" w:line="120" w:lineRule="exact"/>
        <w:rPr>
          <w:sz w:val="10"/>
        </w:rPr>
      </w:pPr>
    </w:p>
    <w:p w14:paraId="0158D053" w14:textId="54AC1F99" w:rsidR="008D2F10"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Estado de Qatar, Ministerio de Educación y Enseñanza Superior, Departamento de Investigaciones y Políticas Educativas, División de Estadística, 2017</w:t>
      </w:r>
      <w:r w:rsidR="00083383" w:rsidRPr="00D43575">
        <w:rPr>
          <w:rFonts w:eastAsiaTheme="minorHAnsi"/>
          <w:iCs/>
          <w:w w:val="103"/>
          <w:kern w:val="14"/>
          <w:szCs w:val="20"/>
        </w:rPr>
        <w:t>.</w:t>
      </w:r>
    </w:p>
    <w:p w14:paraId="473CC097" w14:textId="77777777" w:rsidR="008D2F10" w:rsidRPr="00D43575" w:rsidRDefault="008D2F10" w:rsidP="006820D1">
      <w:pPr>
        <w:pStyle w:val="SingleTxt"/>
        <w:spacing w:after="0" w:line="120" w:lineRule="exact"/>
        <w:rPr>
          <w:sz w:val="10"/>
        </w:rPr>
      </w:pPr>
    </w:p>
    <w:p w14:paraId="00B542CB" w14:textId="77777777" w:rsidR="008D2F10" w:rsidRPr="00D43575" w:rsidRDefault="008D2F10" w:rsidP="006820D1">
      <w:pPr>
        <w:pStyle w:val="SingleTxt"/>
        <w:spacing w:after="0" w:line="120" w:lineRule="exact"/>
        <w:rPr>
          <w:sz w:val="10"/>
        </w:rPr>
      </w:pPr>
    </w:p>
    <w:p w14:paraId="44D00DD5" w14:textId="11012810" w:rsidR="008D2F10" w:rsidRPr="00D43575" w:rsidRDefault="008D2F10" w:rsidP="001D1AD0">
      <w:pPr>
        <w:pStyle w:val="SingleTxt"/>
        <w:numPr>
          <w:ilvl w:val="0"/>
          <w:numId w:val="10"/>
        </w:numPr>
        <w:ind w:left="1267" w:firstLine="0"/>
      </w:pPr>
      <w:r w:rsidRPr="00D43575">
        <w:t>El cuadro 6 y la figura 5 muestran el porcentaje de matriculación de mujeres en estudios secundarios sobre finanzas y administración de empresas durante el año académico 2017</w:t>
      </w:r>
      <w:r w:rsidR="00083383" w:rsidRPr="00D43575">
        <w:noBreakHyphen/>
      </w:r>
      <w:r w:rsidRPr="00D43575">
        <w:t>2018</w:t>
      </w:r>
      <w:r w:rsidR="00083383" w:rsidRPr="00D43575">
        <w:t>.</w:t>
      </w:r>
      <w:r w:rsidRPr="00D43575">
        <w:t xml:space="preserve"> El 12% respecto de un total de 686 alumnos matriculados representa un aumento en relación con el porcentaje de mujeres matriculadas en el año académico 2016</w:t>
      </w:r>
      <w:r w:rsidR="00083383" w:rsidRPr="00D43575">
        <w:noBreakHyphen/>
      </w:r>
      <w:r w:rsidRPr="00D43575">
        <w:t>2007, que fue del 7% de un total de 654 alumnos</w:t>
      </w:r>
      <w:r w:rsidR="00083383" w:rsidRPr="00D43575">
        <w:t>.</w:t>
      </w:r>
    </w:p>
    <w:p w14:paraId="7CAF8509" w14:textId="0E2F200C" w:rsidR="00A9150C" w:rsidRPr="00D43575" w:rsidRDefault="00A9150C">
      <w:pPr>
        <w:suppressAutoHyphens w:val="0"/>
        <w:spacing w:line="240" w:lineRule="auto"/>
        <w:rPr>
          <w:kern w:val="14"/>
          <w:sz w:val="10"/>
        </w:rPr>
      </w:pPr>
      <w:r w:rsidRPr="00D43575">
        <w:rPr>
          <w:sz w:val="10"/>
        </w:rPr>
        <w:br w:type="page"/>
      </w:r>
    </w:p>
    <w:p w14:paraId="748F9BB5" w14:textId="570F4EF5" w:rsidR="008D2F10" w:rsidRPr="00D43575" w:rsidRDefault="008D2F10" w:rsidP="00083383">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390"/>
        <w:rPr>
          <w:bCs w:val="0"/>
          <w:szCs w:val="20"/>
        </w:rPr>
      </w:pPr>
      <w:r w:rsidRPr="00D43575">
        <w:rPr>
          <w:bCs w:val="0"/>
          <w:szCs w:val="20"/>
        </w:rPr>
        <w:lastRenderedPageBreak/>
        <w:tab/>
      </w:r>
      <w:r w:rsidRPr="00D43575">
        <w:rPr>
          <w:bCs w:val="0"/>
          <w:szCs w:val="20"/>
        </w:rPr>
        <w:tab/>
      </w:r>
      <w:r w:rsidR="00203B27">
        <w:rPr>
          <w:b w:val="0"/>
          <w:bCs w:val="0"/>
          <w:szCs w:val="20"/>
        </w:rPr>
        <w:t>Figura 5</w:t>
      </w:r>
      <w:r w:rsidR="009070BD" w:rsidRPr="00D43575">
        <w:rPr>
          <w:b w:val="0"/>
          <w:bCs w:val="0"/>
          <w:szCs w:val="20"/>
        </w:rPr>
        <w:br/>
      </w:r>
      <w:r w:rsidRPr="00D43575">
        <w:rPr>
          <w:bCs w:val="0"/>
          <w:szCs w:val="20"/>
        </w:rPr>
        <w:t>Porcentaje de matriculación de alumnas en el Centro Femenino Independiente de Educación Secundaria en Finanzas y Administración de Empresas en</w:t>
      </w:r>
      <w:r w:rsidR="00203B27">
        <w:rPr>
          <w:bCs w:val="0"/>
          <w:szCs w:val="20"/>
        </w:rPr>
        <w:t xml:space="preserve"> </w:t>
      </w:r>
      <w:r w:rsidRPr="00D43575">
        <w:rPr>
          <w:bCs w:val="0"/>
          <w:szCs w:val="20"/>
        </w:rPr>
        <w:t>los</w:t>
      </w:r>
      <w:r w:rsidR="00203B27">
        <w:rPr>
          <w:bCs w:val="0"/>
          <w:szCs w:val="20"/>
        </w:rPr>
        <w:t xml:space="preserve"> </w:t>
      </w:r>
      <w:r w:rsidRPr="00D43575">
        <w:rPr>
          <w:bCs w:val="0"/>
          <w:szCs w:val="20"/>
        </w:rPr>
        <w:t>cursos académicos 2016</w:t>
      </w:r>
      <w:r w:rsidR="00083383" w:rsidRPr="00D43575">
        <w:rPr>
          <w:bCs w:val="0"/>
          <w:szCs w:val="20"/>
        </w:rPr>
        <w:noBreakHyphen/>
      </w:r>
      <w:r w:rsidRPr="00D43575">
        <w:rPr>
          <w:bCs w:val="0"/>
          <w:szCs w:val="20"/>
        </w:rPr>
        <w:t>2017 y 2017</w:t>
      </w:r>
      <w:r w:rsidR="00083383" w:rsidRPr="00D43575">
        <w:rPr>
          <w:bCs w:val="0"/>
          <w:szCs w:val="20"/>
        </w:rPr>
        <w:noBreakHyphen/>
      </w:r>
      <w:r w:rsidRPr="00D43575">
        <w:rPr>
          <w:bCs w:val="0"/>
          <w:szCs w:val="20"/>
        </w:rPr>
        <w:t>2018</w:t>
      </w:r>
    </w:p>
    <w:p w14:paraId="44556F42" w14:textId="77777777" w:rsidR="008D2F10" w:rsidRPr="00D43575" w:rsidRDefault="008D2F10" w:rsidP="008D2F10">
      <w:pPr>
        <w:pStyle w:val="SingleTxt"/>
        <w:spacing w:after="0" w:line="120" w:lineRule="exact"/>
        <w:rPr>
          <w:sz w:val="10"/>
        </w:rPr>
      </w:pPr>
    </w:p>
    <w:p w14:paraId="1C99FE3C" w14:textId="77777777" w:rsidR="008D2F10" w:rsidRPr="007D60C1" w:rsidRDefault="008D2F10" w:rsidP="009070BD">
      <w:pPr>
        <w:pStyle w:val="SingleTxt"/>
        <w:spacing w:line="240" w:lineRule="atLeast"/>
        <w:rPr>
          <w:lang w:eastAsia="es-ES"/>
        </w:rPr>
      </w:pPr>
      <w:r w:rsidRPr="000F625D">
        <w:rPr>
          <w:noProof/>
          <w:lang w:eastAsia="es-ES"/>
        </w:rPr>
        <w:drawing>
          <wp:inline distT="0" distB="0" distL="0" distR="0" wp14:anchorId="1D7B1898" wp14:editId="166B3000">
            <wp:extent cx="4663440" cy="1985034"/>
            <wp:effectExtent l="0" t="0" r="3810" b="0"/>
            <wp:docPr id="10" name="Picture 1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1">
                      <a:extLst>
                        <a:ext uri="{28A0092B-C50C-407E-A947-70E740481C1C}">
                          <a14:useLocalDpi xmlns:a14="http://schemas.microsoft.com/office/drawing/2010/main" val="0"/>
                        </a:ext>
                      </a:extLst>
                    </a:blip>
                    <a:stretch>
                      <a:fillRect/>
                    </a:stretch>
                  </pic:blipFill>
                  <pic:spPr bwMode="auto">
                    <a:xfrm>
                      <a:off x="0" y="0"/>
                      <a:ext cx="4663440" cy="1985034"/>
                    </a:xfrm>
                    <a:prstGeom prst="rect">
                      <a:avLst/>
                    </a:prstGeom>
                    <a:noFill/>
                    <a:ln>
                      <a:noFill/>
                    </a:ln>
                  </pic:spPr>
                </pic:pic>
              </a:graphicData>
            </a:graphic>
          </wp:inline>
        </w:drawing>
      </w:r>
    </w:p>
    <w:p w14:paraId="5ABB13AB" w14:textId="77777777" w:rsidR="00E433AA" w:rsidRPr="009D5F93" w:rsidRDefault="00E433AA" w:rsidP="00E433AA">
      <w:pPr>
        <w:pStyle w:val="SingleTxt"/>
        <w:spacing w:after="0" w:line="120" w:lineRule="exact"/>
        <w:rPr>
          <w:sz w:val="10"/>
        </w:rPr>
      </w:pPr>
    </w:p>
    <w:p w14:paraId="55EE7916" w14:textId="3BD3ED5F" w:rsidR="008D2F10"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Estado de Qatar, Ministerio de Educación y Enseñanza Superior, Departamento de Investigaciones y Políticas Educativas, División de Estadística, 2017</w:t>
      </w:r>
      <w:r w:rsidR="00083383" w:rsidRPr="00D43575">
        <w:rPr>
          <w:rFonts w:eastAsiaTheme="minorHAnsi"/>
          <w:iCs/>
          <w:w w:val="103"/>
          <w:kern w:val="14"/>
          <w:szCs w:val="20"/>
        </w:rPr>
        <w:t>.</w:t>
      </w:r>
    </w:p>
    <w:p w14:paraId="38A82566" w14:textId="77777777" w:rsidR="008D2F10" w:rsidRPr="00D43575" w:rsidRDefault="008D2F10" w:rsidP="006820D1">
      <w:pPr>
        <w:pStyle w:val="SingleTxt"/>
        <w:spacing w:after="0" w:line="120" w:lineRule="exact"/>
        <w:rPr>
          <w:sz w:val="10"/>
        </w:rPr>
      </w:pPr>
    </w:p>
    <w:p w14:paraId="25AF7CD1" w14:textId="77777777" w:rsidR="008D2F10" w:rsidRPr="00D43575" w:rsidRDefault="008D2F10" w:rsidP="006820D1">
      <w:pPr>
        <w:pStyle w:val="SingleTxt"/>
        <w:spacing w:after="0" w:line="120" w:lineRule="exact"/>
        <w:rPr>
          <w:sz w:val="10"/>
        </w:rPr>
      </w:pPr>
    </w:p>
    <w:p w14:paraId="585431B2" w14:textId="42D0CE38" w:rsidR="008D2F10" w:rsidRPr="00D43575" w:rsidRDefault="008D2F10" w:rsidP="001D1AD0">
      <w:pPr>
        <w:pStyle w:val="SingleTxt"/>
        <w:numPr>
          <w:ilvl w:val="0"/>
          <w:numId w:val="10"/>
        </w:numPr>
        <w:ind w:left="1267" w:firstLine="0"/>
      </w:pPr>
      <w:r w:rsidRPr="00D43575">
        <w:t>A nivel universitario, la Universidad de Qatar ofrece a las mujeres las mismas oportunidades de elegir el ámbito de especialización que a los hombres, siempre que</w:t>
      </w:r>
      <w:r w:rsidR="00083383" w:rsidRPr="00D43575">
        <w:t xml:space="preserve"> </w:t>
      </w:r>
      <w:r w:rsidRPr="00D43575">
        <w:t>cumplan las normas comunes aplicables</w:t>
      </w:r>
      <w:r w:rsidR="00083383" w:rsidRPr="00D43575">
        <w:t>.</w:t>
      </w:r>
      <w:r w:rsidRPr="00D43575">
        <w:t xml:space="preserve"> Actualmente, algunas facultades universitarias solo aceptan a mujeres, como en estudios sanitarios y del ámbito farmacéutico, debido a las necesidades del Estado relacionadas con las particularidades del mercado de trabajo</w:t>
      </w:r>
      <w:r w:rsidR="00083383" w:rsidRPr="00D43575">
        <w:t>.</w:t>
      </w:r>
    </w:p>
    <w:p w14:paraId="3103565A" w14:textId="2DF6B398" w:rsidR="008D2F10" w:rsidRPr="00D43575" w:rsidRDefault="008D2F10" w:rsidP="00420556">
      <w:pPr>
        <w:pStyle w:val="SingleTxt"/>
        <w:keepLines/>
        <w:numPr>
          <w:ilvl w:val="0"/>
          <w:numId w:val="10"/>
        </w:numPr>
        <w:ind w:left="1267" w:firstLine="0"/>
      </w:pPr>
      <w:r w:rsidRPr="00D43575">
        <w:t>En el cuadro siguiente se indican los ámbitos en que los estudiantes han recibido becas para estudiar en el extranjero, desglosados por sexo</w:t>
      </w:r>
      <w:r w:rsidR="00083383" w:rsidRPr="00D43575">
        <w:t>.</w:t>
      </w:r>
      <w:r w:rsidRPr="00D43575">
        <w:t xml:space="preserve"> Cabe destacar que en más de una disciplina un número mayor de alumnas que de alumnos viaja al extranjero para cursar estudios especializados</w:t>
      </w:r>
      <w:r w:rsidR="00083383" w:rsidRPr="00D43575">
        <w:t>.</w:t>
      </w:r>
      <w:r w:rsidRPr="00D43575">
        <w:t xml:space="preserve"> Ello demuestra el compromiso del Estado con la igualdad de género a la hora de conceder becas, en particular en especialidades que se consideran esenciales e importantes para el Estado</w:t>
      </w:r>
      <w:r w:rsidR="00083383" w:rsidRPr="00D43575">
        <w:t>.</w:t>
      </w:r>
    </w:p>
    <w:p w14:paraId="6814889E" w14:textId="77777777" w:rsidR="00893B9A" w:rsidRPr="00D43575" w:rsidRDefault="00893B9A" w:rsidP="00893B9A">
      <w:pPr>
        <w:pStyle w:val="SingleTxt"/>
        <w:spacing w:after="0" w:line="120" w:lineRule="exact"/>
        <w:rPr>
          <w:sz w:val="10"/>
        </w:rPr>
      </w:pPr>
    </w:p>
    <w:p w14:paraId="76CA1200" w14:textId="641DA7F5" w:rsidR="008D2F10" w:rsidRPr="00D43575" w:rsidRDefault="008D2F10" w:rsidP="00FC6BA7">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2020"/>
        <w:rPr>
          <w:bCs w:val="0"/>
          <w:szCs w:val="20"/>
        </w:rPr>
      </w:pPr>
      <w:r w:rsidRPr="00D43575">
        <w:rPr>
          <w:bCs w:val="0"/>
          <w:szCs w:val="20"/>
        </w:rPr>
        <w:tab/>
      </w:r>
      <w:r w:rsidRPr="00D43575">
        <w:rPr>
          <w:bCs w:val="0"/>
          <w:szCs w:val="20"/>
        </w:rPr>
        <w:tab/>
      </w:r>
      <w:r w:rsidR="003771A9">
        <w:rPr>
          <w:b w:val="0"/>
          <w:bCs w:val="0"/>
          <w:szCs w:val="20"/>
        </w:rPr>
        <w:t>Cuadro 7</w:t>
      </w:r>
      <w:r w:rsidR="009070BD" w:rsidRPr="00D43575">
        <w:rPr>
          <w:b w:val="0"/>
          <w:bCs w:val="0"/>
          <w:szCs w:val="20"/>
        </w:rPr>
        <w:t xml:space="preserve"> </w:t>
      </w:r>
      <w:r w:rsidR="009070BD" w:rsidRPr="00D43575">
        <w:rPr>
          <w:b w:val="0"/>
          <w:bCs w:val="0"/>
          <w:szCs w:val="20"/>
        </w:rPr>
        <w:br/>
      </w:r>
      <w:r w:rsidRPr="00D43575">
        <w:rPr>
          <w:bCs w:val="0"/>
          <w:szCs w:val="20"/>
        </w:rPr>
        <w:t>Número de alumnos que cursan estudios científicos y de especialización profesional en el extranjero desde el curso académico 2005</w:t>
      </w:r>
      <w:r w:rsidR="00083383" w:rsidRPr="00D43575">
        <w:rPr>
          <w:bCs w:val="0"/>
          <w:szCs w:val="20"/>
        </w:rPr>
        <w:noBreakHyphen/>
      </w:r>
      <w:r w:rsidRPr="00D43575">
        <w:rPr>
          <w:bCs w:val="0"/>
          <w:szCs w:val="20"/>
        </w:rPr>
        <w:t>2006 hasta el</w:t>
      </w:r>
      <w:r w:rsidR="00FC6BA7" w:rsidRPr="00D43575">
        <w:rPr>
          <w:bCs w:val="0"/>
          <w:szCs w:val="20"/>
        </w:rPr>
        <w:t> </w:t>
      </w:r>
      <w:r w:rsidRPr="00D43575">
        <w:rPr>
          <w:bCs w:val="0"/>
          <w:szCs w:val="20"/>
        </w:rPr>
        <w:t>curso</w:t>
      </w:r>
      <w:r w:rsidR="00083383" w:rsidRPr="00D43575">
        <w:rPr>
          <w:bCs w:val="0"/>
          <w:szCs w:val="20"/>
        </w:rPr>
        <w:t xml:space="preserve"> </w:t>
      </w:r>
      <w:r w:rsidRPr="00D43575">
        <w:rPr>
          <w:bCs w:val="0"/>
          <w:szCs w:val="20"/>
        </w:rPr>
        <w:t>2017</w:t>
      </w:r>
      <w:r w:rsidR="00083383" w:rsidRPr="00D43575">
        <w:rPr>
          <w:bCs w:val="0"/>
          <w:szCs w:val="20"/>
        </w:rPr>
        <w:noBreakHyphen/>
      </w:r>
      <w:r w:rsidRPr="00D43575">
        <w:rPr>
          <w:bCs w:val="0"/>
          <w:szCs w:val="20"/>
        </w:rPr>
        <w:t>2018, por género</w:t>
      </w:r>
    </w:p>
    <w:p w14:paraId="41218CD3" w14:textId="77777777" w:rsidR="008D2F10" w:rsidRPr="00D43575" w:rsidRDefault="008D2F10" w:rsidP="00893B9A">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330"/>
        <w:gridCol w:w="990"/>
        <w:gridCol w:w="990"/>
        <w:gridCol w:w="990"/>
        <w:gridCol w:w="990"/>
      </w:tblGrid>
      <w:tr w:rsidR="008D2F10" w:rsidRPr="00D43575" w14:paraId="5853DC61" w14:textId="77777777" w:rsidTr="00BD7BE9">
        <w:trPr>
          <w:tblHeader/>
        </w:trPr>
        <w:tc>
          <w:tcPr>
            <w:tcW w:w="3330" w:type="dxa"/>
            <w:tcBorders>
              <w:top w:val="single" w:sz="4" w:space="0" w:color="auto"/>
              <w:bottom w:val="single" w:sz="12" w:space="0" w:color="auto"/>
            </w:tcBorders>
            <w:shd w:val="clear" w:color="auto" w:fill="auto"/>
            <w:vAlign w:val="bottom"/>
          </w:tcPr>
          <w:p w14:paraId="3F245A30" w14:textId="77777777" w:rsidR="008D2F10" w:rsidRPr="00D43575" w:rsidRDefault="008D2F10" w:rsidP="00E47788">
            <w:pPr>
              <w:pStyle w:val="SingleTxt"/>
              <w:spacing w:before="80" w:after="80" w:line="160" w:lineRule="exact"/>
              <w:ind w:left="11" w:right="43"/>
              <w:jc w:val="left"/>
              <w:rPr>
                <w:i/>
                <w:iCs/>
                <w:sz w:val="14"/>
              </w:rPr>
            </w:pPr>
            <w:r w:rsidRPr="00D43575">
              <w:rPr>
                <w:i/>
                <w:iCs/>
                <w:sz w:val="14"/>
              </w:rPr>
              <w:t>Ámbito de concesión de las becas (disciplina)</w:t>
            </w:r>
          </w:p>
        </w:tc>
        <w:tc>
          <w:tcPr>
            <w:tcW w:w="990" w:type="dxa"/>
            <w:tcBorders>
              <w:top w:val="single" w:sz="4" w:space="0" w:color="auto"/>
              <w:bottom w:val="single" w:sz="12" w:space="0" w:color="auto"/>
            </w:tcBorders>
            <w:shd w:val="clear" w:color="auto" w:fill="auto"/>
            <w:vAlign w:val="bottom"/>
          </w:tcPr>
          <w:p w14:paraId="70A4AD9D" w14:textId="77777777" w:rsidR="008D2F10" w:rsidRPr="00D43575" w:rsidRDefault="008D2F10" w:rsidP="00E47788">
            <w:pPr>
              <w:pStyle w:val="SingleTxt"/>
              <w:spacing w:before="80" w:after="80" w:line="160" w:lineRule="exact"/>
              <w:ind w:left="63" w:right="43"/>
              <w:jc w:val="right"/>
              <w:rPr>
                <w:i/>
                <w:iCs/>
                <w:sz w:val="14"/>
              </w:rPr>
            </w:pPr>
            <w:r w:rsidRPr="00D43575">
              <w:rPr>
                <w:i/>
                <w:iCs/>
                <w:sz w:val="14"/>
              </w:rPr>
              <w:t>Número</w:t>
            </w:r>
            <w:r w:rsidR="001F02A5" w:rsidRPr="00D43575">
              <w:rPr>
                <w:i/>
                <w:iCs/>
                <w:sz w:val="14"/>
              </w:rPr>
              <w:br/>
            </w:r>
            <w:r w:rsidRPr="00D43575">
              <w:rPr>
                <w:i/>
                <w:iCs/>
                <w:sz w:val="14"/>
              </w:rPr>
              <w:t xml:space="preserve"> de mujeres</w:t>
            </w:r>
          </w:p>
        </w:tc>
        <w:tc>
          <w:tcPr>
            <w:tcW w:w="990" w:type="dxa"/>
            <w:tcBorders>
              <w:top w:val="single" w:sz="4" w:space="0" w:color="auto"/>
              <w:bottom w:val="single" w:sz="12" w:space="0" w:color="auto"/>
            </w:tcBorders>
            <w:shd w:val="clear" w:color="auto" w:fill="auto"/>
            <w:vAlign w:val="bottom"/>
          </w:tcPr>
          <w:p w14:paraId="78A5597E" w14:textId="77777777" w:rsidR="008D2F10" w:rsidRPr="00D43575" w:rsidRDefault="008D2F10" w:rsidP="00E47788">
            <w:pPr>
              <w:pStyle w:val="SingleTxt"/>
              <w:spacing w:before="80" w:after="80" w:line="160" w:lineRule="exact"/>
              <w:ind w:left="63" w:right="43"/>
              <w:jc w:val="right"/>
              <w:rPr>
                <w:i/>
                <w:iCs/>
                <w:sz w:val="14"/>
              </w:rPr>
            </w:pPr>
            <w:r w:rsidRPr="00D43575">
              <w:rPr>
                <w:i/>
                <w:iCs/>
                <w:sz w:val="14"/>
              </w:rPr>
              <w:t>Porcentaje</w:t>
            </w:r>
            <w:r w:rsidR="001F02A5" w:rsidRPr="00D43575">
              <w:rPr>
                <w:i/>
                <w:iCs/>
                <w:sz w:val="14"/>
              </w:rPr>
              <w:br/>
            </w:r>
            <w:r w:rsidRPr="00D43575">
              <w:rPr>
                <w:i/>
                <w:iCs/>
                <w:sz w:val="14"/>
              </w:rPr>
              <w:t xml:space="preserve"> de mujeres</w:t>
            </w:r>
          </w:p>
        </w:tc>
        <w:tc>
          <w:tcPr>
            <w:tcW w:w="990" w:type="dxa"/>
            <w:tcBorders>
              <w:top w:val="single" w:sz="4" w:space="0" w:color="auto"/>
              <w:bottom w:val="single" w:sz="12" w:space="0" w:color="auto"/>
            </w:tcBorders>
            <w:shd w:val="clear" w:color="auto" w:fill="auto"/>
            <w:vAlign w:val="bottom"/>
          </w:tcPr>
          <w:p w14:paraId="7A67218B" w14:textId="77777777" w:rsidR="008D2F10" w:rsidRPr="00D43575" w:rsidRDefault="008D2F10" w:rsidP="00E47788">
            <w:pPr>
              <w:pStyle w:val="SingleTxt"/>
              <w:spacing w:before="80" w:after="80" w:line="160" w:lineRule="exact"/>
              <w:ind w:left="63" w:right="43"/>
              <w:jc w:val="right"/>
              <w:rPr>
                <w:i/>
                <w:iCs/>
                <w:sz w:val="14"/>
              </w:rPr>
            </w:pPr>
            <w:r w:rsidRPr="00D43575">
              <w:rPr>
                <w:i/>
                <w:iCs/>
                <w:sz w:val="14"/>
              </w:rPr>
              <w:t>Número</w:t>
            </w:r>
            <w:r w:rsidR="001F02A5" w:rsidRPr="00D43575">
              <w:rPr>
                <w:i/>
                <w:iCs/>
                <w:sz w:val="14"/>
              </w:rPr>
              <w:br/>
            </w:r>
            <w:r w:rsidRPr="00D43575">
              <w:rPr>
                <w:i/>
                <w:iCs/>
                <w:sz w:val="14"/>
              </w:rPr>
              <w:t xml:space="preserve"> de hombres</w:t>
            </w:r>
          </w:p>
        </w:tc>
        <w:tc>
          <w:tcPr>
            <w:tcW w:w="990" w:type="dxa"/>
            <w:tcBorders>
              <w:top w:val="single" w:sz="4" w:space="0" w:color="auto"/>
              <w:bottom w:val="single" w:sz="12" w:space="0" w:color="auto"/>
            </w:tcBorders>
            <w:shd w:val="clear" w:color="auto" w:fill="auto"/>
            <w:vAlign w:val="bottom"/>
          </w:tcPr>
          <w:p w14:paraId="617ECB8D" w14:textId="77777777" w:rsidR="008D2F10" w:rsidRPr="00D43575" w:rsidRDefault="008D2F10" w:rsidP="00E47788">
            <w:pPr>
              <w:pStyle w:val="SingleTxt"/>
              <w:spacing w:before="80" w:after="80" w:line="160" w:lineRule="exact"/>
              <w:ind w:left="63" w:right="43"/>
              <w:jc w:val="right"/>
              <w:rPr>
                <w:i/>
                <w:iCs/>
                <w:sz w:val="14"/>
              </w:rPr>
            </w:pPr>
            <w:r w:rsidRPr="00D43575">
              <w:rPr>
                <w:i/>
                <w:iCs/>
                <w:sz w:val="14"/>
              </w:rPr>
              <w:t>Porcentaje</w:t>
            </w:r>
            <w:r w:rsidR="001F02A5" w:rsidRPr="00D43575">
              <w:rPr>
                <w:i/>
                <w:iCs/>
                <w:sz w:val="14"/>
              </w:rPr>
              <w:br/>
            </w:r>
            <w:r w:rsidRPr="00D43575">
              <w:rPr>
                <w:i/>
                <w:iCs/>
                <w:sz w:val="14"/>
              </w:rPr>
              <w:t xml:space="preserve"> de hombres</w:t>
            </w:r>
          </w:p>
        </w:tc>
      </w:tr>
      <w:tr w:rsidR="008D2F10" w:rsidRPr="00D43575" w14:paraId="4D2CAE33" w14:textId="77777777" w:rsidTr="00BD7BE9">
        <w:trPr>
          <w:trHeight w:hRule="exact" w:val="115"/>
          <w:tblHeader/>
        </w:trPr>
        <w:tc>
          <w:tcPr>
            <w:tcW w:w="3330" w:type="dxa"/>
            <w:tcBorders>
              <w:top w:val="single" w:sz="12" w:space="0" w:color="auto"/>
            </w:tcBorders>
            <w:shd w:val="clear" w:color="auto" w:fill="auto"/>
            <w:vAlign w:val="bottom"/>
          </w:tcPr>
          <w:p w14:paraId="243A4E41" w14:textId="77777777" w:rsidR="008D2F10" w:rsidRPr="00D43575" w:rsidRDefault="008D2F10" w:rsidP="00BD7BE9">
            <w:pPr>
              <w:keepNext/>
              <w:keepLines/>
              <w:tabs>
                <w:tab w:val="left" w:pos="288"/>
                <w:tab w:val="left" w:pos="576"/>
                <w:tab w:val="left" w:pos="864"/>
                <w:tab w:val="left" w:pos="1152"/>
              </w:tabs>
              <w:spacing w:before="40" w:after="40" w:line="240" w:lineRule="auto"/>
              <w:ind w:right="43"/>
              <w:rPr>
                <w:sz w:val="17"/>
              </w:rPr>
            </w:pPr>
          </w:p>
        </w:tc>
        <w:tc>
          <w:tcPr>
            <w:tcW w:w="990" w:type="dxa"/>
            <w:tcBorders>
              <w:top w:val="single" w:sz="12" w:space="0" w:color="auto"/>
            </w:tcBorders>
            <w:shd w:val="clear" w:color="auto" w:fill="auto"/>
            <w:vAlign w:val="bottom"/>
          </w:tcPr>
          <w:p w14:paraId="6BD8E55C" w14:textId="77777777" w:rsidR="008D2F10" w:rsidRPr="00D43575" w:rsidRDefault="008D2F10" w:rsidP="00BD7BE9">
            <w:pPr>
              <w:keepNext/>
              <w:keepLines/>
              <w:tabs>
                <w:tab w:val="left" w:pos="288"/>
                <w:tab w:val="left" w:pos="576"/>
                <w:tab w:val="left" w:pos="864"/>
                <w:tab w:val="left" w:pos="1152"/>
              </w:tabs>
              <w:spacing w:before="40" w:after="40" w:line="240" w:lineRule="auto"/>
              <w:ind w:left="144" w:right="40"/>
              <w:jc w:val="right"/>
              <w:rPr>
                <w:sz w:val="17"/>
              </w:rPr>
            </w:pPr>
          </w:p>
        </w:tc>
        <w:tc>
          <w:tcPr>
            <w:tcW w:w="990" w:type="dxa"/>
            <w:tcBorders>
              <w:top w:val="single" w:sz="12" w:space="0" w:color="auto"/>
            </w:tcBorders>
            <w:shd w:val="clear" w:color="auto" w:fill="auto"/>
            <w:vAlign w:val="bottom"/>
          </w:tcPr>
          <w:p w14:paraId="7AE3DAC7" w14:textId="77777777" w:rsidR="008D2F10" w:rsidRPr="00D43575" w:rsidRDefault="008D2F10" w:rsidP="00BD7BE9">
            <w:pPr>
              <w:keepNext/>
              <w:keepLines/>
              <w:tabs>
                <w:tab w:val="left" w:pos="288"/>
                <w:tab w:val="left" w:pos="576"/>
                <w:tab w:val="left" w:pos="864"/>
                <w:tab w:val="left" w:pos="1152"/>
              </w:tabs>
              <w:spacing w:before="40" w:after="40" w:line="240" w:lineRule="auto"/>
              <w:ind w:left="144" w:right="40"/>
              <w:jc w:val="right"/>
              <w:rPr>
                <w:sz w:val="17"/>
              </w:rPr>
            </w:pPr>
          </w:p>
        </w:tc>
        <w:tc>
          <w:tcPr>
            <w:tcW w:w="990" w:type="dxa"/>
            <w:tcBorders>
              <w:top w:val="single" w:sz="12" w:space="0" w:color="auto"/>
            </w:tcBorders>
            <w:shd w:val="clear" w:color="auto" w:fill="auto"/>
            <w:vAlign w:val="bottom"/>
          </w:tcPr>
          <w:p w14:paraId="124CF4EA" w14:textId="77777777" w:rsidR="008D2F10" w:rsidRPr="00D43575" w:rsidRDefault="008D2F10" w:rsidP="00BD7BE9">
            <w:pPr>
              <w:keepNext/>
              <w:keepLines/>
              <w:tabs>
                <w:tab w:val="left" w:pos="288"/>
                <w:tab w:val="left" w:pos="576"/>
                <w:tab w:val="left" w:pos="864"/>
                <w:tab w:val="left" w:pos="1152"/>
              </w:tabs>
              <w:spacing w:before="40" w:after="40" w:line="240" w:lineRule="auto"/>
              <w:ind w:left="144" w:right="40"/>
              <w:jc w:val="right"/>
              <w:rPr>
                <w:sz w:val="17"/>
              </w:rPr>
            </w:pPr>
          </w:p>
        </w:tc>
        <w:tc>
          <w:tcPr>
            <w:tcW w:w="990" w:type="dxa"/>
            <w:tcBorders>
              <w:top w:val="single" w:sz="12" w:space="0" w:color="auto"/>
            </w:tcBorders>
            <w:shd w:val="clear" w:color="auto" w:fill="auto"/>
            <w:vAlign w:val="bottom"/>
          </w:tcPr>
          <w:p w14:paraId="2D5C68C9" w14:textId="77777777" w:rsidR="008D2F10" w:rsidRPr="00D43575" w:rsidRDefault="008D2F10" w:rsidP="00BD7BE9">
            <w:pPr>
              <w:keepNext/>
              <w:keepLines/>
              <w:tabs>
                <w:tab w:val="left" w:pos="288"/>
                <w:tab w:val="left" w:pos="576"/>
                <w:tab w:val="left" w:pos="864"/>
                <w:tab w:val="left" w:pos="1152"/>
              </w:tabs>
              <w:spacing w:before="40" w:after="40" w:line="240" w:lineRule="auto"/>
              <w:ind w:left="119" w:right="40"/>
              <w:jc w:val="right"/>
              <w:rPr>
                <w:sz w:val="17"/>
              </w:rPr>
            </w:pPr>
          </w:p>
        </w:tc>
      </w:tr>
      <w:tr w:rsidR="008D2F10" w:rsidRPr="00D43575" w14:paraId="5D01B745" w14:textId="77777777" w:rsidTr="00BD7BE9">
        <w:tc>
          <w:tcPr>
            <w:tcW w:w="3330" w:type="dxa"/>
            <w:shd w:val="clear" w:color="auto" w:fill="auto"/>
            <w:vAlign w:val="bottom"/>
          </w:tcPr>
          <w:p w14:paraId="4623C9CC" w14:textId="08C75404"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Agricultura, procesos agrícolas y ciencias</w:t>
            </w:r>
            <w:r w:rsidR="00083383" w:rsidRPr="00D43575">
              <w:rPr>
                <w:sz w:val="17"/>
              </w:rPr>
              <w:t xml:space="preserve"> </w:t>
            </w:r>
            <w:r w:rsidRPr="00D43575">
              <w:rPr>
                <w:sz w:val="17"/>
              </w:rPr>
              <w:t>conexas</w:t>
            </w:r>
          </w:p>
        </w:tc>
        <w:tc>
          <w:tcPr>
            <w:tcW w:w="990" w:type="dxa"/>
            <w:shd w:val="clear" w:color="auto" w:fill="auto"/>
            <w:vAlign w:val="bottom"/>
          </w:tcPr>
          <w:p w14:paraId="660166D5"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w:t>
            </w:r>
          </w:p>
        </w:tc>
        <w:tc>
          <w:tcPr>
            <w:tcW w:w="990" w:type="dxa"/>
            <w:shd w:val="clear" w:color="auto" w:fill="auto"/>
            <w:vAlign w:val="bottom"/>
          </w:tcPr>
          <w:p w14:paraId="5ED2DD68"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80,0</w:t>
            </w:r>
          </w:p>
        </w:tc>
        <w:tc>
          <w:tcPr>
            <w:tcW w:w="990" w:type="dxa"/>
            <w:shd w:val="clear" w:color="auto" w:fill="auto"/>
            <w:vAlign w:val="bottom"/>
          </w:tcPr>
          <w:p w14:paraId="5A84CB6D"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w:t>
            </w:r>
          </w:p>
        </w:tc>
        <w:tc>
          <w:tcPr>
            <w:tcW w:w="990" w:type="dxa"/>
            <w:shd w:val="clear" w:color="auto" w:fill="auto"/>
            <w:vAlign w:val="bottom"/>
          </w:tcPr>
          <w:p w14:paraId="337CFCF9"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20,0</w:t>
            </w:r>
          </w:p>
        </w:tc>
      </w:tr>
      <w:tr w:rsidR="008D2F10" w:rsidRPr="00D43575" w14:paraId="2AA557AD" w14:textId="77777777" w:rsidTr="00BD7BE9">
        <w:tc>
          <w:tcPr>
            <w:tcW w:w="3330" w:type="dxa"/>
            <w:shd w:val="clear" w:color="auto" w:fill="auto"/>
            <w:vAlign w:val="bottom"/>
          </w:tcPr>
          <w:p w14:paraId="25E0B19A"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Arquitectura y artes afines</w:t>
            </w:r>
          </w:p>
        </w:tc>
        <w:tc>
          <w:tcPr>
            <w:tcW w:w="990" w:type="dxa"/>
            <w:shd w:val="clear" w:color="auto" w:fill="auto"/>
            <w:vAlign w:val="bottom"/>
          </w:tcPr>
          <w:p w14:paraId="380A2B20"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24</w:t>
            </w:r>
          </w:p>
        </w:tc>
        <w:tc>
          <w:tcPr>
            <w:tcW w:w="990" w:type="dxa"/>
            <w:shd w:val="clear" w:color="auto" w:fill="auto"/>
            <w:vAlign w:val="bottom"/>
          </w:tcPr>
          <w:p w14:paraId="79253DB8"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58,5</w:t>
            </w:r>
          </w:p>
        </w:tc>
        <w:tc>
          <w:tcPr>
            <w:tcW w:w="990" w:type="dxa"/>
            <w:shd w:val="clear" w:color="auto" w:fill="auto"/>
            <w:vAlign w:val="bottom"/>
          </w:tcPr>
          <w:p w14:paraId="24BDA68B"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17</w:t>
            </w:r>
          </w:p>
        </w:tc>
        <w:tc>
          <w:tcPr>
            <w:tcW w:w="990" w:type="dxa"/>
            <w:shd w:val="clear" w:color="auto" w:fill="auto"/>
            <w:vAlign w:val="bottom"/>
          </w:tcPr>
          <w:p w14:paraId="1AAAEF26"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41,5</w:t>
            </w:r>
          </w:p>
        </w:tc>
      </w:tr>
      <w:tr w:rsidR="008D2F10" w:rsidRPr="00D43575" w14:paraId="240E87FF" w14:textId="77777777" w:rsidTr="00BD7BE9">
        <w:tc>
          <w:tcPr>
            <w:tcW w:w="3330" w:type="dxa"/>
            <w:shd w:val="clear" w:color="auto" w:fill="auto"/>
            <w:vAlign w:val="bottom"/>
          </w:tcPr>
          <w:p w14:paraId="24215DA4"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Ciencias biológicas y médicas</w:t>
            </w:r>
          </w:p>
        </w:tc>
        <w:tc>
          <w:tcPr>
            <w:tcW w:w="990" w:type="dxa"/>
            <w:shd w:val="clear" w:color="auto" w:fill="auto"/>
            <w:vAlign w:val="bottom"/>
          </w:tcPr>
          <w:p w14:paraId="2F123598"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46</w:t>
            </w:r>
          </w:p>
        </w:tc>
        <w:tc>
          <w:tcPr>
            <w:tcW w:w="990" w:type="dxa"/>
            <w:shd w:val="clear" w:color="auto" w:fill="auto"/>
            <w:vAlign w:val="bottom"/>
          </w:tcPr>
          <w:p w14:paraId="689ED9F7"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71,9</w:t>
            </w:r>
          </w:p>
        </w:tc>
        <w:tc>
          <w:tcPr>
            <w:tcW w:w="990" w:type="dxa"/>
            <w:shd w:val="clear" w:color="auto" w:fill="auto"/>
            <w:vAlign w:val="bottom"/>
          </w:tcPr>
          <w:p w14:paraId="311CB917"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18</w:t>
            </w:r>
          </w:p>
        </w:tc>
        <w:tc>
          <w:tcPr>
            <w:tcW w:w="990" w:type="dxa"/>
            <w:shd w:val="clear" w:color="auto" w:fill="auto"/>
            <w:vAlign w:val="bottom"/>
          </w:tcPr>
          <w:p w14:paraId="35F57176"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28,1</w:t>
            </w:r>
          </w:p>
        </w:tc>
      </w:tr>
      <w:tr w:rsidR="008D2F10" w:rsidRPr="00D43575" w14:paraId="12165AA9" w14:textId="77777777" w:rsidTr="00BD7BE9">
        <w:tc>
          <w:tcPr>
            <w:tcW w:w="3330" w:type="dxa"/>
            <w:shd w:val="clear" w:color="auto" w:fill="auto"/>
            <w:vAlign w:val="bottom"/>
          </w:tcPr>
          <w:p w14:paraId="5C840A17"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Química</w:t>
            </w:r>
          </w:p>
        </w:tc>
        <w:tc>
          <w:tcPr>
            <w:tcW w:w="990" w:type="dxa"/>
            <w:shd w:val="clear" w:color="auto" w:fill="auto"/>
            <w:vAlign w:val="bottom"/>
          </w:tcPr>
          <w:p w14:paraId="508406FF"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w:t>
            </w:r>
          </w:p>
        </w:tc>
        <w:tc>
          <w:tcPr>
            <w:tcW w:w="990" w:type="dxa"/>
            <w:shd w:val="clear" w:color="auto" w:fill="auto"/>
            <w:vAlign w:val="bottom"/>
          </w:tcPr>
          <w:p w14:paraId="740D3B07"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100,0</w:t>
            </w:r>
          </w:p>
        </w:tc>
        <w:tc>
          <w:tcPr>
            <w:tcW w:w="990" w:type="dxa"/>
            <w:shd w:val="clear" w:color="auto" w:fill="auto"/>
            <w:vAlign w:val="bottom"/>
          </w:tcPr>
          <w:p w14:paraId="3A9E65F1"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990" w:type="dxa"/>
            <w:shd w:val="clear" w:color="auto" w:fill="auto"/>
            <w:vAlign w:val="bottom"/>
          </w:tcPr>
          <w:p w14:paraId="69B9A5B1"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0,0</w:t>
            </w:r>
          </w:p>
        </w:tc>
      </w:tr>
      <w:tr w:rsidR="008D2F10" w:rsidRPr="00D43575" w14:paraId="6733F244" w14:textId="77777777" w:rsidTr="00BD7BE9">
        <w:tc>
          <w:tcPr>
            <w:tcW w:w="3330" w:type="dxa"/>
            <w:shd w:val="clear" w:color="auto" w:fill="auto"/>
            <w:vAlign w:val="bottom"/>
          </w:tcPr>
          <w:p w14:paraId="7EA0B352"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Tecnologías de las comunicaciones y servicios de apoyo</w:t>
            </w:r>
          </w:p>
        </w:tc>
        <w:tc>
          <w:tcPr>
            <w:tcW w:w="990" w:type="dxa"/>
            <w:shd w:val="clear" w:color="auto" w:fill="auto"/>
            <w:vAlign w:val="bottom"/>
          </w:tcPr>
          <w:p w14:paraId="760C5E40"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w:t>
            </w:r>
          </w:p>
        </w:tc>
        <w:tc>
          <w:tcPr>
            <w:tcW w:w="990" w:type="dxa"/>
            <w:shd w:val="clear" w:color="auto" w:fill="auto"/>
            <w:vAlign w:val="bottom"/>
          </w:tcPr>
          <w:p w14:paraId="5388BB0E"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69,2</w:t>
            </w:r>
          </w:p>
        </w:tc>
        <w:tc>
          <w:tcPr>
            <w:tcW w:w="990" w:type="dxa"/>
            <w:shd w:val="clear" w:color="auto" w:fill="auto"/>
            <w:vAlign w:val="bottom"/>
          </w:tcPr>
          <w:p w14:paraId="3F7CE107"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w:t>
            </w:r>
          </w:p>
        </w:tc>
        <w:tc>
          <w:tcPr>
            <w:tcW w:w="990" w:type="dxa"/>
            <w:shd w:val="clear" w:color="auto" w:fill="auto"/>
            <w:vAlign w:val="bottom"/>
          </w:tcPr>
          <w:p w14:paraId="34D19453"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30,8</w:t>
            </w:r>
          </w:p>
        </w:tc>
      </w:tr>
      <w:tr w:rsidR="008D2F10" w:rsidRPr="00D43575" w14:paraId="543F0CE6" w14:textId="77777777" w:rsidTr="00BD7BE9">
        <w:tc>
          <w:tcPr>
            <w:tcW w:w="3330" w:type="dxa"/>
            <w:shd w:val="clear" w:color="auto" w:fill="auto"/>
            <w:vAlign w:val="bottom"/>
          </w:tcPr>
          <w:p w14:paraId="4EE20ACC"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Ciencias de la información e informática y servicios de apoyo</w:t>
            </w:r>
          </w:p>
        </w:tc>
        <w:tc>
          <w:tcPr>
            <w:tcW w:w="990" w:type="dxa"/>
            <w:shd w:val="clear" w:color="auto" w:fill="auto"/>
            <w:vAlign w:val="bottom"/>
          </w:tcPr>
          <w:p w14:paraId="50C503C2"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176</w:t>
            </w:r>
          </w:p>
        </w:tc>
        <w:tc>
          <w:tcPr>
            <w:tcW w:w="990" w:type="dxa"/>
            <w:shd w:val="clear" w:color="auto" w:fill="auto"/>
            <w:vAlign w:val="bottom"/>
          </w:tcPr>
          <w:p w14:paraId="312E068A"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47,8</w:t>
            </w:r>
          </w:p>
        </w:tc>
        <w:tc>
          <w:tcPr>
            <w:tcW w:w="990" w:type="dxa"/>
            <w:shd w:val="clear" w:color="auto" w:fill="auto"/>
            <w:vAlign w:val="bottom"/>
          </w:tcPr>
          <w:p w14:paraId="4DBDA689"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192</w:t>
            </w:r>
          </w:p>
        </w:tc>
        <w:tc>
          <w:tcPr>
            <w:tcW w:w="990" w:type="dxa"/>
            <w:shd w:val="clear" w:color="auto" w:fill="auto"/>
            <w:vAlign w:val="bottom"/>
          </w:tcPr>
          <w:p w14:paraId="7FAABDC4"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52,2</w:t>
            </w:r>
          </w:p>
        </w:tc>
      </w:tr>
      <w:tr w:rsidR="008D2F10" w:rsidRPr="00D43575" w14:paraId="7C1AA693" w14:textId="77777777" w:rsidTr="00BD7BE9">
        <w:tc>
          <w:tcPr>
            <w:tcW w:w="3330" w:type="dxa"/>
            <w:shd w:val="clear" w:color="auto" w:fill="auto"/>
            <w:vAlign w:val="bottom"/>
          </w:tcPr>
          <w:p w14:paraId="11DEC7C6"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Ingeniería</w:t>
            </w:r>
          </w:p>
        </w:tc>
        <w:tc>
          <w:tcPr>
            <w:tcW w:w="990" w:type="dxa"/>
            <w:shd w:val="clear" w:color="auto" w:fill="auto"/>
            <w:vAlign w:val="bottom"/>
          </w:tcPr>
          <w:p w14:paraId="2AA29FD8"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522</w:t>
            </w:r>
          </w:p>
        </w:tc>
        <w:tc>
          <w:tcPr>
            <w:tcW w:w="990" w:type="dxa"/>
            <w:shd w:val="clear" w:color="auto" w:fill="auto"/>
            <w:vAlign w:val="bottom"/>
          </w:tcPr>
          <w:p w14:paraId="3BDADBB0"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31,2</w:t>
            </w:r>
          </w:p>
        </w:tc>
        <w:tc>
          <w:tcPr>
            <w:tcW w:w="990" w:type="dxa"/>
            <w:shd w:val="clear" w:color="auto" w:fill="auto"/>
            <w:vAlign w:val="bottom"/>
          </w:tcPr>
          <w:p w14:paraId="562ACDF2"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1 149</w:t>
            </w:r>
          </w:p>
        </w:tc>
        <w:tc>
          <w:tcPr>
            <w:tcW w:w="990" w:type="dxa"/>
            <w:shd w:val="clear" w:color="auto" w:fill="auto"/>
            <w:vAlign w:val="bottom"/>
          </w:tcPr>
          <w:p w14:paraId="432BA30B"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68,8</w:t>
            </w:r>
          </w:p>
        </w:tc>
      </w:tr>
      <w:tr w:rsidR="008D2F10" w:rsidRPr="00D43575" w14:paraId="3634B8FF" w14:textId="77777777" w:rsidTr="00BD7BE9">
        <w:tc>
          <w:tcPr>
            <w:tcW w:w="3330" w:type="dxa"/>
            <w:shd w:val="clear" w:color="auto" w:fill="auto"/>
            <w:vAlign w:val="bottom"/>
          </w:tcPr>
          <w:p w14:paraId="25753D7B"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Ingeniería y tecnología</w:t>
            </w:r>
          </w:p>
        </w:tc>
        <w:tc>
          <w:tcPr>
            <w:tcW w:w="990" w:type="dxa"/>
            <w:shd w:val="clear" w:color="auto" w:fill="auto"/>
            <w:vAlign w:val="bottom"/>
          </w:tcPr>
          <w:p w14:paraId="1DC456B3"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15</w:t>
            </w:r>
          </w:p>
        </w:tc>
        <w:tc>
          <w:tcPr>
            <w:tcW w:w="990" w:type="dxa"/>
            <w:shd w:val="clear" w:color="auto" w:fill="auto"/>
            <w:vAlign w:val="bottom"/>
          </w:tcPr>
          <w:p w14:paraId="103EE1A7"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20,0</w:t>
            </w:r>
          </w:p>
        </w:tc>
        <w:tc>
          <w:tcPr>
            <w:tcW w:w="990" w:type="dxa"/>
            <w:shd w:val="clear" w:color="auto" w:fill="auto"/>
            <w:vAlign w:val="bottom"/>
          </w:tcPr>
          <w:p w14:paraId="5763883A"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60</w:t>
            </w:r>
          </w:p>
        </w:tc>
        <w:tc>
          <w:tcPr>
            <w:tcW w:w="990" w:type="dxa"/>
            <w:shd w:val="clear" w:color="auto" w:fill="auto"/>
            <w:vAlign w:val="bottom"/>
          </w:tcPr>
          <w:p w14:paraId="206DFAA1"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80,0</w:t>
            </w:r>
          </w:p>
        </w:tc>
      </w:tr>
      <w:tr w:rsidR="008D2F10" w:rsidRPr="00D43575" w14:paraId="69B99499" w14:textId="77777777" w:rsidTr="00BD7BE9">
        <w:tc>
          <w:tcPr>
            <w:tcW w:w="3330" w:type="dxa"/>
            <w:shd w:val="clear" w:color="auto" w:fill="auto"/>
            <w:vAlign w:val="bottom"/>
          </w:tcPr>
          <w:p w14:paraId="1FA9E58E"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lastRenderedPageBreak/>
              <w:t>Estudios sanitarios y ciencias médicas relacionadas</w:t>
            </w:r>
          </w:p>
        </w:tc>
        <w:tc>
          <w:tcPr>
            <w:tcW w:w="990" w:type="dxa"/>
            <w:shd w:val="clear" w:color="auto" w:fill="auto"/>
            <w:vAlign w:val="bottom"/>
          </w:tcPr>
          <w:p w14:paraId="53D84709"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150</w:t>
            </w:r>
          </w:p>
        </w:tc>
        <w:tc>
          <w:tcPr>
            <w:tcW w:w="990" w:type="dxa"/>
            <w:shd w:val="clear" w:color="auto" w:fill="auto"/>
            <w:vAlign w:val="bottom"/>
          </w:tcPr>
          <w:p w14:paraId="2B2A04EE"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75,0</w:t>
            </w:r>
          </w:p>
        </w:tc>
        <w:tc>
          <w:tcPr>
            <w:tcW w:w="990" w:type="dxa"/>
            <w:shd w:val="clear" w:color="auto" w:fill="auto"/>
            <w:vAlign w:val="bottom"/>
          </w:tcPr>
          <w:p w14:paraId="060BDE14"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50</w:t>
            </w:r>
          </w:p>
        </w:tc>
        <w:tc>
          <w:tcPr>
            <w:tcW w:w="990" w:type="dxa"/>
            <w:shd w:val="clear" w:color="auto" w:fill="auto"/>
            <w:vAlign w:val="bottom"/>
          </w:tcPr>
          <w:p w14:paraId="105360E9"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25,0</w:t>
            </w:r>
          </w:p>
        </w:tc>
      </w:tr>
      <w:tr w:rsidR="008D2F10" w:rsidRPr="00D43575" w14:paraId="2BD5B79D" w14:textId="77777777" w:rsidTr="00BD7BE9">
        <w:tc>
          <w:tcPr>
            <w:tcW w:w="3330" w:type="dxa"/>
            <w:shd w:val="clear" w:color="auto" w:fill="auto"/>
            <w:vAlign w:val="bottom"/>
          </w:tcPr>
          <w:p w14:paraId="0F869624"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Matemáticas y estadística</w:t>
            </w:r>
          </w:p>
        </w:tc>
        <w:tc>
          <w:tcPr>
            <w:tcW w:w="990" w:type="dxa"/>
            <w:shd w:val="clear" w:color="auto" w:fill="auto"/>
            <w:vAlign w:val="bottom"/>
          </w:tcPr>
          <w:p w14:paraId="393A8D6A"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w:t>
            </w:r>
          </w:p>
        </w:tc>
        <w:tc>
          <w:tcPr>
            <w:tcW w:w="990" w:type="dxa"/>
            <w:shd w:val="clear" w:color="auto" w:fill="auto"/>
            <w:vAlign w:val="bottom"/>
          </w:tcPr>
          <w:p w14:paraId="164FE70A"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66,7</w:t>
            </w:r>
          </w:p>
        </w:tc>
        <w:tc>
          <w:tcPr>
            <w:tcW w:w="990" w:type="dxa"/>
            <w:shd w:val="clear" w:color="auto" w:fill="auto"/>
            <w:vAlign w:val="bottom"/>
          </w:tcPr>
          <w:p w14:paraId="125F21B5"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w:t>
            </w:r>
          </w:p>
        </w:tc>
        <w:tc>
          <w:tcPr>
            <w:tcW w:w="990" w:type="dxa"/>
            <w:shd w:val="clear" w:color="auto" w:fill="auto"/>
            <w:vAlign w:val="bottom"/>
          </w:tcPr>
          <w:p w14:paraId="669CE3A2"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33,3</w:t>
            </w:r>
          </w:p>
        </w:tc>
      </w:tr>
      <w:tr w:rsidR="008D2F10" w:rsidRPr="00D43575" w14:paraId="2A6B6A55" w14:textId="77777777" w:rsidTr="00BD7BE9">
        <w:tc>
          <w:tcPr>
            <w:tcW w:w="3330" w:type="dxa"/>
            <w:shd w:val="clear" w:color="auto" w:fill="auto"/>
            <w:vAlign w:val="bottom"/>
          </w:tcPr>
          <w:p w14:paraId="40F1BBE1"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Tecnología mecánica</w:t>
            </w:r>
          </w:p>
        </w:tc>
        <w:tc>
          <w:tcPr>
            <w:tcW w:w="990" w:type="dxa"/>
            <w:shd w:val="clear" w:color="auto" w:fill="auto"/>
            <w:vAlign w:val="bottom"/>
          </w:tcPr>
          <w:p w14:paraId="14C18946"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990" w:type="dxa"/>
            <w:shd w:val="clear" w:color="auto" w:fill="auto"/>
            <w:vAlign w:val="bottom"/>
          </w:tcPr>
          <w:p w14:paraId="5FBBF06F"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100,0</w:t>
            </w:r>
          </w:p>
        </w:tc>
        <w:tc>
          <w:tcPr>
            <w:tcW w:w="990" w:type="dxa"/>
            <w:shd w:val="clear" w:color="auto" w:fill="auto"/>
            <w:vAlign w:val="bottom"/>
          </w:tcPr>
          <w:p w14:paraId="4803C065"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990" w:type="dxa"/>
            <w:shd w:val="clear" w:color="auto" w:fill="auto"/>
            <w:vAlign w:val="bottom"/>
          </w:tcPr>
          <w:p w14:paraId="52F8B603"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0,0</w:t>
            </w:r>
          </w:p>
        </w:tc>
      </w:tr>
      <w:tr w:rsidR="008D2F10" w:rsidRPr="00D43575" w14:paraId="65C49258" w14:textId="77777777" w:rsidTr="00BD7BE9">
        <w:tc>
          <w:tcPr>
            <w:tcW w:w="3330" w:type="dxa"/>
            <w:shd w:val="clear" w:color="auto" w:fill="auto"/>
            <w:vAlign w:val="bottom"/>
          </w:tcPr>
          <w:p w14:paraId="75DAFF2A"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Medicina</w:t>
            </w:r>
          </w:p>
        </w:tc>
        <w:tc>
          <w:tcPr>
            <w:tcW w:w="990" w:type="dxa"/>
            <w:shd w:val="clear" w:color="auto" w:fill="auto"/>
            <w:vAlign w:val="bottom"/>
          </w:tcPr>
          <w:p w14:paraId="6D7BE89D"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54</w:t>
            </w:r>
          </w:p>
        </w:tc>
        <w:tc>
          <w:tcPr>
            <w:tcW w:w="990" w:type="dxa"/>
            <w:shd w:val="clear" w:color="auto" w:fill="auto"/>
            <w:vAlign w:val="bottom"/>
          </w:tcPr>
          <w:p w14:paraId="4597C0B4"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64,3</w:t>
            </w:r>
          </w:p>
        </w:tc>
        <w:tc>
          <w:tcPr>
            <w:tcW w:w="990" w:type="dxa"/>
            <w:shd w:val="clear" w:color="auto" w:fill="auto"/>
            <w:vAlign w:val="bottom"/>
          </w:tcPr>
          <w:p w14:paraId="69C881FE"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30</w:t>
            </w:r>
          </w:p>
        </w:tc>
        <w:tc>
          <w:tcPr>
            <w:tcW w:w="990" w:type="dxa"/>
            <w:shd w:val="clear" w:color="auto" w:fill="auto"/>
            <w:vAlign w:val="bottom"/>
          </w:tcPr>
          <w:p w14:paraId="4C2FEDDA"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35,7</w:t>
            </w:r>
          </w:p>
        </w:tc>
      </w:tr>
      <w:tr w:rsidR="008D2F10" w:rsidRPr="00D43575" w14:paraId="2275AF08" w14:textId="77777777" w:rsidTr="00BD7BE9">
        <w:tc>
          <w:tcPr>
            <w:tcW w:w="3330" w:type="dxa"/>
            <w:shd w:val="clear" w:color="auto" w:fill="auto"/>
            <w:vAlign w:val="bottom"/>
          </w:tcPr>
          <w:p w14:paraId="412F251E"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Recursos naturales y conservación del medio ambiente</w:t>
            </w:r>
          </w:p>
        </w:tc>
        <w:tc>
          <w:tcPr>
            <w:tcW w:w="990" w:type="dxa"/>
            <w:shd w:val="clear" w:color="auto" w:fill="auto"/>
            <w:vAlign w:val="bottom"/>
          </w:tcPr>
          <w:p w14:paraId="48AFBFFF"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w:t>
            </w:r>
          </w:p>
        </w:tc>
        <w:tc>
          <w:tcPr>
            <w:tcW w:w="990" w:type="dxa"/>
            <w:shd w:val="clear" w:color="auto" w:fill="auto"/>
            <w:vAlign w:val="bottom"/>
          </w:tcPr>
          <w:p w14:paraId="19657A26"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66,7</w:t>
            </w:r>
          </w:p>
        </w:tc>
        <w:tc>
          <w:tcPr>
            <w:tcW w:w="990" w:type="dxa"/>
            <w:shd w:val="clear" w:color="auto" w:fill="auto"/>
            <w:vAlign w:val="bottom"/>
          </w:tcPr>
          <w:p w14:paraId="650BB57B"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w:t>
            </w:r>
          </w:p>
        </w:tc>
        <w:tc>
          <w:tcPr>
            <w:tcW w:w="990" w:type="dxa"/>
            <w:shd w:val="clear" w:color="auto" w:fill="auto"/>
            <w:vAlign w:val="bottom"/>
          </w:tcPr>
          <w:p w14:paraId="0D3E19EF"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33,3</w:t>
            </w:r>
          </w:p>
        </w:tc>
      </w:tr>
      <w:tr w:rsidR="008D2F10" w:rsidRPr="00D43575" w14:paraId="04603D90" w14:textId="77777777" w:rsidTr="00BD7BE9">
        <w:tc>
          <w:tcPr>
            <w:tcW w:w="3330" w:type="dxa"/>
            <w:shd w:val="clear" w:color="auto" w:fill="auto"/>
            <w:vAlign w:val="bottom"/>
          </w:tcPr>
          <w:p w14:paraId="17C88B25"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Enfermería</w:t>
            </w:r>
          </w:p>
        </w:tc>
        <w:tc>
          <w:tcPr>
            <w:tcW w:w="990" w:type="dxa"/>
            <w:shd w:val="clear" w:color="auto" w:fill="auto"/>
            <w:vAlign w:val="bottom"/>
          </w:tcPr>
          <w:p w14:paraId="038EB7A1"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w:t>
            </w:r>
          </w:p>
        </w:tc>
        <w:tc>
          <w:tcPr>
            <w:tcW w:w="990" w:type="dxa"/>
            <w:shd w:val="clear" w:color="auto" w:fill="auto"/>
            <w:vAlign w:val="bottom"/>
          </w:tcPr>
          <w:p w14:paraId="15273CE9"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100,0</w:t>
            </w:r>
          </w:p>
        </w:tc>
        <w:tc>
          <w:tcPr>
            <w:tcW w:w="990" w:type="dxa"/>
            <w:shd w:val="clear" w:color="auto" w:fill="auto"/>
            <w:vAlign w:val="bottom"/>
          </w:tcPr>
          <w:p w14:paraId="1D586A93"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990" w:type="dxa"/>
            <w:shd w:val="clear" w:color="auto" w:fill="auto"/>
            <w:vAlign w:val="bottom"/>
          </w:tcPr>
          <w:p w14:paraId="63FD3828"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0,0</w:t>
            </w:r>
          </w:p>
        </w:tc>
      </w:tr>
      <w:tr w:rsidR="008D2F10" w:rsidRPr="00D43575" w14:paraId="37705CE9" w14:textId="77777777" w:rsidTr="00BD7BE9">
        <w:tc>
          <w:tcPr>
            <w:tcW w:w="3330" w:type="dxa"/>
            <w:tcBorders>
              <w:bottom w:val="single" w:sz="12" w:space="0" w:color="auto"/>
            </w:tcBorders>
            <w:shd w:val="clear" w:color="auto" w:fill="auto"/>
            <w:vAlign w:val="bottom"/>
          </w:tcPr>
          <w:p w14:paraId="7B26676B"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Tecnología científica</w:t>
            </w:r>
          </w:p>
        </w:tc>
        <w:tc>
          <w:tcPr>
            <w:tcW w:w="990" w:type="dxa"/>
            <w:tcBorders>
              <w:bottom w:val="single" w:sz="12" w:space="0" w:color="auto"/>
            </w:tcBorders>
            <w:shd w:val="clear" w:color="auto" w:fill="auto"/>
            <w:vAlign w:val="bottom"/>
          </w:tcPr>
          <w:p w14:paraId="0B5A7739"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w:t>
            </w:r>
          </w:p>
        </w:tc>
        <w:tc>
          <w:tcPr>
            <w:tcW w:w="990" w:type="dxa"/>
            <w:tcBorders>
              <w:bottom w:val="single" w:sz="12" w:space="0" w:color="auto"/>
            </w:tcBorders>
            <w:shd w:val="clear" w:color="auto" w:fill="auto"/>
            <w:vAlign w:val="bottom"/>
          </w:tcPr>
          <w:p w14:paraId="289C8938"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37,5</w:t>
            </w:r>
          </w:p>
        </w:tc>
        <w:tc>
          <w:tcPr>
            <w:tcW w:w="990" w:type="dxa"/>
            <w:tcBorders>
              <w:bottom w:val="single" w:sz="12" w:space="0" w:color="auto"/>
            </w:tcBorders>
            <w:shd w:val="clear" w:color="auto" w:fill="auto"/>
            <w:vAlign w:val="bottom"/>
          </w:tcPr>
          <w:p w14:paraId="1848F613"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w:t>
            </w:r>
          </w:p>
        </w:tc>
        <w:tc>
          <w:tcPr>
            <w:tcW w:w="990" w:type="dxa"/>
            <w:tcBorders>
              <w:bottom w:val="single" w:sz="12" w:space="0" w:color="auto"/>
            </w:tcBorders>
            <w:shd w:val="clear" w:color="auto" w:fill="auto"/>
            <w:vAlign w:val="bottom"/>
          </w:tcPr>
          <w:p w14:paraId="4214EA61" w14:textId="77777777" w:rsidR="008D2F10" w:rsidRPr="00D43575" w:rsidRDefault="008D2F10" w:rsidP="0031068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62,5</w:t>
            </w:r>
          </w:p>
        </w:tc>
      </w:tr>
    </w:tbl>
    <w:p w14:paraId="6CA93008" w14:textId="77777777" w:rsidR="008D2F10" w:rsidRPr="00D43575" w:rsidRDefault="008D2F10" w:rsidP="00893B9A">
      <w:pPr>
        <w:pStyle w:val="SingleTxt"/>
        <w:spacing w:after="0" w:line="120" w:lineRule="exact"/>
        <w:rPr>
          <w:sz w:val="10"/>
        </w:rPr>
      </w:pPr>
    </w:p>
    <w:p w14:paraId="31A4977F" w14:textId="0413F7E8" w:rsidR="008D2F10"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Estado de Qatar, Ministerio de Educación y Enseñanza Superior, Departamento de Becas,</w:t>
      </w:r>
      <w:r w:rsidR="00083383" w:rsidRPr="00D43575">
        <w:rPr>
          <w:rFonts w:eastAsiaTheme="minorHAnsi"/>
          <w:iCs/>
          <w:w w:val="103"/>
          <w:kern w:val="14"/>
          <w:szCs w:val="20"/>
        </w:rPr>
        <w:t xml:space="preserve"> </w:t>
      </w:r>
      <w:r w:rsidRPr="00D43575">
        <w:rPr>
          <w:rFonts w:eastAsiaTheme="minorHAnsi"/>
          <w:iCs/>
          <w:w w:val="103"/>
          <w:kern w:val="14"/>
          <w:szCs w:val="20"/>
        </w:rPr>
        <w:t>2017</w:t>
      </w:r>
      <w:r w:rsidR="00083383" w:rsidRPr="00D43575">
        <w:rPr>
          <w:rFonts w:eastAsiaTheme="minorHAnsi"/>
          <w:iCs/>
          <w:w w:val="103"/>
          <w:kern w:val="14"/>
          <w:szCs w:val="20"/>
        </w:rPr>
        <w:t>.</w:t>
      </w:r>
    </w:p>
    <w:p w14:paraId="1254AEE4" w14:textId="77777777" w:rsidR="008D2F10" w:rsidRPr="00D43575" w:rsidRDefault="008D2F10" w:rsidP="00893B9A">
      <w:pPr>
        <w:pStyle w:val="SingleTxt"/>
        <w:spacing w:after="0" w:line="120" w:lineRule="exact"/>
        <w:rPr>
          <w:sz w:val="10"/>
        </w:rPr>
      </w:pPr>
    </w:p>
    <w:p w14:paraId="55C62CCE" w14:textId="77777777" w:rsidR="008D2F10" w:rsidRPr="00D43575" w:rsidRDefault="008D2F10" w:rsidP="00893B9A">
      <w:pPr>
        <w:pStyle w:val="SingleTxt"/>
        <w:spacing w:after="0" w:line="120" w:lineRule="exact"/>
        <w:rPr>
          <w:sz w:val="10"/>
        </w:rPr>
      </w:pPr>
    </w:p>
    <w:p w14:paraId="5DAD036D" w14:textId="02ABD3F1" w:rsidR="00310727" w:rsidRPr="00D43575" w:rsidRDefault="008D2F10" w:rsidP="00A9150C">
      <w:pPr>
        <w:pStyle w:val="SingleTxt"/>
        <w:numPr>
          <w:ilvl w:val="0"/>
          <w:numId w:val="10"/>
        </w:numPr>
        <w:ind w:left="1267" w:firstLine="0"/>
      </w:pPr>
      <w:r w:rsidRPr="00D43575">
        <w:t>No hay diferencias entre el hombre y la mujer en las condiciones para el nombramiento del personal docente</w:t>
      </w:r>
      <w:r w:rsidR="00083383" w:rsidRPr="00D43575">
        <w:t>.</w:t>
      </w:r>
      <w:r w:rsidRPr="00D43575">
        <w:t xml:space="preserve"> Entre sus esfuerzos por eliminar todas las formas de discriminación contra la mujer, especialmente en el ámbito de la educación, el Estado de Qatar se ha comprometido a empoderar a las mujeres cualificadas para que ocupen cargos en la administración de los centros escolares</w:t>
      </w:r>
      <w:r w:rsidR="00083383" w:rsidRPr="00D43575">
        <w:t>.</w:t>
      </w:r>
      <w:r w:rsidRPr="00D43575">
        <w:t xml:space="preserve"> El porcentaje de mujeres que ocupan puestos de este tipo es superior al de los hombres, tal como se ilustra en el cuadro 8, que muestra por año la proporción de mujeres directoras de centros escolares con respecto a los directores hombres</w:t>
      </w:r>
      <w:r w:rsidR="00083383" w:rsidRPr="00D43575">
        <w:t>.</w:t>
      </w:r>
    </w:p>
    <w:p w14:paraId="5F01A53F" w14:textId="77777777" w:rsidR="00FC6BA7" w:rsidRPr="00D43575" w:rsidRDefault="00FC6BA7" w:rsidP="00FC6BA7">
      <w:pPr>
        <w:pStyle w:val="SingleTxt"/>
        <w:spacing w:after="0" w:line="120" w:lineRule="exact"/>
        <w:ind w:left="1627"/>
        <w:rPr>
          <w:sz w:val="10"/>
        </w:rPr>
      </w:pPr>
    </w:p>
    <w:p w14:paraId="51695E1D" w14:textId="0A70557E" w:rsidR="008D2F10" w:rsidRPr="00D43575" w:rsidRDefault="008D2F10" w:rsidP="00083383">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840"/>
        <w:rPr>
          <w:bCs w:val="0"/>
          <w:szCs w:val="20"/>
        </w:rPr>
      </w:pPr>
      <w:r w:rsidRPr="00D43575">
        <w:rPr>
          <w:bCs w:val="0"/>
          <w:szCs w:val="20"/>
        </w:rPr>
        <w:tab/>
      </w:r>
      <w:r w:rsidRPr="00D43575">
        <w:rPr>
          <w:bCs w:val="0"/>
          <w:szCs w:val="20"/>
        </w:rPr>
        <w:tab/>
      </w:r>
      <w:r w:rsidR="003771A9">
        <w:rPr>
          <w:b w:val="0"/>
          <w:bCs w:val="0"/>
          <w:szCs w:val="20"/>
        </w:rPr>
        <w:t>Cuadro 8</w:t>
      </w:r>
      <w:r w:rsidR="009070BD" w:rsidRPr="00D43575">
        <w:rPr>
          <w:b w:val="0"/>
          <w:bCs w:val="0"/>
          <w:szCs w:val="20"/>
        </w:rPr>
        <w:t xml:space="preserve"> </w:t>
      </w:r>
      <w:r w:rsidR="009070BD" w:rsidRPr="00D43575">
        <w:rPr>
          <w:b w:val="0"/>
          <w:bCs w:val="0"/>
          <w:szCs w:val="20"/>
        </w:rPr>
        <w:br/>
      </w:r>
      <w:r w:rsidRPr="00D43575">
        <w:rPr>
          <w:bCs w:val="0"/>
          <w:szCs w:val="20"/>
        </w:rPr>
        <w:t>Porcentaje de mujeres directoras de centros escolares en comparación con el porcentaje de directores hombres, por año, durante el período 2012</w:t>
      </w:r>
      <w:r w:rsidR="00083383" w:rsidRPr="00D43575">
        <w:rPr>
          <w:bCs w:val="0"/>
          <w:szCs w:val="20"/>
        </w:rPr>
        <w:noBreakHyphen/>
      </w:r>
      <w:r w:rsidRPr="00D43575">
        <w:rPr>
          <w:bCs w:val="0"/>
          <w:szCs w:val="20"/>
        </w:rPr>
        <w:t>2016</w:t>
      </w:r>
    </w:p>
    <w:p w14:paraId="524C5F7E" w14:textId="77777777" w:rsidR="008D2F10" w:rsidRPr="00D43575" w:rsidRDefault="008D2F10" w:rsidP="008D2F1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710"/>
        <w:gridCol w:w="1350"/>
        <w:gridCol w:w="1350"/>
        <w:gridCol w:w="1350"/>
        <w:gridCol w:w="1530"/>
      </w:tblGrid>
      <w:tr w:rsidR="008D2F10" w:rsidRPr="00D43575" w14:paraId="2727B8BD" w14:textId="77777777" w:rsidTr="00BD7BE9">
        <w:trPr>
          <w:tblHeader/>
        </w:trPr>
        <w:tc>
          <w:tcPr>
            <w:tcW w:w="1710" w:type="dxa"/>
            <w:tcBorders>
              <w:top w:val="single" w:sz="4" w:space="0" w:color="auto"/>
            </w:tcBorders>
            <w:shd w:val="clear" w:color="auto" w:fill="auto"/>
            <w:vAlign w:val="bottom"/>
          </w:tcPr>
          <w:p w14:paraId="56F84043" w14:textId="77777777" w:rsidR="008D2F10" w:rsidRPr="00D43575" w:rsidRDefault="008D2F10" w:rsidP="00620A52">
            <w:pPr>
              <w:pStyle w:val="SingleTxt"/>
              <w:spacing w:before="80" w:after="80" w:line="160" w:lineRule="exact"/>
              <w:ind w:left="11" w:right="43"/>
              <w:jc w:val="left"/>
              <w:rPr>
                <w:i/>
                <w:iCs/>
                <w:sz w:val="14"/>
              </w:rPr>
            </w:pPr>
          </w:p>
        </w:tc>
        <w:tc>
          <w:tcPr>
            <w:tcW w:w="5580" w:type="dxa"/>
            <w:gridSpan w:val="4"/>
            <w:tcBorders>
              <w:top w:val="single" w:sz="4" w:space="0" w:color="auto"/>
              <w:bottom w:val="single" w:sz="4" w:space="0" w:color="auto"/>
            </w:tcBorders>
            <w:shd w:val="clear" w:color="auto" w:fill="auto"/>
            <w:vAlign w:val="bottom"/>
          </w:tcPr>
          <w:p w14:paraId="0CC61BDE" w14:textId="77777777" w:rsidR="008D2F10" w:rsidRPr="00D43575" w:rsidRDefault="008D2F10" w:rsidP="0038225E">
            <w:pPr>
              <w:pStyle w:val="SingleTxt"/>
              <w:spacing w:before="80" w:after="80" w:line="160" w:lineRule="exact"/>
              <w:ind w:left="144" w:right="43"/>
              <w:jc w:val="center"/>
              <w:rPr>
                <w:i/>
                <w:iCs/>
                <w:sz w:val="14"/>
              </w:rPr>
            </w:pPr>
            <w:r w:rsidRPr="00D43575">
              <w:rPr>
                <w:i/>
                <w:iCs/>
                <w:sz w:val="14"/>
              </w:rPr>
              <w:t>Directores de centros escolares</w:t>
            </w:r>
          </w:p>
        </w:tc>
      </w:tr>
      <w:tr w:rsidR="008D2F10" w:rsidRPr="00D43575" w14:paraId="748F5CB6" w14:textId="77777777" w:rsidTr="00BD7BE9">
        <w:trPr>
          <w:tblHeader/>
        </w:trPr>
        <w:tc>
          <w:tcPr>
            <w:tcW w:w="1710" w:type="dxa"/>
            <w:tcBorders>
              <w:bottom w:val="single" w:sz="12" w:space="0" w:color="auto"/>
            </w:tcBorders>
            <w:shd w:val="clear" w:color="auto" w:fill="auto"/>
            <w:vAlign w:val="bottom"/>
          </w:tcPr>
          <w:p w14:paraId="39E70121" w14:textId="77777777" w:rsidR="008D2F10" w:rsidRPr="00D43575" w:rsidRDefault="008D2F10" w:rsidP="00620A52">
            <w:pPr>
              <w:pStyle w:val="SingleTxt"/>
              <w:spacing w:before="80" w:after="80" w:line="160" w:lineRule="exact"/>
              <w:ind w:left="11" w:right="43"/>
              <w:jc w:val="left"/>
              <w:rPr>
                <w:i/>
                <w:iCs/>
                <w:sz w:val="14"/>
              </w:rPr>
            </w:pPr>
            <w:r w:rsidRPr="00D43575">
              <w:rPr>
                <w:i/>
                <w:iCs/>
                <w:sz w:val="14"/>
              </w:rPr>
              <w:t>Curso académico</w:t>
            </w:r>
          </w:p>
        </w:tc>
        <w:tc>
          <w:tcPr>
            <w:tcW w:w="1350" w:type="dxa"/>
            <w:tcBorders>
              <w:top w:val="single" w:sz="4" w:space="0" w:color="auto"/>
              <w:bottom w:val="single" w:sz="12" w:space="0" w:color="auto"/>
            </w:tcBorders>
            <w:shd w:val="clear" w:color="auto" w:fill="auto"/>
            <w:vAlign w:val="bottom"/>
          </w:tcPr>
          <w:p w14:paraId="6E2319FD" w14:textId="77777777" w:rsidR="008D2F10" w:rsidRPr="00D43575" w:rsidRDefault="008D2F10" w:rsidP="00620A52">
            <w:pPr>
              <w:pStyle w:val="SingleTxt"/>
              <w:spacing w:before="80" w:after="80" w:line="160" w:lineRule="exact"/>
              <w:ind w:left="63" w:right="43"/>
              <w:jc w:val="right"/>
              <w:rPr>
                <w:i/>
                <w:iCs/>
                <w:sz w:val="14"/>
              </w:rPr>
            </w:pPr>
            <w:r w:rsidRPr="00D43575">
              <w:rPr>
                <w:i/>
                <w:iCs/>
                <w:sz w:val="14"/>
              </w:rPr>
              <w:t>Mujeres</w:t>
            </w:r>
          </w:p>
        </w:tc>
        <w:tc>
          <w:tcPr>
            <w:tcW w:w="1350" w:type="dxa"/>
            <w:tcBorders>
              <w:top w:val="single" w:sz="4" w:space="0" w:color="auto"/>
              <w:bottom w:val="single" w:sz="12" w:space="0" w:color="auto"/>
            </w:tcBorders>
            <w:shd w:val="clear" w:color="auto" w:fill="auto"/>
            <w:vAlign w:val="bottom"/>
          </w:tcPr>
          <w:p w14:paraId="53A8F84B" w14:textId="77777777" w:rsidR="008D2F10" w:rsidRPr="00D43575" w:rsidRDefault="008D2F10" w:rsidP="00620A52">
            <w:pPr>
              <w:pStyle w:val="SingleTxt"/>
              <w:spacing w:before="80" w:after="80" w:line="160" w:lineRule="exact"/>
              <w:ind w:left="63" w:right="43"/>
              <w:jc w:val="right"/>
              <w:rPr>
                <w:i/>
                <w:iCs/>
                <w:sz w:val="14"/>
              </w:rPr>
            </w:pPr>
            <w:r w:rsidRPr="00D43575">
              <w:rPr>
                <w:i/>
                <w:iCs/>
                <w:sz w:val="14"/>
              </w:rPr>
              <w:t>Hombres</w:t>
            </w:r>
          </w:p>
        </w:tc>
        <w:tc>
          <w:tcPr>
            <w:tcW w:w="1350" w:type="dxa"/>
            <w:tcBorders>
              <w:top w:val="single" w:sz="4" w:space="0" w:color="auto"/>
              <w:bottom w:val="single" w:sz="12" w:space="0" w:color="auto"/>
            </w:tcBorders>
            <w:shd w:val="clear" w:color="auto" w:fill="auto"/>
            <w:vAlign w:val="bottom"/>
          </w:tcPr>
          <w:p w14:paraId="144A38FB" w14:textId="77777777" w:rsidR="008D2F10" w:rsidRPr="00D43575" w:rsidRDefault="008D2F10" w:rsidP="00620A52">
            <w:pPr>
              <w:pStyle w:val="SingleTxt"/>
              <w:spacing w:before="80" w:after="80" w:line="160" w:lineRule="exact"/>
              <w:ind w:left="63" w:right="43"/>
              <w:jc w:val="right"/>
              <w:rPr>
                <w:i/>
                <w:iCs/>
                <w:sz w:val="14"/>
              </w:rPr>
            </w:pPr>
            <w:r w:rsidRPr="00D43575">
              <w:rPr>
                <w:i/>
                <w:iCs/>
                <w:sz w:val="14"/>
              </w:rPr>
              <w:t>Total</w:t>
            </w:r>
          </w:p>
        </w:tc>
        <w:tc>
          <w:tcPr>
            <w:tcW w:w="1530" w:type="dxa"/>
            <w:tcBorders>
              <w:top w:val="single" w:sz="4" w:space="0" w:color="auto"/>
              <w:bottom w:val="single" w:sz="12" w:space="0" w:color="auto"/>
            </w:tcBorders>
            <w:shd w:val="clear" w:color="auto" w:fill="auto"/>
            <w:vAlign w:val="bottom"/>
          </w:tcPr>
          <w:p w14:paraId="7E789F97" w14:textId="77777777" w:rsidR="008D2F10" w:rsidRPr="00D43575" w:rsidRDefault="008D2F10" w:rsidP="00620A52">
            <w:pPr>
              <w:pStyle w:val="SingleTxt"/>
              <w:spacing w:before="80" w:after="80" w:line="160" w:lineRule="exact"/>
              <w:ind w:left="63" w:right="43"/>
              <w:jc w:val="right"/>
              <w:rPr>
                <w:i/>
                <w:iCs/>
                <w:sz w:val="14"/>
              </w:rPr>
            </w:pPr>
            <w:r w:rsidRPr="00D43575">
              <w:rPr>
                <w:i/>
                <w:iCs/>
                <w:sz w:val="14"/>
              </w:rPr>
              <w:t>Porcentaje de mujeres</w:t>
            </w:r>
          </w:p>
        </w:tc>
      </w:tr>
      <w:tr w:rsidR="008D2F10" w:rsidRPr="00D43575" w14:paraId="300368B9" w14:textId="77777777" w:rsidTr="00BD7BE9">
        <w:trPr>
          <w:trHeight w:hRule="exact" w:val="115"/>
          <w:tblHeader/>
        </w:trPr>
        <w:tc>
          <w:tcPr>
            <w:tcW w:w="1710" w:type="dxa"/>
            <w:tcBorders>
              <w:top w:val="single" w:sz="12" w:space="0" w:color="auto"/>
            </w:tcBorders>
            <w:shd w:val="clear" w:color="auto" w:fill="auto"/>
            <w:vAlign w:val="bottom"/>
          </w:tcPr>
          <w:p w14:paraId="3AE4B1DF" w14:textId="77777777" w:rsidR="008D2F10" w:rsidRPr="00D43575" w:rsidRDefault="008D2F10" w:rsidP="00BD7BE9">
            <w:pPr>
              <w:tabs>
                <w:tab w:val="left" w:pos="288"/>
                <w:tab w:val="left" w:pos="576"/>
                <w:tab w:val="left" w:pos="864"/>
                <w:tab w:val="left" w:pos="1152"/>
              </w:tabs>
              <w:spacing w:before="40" w:after="40" w:line="210" w:lineRule="exact"/>
              <w:ind w:right="40"/>
              <w:rPr>
                <w:sz w:val="17"/>
              </w:rPr>
            </w:pPr>
          </w:p>
        </w:tc>
        <w:tc>
          <w:tcPr>
            <w:tcW w:w="1350" w:type="dxa"/>
            <w:tcBorders>
              <w:top w:val="single" w:sz="12" w:space="0" w:color="auto"/>
            </w:tcBorders>
            <w:shd w:val="clear" w:color="auto" w:fill="auto"/>
            <w:vAlign w:val="bottom"/>
          </w:tcPr>
          <w:p w14:paraId="7288864F"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c>
          <w:tcPr>
            <w:tcW w:w="1350" w:type="dxa"/>
            <w:tcBorders>
              <w:top w:val="single" w:sz="12" w:space="0" w:color="auto"/>
            </w:tcBorders>
            <w:shd w:val="clear" w:color="auto" w:fill="auto"/>
            <w:vAlign w:val="bottom"/>
          </w:tcPr>
          <w:p w14:paraId="7A957DC8"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c>
          <w:tcPr>
            <w:tcW w:w="1350" w:type="dxa"/>
            <w:tcBorders>
              <w:top w:val="single" w:sz="12" w:space="0" w:color="auto"/>
            </w:tcBorders>
            <w:shd w:val="clear" w:color="auto" w:fill="auto"/>
            <w:vAlign w:val="bottom"/>
          </w:tcPr>
          <w:p w14:paraId="54074FE0"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c>
          <w:tcPr>
            <w:tcW w:w="1530" w:type="dxa"/>
            <w:tcBorders>
              <w:top w:val="single" w:sz="12" w:space="0" w:color="auto"/>
            </w:tcBorders>
            <w:shd w:val="clear" w:color="auto" w:fill="auto"/>
            <w:vAlign w:val="bottom"/>
          </w:tcPr>
          <w:p w14:paraId="379025B5"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r>
      <w:tr w:rsidR="008D2F10" w:rsidRPr="00D43575" w14:paraId="1EB52D4E" w14:textId="77777777" w:rsidTr="00BD7BE9">
        <w:tc>
          <w:tcPr>
            <w:tcW w:w="1710" w:type="dxa"/>
            <w:shd w:val="clear" w:color="auto" w:fill="auto"/>
            <w:vAlign w:val="bottom"/>
          </w:tcPr>
          <w:p w14:paraId="0DD53E21" w14:textId="77777777" w:rsidR="008D2F10" w:rsidRPr="00D43575" w:rsidRDefault="008D2F10" w:rsidP="00620A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2015/2016</w:t>
            </w:r>
          </w:p>
        </w:tc>
        <w:tc>
          <w:tcPr>
            <w:tcW w:w="1350" w:type="dxa"/>
            <w:shd w:val="clear" w:color="auto" w:fill="auto"/>
            <w:vAlign w:val="bottom"/>
          </w:tcPr>
          <w:p w14:paraId="48BD1EF3" w14:textId="77777777" w:rsidR="008D2F10" w:rsidRPr="00D43575" w:rsidRDefault="008D2F10" w:rsidP="00620A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254</w:t>
            </w:r>
          </w:p>
        </w:tc>
        <w:tc>
          <w:tcPr>
            <w:tcW w:w="1350" w:type="dxa"/>
            <w:shd w:val="clear" w:color="auto" w:fill="auto"/>
            <w:vAlign w:val="bottom"/>
          </w:tcPr>
          <w:p w14:paraId="1A593B81" w14:textId="77777777" w:rsidR="008D2F10" w:rsidRPr="00D43575" w:rsidRDefault="008D2F10" w:rsidP="00620A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127</w:t>
            </w:r>
          </w:p>
        </w:tc>
        <w:tc>
          <w:tcPr>
            <w:tcW w:w="1350" w:type="dxa"/>
            <w:shd w:val="clear" w:color="auto" w:fill="auto"/>
            <w:vAlign w:val="bottom"/>
          </w:tcPr>
          <w:p w14:paraId="6C4C7490" w14:textId="77777777" w:rsidR="008D2F10" w:rsidRPr="00D43575" w:rsidRDefault="008D2F10" w:rsidP="00620A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381</w:t>
            </w:r>
          </w:p>
        </w:tc>
        <w:tc>
          <w:tcPr>
            <w:tcW w:w="1530" w:type="dxa"/>
            <w:shd w:val="clear" w:color="auto" w:fill="auto"/>
            <w:vAlign w:val="bottom"/>
          </w:tcPr>
          <w:p w14:paraId="4C20BB10" w14:textId="77777777" w:rsidR="008D2F10" w:rsidRPr="00D43575" w:rsidRDefault="008D2F10" w:rsidP="00620A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66,6</w:t>
            </w:r>
          </w:p>
        </w:tc>
      </w:tr>
      <w:tr w:rsidR="008D2F10" w:rsidRPr="00D43575" w14:paraId="0AB9C3C7" w14:textId="77777777" w:rsidTr="00BD7BE9">
        <w:tc>
          <w:tcPr>
            <w:tcW w:w="1710" w:type="dxa"/>
            <w:shd w:val="clear" w:color="auto" w:fill="auto"/>
            <w:vAlign w:val="bottom"/>
          </w:tcPr>
          <w:p w14:paraId="2797D0AB" w14:textId="77777777" w:rsidR="008D2F10" w:rsidRPr="00D43575" w:rsidRDefault="008D2F10" w:rsidP="00620A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2014/2015</w:t>
            </w:r>
          </w:p>
        </w:tc>
        <w:tc>
          <w:tcPr>
            <w:tcW w:w="1350" w:type="dxa"/>
            <w:shd w:val="clear" w:color="auto" w:fill="auto"/>
            <w:vAlign w:val="bottom"/>
          </w:tcPr>
          <w:p w14:paraId="062D06F8" w14:textId="77777777" w:rsidR="008D2F10" w:rsidRPr="00D43575" w:rsidRDefault="008D2F10" w:rsidP="00620A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283</w:t>
            </w:r>
          </w:p>
        </w:tc>
        <w:tc>
          <w:tcPr>
            <w:tcW w:w="1350" w:type="dxa"/>
            <w:shd w:val="clear" w:color="auto" w:fill="auto"/>
            <w:vAlign w:val="bottom"/>
          </w:tcPr>
          <w:p w14:paraId="0870F937" w14:textId="77777777" w:rsidR="008D2F10" w:rsidRPr="00D43575" w:rsidRDefault="008D2F10" w:rsidP="00620A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144</w:t>
            </w:r>
          </w:p>
        </w:tc>
        <w:tc>
          <w:tcPr>
            <w:tcW w:w="1350" w:type="dxa"/>
            <w:shd w:val="clear" w:color="auto" w:fill="auto"/>
            <w:vAlign w:val="bottom"/>
          </w:tcPr>
          <w:p w14:paraId="71157165" w14:textId="77777777" w:rsidR="008D2F10" w:rsidRPr="00D43575" w:rsidRDefault="008D2F10" w:rsidP="00620A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427</w:t>
            </w:r>
          </w:p>
        </w:tc>
        <w:tc>
          <w:tcPr>
            <w:tcW w:w="1530" w:type="dxa"/>
            <w:shd w:val="clear" w:color="auto" w:fill="auto"/>
            <w:vAlign w:val="bottom"/>
          </w:tcPr>
          <w:p w14:paraId="5EAC154B" w14:textId="77777777" w:rsidR="008D2F10" w:rsidRPr="00D43575" w:rsidRDefault="008D2F10" w:rsidP="00620A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66,2</w:t>
            </w:r>
          </w:p>
        </w:tc>
      </w:tr>
      <w:tr w:rsidR="008D2F10" w:rsidRPr="00D43575" w14:paraId="499AFA7D" w14:textId="77777777" w:rsidTr="00BD7BE9">
        <w:tc>
          <w:tcPr>
            <w:tcW w:w="1710" w:type="dxa"/>
            <w:shd w:val="clear" w:color="auto" w:fill="auto"/>
            <w:vAlign w:val="bottom"/>
          </w:tcPr>
          <w:p w14:paraId="1398617E" w14:textId="77777777" w:rsidR="008D2F10" w:rsidRPr="00D43575" w:rsidRDefault="008D2F10" w:rsidP="00620A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2013/2014</w:t>
            </w:r>
          </w:p>
        </w:tc>
        <w:tc>
          <w:tcPr>
            <w:tcW w:w="1350" w:type="dxa"/>
            <w:shd w:val="clear" w:color="auto" w:fill="auto"/>
            <w:vAlign w:val="bottom"/>
          </w:tcPr>
          <w:p w14:paraId="57E0DB17" w14:textId="77777777" w:rsidR="008D2F10" w:rsidRPr="00D43575" w:rsidRDefault="008D2F10" w:rsidP="00620A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199</w:t>
            </w:r>
          </w:p>
        </w:tc>
        <w:tc>
          <w:tcPr>
            <w:tcW w:w="1350" w:type="dxa"/>
            <w:shd w:val="clear" w:color="auto" w:fill="auto"/>
            <w:vAlign w:val="bottom"/>
          </w:tcPr>
          <w:p w14:paraId="6841E3A9" w14:textId="77777777" w:rsidR="008D2F10" w:rsidRPr="00D43575" w:rsidRDefault="008D2F10" w:rsidP="00620A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100</w:t>
            </w:r>
          </w:p>
        </w:tc>
        <w:tc>
          <w:tcPr>
            <w:tcW w:w="1350" w:type="dxa"/>
            <w:shd w:val="clear" w:color="auto" w:fill="auto"/>
            <w:vAlign w:val="bottom"/>
          </w:tcPr>
          <w:p w14:paraId="42C7B039" w14:textId="77777777" w:rsidR="008D2F10" w:rsidRPr="00D43575" w:rsidRDefault="008D2F10" w:rsidP="00620A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299</w:t>
            </w:r>
          </w:p>
        </w:tc>
        <w:tc>
          <w:tcPr>
            <w:tcW w:w="1530" w:type="dxa"/>
            <w:shd w:val="clear" w:color="auto" w:fill="auto"/>
            <w:vAlign w:val="bottom"/>
          </w:tcPr>
          <w:p w14:paraId="01C04EC8" w14:textId="77777777" w:rsidR="008D2F10" w:rsidRPr="00D43575" w:rsidRDefault="008D2F10" w:rsidP="00620A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66,5</w:t>
            </w:r>
          </w:p>
        </w:tc>
      </w:tr>
      <w:tr w:rsidR="008D2F10" w:rsidRPr="00D43575" w14:paraId="69F99417" w14:textId="77777777" w:rsidTr="00BD7BE9">
        <w:tc>
          <w:tcPr>
            <w:tcW w:w="1710" w:type="dxa"/>
            <w:tcBorders>
              <w:bottom w:val="single" w:sz="12" w:space="0" w:color="auto"/>
            </w:tcBorders>
            <w:shd w:val="clear" w:color="auto" w:fill="auto"/>
            <w:vAlign w:val="bottom"/>
          </w:tcPr>
          <w:p w14:paraId="59887137" w14:textId="77777777" w:rsidR="008D2F10" w:rsidRPr="00D43575" w:rsidRDefault="008D2F10" w:rsidP="00620A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2012/2013</w:t>
            </w:r>
          </w:p>
        </w:tc>
        <w:tc>
          <w:tcPr>
            <w:tcW w:w="1350" w:type="dxa"/>
            <w:tcBorders>
              <w:bottom w:val="single" w:sz="12" w:space="0" w:color="auto"/>
            </w:tcBorders>
            <w:shd w:val="clear" w:color="auto" w:fill="auto"/>
            <w:vAlign w:val="bottom"/>
          </w:tcPr>
          <w:p w14:paraId="626C39B9" w14:textId="77777777" w:rsidR="008D2F10" w:rsidRPr="00D43575" w:rsidRDefault="008D2F10" w:rsidP="00620A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210</w:t>
            </w:r>
          </w:p>
        </w:tc>
        <w:tc>
          <w:tcPr>
            <w:tcW w:w="1350" w:type="dxa"/>
            <w:tcBorders>
              <w:bottom w:val="single" w:sz="12" w:space="0" w:color="auto"/>
            </w:tcBorders>
            <w:shd w:val="clear" w:color="auto" w:fill="auto"/>
            <w:vAlign w:val="bottom"/>
          </w:tcPr>
          <w:p w14:paraId="6CEF59E0" w14:textId="77777777" w:rsidR="008D2F10" w:rsidRPr="00D43575" w:rsidRDefault="008D2F10" w:rsidP="00620A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88</w:t>
            </w:r>
          </w:p>
        </w:tc>
        <w:tc>
          <w:tcPr>
            <w:tcW w:w="1350" w:type="dxa"/>
            <w:tcBorders>
              <w:bottom w:val="single" w:sz="12" w:space="0" w:color="auto"/>
            </w:tcBorders>
            <w:shd w:val="clear" w:color="auto" w:fill="auto"/>
            <w:vAlign w:val="bottom"/>
          </w:tcPr>
          <w:p w14:paraId="3557E741" w14:textId="77777777" w:rsidR="008D2F10" w:rsidRPr="00D43575" w:rsidRDefault="008D2F10" w:rsidP="00620A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298</w:t>
            </w:r>
          </w:p>
        </w:tc>
        <w:tc>
          <w:tcPr>
            <w:tcW w:w="1530" w:type="dxa"/>
            <w:tcBorders>
              <w:bottom w:val="single" w:sz="12" w:space="0" w:color="auto"/>
            </w:tcBorders>
            <w:shd w:val="clear" w:color="auto" w:fill="auto"/>
            <w:vAlign w:val="bottom"/>
          </w:tcPr>
          <w:p w14:paraId="084F6C47" w14:textId="77777777" w:rsidR="008D2F10" w:rsidRPr="00D43575" w:rsidRDefault="008D2F10" w:rsidP="00620A5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70,4</w:t>
            </w:r>
          </w:p>
        </w:tc>
      </w:tr>
    </w:tbl>
    <w:p w14:paraId="26B32E51" w14:textId="77777777" w:rsidR="008D2F10" w:rsidRPr="00D43575" w:rsidRDefault="008D2F10" w:rsidP="008D2F10">
      <w:pPr>
        <w:pStyle w:val="SingleTxt"/>
        <w:spacing w:after="0" w:line="120" w:lineRule="exact"/>
        <w:rPr>
          <w:sz w:val="10"/>
        </w:rPr>
      </w:pPr>
    </w:p>
    <w:p w14:paraId="4304ABD9" w14:textId="1BCA32DB" w:rsidR="008D2F10"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Estado de Qatar, Ministerio de Educación y Enseñanza Superior, Departamento de Investigaciones y Políticas Educativas, División de Estadística, 2017</w:t>
      </w:r>
      <w:r w:rsidR="00083383" w:rsidRPr="00D43575">
        <w:rPr>
          <w:rFonts w:eastAsiaTheme="minorHAnsi"/>
          <w:iCs/>
          <w:w w:val="103"/>
          <w:kern w:val="14"/>
          <w:szCs w:val="20"/>
        </w:rPr>
        <w:t>.</w:t>
      </w:r>
    </w:p>
    <w:p w14:paraId="2541762E" w14:textId="77777777" w:rsidR="008D2F10" w:rsidRPr="00D43575" w:rsidRDefault="008D2F10" w:rsidP="003B5AA5">
      <w:pPr>
        <w:pStyle w:val="SingleTxt"/>
        <w:spacing w:after="0" w:line="120" w:lineRule="exact"/>
        <w:rPr>
          <w:sz w:val="10"/>
        </w:rPr>
      </w:pPr>
    </w:p>
    <w:p w14:paraId="5B5F8E16" w14:textId="77777777" w:rsidR="008D2F10" w:rsidRPr="00D43575" w:rsidRDefault="008D2F10" w:rsidP="003B5AA5">
      <w:pPr>
        <w:pStyle w:val="SingleTxt"/>
        <w:spacing w:after="0" w:line="120" w:lineRule="exact"/>
        <w:rPr>
          <w:sz w:val="10"/>
        </w:rPr>
      </w:pPr>
    </w:p>
    <w:p w14:paraId="2F945204" w14:textId="0F529310" w:rsidR="00083383" w:rsidRPr="00D43575" w:rsidRDefault="008D2F10" w:rsidP="001D1AD0">
      <w:pPr>
        <w:pStyle w:val="SingleTxt"/>
        <w:numPr>
          <w:ilvl w:val="0"/>
          <w:numId w:val="10"/>
        </w:numPr>
        <w:ind w:left="1267" w:firstLine="0"/>
      </w:pPr>
      <w:r w:rsidRPr="00D43575">
        <w:t>En el marco de sus esfuerzos por ofrecer una formación especializada de alta calidad y oportunidades de desarrollo profesional, el Ministerio de Educación y Enseñanza Superior del Estado de Qatar ha inaugurado un centro especializado de formación y desarrollo profesional</w:t>
      </w:r>
      <w:r w:rsidR="00083383" w:rsidRPr="00D43575">
        <w:t>.</w:t>
      </w:r>
      <w:r w:rsidRPr="00D43575">
        <w:t xml:space="preserve"> El centro se adhiere a los principios de la Visión Nacional de Qatar 2030, que garantizan la seguridad, la estabilidad y la igualdad de oportunidades, así como que se brinden más oportunidades y mayor apoyo profesional a las mujeres</w:t>
      </w:r>
      <w:r w:rsidR="00083383" w:rsidRPr="00D43575">
        <w:t>.</w:t>
      </w:r>
      <w:r w:rsidRPr="00D43575">
        <w:t xml:space="preserve"> El centro de formación y desarrollo profesional se ajusta también a todas las disposiciones sobre formación de los artículos 10 a 14 de la Convención sobre la Eliminación de Todas las Formas de Discriminación contra la Mujer</w:t>
      </w:r>
      <w:r w:rsidR="00083383" w:rsidRPr="00D43575">
        <w:t>.</w:t>
      </w:r>
      <w:r w:rsidRPr="00D43575">
        <w:t xml:space="preserve"> Ha asumido el compromiso de ofrecer oportunidades de formación de alta calidad a todos los ciudadanos en función de las competencias, las capacidades y las expectativas de cada persona, sin distinción alguna por motivos de sexo</w:t>
      </w:r>
      <w:r w:rsidR="00083383" w:rsidRPr="00D43575">
        <w:t>.</w:t>
      </w:r>
      <w:r w:rsidRPr="00D43575">
        <w:t xml:space="preserve"> También se imparten programas especiales dirigidos a las mujeres, en particular programas para la primera infancia</w:t>
      </w:r>
      <w:r w:rsidR="00083383" w:rsidRPr="00D43575">
        <w:t>.</w:t>
      </w:r>
      <w:r w:rsidRPr="00D43575">
        <w:t xml:space="preserve"> Por otro lado, otros programas promueven la igualdad entre hombres y mujeres con el mismo nivel de estudios o puesto de trabajo</w:t>
      </w:r>
      <w:r w:rsidR="00083383" w:rsidRPr="00D43575">
        <w:t>.</w:t>
      </w:r>
    </w:p>
    <w:p w14:paraId="1597BBB0" w14:textId="4D9B65AF" w:rsidR="008D2F10" w:rsidRPr="00D43575" w:rsidRDefault="008D2F10" w:rsidP="001D1AD0">
      <w:pPr>
        <w:pStyle w:val="SingleTxt"/>
        <w:numPr>
          <w:ilvl w:val="0"/>
          <w:numId w:val="10"/>
        </w:numPr>
        <w:ind w:left="1267" w:firstLine="0"/>
      </w:pPr>
      <w:r w:rsidRPr="00D43575">
        <w:lastRenderedPageBreak/>
        <w:t>La proporción de alumnas matriculadas en los programas de formación ofrecidos por el Ministerio de Educación y Enseñanza Superior de 2006 a 2016 fue del 74,3%, en comparación con el 25,7% de hombres</w:t>
      </w:r>
      <w:r w:rsidR="00083383" w:rsidRPr="00D43575">
        <w:t>.</w:t>
      </w:r>
      <w:r w:rsidRPr="00D43575">
        <w:t xml:space="preserve"> Por citar un ejemplo, en los</w:t>
      </w:r>
      <w:r w:rsidR="00083383" w:rsidRPr="00D43575">
        <w:t xml:space="preserve"> </w:t>
      </w:r>
      <w:r w:rsidRPr="00D43575">
        <w:t>125 programas y talleres de formación impartidos durante el año académico 2016</w:t>
      </w:r>
      <w:r w:rsidR="00083383" w:rsidRPr="00D43575">
        <w:noBreakHyphen/>
      </w:r>
      <w:r w:rsidRPr="00D43575">
        <w:t>2017, 4</w:t>
      </w:r>
      <w:r w:rsidR="00083383" w:rsidRPr="00D43575">
        <w:t>.</w:t>
      </w:r>
      <w:r w:rsidRPr="00D43575">
        <w:t>307 de los 6</w:t>
      </w:r>
      <w:r w:rsidR="00083383" w:rsidRPr="00D43575">
        <w:t>.</w:t>
      </w:r>
      <w:r w:rsidRPr="00D43575">
        <w:t>272 participantes fueron mujeres, esto es, el 68,7%</w:t>
      </w:r>
      <w:r w:rsidR="00083383" w:rsidRPr="00D43575">
        <w:t>.</w:t>
      </w:r>
    </w:p>
    <w:p w14:paraId="7907FB38" w14:textId="6DB448D7" w:rsidR="008D2F10" w:rsidRPr="00D43575" w:rsidRDefault="008D2F10" w:rsidP="001D1AD0">
      <w:pPr>
        <w:pStyle w:val="SingleTxt"/>
        <w:numPr>
          <w:ilvl w:val="0"/>
          <w:numId w:val="10"/>
        </w:numPr>
        <w:ind w:left="1267" w:firstLine="0"/>
      </w:pPr>
      <w:r w:rsidRPr="00D43575">
        <w:t>Los planes de estudios desempeñan un papel importante a la hora de inculcar los fundamentos de la igualdad de género tanto a nivel teórico como práctico</w:t>
      </w:r>
      <w:r w:rsidR="00083383" w:rsidRPr="00D43575">
        <w:t>.</w:t>
      </w:r>
      <w:r w:rsidRPr="00D43575">
        <w:t xml:space="preserve"> La metodología didáctica no se limita a los libros de texto y a los programas de estudios; incluye todos los elementos y herramientas que influyen en el aprendizaje de los estudiantes y en su comportamiento, forma de pensar, valores y preferencias</w:t>
      </w:r>
      <w:r w:rsidR="00083383" w:rsidRPr="00D43575">
        <w:t>.</w:t>
      </w:r>
      <w:r w:rsidRPr="00D43575">
        <w:t xml:space="preserve"> Entre ellos cabe destacar el entorno escolar, el programa de estudios, los métodos de enseñanza, las actividades de evaluación, etc</w:t>
      </w:r>
      <w:r w:rsidR="00083383" w:rsidRPr="00D43575">
        <w:t>.</w:t>
      </w:r>
      <w:r w:rsidRPr="00D43575">
        <w:t xml:space="preserve"> La labor para influir en las actitudes y modos de pensar de los alumnos respecto de las relaciones con el sexo opuesto y para reforzar la idea de la igualdad de género no se limita a incorporar asignaturas que promuevan explícitamente estos conceptos en los libros de texto</w:t>
      </w:r>
      <w:r w:rsidR="00083383" w:rsidRPr="00D43575">
        <w:t>.</w:t>
      </w:r>
      <w:r w:rsidRPr="00D43575">
        <w:t xml:space="preserve"> Exige un proyecto integral que difunda el mensaje entre los alumnos y las alumnas a través de todos los elementos del plan de estudios de forma adaptada a su edad</w:t>
      </w:r>
      <w:r w:rsidR="00083383" w:rsidRPr="00D43575">
        <w:t>.</w:t>
      </w:r>
      <w:r w:rsidRPr="00D43575">
        <w:t xml:space="preserve"> Las iniciativas para influir en las actitudes y los comportamientos se basan cada vez más</w:t>
      </w:r>
      <w:r w:rsidR="00083383" w:rsidRPr="00D43575">
        <w:t xml:space="preserve"> </w:t>
      </w:r>
      <w:r w:rsidRPr="00D43575">
        <w:t>en modelos de aprendizaje práctico para la vida, en lugar de en teoría, asesoramiento y orientación</w:t>
      </w:r>
      <w:r w:rsidR="00083383" w:rsidRPr="00D43575">
        <w:t>.</w:t>
      </w:r>
      <w:r w:rsidRPr="00D43575">
        <w:t xml:space="preserve"> El Estado de Qatar ha hecho muchos progresos para inculcar la perspectiva de la igualdad de género fomentando la educación de las niñas y logrando que haya más mujeres graduadas en las distintas disciplinas</w:t>
      </w:r>
      <w:r w:rsidR="00083383" w:rsidRPr="00D43575">
        <w:t>.</w:t>
      </w:r>
    </w:p>
    <w:p w14:paraId="423D7A98" w14:textId="77777777" w:rsidR="008D2F10" w:rsidRPr="00D43575" w:rsidRDefault="008D2F10" w:rsidP="001D1AD0">
      <w:pPr>
        <w:pStyle w:val="SingleTxt"/>
        <w:numPr>
          <w:ilvl w:val="0"/>
          <w:numId w:val="10"/>
        </w:numPr>
        <w:ind w:left="1267" w:firstLine="0"/>
      </w:pPr>
      <w:r w:rsidRPr="00D43575">
        <w:t>En el marco de la aplicación de la Convención sobre la Eliminación de Todas las Formas de Discriminación contra la Mujer, concretamente en la aplicación del artículo 10, se redoblarán los esfuerzos para incorporar la perspectiva de la igualdad de género en los planes de estudio; entre ellos cabe destacar los siguientes:</w:t>
      </w:r>
    </w:p>
    <w:p w14:paraId="4B94FEBF" w14:textId="77777777" w:rsidR="008D2F10" w:rsidRPr="00D43575" w:rsidRDefault="008D2F10" w:rsidP="008D2F10">
      <w:pPr>
        <w:pStyle w:val="SingleTxt"/>
        <w:tabs>
          <w:tab w:val="right" w:pos="1685"/>
        </w:tabs>
        <w:ind w:left="1742" w:hanging="475"/>
      </w:pPr>
      <w:r w:rsidRPr="00D43575">
        <w:tab/>
        <w:t>•</w:t>
      </w:r>
      <w:r w:rsidRPr="00D43575">
        <w:tab/>
        <w:t>Se incorporará la igualdad de género en los planes de estudio, los métodos de evaluación y las diversas actividades escolares;</w:t>
      </w:r>
    </w:p>
    <w:p w14:paraId="2DFDC3F3" w14:textId="77777777" w:rsidR="008D2F10" w:rsidRPr="00D43575" w:rsidRDefault="008D2F10" w:rsidP="008D2F10">
      <w:pPr>
        <w:pStyle w:val="SingleTxt"/>
        <w:tabs>
          <w:tab w:val="right" w:pos="1685"/>
        </w:tabs>
        <w:ind w:left="1742" w:hanging="475"/>
      </w:pPr>
      <w:r w:rsidRPr="00D43575">
        <w:tab/>
        <w:t>•</w:t>
      </w:r>
      <w:r w:rsidRPr="00D43575">
        <w:tab/>
        <w:t>Se hará hincapié en la perspectiva de la igualdad entre hombres y mujeres en diferentes ámbitos de la vida;</w:t>
      </w:r>
    </w:p>
    <w:p w14:paraId="7B52FD97" w14:textId="77777777" w:rsidR="008D2F10" w:rsidRPr="00D43575" w:rsidRDefault="008D2F10" w:rsidP="008D2F10">
      <w:pPr>
        <w:pStyle w:val="SingleTxt"/>
        <w:tabs>
          <w:tab w:val="right" w:pos="1685"/>
        </w:tabs>
        <w:ind w:left="1742" w:hanging="475"/>
      </w:pPr>
      <w:r w:rsidRPr="00D43575">
        <w:tab/>
        <w:t>•</w:t>
      </w:r>
      <w:r w:rsidRPr="00D43575">
        <w:tab/>
        <w:t>Se pondrán en marcha iniciativas para reducir las tasas de abandono escolar entre las alumnas incluyendo materiales sobre el papel de la mujer en la construcción de una sociedad próspera;</w:t>
      </w:r>
    </w:p>
    <w:p w14:paraId="39D79286" w14:textId="77777777" w:rsidR="008D2F10" w:rsidRPr="00D43575" w:rsidRDefault="008D2F10" w:rsidP="008D2F10">
      <w:pPr>
        <w:pStyle w:val="SingleTxt"/>
        <w:tabs>
          <w:tab w:val="right" w:pos="1685"/>
        </w:tabs>
        <w:ind w:left="1742" w:hanging="475"/>
      </w:pPr>
      <w:r w:rsidRPr="00D43575">
        <w:tab/>
        <w:t>•</w:t>
      </w:r>
      <w:r w:rsidRPr="00D43575">
        <w:tab/>
        <w:t>Se ejecutarán programas para aquellas jóvenes y mujeres que hayan dejado los estudios prematuramente;</w:t>
      </w:r>
    </w:p>
    <w:p w14:paraId="1E1D0482" w14:textId="23B2F213" w:rsidR="008D2F10" w:rsidRPr="00D43575" w:rsidRDefault="008D2F10" w:rsidP="008D2F10">
      <w:pPr>
        <w:pStyle w:val="SingleTxt"/>
        <w:tabs>
          <w:tab w:val="right" w:pos="1685"/>
        </w:tabs>
        <w:ind w:left="1742" w:hanging="475"/>
      </w:pPr>
      <w:r w:rsidRPr="00D43575">
        <w:tab/>
        <w:t>•</w:t>
      </w:r>
      <w:r w:rsidRPr="00D43575">
        <w:tab/>
        <w:t>Se incorporará la perspectiva de la igualdad de género en la participación en distintos tipos de actividades y competiciones en el país y en el extranjero, como en los deportes y en los actos deportivos</w:t>
      </w:r>
      <w:r w:rsidR="00083383" w:rsidRPr="00D43575">
        <w:t>.</w:t>
      </w:r>
    </w:p>
    <w:p w14:paraId="5A42C34B" w14:textId="70F555EF" w:rsidR="008D2F10" w:rsidRPr="00D43575" w:rsidRDefault="008D2F10" w:rsidP="001D1AD0">
      <w:pPr>
        <w:pStyle w:val="SingleTxt"/>
        <w:numPr>
          <w:ilvl w:val="0"/>
          <w:numId w:val="10"/>
        </w:numPr>
        <w:ind w:left="1267" w:firstLine="0"/>
      </w:pPr>
      <w:r w:rsidRPr="00D43575">
        <w:t>El material educativo nacional en árabe incluye, entre otros, los siguientes temas: la afirmación de la condición de la mujer y la igualdad respecto al hombre en lo referente a la condición humana, los derechos y las obligaciones a través del estudio de la biografía de mujeres destacadas contemporáneas y de antaño; el estudio de textos que tratan sobre la igualdad de género; el estudio de la literatura femenina a través de las obras de escritoras y poetisas árabes</w:t>
      </w:r>
      <w:r w:rsidR="00083383" w:rsidRPr="00D43575">
        <w:t>.</w:t>
      </w:r>
    </w:p>
    <w:p w14:paraId="75A41397" w14:textId="44B82F87" w:rsidR="00083383" w:rsidRPr="00D43575" w:rsidRDefault="008D2F10" w:rsidP="0031068B">
      <w:pPr>
        <w:pStyle w:val="SingleTxt"/>
        <w:numPr>
          <w:ilvl w:val="0"/>
          <w:numId w:val="10"/>
        </w:numPr>
        <w:ind w:left="1267" w:firstLine="0"/>
      </w:pPr>
      <w:r w:rsidRPr="00D43575">
        <w:t>Los planes de estudio islámicos desde la educación secundaria hasta el grado 12º incluyen asignaturas que abarcan claramente los conceptos de la igualdad y la eliminación de la discriminación contra la mujer</w:t>
      </w:r>
      <w:r w:rsidR="00083383" w:rsidRPr="00D43575">
        <w:t>.</w:t>
      </w:r>
      <w:r w:rsidRPr="00D43575">
        <w:t xml:space="preserve"> Incluyen enseñanzas sobre la igualdad de género, la eliminación de todas las formas de discriminación contra la mujer, los derechos de la mujer y el papel de esta en el desarrollo de la sociedad</w:t>
      </w:r>
      <w:r w:rsidR="00083383" w:rsidRPr="00D43575">
        <w:t>.</w:t>
      </w:r>
      <w:r w:rsidRPr="00D43575">
        <w:t xml:space="preserve"> Ello </w:t>
      </w:r>
      <w:r w:rsidRPr="00D43575">
        <w:lastRenderedPageBreak/>
        <w:t>pone de manifiesto el compromiso de los educadores del Estado de Qatar para que los alumnos adquieran estos conceptos de forma sistemática y didáctica</w:t>
      </w:r>
      <w:r w:rsidR="00083383" w:rsidRPr="00D43575">
        <w:t>.</w:t>
      </w:r>
    </w:p>
    <w:p w14:paraId="30371EA4" w14:textId="5CA39B7E" w:rsidR="008D2F10" w:rsidRPr="00D43575" w:rsidRDefault="008D2F10" w:rsidP="001D1AD0">
      <w:pPr>
        <w:pStyle w:val="SingleTxt"/>
        <w:numPr>
          <w:ilvl w:val="0"/>
          <w:numId w:val="10"/>
        </w:numPr>
        <w:ind w:left="1267" w:firstLine="0"/>
      </w:pPr>
      <w:r w:rsidRPr="00D43575">
        <w:t>El sistema de evaluación y exámenes del Estado de Qatar se basa en el principio de la igualdad de género e incluye las políticas y directrices para la evaluación de los alumnos; los horarios y las fechas de los exámenes; los criterios de los exámenes de enseñanza primaria, los exámenes para obtener los títulos de educación secundaria y los exámenes a nivel nacional; los procedimientos para la</w:t>
      </w:r>
      <w:r w:rsidR="00083383" w:rsidRPr="00D43575">
        <w:t xml:space="preserve"> </w:t>
      </w:r>
      <w:r w:rsidRPr="00D43575">
        <w:t>calificación de los exámenes; la presentación de los resultados; y la emisión de</w:t>
      </w:r>
      <w:r w:rsidR="00083383" w:rsidRPr="00D43575">
        <w:t xml:space="preserve"> </w:t>
      </w:r>
      <w:r w:rsidRPr="00D43575">
        <w:t>los</w:t>
      </w:r>
      <w:r w:rsidR="00083383" w:rsidRPr="00D43575">
        <w:t xml:space="preserve"> </w:t>
      </w:r>
      <w:r w:rsidRPr="00D43575">
        <w:t>títulos</w:t>
      </w:r>
      <w:r w:rsidR="00083383" w:rsidRPr="00D43575">
        <w:t>.</w:t>
      </w:r>
    </w:p>
    <w:p w14:paraId="4D9F5152" w14:textId="140AB9E8" w:rsidR="008D2F10" w:rsidRPr="00D43575" w:rsidRDefault="008D2F10" w:rsidP="001D1AD0">
      <w:pPr>
        <w:pStyle w:val="SingleTxt"/>
        <w:numPr>
          <w:ilvl w:val="0"/>
          <w:numId w:val="10"/>
        </w:numPr>
        <w:ind w:left="1267" w:firstLine="0"/>
      </w:pPr>
      <w:r w:rsidRPr="00D43575">
        <w:t>En lo que respecta a la estructura educativa, el Estado de Qatar concede una gran importancia a apoyar a los centros públicos para ambos sexos que reúnen los más altos requisitos mundiales, en consonancia con las necesidades de aprendizaje de los estudiantes sin discriminación</w:t>
      </w:r>
      <w:r w:rsidR="00083383" w:rsidRPr="00D43575">
        <w:t>.</w:t>
      </w:r>
      <w:r w:rsidRPr="00D43575">
        <w:t xml:space="preserve"> De ello da fe el porcentaje de centros femeninos, según muestra el cuadro 9, que alcanza prácticamente la misma cifra que los centros públicos para niños</w:t>
      </w:r>
      <w:r w:rsidR="00083383" w:rsidRPr="00D43575">
        <w:t>.</w:t>
      </w:r>
    </w:p>
    <w:p w14:paraId="3C4DAF17" w14:textId="35756D70" w:rsidR="008D2F10" w:rsidRPr="00D43575" w:rsidRDefault="008D2F10" w:rsidP="00083383">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660"/>
        <w:rPr>
          <w:bCs w:val="0"/>
          <w:szCs w:val="20"/>
        </w:rPr>
      </w:pPr>
      <w:r w:rsidRPr="00D43575">
        <w:rPr>
          <w:bCs w:val="0"/>
          <w:szCs w:val="20"/>
        </w:rPr>
        <w:tab/>
      </w:r>
      <w:r w:rsidRPr="00D43575">
        <w:rPr>
          <w:bCs w:val="0"/>
          <w:szCs w:val="20"/>
        </w:rPr>
        <w:tab/>
      </w:r>
      <w:r w:rsidR="003771A9">
        <w:rPr>
          <w:b w:val="0"/>
          <w:bCs w:val="0"/>
          <w:szCs w:val="20"/>
        </w:rPr>
        <w:t>Cuadro 9</w:t>
      </w:r>
      <w:r w:rsidR="00C92276" w:rsidRPr="00D43575">
        <w:rPr>
          <w:b w:val="0"/>
          <w:bCs w:val="0"/>
          <w:szCs w:val="20"/>
        </w:rPr>
        <w:t xml:space="preserve"> </w:t>
      </w:r>
      <w:r w:rsidR="00C92276" w:rsidRPr="00D43575">
        <w:rPr>
          <w:b w:val="0"/>
          <w:bCs w:val="0"/>
          <w:szCs w:val="20"/>
        </w:rPr>
        <w:br/>
      </w:r>
      <w:r w:rsidRPr="00D43575">
        <w:rPr>
          <w:bCs w:val="0"/>
          <w:szCs w:val="20"/>
        </w:rPr>
        <w:t>Porcentaje de centros femeninos en comparación con los centros masculinos en el</w:t>
      </w:r>
      <w:r w:rsidR="00083383" w:rsidRPr="00D43575">
        <w:rPr>
          <w:bCs w:val="0"/>
          <w:szCs w:val="20"/>
        </w:rPr>
        <w:t xml:space="preserve"> </w:t>
      </w:r>
      <w:r w:rsidRPr="00D43575">
        <w:rPr>
          <w:bCs w:val="0"/>
          <w:szCs w:val="20"/>
        </w:rPr>
        <w:t>Estado de Qatar</w:t>
      </w:r>
    </w:p>
    <w:p w14:paraId="0B42C798" w14:textId="77777777" w:rsidR="008D2F10" w:rsidRPr="00D43575" w:rsidRDefault="008D2F10" w:rsidP="008D2F1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30"/>
        <w:gridCol w:w="1800"/>
        <w:gridCol w:w="1800"/>
        <w:gridCol w:w="2160"/>
      </w:tblGrid>
      <w:tr w:rsidR="008D2F10" w:rsidRPr="00D43575" w14:paraId="0C29F7B5" w14:textId="77777777" w:rsidTr="00BD7BE9">
        <w:trPr>
          <w:tblHeader/>
        </w:trPr>
        <w:tc>
          <w:tcPr>
            <w:tcW w:w="1530" w:type="dxa"/>
            <w:tcBorders>
              <w:top w:val="single" w:sz="4" w:space="0" w:color="auto"/>
            </w:tcBorders>
            <w:shd w:val="clear" w:color="auto" w:fill="auto"/>
            <w:vAlign w:val="bottom"/>
          </w:tcPr>
          <w:p w14:paraId="1BEFDB93" w14:textId="77777777" w:rsidR="008D2F10" w:rsidRPr="00D43575" w:rsidRDefault="008D2F10" w:rsidP="00EB2EB8">
            <w:pPr>
              <w:pStyle w:val="SingleTxt"/>
              <w:spacing w:before="80" w:after="80" w:line="160" w:lineRule="exact"/>
              <w:ind w:left="11" w:right="43"/>
              <w:jc w:val="left"/>
              <w:rPr>
                <w:i/>
                <w:iCs/>
                <w:sz w:val="14"/>
              </w:rPr>
            </w:pPr>
          </w:p>
        </w:tc>
        <w:tc>
          <w:tcPr>
            <w:tcW w:w="5760" w:type="dxa"/>
            <w:gridSpan w:val="3"/>
            <w:tcBorders>
              <w:top w:val="single" w:sz="4" w:space="0" w:color="auto"/>
              <w:bottom w:val="single" w:sz="4" w:space="0" w:color="auto"/>
            </w:tcBorders>
            <w:shd w:val="clear" w:color="auto" w:fill="auto"/>
            <w:vAlign w:val="bottom"/>
          </w:tcPr>
          <w:p w14:paraId="5BC76992" w14:textId="77777777" w:rsidR="008D2F10" w:rsidRPr="00D43575" w:rsidRDefault="008D2F10" w:rsidP="00EB2EB8">
            <w:pPr>
              <w:pStyle w:val="SingleTxt"/>
              <w:spacing w:before="80" w:after="80" w:line="160" w:lineRule="exact"/>
              <w:ind w:left="144" w:right="43"/>
              <w:jc w:val="center"/>
              <w:rPr>
                <w:i/>
                <w:iCs/>
                <w:sz w:val="14"/>
              </w:rPr>
            </w:pPr>
            <w:r w:rsidRPr="00D43575">
              <w:rPr>
                <w:i/>
                <w:iCs/>
                <w:sz w:val="14"/>
              </w:rPr>
              <w:t>Centros públicos</w:t>
            </w:r>
          </w:p>
        </w:tc>
      </w:tr>
      <w:tr w:rsidR="008D2F10" w:rsidRPr="00D43575" w14:paraId="1B7E90A2" w14:textId="77777777" w:rsidTr="00BD7BE9">
        <w:trPr>
          <w:tblHeader/>
        </w:trPr>
        <w:tc>
          <w:tcPr>
            <w:tcW w:w="1530" w:type="dxa"/>
            <w:tcBorders>
              <w:bottom w:val="single" w:sz="12" w:space="0" w:color="auto"/>
            </w:tcBorders>
            <w:shd w:val="clear" w:color="auto" w:fill="auto"/>
            <w:vAlign w:val="bottom"/>
          </w:tcPr>
          <w:p w14:paraId="4110A349" w14:textId="77777777" w:rsidR="008D2F10" w:rsidRPr="00D43575" w:rsidRDefault="008D2F10" w:rsidP="00EB2EB8">
            <w:pPr>
              <w:pStyle w:val="SingleTxt"/>
              <w:spacing w:before="80" w:after="80" w:line="160" w:lineRule="exact"/>
              <w:ind w:left="11" w:right="43"/>
              <w:jc w:val="left"/>
              <w:rPr>
                <w:i/>
                <w:iCs/>
                <w:sz w:val="14"/>
              </w:rPr>
            </w:pPr>
            <w:r w:rsidRPr="00D43575">
              <w:rPr>
                <w:i/>
                <w:iCs/>
                <w:sz w:val="14"/>
              </w:rPr>
              <w:t>Curso académico</w:t>
            </w:r>
          </w:p>
        </w:tc>
        <w:tc>
          <w:tcPr>
            <w:tcW w:w="1800" w:type="dxa"/>
            <w:tcBorders>
              <w:top w:val="single" w:sz="4" w:space="0" w:color="auto"/>
              <w:bottom w:val="single" w:sz="12" w:space="0" w:color="auto"/>
            </w:tcBorders>
            <w:shd w:val="clear" w:color="auto" w:fill="auto"/>
            <w:vAlign w:val="bottom"/>
          </w:tcPr>
          <w:p w14:paraId="3654FAC4" w14:textId="77777777" w:rsidR="008D2F10" w:rsidRPr="00D43575" w:rsidRDefault="008D2F10" w:rsidP="00EB2EB8">
            <w:pPr>
              <w:pStyle w:val="SingleTxt"/>
              <w:spacing w:before="80" w:after="80" w:line="160" w:lineRule="exact"/>
              <w:ind w:left="63" w:right="43"/>
              <w:jc w:val="right"/>
              <w:rPr>
                <w:i/>
                <w:iCs/>
                <w:sz w:val="14"/>
              </w:rPr>
            </w:pPr>
            <w:r w:rsidRPr="00D43575">
              <w:rPr>
                <w:i/>
                <w:iCs/>
                <w:sz w:val="14"/>
              </w:rPr>
              <w:t>Niñas</w:t>
            </w:r>
          </w:p>
        </w:tc>
        <w:tc>
          <w:tcPr>
            <w:tcW w:w="1800" w:type="dxa"/>
            <w:tcBorders>
              <w:top w:val="single" w:sz="4" w:space="0" w:color="auto"/>
              <w:bottom w:val="single" w:sz="12" w:space="0" w:color="auto"/>
            </w:tcBorders>
            <w:shd w:val="clear" w:color="auto" w:fill="auto"/>
            <w:vAlign w:val="bottom"/>
          </w:tcPr>
          <w:p w14:paraId="75250379" w14:textId="77777777" w:rsidR="008D2F10" w:rsidRPr="00D43575" w:rsidRDefault="008D2F10" w:rsidP="00EB2EB8">
            <w:pPr>
              <w:pStyle w:val="SingleTxt"/>
              <w:spacing w:before="80" w:after="80" w:line="160" w:lineRule="exact"/>
              <w:ind w:left="63" w:right="43"/>
              <w:jc w:val="right"/>
              <w:rPr>
                <w:i/>
                <w:iCs/>
                <w:sz w:val="14"/>
              </w:rPr>
            </w:pPr>
            <w:r w:rsidRPr="00D43575">
              <w:rPr>
                <w:i/>
                <w:iCs/>
                <w:sz w:val="14"/>
              </w:rPr>
              <w:t>Niños</w:t>
            </w:r>
          </w:p>
        </w:tc>
        <w:tc>
          <w:tcPr>
            <w:tcW w:w="2160" w:type="dxa"/>
            <w:tcBorders>
              <w:top w:val="single" w:sz="4" w:space="0" w:color="auto"/>
              <w:bottom w:val="single" w:sz="12" w:space="0" w:color="auto"/>
            </w:tcBorders>
            <w:shd w:val="clear" w:color="auto" w:fill="auto"/>
            <w:vAlign w:val="bottom"/>
          </w:tcPr>
          <w:p w14:paraId="280323BB" w14:textId="77777777" w:rsidR="008D2F10" w:rsidRPr="00D43575" w:rsidRDefault="008D2F10" w:rsidP="00EB2EB8">
            <w:pPr>
              <w:pStyle w:val="SingleTxt"/>
              <w:spacing w:before="80" w:after="80" w:line="160" w:lineRule="exact"/>
              <w:ind w:left="63" w:right="43"/>
              <w:jc w:val="right"/>
              <w:rPr>
                <w:i/>
                <w:iCs/>
                <w:sz w:val="14"/>
              </w:rPr>
            </w:pPr>
            <w:r w:rsidRPr="00D43575">
              <w:rPr>
                <w:i/>
                <w:iCs/>
                <w:sz w:val="14"/>
              </w:rPr>
              <w:t>Porcentaje de centros femeninos</w:t>
            </w:r>
          </w:p>
        </w:tc>
      </w:tr>
      <w:tr w:rsidR="008D2F10" w:rsidRPr="00D43575" w14:paraId="581983FB" w14:textId="77777777" w:rsidTr="00BD7BE9">
        <w:trPr>
          <w:trHeight w:hRule="exact" w:val="115"/>
          <w:tblHeader/>
        </w:trPr>
        <w:tc>
          <w:tcPr>
            <w:tcW w:w="1530" w:type="dxa"/>
            <w:tcBorders>
              <w:top w:val="single" w:sz="12" w:space="0" w:color="auto"/>
            </w:tcBorders>
            <w:shd w:val="clear" w:color="auto" w:fill="auto"/>
            <w:vAlign w:val="bottom"/>
          </w:tcPr>
          <w:p w14:paraId="617F4634" w14:textId="77777777" w:rsidR="008D2F10" w:rsidRPr="00D43575" w:rsidRDefault="008D2F10" w:rsidP="00BD7BE9">
            <w:pPr>
              <w:tabs>
                <w:tab w:val="left" w:pos="288"/>
                <w:tab w:val="left" w:pos="576"/>
                <w:tab w:val="left" w:pos="864"/>
                <w:tab w:val="left" w:pos="1152"/>
              </w:tabs>
              <w:spacing w:before="40" w:after="40" w:line="210" w:lineRule="exact"/>
              <w:ind w:right="43"/>
              <w:rPr>
                <w:sz w:val="17"/>
              </w:rPr>
            </w:pPr>
          </w:p>
        </w:tc>
        <w:tc>
          <w:tcPr>
            <w:tcW w:w="1800" w:type="dxa"/>
            <w:tcBorders>
              <w:top w:val="single" w:sz="12" w:space="0" w:color="auto"/>
            </w:tcBorders>
            <w:shd w:val="clear" w:color="auto" w:fill="auto"/>
            <w:vAlign w:val="bottom"/>
          </w:tcPr>
          <w:p w14:paraId="6AB5314C" w14:textId="77777777" w:rsidR="008D2F10" w:rsidRPr="00D43575" w:rsidRDefault="008D2F10" w:rsidP="00BD7BE9">
            <w:pPr>
              <w:tabs>
                <w:tab w:val="left" w:pos="288"/>
                <w:tab w:val="left" w:pos="576"/>
                <w:tab w:val="left" w:pos="864"/>
                <w:tab w:val="left" w:pos="1152"/>
              </w:tabs>
              <w:spacing w:before="40" w:after="40" w:line="210" w:lineRule="exact"/>
              <w:ind w:right="43"/>
              <w:jc w:val="right"/>
              <w:rPr>
                <w:sz w:val="17"/>
              </w:rPr>
            </w:pPr>
          </w:p>
        </w:tc>
        <w:tc>
          <w:tcPr>
            <w:tcW w:w="1800" w:type="dxa"/>
            <w:tcBorders>
              <w:top w:val="single" w:sz="12" w:space="0" w:color="auto"/>
            </w:tcBorders>
            <w:shd w:val="clear" w:color="auto" w:fill="auto"/>
            <w:vAlign w:val="bottom"/>
          </w:tcPr>
          <w:p w14:paraId="44312CD7" w14:textId="77777777" w:rsidR="008D2F10" w:rsidRPr="00D43575" w:rsidRDefault="008D2F10" w:rsidP="00BD7BE9">
            <w:pPr>
              <w:tabs>
                <w:tab w:val="left" w:pos="288"/>
                <w:tab w:val="left" w:pos="576"/>
                <w:tab w:val="left" w:pos="864"/>
                <w:tab w:val="left" w:pos="1152"/>
              </w:tabs>
              <w:spacing w:before="40" w:after="40" w:line="210" w:lineRule="exact"/>
              <w:ind w:right="43"/>
              <w:jc w:val="right"/>
              <w:rPr>
                <w:sz w:val="17"/>
              </w:rPr>
            </w:pPr>
          </w:p>
        </w:tc>
        <w:tc>
          <w:tcPr>
            <w:tcW w:w="2160" w:type="dxa"/>
            <w:tcBorders>
              <w:top w:val="single" w:sz="12" w:space="0" w:color="auto"/>
            </w:tcBorders>
            <w:shd w:val="clear" w:color="auto" w:fill="auto"/>
            <w:vAlign w:val="bottom"/>
          </w:tcPr>
          <w:p w14:paraId="2D921417" w14:textId="77777777" w:rsidR="008D2F10" w:rsidRPr="00D43575" w:rsidRDefault="008D2F10" w:rsidP="00BD7BE9">
            <w:pPr>
              <w:tabs>
                <w:tab w:val="left" w:pos="288"/>
                <w:tab w:val="left" w:pos="576"/>
                <w:tab w:val="left" w:pos="864"/>
                <w:tab w:val="left" w:pos="1152"/>
              </w:tabs>
              <w:spacing w:before="40" w:after="40" w:line="210" w:lineRule="exact"/>
              <w:ind w:right="43"/>
              <w:jc w:val="right"/>
              <w:rPr>
                <w:sz w:val="17"/>
              </w:rPr>
            </w:pPr>
          </w:p>
        </w:tc>
      </w:tr>
      <w:tr w:rsidR="008D2F10" w:rsidRPr="00D43575" w14:paraId="4DCA918B" w14:textId="77777777" w:rsidTr="00BD7BE9">
        <w:tc>
          <w:tcPr>
            <w:tcW w:w="1530" w:type="dxa"/>
            <w:shd w:val="clear" w:color="auto" w:fill="auto"/>
            <w:vAlign w:val="bottom"/>
          </w:tcPr>
          <w:p w14:paraId="65E914EA" w14:textId="77777777" w:rsidR="008D2F10" w:rsidRPr="00D43575" w:rsidRDefault="008D2F10" w:rsidP="00EB2E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2015/2016</w:t>
            </w:r>
          </w:p>
        </w:tc>
        <w:tc>
          <w:tcPr>
            <w:tcW w:w="1800" w:type="dxa"/>
            <w:shd w:val="clear" w:color="auto" w:fill="auto"/>
            <w:vAlign w:val="bottom"/>
          </w:tcPr>
          <w:p w14:paraId="39D441F4" w14:textId="77777777" w:rsidR="008D2F10" w:rsidRPr="00D43575" w:rsidRDefault="008D2F10" w:rsidP="00EB2E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93</w:t>
            </w:r>
          </w:p>
        </w:tc>
        <w:tc>
          <w:tcPr>
            <w:tcW w:w="1800" w:type="dxa"/>
            <w:shd w:val="clear" w:color="auto" w:fill="auto"/>
            <w:vAlign w:val="bottom"/>
          </w:tcPr>
          <w:p w14:paraId="1EF30B87" w14:textId="77777777" w:rsidR="008D2F10" w:rsidRPr="00D43575" w:rsidRDefault="008D2F10" w:rsidP="00EB2E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96</w:t>
            </w:r>
          </w:p>
        </w:tc>
        <w:tc>
          <w:tcPr>
            <w:tcW w:w="2160" w:type="dxa"/>
            <w:shd w:val="clear" w:color="auto" w:fill="auto"/>
            <w:vAlign w:val="bottom"/>
          </w:tcPr>
          <w:p w14:paraId="6D0E045F" w14:textId="77777777" w:rsidR="008D2F10" w:rsidRPr="00D43575" w:rsidRDefault="008D2F10" w:rsidP="00EB2E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49,2</w:t>
            </w:r>
          </w:p>
        </w:tc>
      </w:tr>
      <w:tr w:rsidR="008D2F10" w:rsidRPr="00D43575" w14:paraId="0C2AE480" w14:textId="77777777" w:rsidTr="00BD7BE9">
        <w:tc>
          <w:tcPr>
            <w:tcW w:w="1530" w:type="dxa"/>
            <w:shd w:val="clear" w:color="auto" w:fill="auto"/>
            <w:vAlign w:val="bottom"/>
          </w:tcPr>
          <w:p w14:paraId="6F3E6406" w14:textId="77777777" w:rsidR="008D2F10" w:rsidRPr="00D43575" w:rsidRDefault="008D2F10" w:rsidP="00EB2E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2014/2015</w:t>
            </w:r>
          </w:p>
        </w:tc>
        <w:tc>
          <w:tcPr>
            <w:tcW w:w="1800" w:type="dxa"/>
            <w:shd w:val="clear" w:color="auto" w:fill="auto"/>
            <w:vAlign w:val="bottom"/>
          </w:tcPr>
          <w:p w14:paraId="479034E9" w14:textId="77777777" w:rsidR="008D2F10" w:rsidRPr="00D43575" w:rsidRDefault="008D2F10" w:rsidP="00EB2E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89</w:t>
            </w:r>
          </w:p>
        </w:tc>
        <w:tc>
          <w:tcPr>
            <w:tcW w:w="1800" w:type="dxa"/>
            <w:shd w:val="clear" w:color="auto" w:fill="auto"/>
            <w:vAlign w:val="bottom"/>
          </w:tcPr>
          <w:p w14:paraId="024ABCDE" w14:textId="77777777" w:rsidR="008D2F10" w:rsidRPr="00D43575" w:rsidRDefault="008D2F10" w:rsidP="00EB2E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90</w:t>
            </w:r>
          </w:p>
        </w:tc>
        <w:tc>
          <w:tcPr>
            <w:tcW w:w="2160" w:type="dxa"/>
            <w:shd w:val="clear" w:color="auto" w:fill="auto"/>
            <w:vAlign w:val="bottom"/>
          </w:tcPr>
          <w:p w14:paraId="083C4B8C" w14:textId="77777777" w:rsidR="008D2F10" w:rsidRPr="00D43575" w:rsidRDefault="008D2F10" w:rsidP="00EB2E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49,7</w:t>
            </w:r>
          </w:p>
        </w:tc>
      </w:tr>
      <w:tr w:rsidR="008D2F10" w:rsidRPr="00D43575" w14:paraId="0E8CF756" w14:textId="77777777" w:rsidTr="00BD7BE9">
        <w:tc>
          <w:tcPr>
            <w:tcW w:w="1530" w:type="dxa"/>
            <w:shd w:val="clear" w:color="auto" w:fill="auto"/>
            <w:vAlign w:val="bottom"/>
          </w:tcPr>
          <w:p w14:paraId="648CB42B" w14:textId="77777777" w:rsidR="008D2F10" w:rsidRPr="00D43575" w:rsidRDefault="008D2F10" w:rsidP="00EB2E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2013/2014</w:t>
            </w:r>
          </w:p>
        </w:tc>
        <w:tc>
          <w:tcPr>
            <w:tcW w:w="1800" w:type="dxa"/>
            <w:shd w:val="clear" w:color="auto" w:fill="auto"/>
            <w:vAlign w:val="bottom"/>
          </w:tcPr>
          <w:p w14:paraId="04E8B09E" w14:textId="77777777" w:rsidR="008D2F10" w:rsidRPr="00D43575" w:rsidRDefault="008D2F10" w:rsidP="00EB2E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87</w:t>
            </w:r>
          </w:p>
        </w:tc>
        <w:tc>
          <w:tcPr>
            <w:tcW w:w="1800" w:type="dxa"/>
            <w:shd w:val="clear" w:color="auto" w:fill="auto"/>
            <w:vAlign w:val="bottom"/>
          </w:tcPr>
          <w:p w14:paraId="6DCC458F" w14:textId="77777777" w:rsidR="008D2F10" w:rsidRPr="00D43575" w:rsidRDefault="008D2F10" w:rsidP="00EB2E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87</w:t>
            </w:r>
          </w:p>
        </w:tc>
        <w:tc>
          <w:tcPr>
            <w:tcW w:w="2160" w:type="dxa"/>
            <w:shd w:val="clear" w:color="auto" w:fill="auto"/>
            <w:vAlign w:val="bottom"/>
          </w:tcPr>
          <w:p w14:paraId="50956693" w14:textId="77777777" w:rsidR="008D2F10" w:rsidRPr="00D43575" w:rsidRDefault="008D2F10" w:rsidP="00EB2E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50</w:t>
            </w:r>
          </w:p>
        </w:tc>
      </w:tr>
      <w:tr w:rsidR="008D2F10" w:rsidRPr="00D43575" w14:paraId="3ACF334D" w14:textId="77777777" w:rsidTr="00BD7BE9">
        <w:tc>
          <w:tcPr>
            <w:tcW w:w="1530" w:type="dxa"/>
            <w:tcBorders>
              <w:bottom w:val="single" w:sz="12" w:space="0" w:color="auto"/>
            </w:tcBorders>
            <w:shd w:val="clear" w:color="auto" w:fill="auto"/>
            <w:vAlign w:val="bottom"/>
          </w:tcPr>
          <w:p w14:paraId="50F9613A" w14:textId="77777777" w:rsidR="008D2F10" w:rsidRPr="00D43575" w:rsidRDefault="008D2F10" w:rsidP="00EB2E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2012/2013</w:t>
            </w:r>
          </w:p>
        </w:tc>
        <w:tc>
          <w:tcPr>
            <w:tcW w:w="1800" w:type="dxa"/>
            <w:tcBorders>
              <w:bottom w:val="single" w:sz="12" w:space="0" w:color="auto"/>
            </w:tcBorders>
            <w:shd w:val="clear" w:color="auto" w:fill="auto"/>
            <w:vAlign w:val="bottom"/>
          </w:tcPr>
          <w:p w14:paraId="0A13D6C0" w14:textId="77777777" w:rsidR="008D2F10" w:rsidRPr="00D43575" w:rsidRDefault="008D2F10" w:rsidP="00EB2E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88</w:t>
            </w:r>
          </w:p>
        </w:tc>
        <w:tc>
          <w:tcPr>
            <w:tcW w:w="1800" w:type="dxa"/>
            <w:tcBorders>
              <w:bottom w:val="single" w:sz="12" w:space="0" w:color="auto"/>
            </w:tcBorders>
            <w:shd w:val="clear" w:color="auto" w:fill="auto"/>
            <w:vAlign w:val="bottom"/>
          </w:tcPr>
          <w:p w14:paraId="36222DB6" w14:textId="77777777" w:rsidR="008D2F10" w:rsidRPr="00D43575" w:rsidRDefault="008D2F10" w:rsidP="00EB2E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90</w:t>
            </w:r>
          </w:p>
        </w:tc>
        <w:tc>
          <w:tcPr>
            <w:tcW w:w="2160" w:type="dxa"/>
            <w:tcBorders>
              <w:bottom w:val="single" w:sz="12" w:space="0" w:color="auto"/>
            </w:tcBorders>
            <w:shd w:val="clear" w:color="auto" w:fill="auto"/>
            <w:vAlign w:val="bottom"/>
          </w:tcPr>
          <w:p w14:paraId="58406E2A" w14:textId="77777777" w:rsidR="008D2F10" w:rsidRPr="00D43575" w:rsidRDefault="008D2F10" w:rsidP="00EB2EB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49</w:t>
            </w:r>
          </w:p>
        </w:tc>
      </w:tr>
    </w:tbl>
    <w:p w14:paraId="39EFD5FB" w14:textId="77777777" w:rsidR="008D2F10" w:rsidRPr="00D43575" w:rsidRDefault="008D2F10" w:rsidP="008D2F10">
      <w:pPr>
        <w:pStyle w:val="SingleTxt"/>
        <w:spacing w:after="0" w:line="120" w:lineRule="exact"/>
        <w:rPr>
          <w:sz w:val="10"/>
        </w:rPr>
      </w:pPr>
    </w:p>
    <w:p w14:paraId="40F0E330" w14:textId="34184B67" w:rsidR="008D2F10"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Estado de Qatar, Ministerio de Educación y Enseñanza Superior, Departamento de Investigaciones y Políticas Educativas, División de Estadística, 2017</w:t>
      </w:r>
      <w:r w:rsidR="00083383" w:rsidRPr="00D43575">
        <w:rPr>
          <w:rFonts w:eastAsiaTheme="minorHAnsi"/>
          <w:iCs/>
          <w:w w:val="103"/>
          <w:kern w:val="14"/>
          <w:szCs w:val="20"/>
        </w:rPr>
        <w:t>.</w:t>
      </w:r>
    </w:p>
    <w:p w14:paraId="74487C94" w14:textId="77777777" w:rsidR="008D2F10" w:rsidRPr="00D43575" w:rsidRDefault="008D2F10" w:rsidP="00267943">
      <w:pPr>
        <w:pStyle w:val="SingleTxt"/>
        <w:spacing w:after="0" w:line="120" w:lineRule="exact"/>
        <w:rPr>
          <w:sz w:val="10"/>
        </w:rPr>
      </w:pPr>
    </w:p>
    <w:p w14:paraId="1BE0394C" w14:textId="77777777" w:rsidR="008D2F10" w:rsidRPr="00D43575" w:rsidRDefault="008D2F10" w:rsidP="00267943">
      <w:pPr>
        <w:pStyle w:val="SingleTxt"/>
        <w:spacing w:after="0" w:line="120" w:lineRule="exact"/>
        <w:rPr>
          <w:sz w:val="10"/>
        </w:rPr>
      </w:pPr>
    </w:p>
    <w:p w14:paraId="0402D215" w14:textId="2C3BE656" w:rsidR="008D2F10" w:rsidRPr="00D43575" w:rsidRDefault="008D2F10" w:rsidP="001D1AD0">
      <w:pPr>
        <w:pStyle w:val="SingleTxt"/>
        <w:numPr>
          <w:ilvl w:val="0"/>
          <w:numId w:val="10"/>
        </w:numPr>
        <w:ind w:left="1267" w:firstLine="0"/>
      </w:pPr>
      <w:r w:rsidRPr="00D43575">
        <w:t>La política del Estado de Qatar en materia de becas se caracteriza por la igualdad y la transparencia</w:t>
      </w:r>
      <w:r w:rsidR="00083383" w:rsidRPr="00D43575">
        <w:t>.</w:t>
      </w:r>
      <w:r w:rsidRPr="00D43575">
        <w:t xml:space="preserve"> No existe discriminación entre los alumnos en lo que al acceso a las becas y la elección del campo de estudio se refiere</w:t>
      </w:r>
      <w:r w:rsidR="00083383" w:rsidRPr="00D43575">
        <w:t>.</w:t>
      </w:r>
      <w:r w:rsidRPr="00D43575">
        <w:t xml:space="preserve"> Al contrario, se alienta tanto a hombres como a mujeres a que se matriculen en todas las disciplinas, de acuerdo con las necesidades del Estado y las preferencias y el talento propios</w:t>
      </w:r>
      <w:r w:rsidR="00083383" w:rsidRPr="00D43575">
        <w:t>.</w:t>
      </w:r>
      <w:r w:rsidRPr="00D43575">
        <w:t xml:space="preserve"> En</w:t>
      </w:r>
      <w:r w:rsidR="00083383" w:rsidRPr="00D43575">
        <w:t xml:space="preserve"> </w:t>
      </w:r>
      <w:r w:rsidRPr="00D43575">
        <w:t>lo que respecta a las becas, en determinados campos de estudio se dedica más</w:t>
      </w:r>
      <w:r w:rsidR="00083383" w:rsidRPr="00D43575">
        <w:t xml:space="preserve"> </w:t>
      </w:r>
      <w:r w:rsidRPr="00D43575">
        <w:t>atención a las necesidades del mercado de trabajo y no se tiene en cuenta el sexo del solicitante</w:t>
      </w:r>
      <w:r w:rsidR="00083383" w:rsidRPr="00D43575">
        <w:t>.</w:t>
      </w:r>
    </w:p>
    <w:p w14:paraId="7B422F51" w14:textId="119830D2" w:rsidR="00A9150C" w:rsidRPr="00D43575" w:rsidRDefault="008D2F10" w:rsidP="001D1AD0">
      <w:pPr>
        <w:pStyle w:val="SingleTxt"/>
        <w:numPr>
          <w:ilvl w:val="0"/>
          <w:numId w:val="10"/>
        </w:numPr>
        <w:ind w:left="1267" w:firstLine="0"/>
      </w:pPr>
      <w:r w:rsidRPr="00D43575">
        <w:t>En el cuadro 10 figuran estadísticas sobre el número de estudiantes becados por sexo y año de concesión durante los cinco últimos años</w:t>
      </w:r>
      <w:r w:rsidR="00083383" w:rsidRPr="00D43575">
        <w:t>.</w:t>
      </w:r>
      <w:r w:rsidRPr="00D43575">
        <w:t xml:space="preserve"> De estos datos se desprende claramente que el porcentaje de mujeres que reciben becas para estudiar en el extranjero ha sido elevado y casi ha alcanzado el porcentaje de estudiantes varones becados, especialmente en el curso académico 2017</w:t>
      </w:r>
      <w:r w:rsidR="00083383" w:rsidRPr="00D43575">
        <w:noBreakHyphen/>
      </w:r>
      <w:r w:rsidRPr="00D43575">
        <w:t>2018, que es el año más reciente del que se dispone de estadísticas</w:t>
      </w:r>
      <w:r w:rsidR="00083383" w:rsidRPr="00D43575">
        <w:t>.</w:t>
      </w:r>
    </w:p>
    <w:p w14:paraId="6B71A3DE" w14:textId="77777777" w:rsidR="00A9150C" w:rsidRPr="00D43575" w:rsidRDefault="00A9150C">
      <w:pPr>
        <w:suppressAutoHyphens w:val="0"/>
        <w:spacing w:line="240" w:lineRule="auto"/>
        <w:rPr>
          <w:kern w:val="14"/>
        </w:rPr>
      </w:pPr>
      <w:r w:rsidRPr="00D43575">
        <w:br w:type="page"/>
      </w:r>
    </w:p>
    <w:p w14:paraId="5FA77853" w14:textId="423CE6DE"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lastRenderedPageBreak/>
        <w:tab/>
      </w:r>
      <w:r w:rsidRPr="00D43575">
        <w:rPr>
          <w:bCs w:val="0"/>
          <w:szCs w:val="20"/>
        </w:rPr>
        <w:tab/>
      </w:r>
      <w:r w:rsidR="003771A9">
        <w:rPr>
          <w:b w:val="0"/>
          <w:bCs w:val="0"/>
          <w:szCs w:val="20"/>
        </w:rPr>
        <w:t>Cuadro 10</w:t>
      </w:r>
      <w:r w:rsidR="00C92276" w:rsidRPr="00D43575">
        <w:rPr>
          <w:b w:val="0"/>
          <w:bCs w:val="0"/>
          <w:szCs w:val="20"/>
        </w:rPr>
        <w:t xml:space="preserve"> </w:t>
      </w:r>
      <w:r w:rsidR="00C92276" w:rsidRPr="00D43575">
        <w:rPr>
          <w:b w:val="0"/>
          <w:bCs w:val="0"/>
          <w:szCs w:val="20"/>
        </w:rPr>
        <w:br/>
      </w:r>
      <w:r w:rsidRPr="00D43575">
        <w:rPr>
          <w:bCs w:val="0"/>
          <w:szCs w:val="20"/>
        </w:rPr>
        <w:t>Estadísticas sobre el número de estudiantes becados por sexo y año de concesión en los últimos cinco años</w:t>
      </w:r>
    </w:p>
    <w:p w14:paraId="36BFF40D" w14:textId="77777777" w:rsidR="008D2F10" w:rsidRPr="00D43575" w:rsidRDefault="008D2F10" w:rsidP="008A61A8">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72"/>
        <w:gridCol w:w="1464"/>
        <w:gridCol w:w="1464"/>
        <w:gridCol w:w="1260"/>
        <w:gridCol w:w="1602"/>
      </w:tblGrid>
      <w:tr w:rsidR="008D2F10" w:rsidRPr="00D43575" w14:paraId="2245FFAF" w14:textId="77777777" w:rsidTr="00BD7BE9">
        <w:trPr>
          <w:tblHeader/>
        </w:trPr>
        <w:tc>
          <w:tcPr>
            <w:tcW w:w="1572" w:type="dxa"/>
            <w:tcBorders>
              <w:top w:val="single" w:sz="4" w:space="0" w:color="auto"/>
              <w:bottom w:val="single" w:sz="12" w:space="0" w:color="auto"/>
            </w:tcBorders>
            <w:shd w:val="clear" w:color="auto" w:fill="auto"/>
            <w:vAlign w:val="bottom"/>
          </w:tcPr>
          <w:p w14:paraId="7D025FC6" w14:textId="77777777" w:rsidR="008D2F10" w:rsidRPr="00D43575" w:rsidRDefault="008D2F10" w:rsidP="006E5E6B">
            <w:pPr>
              <w:pStyle w:val="SingleTxt"/>
              <w:spacing w:before="80" w:after="80" w:line="160" w:lineRule="exact"/>
              <w:ind w:left="11" w:right="43"/>
              <w:jc w:val="left"/>
              <w:rPr>
                <w:i/>
                <w:iCs/>
                <w:sz w:val="14"/>
              </w:rPr>
            </w:pPr>
            <w:r w:rsidRPr="00D43575">
              <w:rPr>
                <w:i/>
                <w:iCs/>
                <w:sz w:val="14"/>
              </w:rPr>
              <w:t>Curso académico</w:t>
            </w:r>
          </w:p>
        </w:tc>
        <w:tc>
          <w:tcPr>
            <w:tcW w:w="1464" w:type="dxa"/>
            <w:tcBorders>
              <w:top w:val="single" w:sz="4" w:space="0" w:color="auto"/>
              <w:bottom w:val="single" w:sz="12" w:space="0" w:color="auto"/>
            </w:tcBorders>
            <w:shd w:val="clear" w:color="auto" w:fill="auto"/>
            <w:vAlign w:val="bottom"/>
          </w:tcPr>
          <w:p w14:paraId="5F2132F4" w14:textId="77777777" w:rsidR="008D2F10" w:rsidRPr="00D43575" w:rsidRDefault="008D2F10" w:rsidP="00911B17">
            <w:pPr>
              <w:pStyle w:val="SingleTxt"/>
              <w:spacing w:before="80" w:after="80" w:line="160" w:lineRule="exact"/>
              <w:ind w:left="63" w:right="43"/>
              <w:jc w:val="right"/>
              <w:rPr>
                <w:i/>
                <w:iCs/>
                <w:sz w:val="14"/>
              </w:rPr>
            </w:pPr>
            <w:r w:rsidRPr="00D43575">
              <w:rPr>
                <w:i/>
                <w:iCs/>
                <w:sz w:val="14"/>
              </w:rPr>
              <w:t>Hombres</w:t>
            </w:r>
          </w:p>
        </w:tc>
        <w:tc>
          <w:tcPr>
            <w:tcW w:w="1464" w:type="dxa"/>
            <w:tcBorders>
              <w:top w:val="single" w:sz="4" w:space="0" w:color="auto"/>
              <w:bottom w:val="single" w:sz="12" w:space="0" w:color="auto"/>
            </w:tcBorders>
            <w:shd w:val="clear" w:color="auto" w:fill="auto"/>
            <w:vAlign w:val="bottom"/>
          </w:tcPr>
          <w:p w14:paraId="17AC9695" w14:textId="77777777" w:rsidR="008D2F10" w:rsidRPr="00D43575" w:rsidRDefault="008D2F10" w:rsidP="00911B17">
            <w:pPr>
              <w:pStyle w:val="SingleTxt"/>
              <w:spacing w:before="80" w:after="80" w:line="160" w:lineRule="exact"/>
              <w:ind w:left="63" w:right="43"/>
              <w:jc w:val="right"/>
              <w:rPr>
                <w:i/>
                <w:iCs/>
                <w:sz w:val="14"/>
              </w:rPr>
            </w:pPr>
            <w:r w:rsidRPr="00D43575">
              <w:rPr>
                <w:i/>
                <w:iCs/>
                <w:sz w:val="14"/>
              </w:rPr>
              <w:t>Mujeres</w:t>
            </w:r>
          </w:p>
        </w:tc>
        <w:tc>
          <w:tcPr>
            <w:tcW w:w="1260" w:type="dxa"/>
            <w:tcBorders>
              <w:top w:val="single" w:sz="4" w:space="0" w:color="auto"/>
              <w:bottom w:val="single" w:sz="12" w:space="0" w:color="auto"/>
            </w:tcBorders>
            <w:shd w:val="clear" w:color="auto" w:fill="auto"/>
            <w:vAlign w:val="bottom"/>
          </w:tcPr>
          <w:p w14:paraId="531980BC" w14:textId="77777777" w:rsidR="008D2F10" w:rsidRPr="00D43575" w:rsidRDefault="008D2F10" w:rsidP="00911B17">
            <w:pPr>
              <w:pStyle w:val="SingleTxt"/>
              <w:spacing w:before="80" w:after="80" w:line="160" w:lineRule="exact"/>
              <w:ind w:left="63" w:right="43"/>
              <w:jc w:val="right"/>
              <w:rPr>
                <w:i/>
                <w:iCs/>
                <w:sz w:val="14"/>
              </w:rPr>
            </w:pPr>
            <w:r w:rsidRPr="00D43575">
              <w:rPr>
                <w:i/>
                <w:iCs/>
                <w:sz w:val="14"/>
              </w:rPr>
              <w:t>Total</w:t>
            </w:r>
          </w:p>
        </w:tc>
        <w:tc>
          <w:tcPr>
            <w:tcW w:w="1602" w:type="dxa"/>
            <w:tcBorders>
              <w:top w:val="single" w:sz="4" w:space="0" w:color="auto"/>
              <w:bottom w:val="single" w:sz="12" w:space="0" w:color="auto"/>
            </w:tcBorders>
            <w:shd w:val="clear" w:color="auto" w:fill="auto"/>
            <w:vAlign w:val="bottom"/>
          </w:tcPr>
          <w:p w14:paraId="146C8564" w14:textId="77777777" w:rsidR="008D2F10" w:rsidRPr="00D43575" w:rsidRDefault="008D2F10" w:rsidP="00911B17">
            <w:pPr>
              <w:pStyle w:val="SingleTxt"/>
              <w:spacing w:before="80" w:after="80" w:line="160" w:lineRule="exact"/>
              <w:ind w:left="63" w:right="43"/>
              <w:jc w:val="right"/>
              <w:rPr>
                <w:i/>
                <w:iCs/>
                <w:sz w:val="14"/>
              </w:rPr>
            </w:pPr>
            <w:r w:rsidRPr="00D43575">
              <w:rPr>
                <w:i/>
                <w:iCs/>
                <w:sz w:val="14"/>
              </w:rPr>
              <w:t>Porcentaje de mujeres</w:t>
            </w:r>
          </w:p>
        </w:tc>
      </w:tr>
      <w:tr w:rsidR="008D2F10" w:rsidRPr="00D43575" w14:paraId="48B7DA74" w14:textId="77777777" w:rsidTr="00BD7BE9">
        <w:trPr>
          <w:trHeight w:hRule="exact" w:val="115"/>
          <w:tblHeader/>
        </w:trPr>
        <w:tc>
          <w:tcPr>
            <w:tcW w:w="1572" w:type="dxa"/>
            <w:tcBorders>
              <w:top w:val="single" w:sz="12" w:space="0" w:color="auto"/>
            </w:tcBorders>
            <w:shd w:val="clear" w:color="auto" w:fill="auto"/>
            <w:vAlign w:val="bottom"/>
          </w:tcPr>
          <w:p w14:paraId="726E9272" w14:textId="77777777" w:rsidR="008D2F10" w:rsidRPr="00D43575" w:rsidRDefault="008D2F10" w:rsidP="00BD7BE9">
            <w:pPr>
              <w:keepNext/>
              <w:keepLines/>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shd w:val="clear" w:color="auto" w:fill="auto"/>
            <w:vAlign w:val="bottom"/>
          </w:tcPr>
          <w:p w14:paraId="16F51042" w14:textId="77777777" w:rsidR="008D2F10" w:rsidRPr="00D43575" w:rsidRDefault="008D2F10" w:rsidP="00BD7BE9">
            <w:pPr>
              <w:keepNext/>
              <w:keepLines/>
              <w:tabs>
                <w:tab w:val="left" w:pos="288"/>
                <w:tab w:val="left" w:pos="576"/>
                <w:tab w:val="left" w:pos="864"/>
                <w:tab w:val="left" w:pos="1152"/>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527D7CBB" w14:textId="77777777" w:rsidR="008D2F10" w:rsidRPr="00D43575" w:rsidRDefault="008D2F10" w:rsidP="00BD7BE9">
            <w:pPr>
              <w:keepNext/>
              <w:keepLines/>
              <w:tabs>
                <w:tab w:val="left" w:pos="288"/>
                <w:tab w:val="left" w:pos="576"/>
                <w:tab w:val="left" w:pos="864"/>
                <w:tab w:val="left" w:pos="1152"/>
              </w:tabs>
              <w:spacing w:before="40" w:after="40" w:line="210" w:lineRule="exact"/>
              <w:ind w:left="144" w:right="40"/>
              <w:jc w:val="right"/>
              <w:rPr>
                <w:sz w:val="17"/>
              </w:rPr>
            </w:pPr>
          </w:p>
        </w:tc>
        <w:tc>
          <w:tcPr>
            <w:tcW w:w="1260" w:type="dxa"/>
            <w:tcBorders>
              <w:top w:val="single" w:sz="12" w:space="0" w:color="auto"/>
            </w:tcBorders>
            <w:shd w:val="clear" w:color="auto" w:fill="auto"/>
            <w:vAlign w:val="bottom"/>
          </w:tcPr>
          <w:p w14:paraId="3326FA16" w14:textId="77777777" w:rsidR="008D2F10" w:rsidRPr="00D43575" w:rsidRDefault="008D2F10" w:rsidP="00BD7BE9">
            <w:pPr>
              <w:keepNext/>
              <w:keepLines/>
              <w:tabs>
                <w:tab w:val="left" w:pos="288"/>
                <w:tab w:val="left" w:pos="576"/>
                <w:tab w:val="left" w:pos="864"/>
                <w:tab w:val="left" w:pos="1152"/>
              </w:tabs>
              <w:spacing w:before="40" w:after="40" w:line="210" w:lineRule="exact"/>
              <w:ind w:left="144" w:right="40"/>
              <w:jc w:val="right"/>
              <w:rPr>
                <w:sz w:val="17"/>
              </w:rPr>
            </w:pPr>
          </w:p>
        </w:tc>
        <w:tc>
          <w:tcPr>
            <w:tcW w:w="1602" w:type="dxa"/>
            <w:tcBorders>
              <w:top w:val="single" w:sz="12" w:space="0" w:color="auto"/>
            </w:tcBorders>
            <w:shd w:val="clear" w:color="auto" w:fill="auto"/>
            <w:vAlign w:val="bottom"/>
          </w:tcPr>
          <w:p w14:paraId="7954E3E6" w14:textId="77777777" w:rsidR="008D2F10" w:rsidRPr="00D43575" w:rsidRDefault="008D2F10" w:rsidP="00BD7BE9">
            <w:pPr>
              <w:keepNext/>
              <w:keepLines/>
              <w:tabs>
                <w:tab w:val="left" w:pos="288"/>
                <w:tab w:val="left" w:pos="576"/>
                <w:tab w:val="left" w:pos="864"/>
                <w:tab w:val="left" w:pos="1152"/>
              </w:tabs>
              <w:spacing w:before="40" w:after="40" w:line="210" w:lineRule="exact"/>
              <w:ind w:left="144" w:right="40"/>
              <w:jc w:val="right"/>
              <w:rPr>
                <w:sz w:val="17"/>
              </w:rPr>
            </w:pPr>
          </w:p>
        </w:tc>
      </w:tr>
      <w:tr w:rsidR="008D2F10" w:rsidRPr="00D43575" w14:paraId="0F998F56" w14:textId="77777777" w:rsidTr="00BD7BE9">
        <w:tc>
          <w:tcPr>
            <w:tcW w:w="1572" w:type="dxa"/>
            <w:shd w:val="clear" w:color="auto" w:fill="auto"/>
            <w:vAlign w:val="bottom"/>
          </w:tcPr>
          <w:p w14:paraId="50445D32"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2017/2018</w:t>
            </w:r>
          </w:p>
        </w:tc>
        <w:tc>
          <w:tcPr>
            <w:tcW w:w="1464" w:type="dxa"/>
            <w:shd w:val="clear" w:color="auto" w:fill="auto"/>
            <w:vAlign w:val="bottom"/>
          </w:tcPr>
          <w:p w14:paraId="69B824D2"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232</w:t>
            </w:r>
          </w:p>
        </w:tc>
        <w:tc>
          <w:tcPr>
            <w:tcW w:w="1464" w:type="dxa"/>
            <w:shd w:val="clear" w:color="auto" w:fill="auto"/>
            <w:vAlign w:val="bottom"/>
          </w:tcPr>
          <w:p w14:paraId="58698E70"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227</w:t>
            </w:r>
          </w:p>
        </w:tc>
        <w:tc>
          <w:tcPr>
            <w:tcW w:w="1260" w:type="dxa"/>
            <w:shd w:val="clear" w:color="auto" w:fill="auto"/>
            <w:vAlign w:val="bottom"/>
          </w:tcPr>
          <w:p w14:paraId="648A4C15"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459</w:t>
            </w:r>
          </w:p>
        </w:tc>
        <w:tc>
          <w:tcPr>
            <w:tcW w:w="1602" w:type="dxa"/>
            <w:shd w:val="clear" w:color="auto" w:fill="auto"/>
            <w:vAlign w:val="bottom"/>
          </w:tcPr>
          <w:p w14:paraId="2895A2F6"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49,4</w:t>
            </w:r>
          </w:p>
        </w:tc>
      </w:tr>
      <w:tr w:rsidR="008D2F10" w:rsidRPr="00D43575" w14:paraId="1F55424E" w14:textId="77777777" w:rsidTr="00BD7BE9">
        <w:tc>
          <w:tcPr>
            <w:tcW w:w="1572" w:type="dxa"/>
            <w:shd w:val="clear" w:color="auto" w:fill="auto"/>
            <w:vAlign w:val="bottom"/>
          </w:tcPr>
          <w:p w14:paraId="111C9329"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2016/2017</w:t>
            </w:r>
          </w:p>
        </w:tc>
        <w:tc>
          <w:tcPr>
            <w:tcW w:w="1464" w:type="dxa"/>
            <w:shd w:val="clear" w:color="auto" w:fill="auto"/>
            <w:vAlign w:val="bottom"/>
          </w:tcPr>
          <w:p w14:paraId="10465939"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513</w:t>
            </w:r>
          </w:p>
        </w:tc>
        <w:tc>
          <w:tcPr>
            <w:tcW w:w="1464" w:type="dxa"/>
            <w:shd w:val="clear" w:color="auto" w:fill="auto"/>
            <w:vAlign w:val="bottom"/>
          </w:tcPr>
          <w:p w14:paraId="75D9A490"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454</w:t>
            </w:r>
          </w:p>
        </w:tc>
        <w:tc>
          <w:tcPr>
            <w:tcW w:w="1260" w:type="dxa"/>
            <w:shd w:val="clear" w:color="auto" w:fill="auto"/>
            <w:vAlign w:val="bottom"/>
          </w:tcPr>
          <w:p w14:paraId="398B25BE"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967</w:t>
            </w:r>
          </w:p>
        </w:tc>
        <w:tc>
          <w:tcPr>
            <w:tcW w:w="1602" w:type="dxa"/>
            <w:shd w:val="clear" w:color="auto" w:fill="auto"/>
            <w:vAlign w:val="bottom"/>
          </w:tcPr>
          <w:p w14:paraId="2A33C690"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46,9</w:t>
            </w:r>
          </w:p>
        </w:tc>
      </w:tr>
      <w:tr w:rsidR="008D2F10" w:rsidRPr="00D43575" w14:paraId="2B5A8282" w14:textId="77777777" w:rsidTr="00BD7BE9">
        <w:tc>
          <w:tcPr>
            <w:tcW w:w="1572" w:type="dxa"/>
            <w:shd w:val="clear" w:color="auto" w:fill="auto"/>
            <w:vAlign w:val="bottom"/>
          </w:tcPr>
          <w:p w14:paraId="24DD6276"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2015/2016</w:t>
            </w:r>
          </w:p>
        </w:tc>
        <w:tc>
          <w:tcPr>
            <w:tcW w:w="1464" w:type="dxa"/>
            <w:shd w:val="clear" w:color="auto" w:fill="auto"/>
            <w:vAlign w:val="bottom"/>
          </w:tcPr>
          <w:p w14:paraId="5C16FE37"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692</w:t>
            </w:r>
          </w:p>
        </w:tc>
        <w:tc>
          <w:tcPr>
            <w:tcW w:w="1464" w:type="dxa"/>
            <w:shd w:val="clear" w:color="auto" w:fill="auto"/>
            <w:vAlign w:val="bottom"/>
          </w:tcPr>
          <w:p w14:paraId="79236A67"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586</w:t>
            </w:r>
          </w:p>
        </w:tc>
        <w:tc>
          <w:tcPr>
            <w:tcW w:w="1260" w:type="dxa"/>
            <w:shd w:val="clear" w:color="auto" w:fill="auto"/>
            <w:vAlign w:val="bottom"/>
          </w:tcPr>
          <w:p w14:paraId="5EB5FD3C"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1 278</w:t>
            </w:r>
          </w:p>
        </w:tc>
        <w:tc>
          <w:tcPr>
            <w:tcW w:w="1602" w:type="dxa"/>
            <w:shd w:val="clear" w:color="auto" w:fill="auto"/>
            <w:vAlign w:val="bottom"/>
          </w:tcPr>
          <w:p w14:paraId="06C0BE8B"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45,8</w:t>
            </w:r>
          </w:p>
        </w:tc>
      </w:tr>
      <w:tr w:rsidR="008D2F10" w:rsidRPr="00D43575" w14:paraId="19FB5DEF" w14:textId="77777777" w:rsidTr="00BD7BE9">
        <w:tc>
          <w:tcPr>
            <w:tcW w:w="1572" w:type="dxa"/>
            <w:shd w:val="clear" w:color="auto" w:fill="auto"/>
            <w:vAlign w:val="bottom"/>
          </w:tcPr>
          <w:p w14:paraId="4A4D8EEA"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2014/2015</w:t>
            </w:r>
          </w:p>
        </w:tc>
        <w:tc>
          <w:tcPr>
            <w:tcW w:w="1464" w:type="dxa"/>
            <w:shd w:val="clear" w:color="auto" w:fill="auto"/>
            <w:vAlign w:val="bottom"/>
          </w:tcPr>
          <w:p w14:paraId="1C70911C"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646</w:t>
            </w:r>
          </w:p>
        </w:tc>
        <w:tc>
          <w:tcPr>
            <w:tcW w:w="1464" w:type="dxa"/>
            <w:shd w:val="clear" w:color="auto" w:fill="auto"/>
            <w:vAlign w:val="bottom"/>
          </w:tcPr>
          <w:p w14:paraId="257B9A71"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598</w:t>
            </w:r>
          </w:p>
        </w:tc>
        <w:tc>
          <w:tcPr>
            <w:tcW w:w="1260" w:type="dxa"/>
            <w:shd w:val="clear" w:color="auto" w:fill="auto"/>
            <w:vAlign w:val="bottom"/>
          </w:tcPr>
          <w:p w14:paraId="11E0AE88"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1 244</w:t>
            </w:r>
          </w:p>
        </w:tc>
        <w:tc>
          <w:tcPr>
            <w:tcW w:w="1602" w:type="dxa"/>
            <w:shd w:val="clear" w:color="auto" w:fill="auto"/>
            <w:vAlign w:val="bottom"/>
          </w:tcPr>
          <w:p w14:paraId="739443D6"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48,1</w:t>
            </w:r>
          </w:p>
        </w:tc>
      </w:tr>
      <w:tr w:rsidR="008D2F10" w:rsidRPr="00D43575" w14:paraId="2B749140" w14:textId="77777777" w:rsidTr="00BD7BE9">
        <w:tc>
          <w:tcPr>
            <w:tcW w:w="1572" w:type="dxa"/>
            <w:tcBorders>
              <w:bottom w:val="single" w:sz="12" w:space="0" w:color="auto"/>
            </w:tcBorders>
            <w:shd w:val="clear" w:color="auto" w:fill="auto"/>
            <w:vAlign w:val="bottom"/>
          </w:tcPr>
          <w:p w14:paraId="5B4F5098"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2013/2014</w:t>
            </w:r>
          </w:p>
        </w:tc>
        <w:tc>
          <w:tcPr>
            <w:tcW w:w="1464" w:type="dxa"/>
            <w:tcBorders>
              <w:bottom w:val="single" w:sz="12" w:space="0" w:color="auto"/>
            </w:tcBorders>
            <w:shd w:val="clear" w:color="auto" w:fill="auto"/>
            <w:vAlign w:val="bottom"/>
          </w:tcPr>
          <w:p w14:paraId="0CD3CEF5"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732</w:t>
            </w:r>
          </w:p>
        </w:tc>
        <w:tc>
          <w:tcPr>
            <w:tcW w:w="1464" w:type="dxa"/>
            <w:tcBorders>
              <w:bottom w:val="single" w:sz="12" w:space="0" w:color="auto"/>
            </w:tcBorders>
            <w:shd w:val="clear" w:color="auto" w:fill="auto"/>
            <w:vAlign w:val="bottom"/>
          </w:tcPr>
          <w:p w14:paraId="34B74A85"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661</w:t>
            </w:r>
          </w:p>
        </w:tc>
        <w:tc>
          <w:tcPr>
            <w:tcW w:w="1260" w:type="dxa"/>
            <w:tcBorders>
              <w:bottom w:val="single" w:sz="12" w:space="0" w:color="auto"/>
            </w:tcBorders>
            <w:shd w:val="clear" w:color="auto" w:fill="auto"/>
            <w:vAlign w:val="bottom"/>
          </w:tcPr>
          <w:p w14:paraId="76B2AF06"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1 393</w:t>
            </w:r>
          </w:p>
        </w:tc>
        <w:tc>
          <w:tcPr>
            <w:tcW w:w="1602" w:type="dxa"/>
            <w:tcBorders>
              <w:bottom w:val="single" w:sz="12" w:space="0" w:color="auto"/>
            </w:tcBorders>
            <w:shd w:val="clear" w:color="auto" w:fill="auto"/>
            <w:vAlign w:val="bottom"/>
          </w:tcPr>
          <w:p w14:paraId="3FF169CC" w14:textId="77777777" w:rsidR="008D2F10" w:rsidRPr="00D43575" w:rsidRDefault="008D2F10" w:rsidP="00911B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47,5</w:t>
            </w:r>
          </w:p>
        </w:tc>
      </w:tr>
    </w:tbl>
    <w:p w14:paraId="31F50B6F" w14:textId="77777777" w:rsidR="008D2F10" w:rsidRPr="00D43575" w:rsidRDefault="008D2F10" w:rsidP="008D2F10">
      <w:pPr>
        <w:pStyle w:val="SingleTxt"/>
        <w:spacing w:after="0" w:line="120" w:lineRule="exact"/>
        <w:rPr>
          <w:sz w:val="10"/>
        </w:rPr>
      </w:pPr>
    </w:p>
    <w:p w14:paraId="20C46A3B" w14:textId="0465E14D" w:rsidR="008D2F10"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Estado de Qatar, Ministerio de Educación y Enseñanza Superior, Departamento de Becas,</w:t>
      </w:r>
      <w:r w:rsidR="00083383" w:rsidRPr="00D43575">
        <w:rPr>
          <w:rFonts w:eastAsiaTheme="minorHAnsi"/>
          <w:iCs/>
          <w:w w:val="103"/>
          <w:kern w:val="14"/>
          <w:szCs w:val="20"/>
        </w:rPr>
        <w:t xml:space="preserve"> </w:t>
      </w:r>
      <w:r w:rsidRPr="00D43575">
        <w:rPr>
          <w:rFonts w:eastAsiaTheme="minorHAnsi"/>
          <w:iCs/>
          <w:w w:val="103"/>
          <w:kern w:val="14"/>
          <w:szCs w:val="20"/>
        </w:rPr>
        <w:t>2017</w:t>
      </w:r>
      <w:r w:rsidR="00083383" w:rsidRPr="00D43575">
        <w:rPr>
          <w:rFonts w:eastAsiaTheme="minorHAnsi"/>
          <w:iCs/>
          <w:w w:val="103"/>
          <w:kern w:val="14"/>
          <w:szCs w:val="20"/>
        </w:rPr>
        <w:t>.</w:t>
      </w:r>
    </w:p>
    <w:p w14:paraId="2A2C2929" w14:textId="77777777" w:rsidR="008D2F10" w:rsidRPr="00D43575" w:rsidRDefault="008D2F10" w:rsidP="008A61A8">
      <w:pPr>
        <w:pStyle w:val="SingleTxt"/>
        <w:spacing w:after="0" w:line="120" w:lineRule="exact"/>
        <w:rPr>
          <w:sz w:val="10"/>
        </w:rPr>
      </w:pPr>
    </w:p>
    <w:p w14:paraId="7B33C78F" w14:textId="77777777" w:rsidR="008D2F10" w:rsidRPr="00D43575" w:rsidRDefault="008D2F10" w:rsidP="008A61A8">
      <w:pPr>
        <w:pStyle w:val="SingleTxt"/>
        <w:spacing w:after="0" w:line="120" w:lineRule="exact"/>
        <w:rPr>
          <w:sz w:val="10"/>
        </w:rPr>
      </w:pPr>
    </w:p>
    <w:p w14:paraId="6D9DFABF" w14:textId="6CB06430" w:rsidR="00083383" w:rsidRPr="00D43575" w:rsidRDefault="008D2F10" w:rsidP="001D1AD0">
      <w:pPr>
        <w:pStyle w:val="SingleTxt"/>
        <w:numPr>
          <w:ilvl w:val="0"/>
          <w:numId w:val="10"/>
        </w:numPr>
        <w:ind w:left="1267" w:firstLine="0"/>
      </w:pPr>
      <w:r w:rsidRPr="00D43575">
        <w:t>Uno de los diligentes esfuerzos del Estado de Qatar para promover una cultura</w:t>
      </w:r>
      <w:r w:rsidR="00083383" w:rsidRPr="00D43575">
        <w:t xml:space="preserve"> </w:t>
      </w:r>
      <w:r w:rsidRPr="00D43575">
        <w:t>de la excelencia en la ciencia y en el aprendizaje de todos los estudiantes, hombres y mujeres, es la celebración del día de la excelencia académica</w:t>
      </w:r>
      <w:r w:rsidR="00083383" w:rsidRPr="00D43575">
        <w:t>.</w:t>
      </w:r>
      <w:r w:rsidRPr="00D43575">
        <w:t xml:space="preserve"> Su Alteza el Emir del Estado de Qatar garantiza que se honre a estudiantes destacados de ambos sexos y se reconozca su trabajo; además, se reúne con ellos y escucha lo que opinan y las expectativas que tienen según su experiencia y conocimientos</w:t>
      </w:r>
      <w:r w:rsidR="00083383" w:rsidRPr="00D43575">
        <w:t>.</w:t>
      </w:r>
      <w:r w:rsidRPr="00D43575">
        <w:t xml:space="preserve"> Los alienta a que contribuyan de manera constructiva a la renovación nacional armándose con conocimiento</w:t>
      </w:r>
      <w:r w:rsidR="00083383" w:rsidRPr="00D43575">
        <w:t>.</w:t>
      </w:r>
      <w:r w:rsidRPr="00D43575">
        <w:t xml:space="preserve"> El cuadro que figura a continuación recoge las categorías de premios</w:t>
      </w:r>
      <w:r w:rsidR="00310555" w:rsidRPr="00D43575">
        <w:t xml:space="preserve"> </w:t>
      </w:r>
      <w:r w:rsidRPr="00D43575">
        <w:t>y el porcentaje de mujeres en cada categoría durante la décima edición de los premios</w:t>
      </w:r>
      <w:r w:rsidR="00083383" w:rsidRPr="00D43575">
        <w:t>.</w:t>
      </w:r>
      <w:r w:rsidRPr="00D43575">
        <w:t xml:space="preserve"> Como puede apreciarse, las mujeres predominan de forma notable entre los ganadores de la mayoría de las categorías</w:t>
      </w:r>
      <w:r w:rsidR="00083383" w:rsidRPr="00D43575">
        <w:t>.</w:t>
      </w:r>
    </w:p>
    <w:p w14:paraId="7E8CA0BD" w14:textId="32908729" w:rsidR="008D2F10" w:rsidRPr="00D43575" w:rsidRDefault="008D2F10" w:rsidP="008D2F10">
      <w:pPr>
        <w:pStyle w:val="SingleTxt"/>
        <w:spacing w:after="0" w:line="120" w:lineRule="exact"/>
        <w:rPr>
          <w:sz w:val="10"/>
        </w:rPr>
      </w:pPr>
    </w:p>
    <w:p w14:paraId="73FF81C5" w14:textId="1BA79312" w:rsidR="008D2F10" w:rsidRPr="00D43575" w:rsidRDefault="008D2F10" w:rsidP="00083383">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660"/>
        <w:rPr>
          <w:bCs w:val="0"/>
          <w:szCs w:val="20"/>
        </w:rPr>
      </w:pPr>
      <w:r w:rsidRPr="00D43575">
        <w:rPr>
          <w:bCs w:val="0"/>
          <w:szCs w:val="20"/>
        </w:rPr>
        <w:tab/>
      </w:r>
      <w:r w:rsidRPr="00D43575">
        <w:rPr>
          <w:bCs w:val="0"/>
          <w:szCs w:val="20"/>
        </w:rPr>
        <w:tab/>
      </w:r>
      <w:r w:rsidR="003771A9">
        <w:rPr>
          <w:b w:val="0"/>
          <w:bCs w:val="0"/>
          <w:szCs w:val="20"/>
        </w:rPr>
        <w:t>Cuadro 11</w:t>
      </w:r>
      <w:r w:rsidR="00C92276" w:rsidRPr="00D43575">
        <w:rPr>
          <w:b w:val="0"/>
          <w:bCs w:val="0"/>
          <w:szCs w:val="20"/>
        </w:rPr>
        <w:t xml:space="preserve"> </w:t>
      </w:r>
      <w:r w:rsidR="00C92276" w:rsidRPr="00D43575">
        <w:rPr>
          <w:bCs w:val="0"/>
          <w:szCs w:val="20"/>
        </w:rPr>
        <w:br/>
      </w:r>
      <w:r w:rsidRPr="00D43575">
        <w:rPr>
          <w:bCs w:val="0"/>
          <w:szCs w:val="20"/>
        </w:rPr>
        <w:t>Categorías de premios a la excelencia científica por sexo en la décima edición de los premios (2017)</w:t>
      </w:r>
    </w:p>
    <w:p w14:paraId="2C22605F" w14:textId="77777777" w:rsidR="008D2F10" w:rsidRPr="00D43575" w:rsidRDefault="008D2F10" w:rsidP="008D2F1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30"/>
        <w:gridCol w:w="1224"/>
        <w:gridCol w:w="1224"/>
        <w:gridCol w:w="1224"/>
        <w:gridCol w:w="1224"/>
      </w:tblGrid>
      <w:tr w:rsidR="008D2F10" w:rsidRPr="00D43575" w14:paraId="20F02DEC" w14:textId="77777777" w:rsidTr="00BD7BE9">
        <w:trPr>
          <w:tblHeader/>
        </w:trPr>
        <w:tc>
          <w:tcPr>
            <w:tcW w:w="7326" w:type="dxa"/>
            <w:gridSpan w:val="5"/>
            <w:tcBorders>
              <w:top w:val="single" w:sz="4" w:space="0" w:color="auto"/>
              <w:bottom w:val="single" w:sz="4" w:space="0" w:color="auto"/>
            </w:tcBorders>
            <w:shd w:val="clear" w:color="auto" w:fill="auto"/>
            <w:vAlign w:val="bottom"/>
          </w:tcPr>
          <w:p w14:paraId="3DD7F574" w14:textId="0ACAB087" w:rsidR="008D2F10" w:rsidRPr="00D43575" w:rsidRDefault="008D2F10" w:rsidP="00CF0E3D">
            <w:pPr>
              <w:pStyle w:val="SingleTxt"/>
              <w:spacing w:before="80" w:after="80" w:line="160" w:lineRule="exact"/>
              <w:ind w:left="144" w:right="43"/>
              <w:jc w:val="center"/>
              <w:rPr>
                <w:i/>
                <w:iCs/>
                <w:sz w:val="14"/>
              </w:rPr>
            </w:pPr>
            <w:r w:rsidRPr="00D43575">
              <w:rPr>
                <w:i/>
                <w:iCs/>
                <w:sz w:val="14"/>
              </w:rPr>
              <w:t>Décima edición 2017 (2016</w:t>
            </w:r>
            <w:r w:rsidR="00083383" w:rsidRPr="00D43575">
              <w:rPr>
                <w:i/>
                <w:iCs/>
                <w:sz w:val="14"/>
              </w:rPr>
              <w:noBreakHyphen/>
            </w:r>
            <w:r w:rsidRPr="00D43575">
              <w:rPr>
                <w:i/>
                <w:iCs/>
                <w:sz w:val="14"/>
              </w:rPr>
              <w:t>2017)</w:t>
            </w:r>
          </w:p>
        </w:tc>
      </w:tr>
      <w:tr w:rsidR="008D2F10" w:rsidRPr="00D43575" w14:paraId="23F10DB7" w14:textId="77777777" w:rsidTr="00BD7BE9">
        <w:trPr>
          <w:tblHeader/>
        </w:trPr>
        <w:tc>
          <w:tcPr>
            <w:tcW w:w="2430" w:type="dxa"/>
            <w:tcBorders>
              <w:top w:val="single" w:sz="4" w:space="0" w:color="auto"/>
              <w:bottom w:val="single" w:sz="12" w:space="0" w:color="auto"/>
            </w:tcBorders>
            <w:shd w:val="clear" w:color="auto" w:fill="auto"/>
            <w:vAlign w:val="bottom"/>
          </w:tcPr>
          <w:p w14:paraId="391E74DA" w14:textId="77777777" w:rsidR="008D2F10" w:rsidRPr="00D43575" w:rsidRDefault="008D2F10" w:rsidP="00295AC4">
            <w:pPr>
              <w:pStyle w:val="SingleTxt"/>
              <w:spacing w:before="80" w:after="80" w:line="160" w:lineRule="exact"/>
              <w:ind w:left="11" w:right="43"/>
              <w:jc w:val="left"/>
              <w:rPr>
                <w:i/>
                <w:iCs/>
                <w:sz w:val="14"/>
              </w:rPr>
            </w:pPr>
            <w:r w:rsidRPr="00D43575">
              <w:rPr>
                <w:i/>
                <w:iCs/>
                <w:sz w:val="14"/>
              </w:rPr>
              <w:t>Categoría</w:t>
            </w:r>
          </w:p>
        </w:tc>
        <w:tc>
          <w:tcPr>
            <w:tcW w:w="1224" w:type="dxa"/>
            <w:tcBorders>
              <w:top w:val="single" w:sz="4" w:space="0" w:color="auto"/>
              <w:bottom w:val="single" w:sz="12" w:space="0" w:color="auto"/>
            </w:tcBorders>
            <w:shd w:val="clear" w:color="auto" w:fill="auto"/>
            <w:vAlign w:val="bottom"/>
          </w:tcPr>
          <w:p w14:paraId="607598EC" w14:textId="77777777" w:rsidR="008D2F10" w:rsidRPr="00D43575" w:rsidRDefault="008D2F10" w:rsidP="00295AC4">
            <w:pPr>
              <w:pStyle w:val="SingleTxt"/>
              <w:spacing w:before="80" w:after="80" w:line="160" w:lineRule="exact"/>
              <w:ind w:left="63" w:right="43"/>
              <w:jc w:val="right"/>
              <w:rPr>
                <w:i/>
                <w:iCs/>
                <w:sz w:val="14"/>
              </w:rPr>
            </w:pPr>
            <w:r w:rsidRPr="00D43575">
              <w:rPr>
                <w:i/>
                <w:iCs/>
                <w:sz w:val="14"/>
              </w:rPr>
              <w:t>Hombres</w:t>
            </w:r>
          </w:p>
        </w:tc>
        <w:tc>
          <w:tcPr>
            <w:tcW w:w="1224" w:type="dxa"/>
            <w:tcBorders>
              <w:top w:val="single" w:sz="4" w:space="0" w:color="auto"/>
              <w:bottom w:val="single" w:sz="12" w:space="0" w:color="auto"/>
            </w:tcBorders>
            <w:shd w:val="clear" w:color="auto" w:fill="auto"/>
            <w:vAlign w:val="bottom"/>
          </w:tcPr>
          <w:p w14:paraId="1A788BC0" w14:textId="77777777" w:rsidR="008D2F10" w:rsidRPr="00D43575" w:rsidRDefault="008D2F10" w:rsidP="00295AC4">
            <w:pPr>
              <w:pStyle w:val="SingleTxt"/>
              <w:spacing w:before="80" w:after="80" w:line="160" w:lineRule="exact"/>
              <w:ind w:left="63" w:right="43"/>
              <w:jc w:val="right"/>
              <w:rPr>
                <w:i/>
                <w:iCs/>
                <w:sz w:val="14"/>
              </w:rPr>
            </w:pPr>
            <w:r w:rsidRPr="00D43575">
              <w:rPr>
                <w:i/>
                <w:iCs/>
                <w:sz w:val="14"/>
              </w:rPr>
              <w:t>Mujeres</w:t>
            </w:r>
          </w:p>
        </w:tc>
        <w:tc>
          <w:tcPr>
            <w:tcW w:w="1224" w:type="dxa"/>
            <w:tcBorders>
              <w:top w:val="single" w:sz="4" w:space="0" w:color="auto"/>
              <w:bottom w:val="single" w:sz="12" w:space="0" w:color="auto"/>
            </w:tcBorders>
            <w:shd w:val="clear" w:color="auto" w:fill="auto"/>
            <w:vAlign w:val="bottom"/>
          </w:tcPr>
          <w:p w14:paraId="1D95FB73" w14:textId="77777777" w:rsidR="008D2F10" w:rsidRPr="00D43575" w:rsidRDefault="008D2F10" w:rsidP="00295AC4">
            <w:pPr>
              <w:pStyle w:val="SingleTxt"/>
              <w:spacing w:before="80" w:after="80" w:line="160" w:lineRule="exact"/>
              <w:ind w:left="63" w:right="43"/>
              <w:jc w:val="right"/>
              <w:rPr>
                <w:i/>
                <w:iCs/>
                <w:sz w:val="14"/>
              </w:rPr>
            </w:pPr>
            <w:r w:rsidRPr="00D43575">
              <w:rPr>
                <w:i/>
                <w:iCs/>
                <w:sz w:val="14"/>
              </w:rPr>
              <w:t>Total</w:t>
            </w:r>
          </w:p>
        </w:tc>
        <w:tc>
          <w:tcPr>
            <w:tcW w:w="1224" w:type="dxa"/>
            <w:tcBorders>
              <w:top w:val="single" w:sz="4" w:space="0" w:color="auto"/>
              <w:bottom w:val="single" w:sz="12" w:space="0" w:color="auto"/>
            </w:tcBorders>
            <w:shd w:val="clear" w:color="auto" w:fill="auto"/>
            <w:vAlign w:val="bottom"/>
          </w:tcPr>
          <w:p w14:paraId="1DDC352F" w14:textId="77777777" w:rsidR="008D2F10" w:rsidRPr="00D43575" w:rsidRDefault="008D2F10" w:rsidP="00295AC4">
            <w:pPr>
              <w:pStyle w:val="SingleTxt"/>
              <w:spacing w:before="80" w:after="80" w:line="160" w:lineRule="exact"/>
              <w:ind w:left="63" w:right="43"/>
              <w:jc w:val="right"/>
              <w:rPr>
                <w:i/>
                <w:iCs/>
                <w:sz w:val="14"/>
              </w:rPr>
            </w:pPr>
            <w:r w:rsidRPr="00D43575">
              <w:rPr>
                <w:i/>
                <w:iCs/>
                <w:sz w:val="14"/>
              </w:rPr>
              <w:t>Porcentaje</w:t>
            </w:r>
            <w:r w:rsidR="00CF0E3D" w:rsidRPr="00D43575">
              <w:rPr>
                <w:i/>
                <w:iCs/>
                <w:sz w:val="14"/>
              </w:rPr>
              <w:br/>
            </w:r>
            <w:r w:rsidRPr="00D43575">
              <w:rPr>
                <w:i/>
                <w:iCs/>
                <w:sz w:val="14"/>
              </w:rPr>
              <w:t xml:space="preserve"> de mujeres</w:t>
            </w:r>
          </w:p>
        </w:tc>
      </w:tr>
      <w:tr w:rsidR="008D2F10" w:rsidRPr="00D43575" w14:paraId="032FCA5C" w14:textId="77777777" w:rsidTr="00BD7BE9">
        <w:trPr>
          <w:trHeight w:hRule="exact" w:val="115"/>
          <w:tblHeader/>
        </w:trPr>
        <w:tc>
          <w:tcPr>
            <w:tcW w:w="2430" w:type="dxa"/>
            <w:tcBorders>
              <w:top w:val="single" w:sz="12" w:space="0" w:color="auto"/>
            </w:tcBorders>
            <w:shd w:val="clear" w:color="auto" w:fill="auto"/>
            <w:vAlign w:val="bottom"/>
          </w:tcPr>
          <w:p w14:paraId="71A7DD73" w14:textId="77777777" w:rsidR="008D2F10" w:rsidRPr="00D43575" w:rsidRDefault="008D2F10" w:rsidP="00BD7BE9">
            <w:pPr>
              <w:tabs>
                <w:tab w:val="left" w:pos="288"/>
                <w:tab w:val="left" w:pos="576"/>
                <w:tab w:val="left" w:pos="864"/>
                <w:tab w:val="left" w:pos="1152"/>
              </w:tabs>
              <w:spacing w:before="40" w:after="40" w:line="210" w:lineRule="exact"/>
              <w:ind w:right="43"/>
              <w:rPr>
                <w:sz w:val="17"/>
              </w:rPr>
            </w:pPr>
          </w:p>
        </w:tc>
        <w:tc>
          <w:tcPr>
            <w:tcW w:w="1224" w:type="dxa"/>
            <w:tcBorders>
              <w:top w:val="single" w:sz="12" w:space="0" w:color="auto"/>
            </w:tcBorders>
            <w:shd w:val="clear" w:color="auto" w:fill="auto"/>
            <w:vAlign w:val="bottom"/>
          </w:tcPr>
          <w:p w14:paraId="4FE778EA"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c>
          <w:tcPr>
            <w:tcW w:w="1224" w:type="dxa"/>
            <w:tcBorders>
              <w:top w:val="single" w:sz="12" w:space="0" w:color="auto"/>
            </w:tcBorders>
            <w:shd w:val="clear" w:color="auto" w:fill="auto"/>
            <w:vAlign w:val="bottom"/>
          </w:tcPr>
          <w:p w14:paraId="7E1697D3"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c>
          <w:tcPr>
            <w:tcW w:w="1224" w:type="dxa"/>
            <w:tcBorders>
              <w:top w:val="single" w:sz="12" w:space="0" w:color="auto"/>
            </w:tcBorders>
            <w:shd w:val="clear" w:color="auto" w:fill="auto"/>
            <w:vAlign w:val="bottom"/>
          </w:tcPr>
          <w:p w14:paraId="43CB6C4B"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c>
          <w:tcPr>
            <w:tcW w:w="1224" w:type="dxa"/>
            <w:tcBorders>
              <w:top w:val="single" w:sz="12" w:space="0" w:color="auto"/>
            </w:tcBorders>
            <w:shd w:val="clear" w:color="auto" w:fill="auto"/>
            <w:vAlign w:val="bottom"/>
          </w:tcPr>
          <w:p w14:paraId="6E064FC9"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r>
      <w:tr w:rsidR="008D2F10" w:rsidRPr="00D43575" w14:paraId="03B7C3A9" w14:textId="77777777" w:rsidTr="00BD7BE9">
        <w:tc>
          <w:tcPr>
            <w:tcW w:w="2430" w:type="dxa"/>
            <w:shd w:val="clear" w:color="auto" w:fill="auto"/>
            <w:vAlign w:val="bottom"/>
          </w:tcPr>
          <w:p w14:paraId="5B72D41B" w14:textId="77777777" w:rsidR="008D2F10" w:rsidRPr="00D43575" w:rsidRDefault="008D2F10" w:rsidP="003B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Alumnos de enseñanza primaria</w:t>
            </w:r>
          </w:p>
        </w:tc>
        <w:tc>
          <w:tcPr>
            <w:tcW w:w="1224" w:type="dxa"/>
            <w:shd w:val="clear" w:color="auto" w:fill="auto"/>
            <w:vAlign w:val="bottom"/>
          </w:tcPr>
          <w:p w14:paraId="5F4001DA"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w:t>
            </w:r>
          </w:p>
        </w:tc>
        <w:tc>
          <w:tcPr>
            <w:tcW w:w="1224" w:type="dxa"/>
            <w:shd w:val="clear" w:color="auto" w:fill="auto"/>
            <w:vAlign w:val="bottom"/>
          </w:tcPr>
          <w:p w14:paraId="3593E435"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15</w:t>
            </w:r>
          </w:p>
        </w:tc>
        <w:tc>
          <w:tcPr>
            <w:tcW w:w="1224" w:type="dxa"/>
            <w:shd w:val="clear" w:color="auto" w:fill="auto"/>
            <w:vAlign w:val="bottom"/>
          </w:tcPr>
          <w:p w14:paraId="05A6A132"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20</w:t>
            </w:r>
          </w:p>
        </w:tc>
        <w:tc>
          <w:tcPr>
            <w:tcW w:w="1224" w:type="dxa"/>
            <w:shd w:val="clear" w:color="auto" w:fill="auto"/>
            <w:vAlign w:val="bottom"/>
          </w:tcPr>
          <w:p w14:paraId="6482A9C4"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75</w:t>
            </w:r>
          </w:p>
        </w:tc>
      </w:tr>
      <w:tr w:rsidR="008D2F10" w:rsidRPr="00D43575" w14:paraId="739234DB" w14:textId="77777777" w:rsidTr="00BD7BE9">
        <w:tc>
          <w:tcPr>
            <w:tcW w:w="2430" w:type="dxa"/>
            <w:shd w:val="clear" w:color="auto" w:fill="auto"/>
            <w:vAlign w:val="bottom"/>
          </w:tcPr>
          <w:p w14:paraId="3BD9DCBF" w14:textId="77777777" w:rsidR="008D2F10" w:rsidRPr="00D43575" w:rsidRDefault="008D2F10" w:rsidP="003B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Alumnos de la educación preparatoria</w:t>
            </w:r>
          </w:p>
        </w:tc>
        <w:tc>
          <w:tcPr>
            <w:tcW w:w="1224" w:type="dxa"/>
            <w:shd w:val="clear" w:color="auto" w:fill="auto"/>
            <w:vAlign w:val="bottom"/>
          </w:tcPr>
          <w:p w14:paraId="2FF667A0"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1224" w:type="dxa"/>
            <w:shd w:val="clear" w:color="auto" w:fill="auto"/>
            <w:vAlign w:val="bottom"/>
          </w:tcPr>
          <w:p w14:paraId="1AF22F9B"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1224" w:type="dxa"/>
            <w:shd w:val="clear" w:color="auto" w:fill="auto"/>
            <w:vAlign w:val="bottom"/>
          </w:tcPr>
          <w:p w14:paraId="581915EA"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w:t>
            </w:r>
          </w:p>
        </w:tc>
        <w:tc>
          <w:tcPr>
            <w:tcW w:w="1224" w:type="dxa"/>
            <w:shd w:val="clear" w:color="auto" w:fill="auto"/>
            <w:vAlign w:val="bottom"/>
          </w:tcPr>
          <w:p w14:paraId="556A8C38"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50</w:t>
            </w:r>
          </w:p>
        </w:tc>
      </w:tr>
      <w:tr w:rsidR="008D2F10" w:rsidRPr="00D43575" w14:paraId="6EE5AC8F" w14:textId="77777777" w:rsidTr="00BD7BE9">
        <w:tc>
          <w:tcPr>
            <w:tcW w:w="2430" w:type="dxa"/>
            <w:shd w:val="clear" w:color="auto" w:fill="auto"/>
            <w:vAlign w:val="bottom"/>
          </w:tcPr>
          <w:p w14:paraId="4B02A0B5" w14:textId="77777777" w:rsidR="008D2F10" w:rsidRPr="00D43575" w:rsidRDefault="008D2F10" w:rsidP="003B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Alumnos de enseñanza secundaria</w:t>
            </w:r>
          </w:p>
        </w:tc>
        <w:tc>
          <w:tcPr>
            <w:tcW w:w="1224" w:type="dxa"/>
            <w:shd w:val="clear" w:color="auto" w:fill="auto"/>
            <w:vAlign w:val="bottom"/>
          </w:tcPr>
          <w:p w14:paraId="3EDC1001"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w:t>
            </w:r>
          </w:p>
        </w:tc>
        <w:tc>
          <w:tcPr>
            <w:tcW w:w="1224" w:type="dxa"/>
            <w:shd w:val="clear" w:color="auto" w:fill="auto"/>
            <w:vAlign w:val="bottom"/>
          </w:tcPr>
          <w:p w14:paraId="1B5EBE72"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7</w:t>
            </w:r>
          </w:p>
        </w:tc>
        <w:tc>
          <w:tcPr>
            <w:tcW w:w="1224" w:type="dxa"/>
            <w:shd w:val="clear" w:color="auto" w:fill="auto"/>
            <w:vAlign w:val="bottom"/>
          </w:tcPr>
          <w:p w14:paraId="1CBCEB37"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w:t>
            </w:r>
          </w:p>
        </w:tc>
        <w:tc>
          <w:tcPr>
            <w:tcW w:w="1224" w:type="dxa"/>
            <w:shd w:val="clear" w:color="auto" w:fill="auto"/>
            <w:vAlign w:val="bottom"/>
          </w:tcPr>
          <w:p w14:paraId="1698619E"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78</w:t>
            </w:r>
          </w:p>
        </w:tc>
      </w:tr>
      <w:tr w:rsidR="008D2F10" w:rsidRPr="00D43575" w14:paraId="62569055" w14:textId="77777777" w:rsidTr="00BD7BE9">
        <w:tc>
          <w:tcPr>
            <w:tcW w:w="2430" w:type="dxa"/>
            <w:shd w:val="clear" w:color="auto" w:fill="auto"/>
            <w:vAlign w:val="bottom"/>
          </w:tcPr>
          <w:p w14:paraId="7C19D2B2" w14:textId="77777777" w:rsidR="008D2F10" w:rsidRPr="00D43575" w:rsidRDefault="008D2F10" w:rsidP="003B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Alumnos universitarios</w:t>
            </w:r>
          </w:p>
        </w:tc>
        <w:tc>
          <w:tcPr>
            <w:tcW w:w="1224" w:type="dxa"/>
            <w:shd w:val="clear" w:color="auto" w:fill="auto"/>
            <w:vAlign w:val="bottom"/>
          </w:tcPr>
          <w:p w14:paraId="05B4F479"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w:t>
            </w:r>
          </w:p>
        </w:tc>
        <w:tc>
          <w:tcPr>
            <w:tcW w:w="1224" w:type="dxa"/>
            <w:shd w:val="clear" w:color="auto" w:fill="auto"/>
            <w:vAlign w:val="bottom"/>
          </w:tcPr>
          <w:p w14:paraId="0A13788A"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w:t>
            </w:r>
          </w:p>
        </w:tc>
        <w:tc>
          <w:tcPr>
            <w:tcW w:w="1224" w:type="dxa"/>
            <w:shd w:val="clear" w:color="auto" w:fill="auto"/>
            <w:vAlign w:val="bottom"/>
          </w:tcPr>
          <w:p w14:paraId="2803EA8D"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w:t>
            </w:r>
          </w:p>
        </w:tc>
        <w:tc>
          <w:tcPr>
            <w:tcW w:w="1224" w:type="dxa"/>
            <w:shd w:val="clear" w:color="auto" w:fill="auto"/>
            <w:vAlign w:val="bottom"/>
          </w:tcPr>
          <w:p w14:paraId="3949E157"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75</w:t>
            </w:r>
          </w:p>
        </w:tc>
      </w:tr>
      <w:tr w:rsidR="008D2F10" w:rsidRPr="00D43575" w14:paraId="7D71F22B" w14:textId="77777777" w:rsidTr="00BD7BE9">
        <w:tc>
          <w:tcPr>
            <w:tcW w:w="2430" w:type="dxa"/>
            <w:shd w:val="clear" w:color="auto" w:fill="auto"/>
            <w:vAlign w:val="bottom"/>
          </w:tcPr>
          <w:p w14:paraId="2DEC02E4" w14:textId="77777777" w:rsidR="008D2F10" w:rsidRPr="00D43575" w:rsidRDefault="008D2F10" w:rsidP="003B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Investigación científica destacada</w:t>
            </w:r>
          </w:p>
        </w:tc>
        <w:tc>
          <w:tcPr>
            <w:tcW w:w="1224" w:type="dxa"/>
            <w:shd w:val="clear" w:color="auto" w:fill="auto"/>
            <w:vAlign w:val="bottom"/>
          </w:tcPr>
          <w:p w14:paraId="5237C1E3"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1224" w:type="dxa"/>
            <w:shd w:val="clear" w:color="auto" w:fill="auto"/>
            <w:vAlign w:val="bottom"/>
          </w:tcPr>
          <w:p w14:paraId="4016123B"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w:t>
            </w:r>
          </w:p>
        </w:tc>
        <w:tc>
          <w:tcPr>
            <w:tcW w:w="1224" w:type="dxa"/>
            <w:shd w:val="clear" w:color="auto" w:fill="auto"/>
            <w:vAlign w:val="bottom"/>
          </w:tcPr>
          <w:p w14:paraId="29C64970"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w:t>
            </w:r>
          </w:p>
        </w:tc>
        <w:tc>
          <w:tcPr>
            <w:tcW w:w="1224" w:type="dxa"/>
            <w:shd w:val="clear" w:color="auto" w:fill="auto"/>
            <w:vAlign w:val="bottom"/>
          </w:tcPr>
          <w:p w14:paraId="36FC05A9"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100</w:t>
            </w:r>
          </w:p>
        </w:tc>
      </w:tr>
      <w:tr w:rsidR="008D2F10" w:rsidRPr="00D43575" w14:paraId="0E459A9C" w14:textId="77777777" w:rsidTr="00BD7BE9">
        <w:tc>
          <w:tcPr>
            <w:tcW w:w="2430" w:type="dxa"/>
            <w:shd w:val="clear" w:color="auto" w:fill="auto"/>
            <w:vAlign w:val="bottom"/>
          </w:tcPr>
          <w:p w14:paraId="17644A4B" w14:textId="77777777" w:rsidR="008D2F10" w:rsidRPr="00D43575" w:rsidRDefault="008D2F10" w:rsidP="003B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Profesor sobresaliente</w:t>
            </w:r>
          </w:p>
        </w:tc>
        <w:tc>
          <w:tcPr>
            <w:tcW w:w="1224" w:type="dxa"/>
            <w:shd w:val="clear" w:color="auto" w:fill="auto"/>
            <w:vAlign w:val="bottom"/>
          </w:tcPr>
          <w:p w14:paraId="7D82DDA8"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1224" w:type="dxa"/>
            <w:shd w:val="clear" w:color="auto" w:fill="auto"/>
            <w:vAlign w:val="bottom"/>
          </w:tcPr>
          <w:p w14:paraId="207E8200"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1224" w:type="dxa"/>
            <w:shd w:val="clear" w:color="auto" w:fill="auto"/>
            <w:vAlign w:val="bottom"/>
          </w:tcPr>
          <w:p w14:paraId="304DF92A"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w:t>
            </w:r>
          </w:p>
        </w:tc>
        <w:tc>
          <w:tcPr>
            <w:tcW w:w="1224" w:type="dxa"/>
            <w:shd w:val="clear" w:color="auto" w:fill="auto"/>
            <w:vAlign w:val="bottom"/>
          </w:tcPr>
          <w:p w14:paraId="3A5C9ED1"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50</w:t>
            </w:r>
          </w:p>
        </w:tc>
      </w:tr>
      <w:tr w:rsidR="008D2F10" w:rsidRPr="00D43575" w14:paraId="3D72169D" w14:textId="77777777" w:rsidTr="00BD7BE9">
        <w:tc>
          <w:tcPr>
            <w:tcW w:w="2430" w:type="dxa"/>
            <w:shd w:val="clear" w:color="auto" w:fill="auto"/>
            <w:vAlign w:val="bottom"/>
          </w:tcPr>
          <w:p w14:paraId="1F490E9E" w14:textId="77777777" w:rsidR="008D2F10" w:rsidRPr="00D43575" w:rsidRDefault="008D2F10" w:rsidP="003B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Titulares de doctorados</w:t>
            </w:r>
          </w:p>
        </w:tc>
        <w:tc>
          <w:tcPr>
            <w:tcW w:w="1224" w:type="dxa"/>
            <w:shd w:val="clear" w:color="auto" w:fill="auto"/>
            <w:vAlign w:val="bottom"/>
          </w:tcPr>
          <w:p w14:paraId="50C282DD"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1224" w:type="dxa"/>
            <w:shd w:val="clear" w:color="auto" w:fill="auto"/>
            <w:vAlign w:val="bottom"/>
          </w:tcPr>
          <w:p w14:paraId="51232C5B"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w:t>
            </w:r>
          </w:p>
        </w:tc>
        <w:tc>
          <w:tcPr>
            <w:tcW w:w="1224" w:type="dxa"/>
            <w:shd w:val="clear" w:color="auto" w:fill="auto"/>
            <w:vAlign w:val="bottom"/>
          </w:tcPr>
          <w:p w14:paraId="4D697141"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w:t>
            </w:r>
          </w:p>
        </w:tc>
        <w:tc>
          <w:tcPr>
            <w:tcW w:w="1224" w:type="dxa"/>
            <w:shd w:val="clear" w:color="auto" w:fill="auto"/>
            <w:vAlign w:val="bottom"/>
          </w:tcPr>
          <w:p w14:paraId="612AAE6B"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100</w:t>
            </w:r>
          </w:p>
        </w:tc>
      </w:tr>
      <w:tr w:rsidR="008D2F10" w:rsidRPr="00D43575" w14:paraId="48544DD8" w14:textId="77777777" w:rsidTr="00BD7BE9">
        <w:tc>
          <w:tcPr>
            <w:tcW w:w="2430" w:type="dxa"/>
            <w:tcBorders>
              <w:bottom w:val="single" w:sz="12" w:space="0" w:color="auto"/>
            </w:tcBorders>
            <w:shd w:val="clear" w:color="auto" w:fill="auto"/>
            <w:vAlign w:val="bottom"/>
          </w:tcPr>
          <w:p w14:paraId="5CDA5369" w14:textId="77777777" w:rsidR="008D2F10" w:rsidRPr="00D43575" w:rsidRDefault="008D2F10" w:rsidP="003B5AA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Centro de excelencia</w:t>
            </w:r>
          </w:p>
        </w:tc>
        <w:tc>
          <w:tcPr>
            <w:tcW w:w="1224" w:type="dxa"/>
            <w:tcBorders>
              <w:bottom w:val="single" w:sz="12" w:space="0" w:color="auto"/>
            </w:tcBorders>
            <w:shd w:val="clear" w:color="auto" w:fill="auto"/>
            <w:vAlign w:val="bottom"/>
          </w:tcPr>
          <w:p w14:paraId="3EBEBCD6"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1224" w:type="dxa"/>
            <w:tcBorders>
              <w:bottom w:val="single" w:sz="12" w:space="0" w:color="auto"/>
            </w:tcBorders>
            <w:shd w:val="clear" w:color="auto" w:fill="auto"/>
            <w:vAlign w:val="bottom"/>
          </w:tcPr>
          <w:p w14:paraId="365F217A"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1224" w:type="dxa"/>
            <w:tcBorders>
              <w:bottom w:val="single" w:sz="12" w:space="0" w:color="auto"/>
            </w:tcBorders>
            <w:shd w:val="clear" w:color="auto" w:fill="auto"/>
            <w:vAlign w:val="bottom"/>
          </w:tcPr>
          <w:p w14:paraId="7A9426F3"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1224" w:type="dxa"/>
            <w:tcBorders>
              <w:bottom w:val="single" w:sz="12" w:space="0" w:color="auto"/>
            </w:tcBorders>
            <w:shd w:val="clear" w:color="auto" w:fill="auto"/>
            <w:vAlign w:val="bottom"/>
          </w:tcPr>
          <w:p w14:paraId="20A72C1E"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100</w:t>
            </w:r>
          </w:p>
        </w:tc>
      </w:tr>
    </w:tbl>
    <w:p w14:paraId="653B343A" w14:textId="77777777" w:rsidR="008D2F10" w:rsidRPr="00D43575" w:rsidRDefault="008D2F10" w:rsidP="008D2F10">
      <w:pPr>
        <w:pStyle w:val="SingleTxt"/>
        <w:spacing w:after="0" w:line="120" w:lineRule="exact"/>
        <w:rPr>
          <w:sz w:val="10"/>
        </w:rPr>
      </w:pPr>
    </w:p>
    <w:p w14:paraId="5C5B4380" w14:textId="1950C194" w:rsidR="00083383"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Estado de Qatar, Ministerio de Educación y Enseñanza Superior, Departamento de Investigaciones y Políticas Educativas, División de Estadística, 2017</w:t>
      </w:r>
      <w:r w:rsidR="00083383" w:rsidRPr="00D43575">
        <w:rPr>
          <w:rFonts w:eastAsiaTheme="minorHAnsi"/>
          <w:iCs/>
          <w:w w:val="103"/>
          <w:kern w:val="14"/>
          <w:szCs w:val="20"/>
        </w:rPr>
        <w:t>.</w:t>
      </w:r>
    </w:p>
    <w:p w14:paraId="2660B8A4" w14:textId="60A95CD5" w:rsidR="008D2F10" w:rsidRPr="00D43575" w:rsidRDefault="008D2F10" w:rsidP="003B5AA5">
      <w:pPr>
        <w:pStyle w:val="SingleTxt"/>
        <w:spacing w:after="0" w:line="120" w:lineRule="exact"/>
        <w:rPr>
          <w:sz w:val="10"/>
        </w:rPr>
      </w:pPr>
    </w:p>
    <w:p w14:paraId="6798220D" w14:textId="77777777" w:rsidR="008D2F10" w:rsidRPr="00D43575" w:rsidRDefault="008D2F10" w:rsidP="003B5AA5">
      <w:pPr>
        <w:pStyle w:val="SingleTxt"/>
        <w:spacing w:after="0" w:line="120" w:lineRule="exact"/>
        <w:rPr>
          <w:sz w:val="10"/>
        </w:rPr>
      </w:pPr>
    </w:p>
    <w:p w14:paraId="525F2895" w14:textId="49A2902D" w:rsidR="008D2F10" w:rsidRPr="00D43575" w:rsidRDefault="008D2F10" w:rsidP="00F50320">
      <w:pPr>
        <w:pStyle w:val="SingleTxt"/>
        <w:numPr>
          <w:ilvl w:val="0"/>
          <w:numId w:val="10"/>
        </w:numPr>
        <w:ind w:left="1267" w:firstLine="0"/>
      </w:pPr>
      <w:r w:rsidRPr="00D43575">
        <w:t>El Estado de Qatar presta una gran atención a las oportunidades educativas y de aprendizaje que se brindan a todos los segmentos de la sociedad, incluidos los adultos, tanto hombres como mujeres</w:t>
      </w:r>
      <w:r w:rsidR="00083383" w:rsidRPr="00D43575">
        <w:t>.</w:t>
      </w:r>
      <w:r w:rsidRPr="00D43575">
        <w:t xml:space="preserve"> La tasa de alfabetismo es un indicador importante para determinar el porcentaje de adultos que saben leer y escribir lo suficientemente bien como para interactuar de forma simple y cotidiana en sus</w:t>
      </w:r>
      <w:r w:rsidR="00083383" w:rsidRPr="00D43575">
        <w:t xml:space="preserve"> </w:t>
      </w:r>
      <w:r w:rsidRPr="00D43575">
        <w:t>vidas</w:t>
      </w:r>
      <w:r w:rsidR="00083383" w:rsidRPr="00D43575">
        <w:t>.</w:t>
      </w:r>
    </w:p>
    <w:p w14:paraId="78DF4EFB" w14:textId="4D2F6933" w:rsidR="008D2F10" w:rsidRPr="00D43575" w:rsidRDefault="008D2F10" w:rsidP="00083383">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2380"/>
        <w:rPr>
          <w:bCs w:val="0"/>
          <w:szCs w:val="20"/>
        </w:rPr>
      </w:pPr>
      <w:r w:rsidRPr="00D43575">
        <w:rPr>
          <w:bCs w:val="0"/>
          <w:szCs w:val="20"/>
        </w:rPr>
        <w:lastRenderedPageBreak/>
        <w:tab/>
      </w:r>
      <w:r w:rsidRPr="00D43575">
        <w:rPr>
          <w:bCs w:val="0"/>
          <w:szCs w:val="20"/>
        </w:rPr>
        <w:tab/>
      </w:r>
      <w:r w:rsidRPr="00D43575">
        <w:rPr>
          <w:b w:val="0"/>
          <w:bCs w:val="0"/>
          <w:szCs w:val="20"/>
        </w:rPr>
        <w:t>Cuadro 12</w:t>
      </w:r>
      <w:r w:rsidR="00F911D7" w:rsidRPr="00D43575">
        <w:rPr>
          <w:b w:val="0"/>
          <w:bCs w:val="0"/>
          <w:szCs w:val="20"/>
        </w:rPr>
        <w:t xml:space="preserve"> </w:t>
      </w:r>
      <w:r w:rsidR="00F911D7" w:rsidRPr="00D43575">
        <w:rPr>
          <w:b w:val="0"/>
          <w:bCs w:val="0"/>
          <w:szCs w:val="20"/>
        </w:rPr>
        <w:br/>
      </w:r>
      <w:r w:rsidRPr="00D43575">
        <w:rPr>
          <w:bCs w:val="0"/>
          <w:szCs w:val="20"/>
        </w:rPr>
        <w:t>Tasa de alfabetismo entre los adultos de 15 años de edad en adelante, de</w:t>
      </w:r>
      <w:r w:rsidR="00083383" w:rsidRPr="00D43575">
        <w:rPr>
          <w:bCs w:val="0"/>
          <w:szCs w:val="20"/>
        </w:rPr>
        <w:t xml:space="preserve"> </w:t>
      </w:r>
      <w:r w:rsidRPr="00D43575">
        <w:rPr>
          <w:bCs w:val="0"/>
          <w:szCs w:val="20"/>
        </w:rPr>
        <w:t>2001</w:t>
      </w:r>
      <w:r w:rsidR="00083383" w:rsidRPr="00D43575">
        <w:rPr>
          <w:bCs w:val="0"/>
          <w:szCs w:val="20"/>
        </w:rPr>
        <w:t xml:space="preserve"> </w:t>
      </w:r>
      <w:r w:rsidRPr="00D43575">
        <w:rPr>
          <w:bCs w:val="0"/>
          <w:szCs w:val="20"/>
        </w:rPr>
        <w:t>a</w:t>
      </w:r>
      <w:r w:rsidR="00083383" w:rsidRPr="00D43575">
        <w:rPr>
          <w:bCs w:val="0"/>
          <w:szCs w:val="20"/>
        </w:rPr>
        <w:t xml:space="preserve"> </w:t>
      </w:r>
      <w:r w:rsidRPr="00D43575">
        <w:rPr>
          <w:bCs w:val="0"/>
          <w:szCs w:val="20"/>
        </w:rPr>
        <w:t>2015</w:t>
      </w:r>
    </w:p>
    <w:p w14:paraId="29E5F1E4" w14:textId="77777777" w:rsidR="008D2F10" w:rsidRPr="00D43575" w:rsidRDefault="008D2F10" w:rsidP="0031068B">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72"/>
        <w:gridCol w:w="1464"/>
        <w:gridCol w:w="1464"/>
        <w:gridCol w:w="1464"/>
        <w:gridCol w:w="1353"/>
      </w:tblGrid>
      <w:tr w:rsidR="008D2F10" w:rsidRPr="00D43575" w14:paraId="20D71D23" w14:textId="77777777" w:rsidTr="00BD7BE9">
        <w:trPr>
          <w:tblHeader/>
        </w:trPr>
        <w:tc>
          <w:tcPr>
            <w:tcW w:w="1572" w:type="dxa"/>
            <w:tcBorders>
              <w:top w:val="single" w:sz="4" w:space="0" w:color="auto"/>
              <w:bottom w:val="single" w:sz="12" w:space="0" w:color="auto"/>
            </w:tcBorders>
            <w:shd w:val="clear" w:color="auto" w:fill="auto"/>
            <w:vAlign w:val="bottom"/>
          </w:tcPr>
          <w:p w14:paraId="757D714C" w14:textId="77777777" w:rsidR="008D2F10" w:rsidRPr="00D43575" w:rsidRDefault="008D2F10" w:rsidP="00686601">
            <w:pPr>
              <w:pStyle w:val="SingleTxt"/>
              <w:spacing w:before="80" w:after="80" w:line="160" w:lineRule="exact"/>
              <w:ind w:left="11" w:right="43"/>
              <w:jc w:val="left"/>
              <w:rPr>
                <w:i/>
                <w:iCs/>
                <w:sz w:val="14"/>
              </w:rPr>
            </w:pPr>
            <w:r w:rsidRPr="00D43575">
              <w:rPr>
                <w:i/>
                <w:iCs/>
                <w:sz w:val="14"/>
              </w:rPr>
              <w:t>Año/categoría</w:t>
            </w:r>
          </w:p>
        </w:tc>
        <w:tc>
          <w:tcPr>
            <w:tcW w:w="1464" w:type="dxa"/>
            <w:tcBorders>
              <w:top w:val="single" w:sz="4" w:space="0" w:color="auto"/>
              <w:bottom w:val="single" w:sz="12" w:space="0" w:color="auto"/>
            </w:tcBorders>
            <w:shd w:val="clear" w:color="auto" w:fill="auto"/>
            <w:vAlign w:val="bottom"/>
          </w:tcPr>
          <w:p w14:paraId="687056A9" w14:textId="77777777" w:rsidR="008D2F10" w:rsidRPr="00D43575" w:rsidRDefault="008D2F10" w:rsidP="00686601">
            <w:pPr>
              <w:pStyle w:val="SingleTxt"/>
              <w:spacing w:before="80" w:after="80" w:line="160" w:lineRule="exact"/>
              <w:ind w:left="63" w:right="43"/>
              <w:jc w:val="right"/>
              <w:rPr>
                <w:i/>
                <w:iCs/>
                <w:sz w:val="14"/>
              </w:rPr>
            </w:pPr>
            <w:r w:rsidRPr="00D43575">
              <w:rPr>
                <w:i/>
                <w:iCs/>
                <w:sz w:val="14"/>
              </w:rPr>
              <w:t>Porcentaje</w:t>
            </w:r>
            <w:r w:rsidR="00D169AC" w:rsidRPr="00D43575">
              <w:rPr>
                <w:i/>
                <w:iCs/>
                <w:sz w:val="14"/>
              </w:rPr>
              <w:br/>
            </w:r>
            <w:r w:rsidRPr="00D43575">
              <w:rPr>
                <w:i/>
                <w:iCs/>
                <w:sz w:val="14"/>
              </w:rPr>
              <w:t xml:space="preserve"> de hombres</w:t>
            </w:r>
          </w:p>
        </w:tc>
        <w:tc>
          <w:tcPr>
            <w:tcW w:w="1464" w:type="dxa"/>
            <w:tcBorders>
              <w:top w:val="single" w:sz="4" w:space="0" w:color="auto"/>
              <w:bottom w:val="single" w:sz="12" w:space="0" w:color="auto"/>
            </w:tcBorders>
            <w:shd w:val="clear" w:color="auto" w:fill="auto"/>
            <w:vAlign w:val="bottom"/>
          </w:tcPr>
          <w:p w14:paraId="38B97A85" w14:textId="77777777" w:rsidR="008D2F10" w:rsidRPr="00D43575" w:rsidRDefault="008D2F10" w:rsidP="00686601">
            <w:pPr>
              <w:pStyle w:val="SingleTxt"/>
              <w:spacing w:before="80" w:after="80" w:line="160" w:lineRule="exact"/>
              <w:ind w:left="63" w:right="43"/>
              <w:jc w:val="right"/>
              <w:rPr>
                <w:i/>
                <w:iCs/>
                <w:sz w:val="14"/>
              </w:rPr>
            </w:pPr>
            <w:r w:rsidRPr="00D43575">
              <w:rPr>
                <w:i/>
                <w:iCs/>
                <w:sz w:val="14"/>
              </w:rPr>
              <w:t>Porcentaje</w:t>
            </w:r>
            <w:r w:rsidR="00D169AC" w:rsidRPr="00D43575">
              <w:rPr>
                <w:i/>
                <w:iCs/>
                <w:sz w:val="14"/>
              </w:rPr>
              <w:br/>
            </w:r>
            <w:r w:rsidRPr="00D43575">
              <w:rPr>
                <w:i/>
                <w:iCs/>
                <w:sz w:val="14"/>
              </w:rPr>
              <w:t xml:space="preserve"> de mujeres</w:t>
            </w:r>
          </w:p>
        </w:tc>
        <w:tc>
          <w:tcPr>
            <w:tcW w:w="1464" w:type="dxa"/>
            <w:tcBorders>
              <w:top w:val="single" w:sz="4" w:space="0" w:color="auto"/>
              <w:bottom w:val="single" w:sz="12" w:space="0" w:color="auto"/>
            </w:tcBorders>
            <w:shd w:val="clear" w:color="auto" w:fill="auto"/>
            <w:vAlign w:val="bottom"/>
          </w:tcPr>
          <w:p w14:paraId="3E9E1416" w14:textId="77777777" w:rsidR="008D2F10" w:rsidRPr="00D43575" w:rsidRDefault="008D2F10" w:rsidP="00686601">
            <w:pPr>
              <w:pStyle w:val="SingleTxt"/>
              <w:spacing w:before="80" w:after="80" w:line="160" w:lineRule="exact"/>
              <w:ind w:left="63" w:right="43"/>
              <w:jc w:val="right"/>
              <w:rPr>
                <w:i/>
                <w:iCs/>
                <w:sz w:val="14"/>
              </w:rPr>
            </w:pPr>
            <w:r w:rsidRPr="00D43575">
              <w:rPr>
                <w:i/>
                <w:iCs/>
                <w:sz w:val="14"/>
              </w:rPr>
              <w:t>Porcentaje</w:t>
            </w:r>
            <w:r w:rsidR="00686601" w:rsidRPr="00D43575">
              <w:rPr>
                <w:i/>
                <w:iCs/>
                <w:sz w:val="14"/>
              </w:rPr>
              <w:br/>
            </w:r>
            <w:r w:rsidRPr="00D43575">
              <w:rPr>
                <w:i/>
                <w:iCs/>
                <w:sz w:val="14"/>
              </w:rPr>
              <w:t xml:space="preserve"> total</w:t>
            </w:r>
          </w:p>
        </w:tc>
        <w:tc>
          <w:tcPr>
            <w:tcW w:w="1353" w:type="dxa"/>
            <w:tcBorders>
              <w:top w:val="single" w:sz="4" w:space="0" w:color="auto"/>
              <w:bottom w:val="single" w:sz="12" w:space="0" w:color="auto"/>
            </w:tcBorders>
            <w:shd w:val="clear" w:color="auto" w:fill="auto"/>
            <w:vAlign w:val="bottom"/>
          </w:tcPr>
          <w:p w14:paraId="51756CAE" w14:textId="77777777" w:rsidR="008D2F10" w:rsidRPr="00D43575" w:rsidRDefault="008D2F10" w:rsidP="00686601">
            <w:pPr>
              <w:pStyle w:val="SingleTxt"/>
              <w:spacing w:before="80" w:after="80" w:line="160" w:lineRule="exact"/>
              <w:ind w:left="63" w:right="43"/>
              <w:jc w:val="right"/>
              <w:rPr>
                <w:i/>
                <w:iCs/>
                <w:sz w:val="14"/>
              </w:rPr>
            </w:pPr>
            <w:r w:rsidRPr="00D43575">
              <w:rPr>
                <w:i/>
                <w:iCs/>
                <w:sz w:val="14"/>
              </w:rPr>
              <w:t>Porcentaje relativo a la igualdad</w:t>
            </w:r>
            <w:r w:rsidR="00686601" w:rsidRPr="00D43575">
              <w:rPr>
                <w:i/>
                <w:iCs/>
                <w:sz w:val="14"/>
              </w:rPr>
              <w:br/>
            </w:r>
            <w:r w:rsidRPr="00D43575">
              <w:rPr>
                <w:i/>
                <w:iCs/>
                <w:sz w:val="14"/>
              </w:rPr>
              <w:t xml:space="preserve"> de género</w:t>
            </w:r>
          </w:p>
        </w:tc>
      </w:tr>
      <w:tr w:rsidR="008D2F10" w:rsidRPr="00D43575" w14:paraId="76ACA21A" w14:textId="77777777" w:rsidTr="00BD7BE9">
        <w:trPr>
          <w:trHeight w:hRule="exact" w:val="115"/>
          <w:tblHeader/>
        </w:trPr>
        <w:tc>
          <w:tcPr>
            <w:tcW w:w="1572" w:type="dxa"/>
            <w:tcBorders>
              <w:top w:val="single" w:sz="12" w:space="0" w:color="auto"/>
            </w:tcBorders>
            <w:shd w:val="clear" w:color="auto" w:fill="auto"/>
            <w:vAlign w:val="bottom"/>
          </w:tcPr>
          <w:p w14:paraId="77859DF4" w14:textId="77777777" w:rsidR="008D2F10" w:rsidRPr="00D43575" w:rsidRDefault="008D2F10" w:rsidP="00BD7BE9">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shd w:val="clear" w:color="auto" w:fill="auto"/>
            <w:vAlign w:val="bottom"/>
          </w:tcPr>
          <w:p w14:paraId="5C099C77"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77C460C3"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43C10962"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c>
          <w:tcPr>
            <w:tcW w:w="1353" w:type="dxa"/>
            <w:tcBorders>
              <w:top w:val="single" w:sz="12" w:space="0" w:color="auto"/>
            </w:tcBorders>
            <w:shd w:val="clear" w:color="auto" w:fill="auto"/>
            <w:vAlign w:val="bottom"/>
          </w:tcPr>
          <w:p w14:paraId="5F91C7D8"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r>
      <w:tr w:rsidR="008D2F10" w:rsidRPr="00D43575" w14:paraId="3A5861F6" w14:textId="77777777" w:rsidTr="00BD7BE9">
        <w:tc>
          <w:tcPr>
            <w:tcW w:w="1572" w:type="dxa"/>
            <w:shd w:val="clear" w:color="auto" w:fill="auto"/>
            <w:vAlign w:val="bottom"/>
          </w:tcPr>
          <w:p w14:paraId="57D3AA38"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2001</w:t>
            </w:r>
          </w:p>
        </w:tc>
        <w:tc>
          <w:tcPr>
            <w:tcW w:w="1464" w:type="dxa"/>
            <w:shd w:val="clear" w:color="auto" w:fill="auto"/>
            <w:vAlign w:val="bottom"/>
          </w:tcPr>
          <w:p w14:paraId="6E35FA09"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89,6</w:t>
            </w:r>
          </w:p>
        </w:tc>
        <w:tc>
          <w:tcPr>
            <w:tcW w:w="1464" w:type="dxa"/>
            <w:shd w:val="clear" w:color="auto" w:fill="auto"/>
            <w:vAlign w:val="bottom"/>
          </w:tcPr>
          <w:p w14:paraId="27C6275A"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86,5</w:t>
            </w:r>
          </w:p>
        </w:tc>
        <w:tc>
          <w:tcPr>
            <w:tcW w:w="1464" w:type="dxa"/>
            <w:shd w:val="clear" w:color="auto" w:fill="auto"/>
            <w:vAlign w:val="bottom"/>
          </w:tcPr>
          <w:p w14:paraId="77E079BD"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88,7</w:t>
            </w:r>
          </w:p>
        </w:tc>
        <w:tc>
          <w:tcPr>
            <w:tcW w:w="1353" w:type="dxa"/>
            <w:shd w:val="clear" w:color="auto" w:fill="auto"/>
            <w:vAlign w:val="bottom"/>
          </w:tcPr>
          <w:p w14:paraId="79AB43E3"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0,96</w:t>
            </w:r>
          </w:p>
        </w:tc>
      </w:tr>
      <w:tr w:rsidR="008D2F10" w:rsidRPr="00D43575" w14:paraId="3E93DC3B" w14:textId="77777777" w:rsidTr="00BD7BE9">
        <w:tc>
          <w:tcPr>
            <w:tcW w:w="1572" w:type="dxa"/>
            <w:shd w:val="clear" w:color="auto" w:fill="auto"/>
            <w:vAlign w:val="bottom"/>
          </w:tcPr>
          <w:p w14:paraId="6BB2F601"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2005</w:t>
            </w:r>
          </w:p>
        </w:tc>
        <w:tc>
          <w:tcPr>
            <w:tcW w:w="1464" w:type="dxa"/>
            <w:shd w:val="clear" w:color="auto" w:fill="auto"/>
            <w:vAlign w:val="bottom"/>
          </w:tcPr>
          <w:p w14:paraId="4B9463D2"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93,6</w:t>
            </w:r>
          </w:p>
        </w:tc>
        <w:tc>
          <w:tcPr>
            <w:tcW w:w="1464" w:type="dxa"/>
            <w:shd w:val="clear" w:color="auto" w:fill="auto"/>
            <w:vAlign w:val="bottom"/>
          </w:tcPr>
          <w:p w14:paraId="16C65904"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87,5</w:t>
            </w:r>
          </w:p>
        </w:tc>
        <w:tc>
          <w:tcPr>
            <w:tcW w:w="1464" w:type="dxa"/>
            <w:shd w:val="clear" w:color="auto" w:fill="auto"/>
            <w:vAlign w:val="bottom"/>
          </w:tcPr>
          <w:p w14:paraId="5251AD3E"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90,6</w:t>
            </w:r>
          </w:p>
        </w:tc>
        <w:tc>
          <w:tcPr>
            <w:tcW w:w="1353" w:type="dxa"/>
            <w:shd w:val="clear" w:color="auto" w:fill="auto"/>
            <w:vAlign w:val="bottom"/>
          </w:tcPr>
          <w:p w14:paraId="2270059B"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0,93</w:t>
            </w:r>
          </w:p>
        </w:tc>
      </w:tr>
      <w:tr w:rsidR="008D2F10" w:rsidRPr="00D43575" w14:paraId="108BF6A7" w14:textId="77777777" w:rsidTr="00BD7BE9">
        <w:tc>
          <w:tcPr>
            <w:tcW w:w="1572" w:type="dxa"/>
            <w:shd w:val="clear" w:color="auto" w:fill="auto"/>
            <w:vAlign w:val="bottom"/>
          </w:tcPr>
          <w:p w14:paraId="4974A3DE"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2008</w:t>
            </w:r>
          </w:p>
        </w:tc>
        <w:tc>
          <w:tcPr>
            <w:tcW w:w="1464" w:type="dxa"/>
            <w:shd w:val="clear" w:color="auto" w:fill="auto"/>
            <w:vAlign w:val="bottom"/>
          </w:tcPr>
          <w:p w14:paraId="1ABF4CB9"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94,3</w:t>
            </w:r>
          </w:p>
        </w:tc>
        <w:tc>
          <w:tcPr>
            <w:tcW w:w="1464" w:type="dxa"/>
            <w:shd w:val="clear" w:color="auto" w:fill="auto"/>
            <w:vAlign w:val="bottom"/>
          </w:tcPr>
          <w:p w14:paraId="37EF1D37"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92,7</w:t>
            </w:r>
          </w:p>
        </w:tc>
        <w:tc>
          <w:tcPr>
            <w:tcW w:w="1464" w:type="dxa"/>
            <w:shd w:val="clear" w:color="auto" w:fill="auto"/>
            <w:vAlign w:val="bottom"/>
          </w:tcPr>
          <w:p w14:paraId="6B408FCF"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94</w:t>
            </w:r>
          </w:p>
        </w:tc>
        <w:tc>
          <w:tcPr>
            <w:tcW w:w="1353" w:type="dxa"/>
            <w:shd w:val="clear" w:color="auto" w:fill="auto"/>
            <w:vAlign w:val="bottom"/>
          </w:tcPr>
          <w:p w14:paraId="26D9E752"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0,98</w:t>
            </w:r>
          </w:p>
        </w:tc>
      </w:tr>
      <w:tr w:rsidR="008D2F10" w:rsidRPr="00D43575" w14:paraId="211814B2" w14:textId="77777777" w:rsidTr="00BD7BE9">
        <w:tc>
          <w:tcPr>
            <w:tcW w:w="1572" w:type="dxa"/>
            <w:shd w:val="clear" w:color="auto" w:fill="auto"/>
            <w:vAlign w:val="bottom"/>
          </w:tcPr>
          <w:p w14:paraId="6482318B"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2012</w:t>
            </w:r>
          </w:p>
        </w:tc>
        <w:tc>
          <w:tcPr>
            <w:tcW w:w="1464" w:type="dxa"/>
            <w:shd w:val="clear" w:color="auto" w:fill="auto"/>
            <w:vAlign w:val="bottom"/>
          </w:tcPr>
          <w:p w14:paraId="71B38945"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96,9</w:t>
            </w:r>
          </w:p>
        </w:tc>
        <w:tc>
          <w:tcPr>
            <w:tcW w:w="1464" w:type="dxa"/>
            <w:shd w:val="clear" w:color="auto" w:fill="auto"/>
            <w:vAlign w:val="bottom"/>
          </w:tcPr>
          <w:p w14:paraId="0FA60BDD"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95,8</w:t>
            </w:r>
          </w:p>
        </w:tc>
        <w:tc>
          <w:tcPr>
            <w:tcW w:w="1464" w:type="dxa"/>
            <w:shd w:val="clear" w:color="auto" w:fill="auto"/>
            <w:vAlign w:val="bottom"/>
          </w:tcPr>
          <w:p w14:paraId="7021D10F"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96,7</w:t>
            </w:r>
          </w:p>
        </w:tc>
        <w:tc>
          <w:tcPr>
            <w:tcW w:w="1353" w:type="dxa"/>
            <w:shd w:val="clear" w:color="auto" w:fill="auto"/>
            <w:vAlign w:val="bottom"/>
          </w:tcPr>
          <w:p w14:paraId="5C5E19FE"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0,99</w:t>
            </w:r>
          </w:p>
        </w:tc>
      </w:tr>
      <w:tr w:rsidR="008D2F10" w:rsidRPr="00D43575" w14:paraId="03DBAEB7" w14:textId="77777777" w:rsidTr="00BD7BE9">
        <w:tc>
          <w:tcPr>
            <w:tcW w:w="1572" w:type="dxa"/>
            <w:shd w:val="clear" w:color="auto" w:fill="auto"/>
            <w:vAlign w:val="bottom"/>
          </w:tcPr>
          <w:p w14:paraId="33DEA7F6" w14:textId="77777777" w:rsidR="008D2F10" w:rsidRPr="00D43575"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2013</w:t>
            </w:r>
          </w:p>
        </w:tc>
        <w:tc>
          <w:tcPr>
            <w:tcW w:w="1464" w:type="dxa"/>
            <w:shd w:val="clear" w:color="auto" w:fill="auto"/>
            <w:vAlign w:val="bottom"/>
          </w:tcPr>
          <w:p w14:paraId="7FDE6427"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97,9</w:t>
            </w:r>
          </w:p>
        </w:tc>
        <w:tc>
          <w:tcPr>
            <w:tcW w:w="1464" w:type="dxa"/>
            <w:shd w:val="clear" w:color="auto" w:fill="auto"/>
            <w:vAlign w:val="bottom"/>
          </w:tcPr>
          <w:p w14:paraId="11B51991"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97,1</w:t>
            </w:r>
          </w:p>
        </w:tc>
        <w:tc>
          <w:tcPr>
            <w:tcW w:w="1464" w:type="dxa"/>
            <w:shd w:val="clear" w:color="auto" w:fill="auto"/>
            <w:vAlign w:val="bottom"/>
          </w:tcPr>
          <w:p w14:paraId="6BA28AA4"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97,5</w:t>
            </w:r>
          </w:p>
        </w:tc>
        <w:tc>
          <w:tcPr>
            <w:tcW w:w="1353" w:type="dxa"/>
            <w:shd w:val="clear" w:color="auto" w:fill="auto"/>
            <w:vAlign w:val="bottom"/>
          </w:tcPr>
          <w:p w14:paraId="55ADB3E8"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0,99</w:t>
            </w:r>
          </w:p>
        </w:tc>
      </w:tr>
      <w:tr w:rsidR="008D2F10" w:rsidRPr="00D43575" w14:paraId="09EA6C0C" w14:textId="77777777" w:rsidTr="00BD7BE9">
        <w:tc>
          <w:tcPr>
            <w:tcW w:w="1572" w:type="dxa"/>
            <w:tcBorders>
              <w:bottom w:val="single" w:sz="12" w:space="0" w:color="auto"/>
            </w:tcBorders>
            <w:shd w:val="clear" w:color="auto" w:fill="auto"/>
            <w:vAlign w:val="bottom"/>
          </w:tcPr>
          <w:p w14:paraId="1DCA5762" w14:textId="77777777" w:rsidR="008D2F10" w:rsidRPr="007D60C1" w:rsidRDefault="008D2F10" w:rsidP="00295AC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2015</w:t>
            </w:r>
            <w:r w:rsidRPr="007D60C1">
              <w:rPr>
                <w:sz w:val="17"/>
                <w:vertAlign w:val="superscript"/>
              </w:rPr>
              <w:footnoteReference w:id="21"/>
            </w:r>
          </w:p>
        </w:tc>
        <w:tc>
          <w:tcPr>
            <w:tcW w:w="1464" w:type="dxa"/>
            <w:tcBorders>
              <w:bottom w:val="single" w:sz="12" w:space="0" w:color="auto"/>
            </w:tcBorders>
            <w:shd w:val="clear" w:color="auto" w:fill="auto"/>
            <w:vAlign w:val="bottom"/>
          </w:tcPr>
          <w:p w14:paraId="76870737" w14:textId="77777777" w:rsidR="008D2F10" w:rsidRPr="009D5F93"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9D5F93">
              <w:rPr>
                <w:sz w:val="17"/>
              </w:rPr>
              <w:t>98,4</w:t>
            </w:r>
          </w:p>
        </w:tc>
        <w:tc>
          <w:tcPr>
            <w:tcW w:w="1464" w:type="dxa"/>
            <w:tcBorders>
              <w:bottom w:val="single" w:sz="12" w:space="0" w:color="auto"/>
            </w:tcBorders>
            <w:shd w:val="clear" w:color="auto" w:fill="auto"/>
            <w:vAlign w:val="bottom"/>
          </w:tcPr>
          <w:p w14:paraId="352CC729"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98,3</w:t>
            </w:r>
          </w:p>
        </w:tc>
        <w:tc>
          <w:tcPr>
            <w:tcW w:w="1464" w:type="dxa"/>
            <w:tcBorders>
              <w:bottom w:val="single" w:sz="12" w:space="0" w:color="auto"/>
            </w:tcBorders>
            <w:shd w:val="clear" w:color="auto" w:fill="auto"/>
            <w:vAlign w:val="bottom"/>
          </w:tcPr>
          <w:p w14:paraId="11E1453E"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98,4</w:t>
            </w:r>
          </w:p>
        </w:tc>
        <w:tc>
          <w:tcPr>
            <w:tcW w:w="1353" w:type="dxa"/>
            <w:tcBorders>
              <w:bottom w:val="single" w:sz="12" w:space="0" w:color="auto"/>
            </w:tcBorders>
            <w:shd w:val="clear" w:color="auto" w:fill="auto"/>
            <w:vAlign w:val="bottom"/>
          </w:tcPr>
          <w:p w14:paraId="0A2A0ABB" w14:textId="77777777" w:rsidR="008D2F10" w:rsidRPr="00D43575" w:rsidRDefault="008D2F10" w:rsidP="006866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r>
    </w:tbl>
    <w:p w14:paraId="013FC01C" w14:textId="77777777" w:rsidR="008D2F10" w:rsidRPr="00D43575" w:rsidRDefault="008D2F10" w:rsidP="008D2F10">
      <w:pPr>
        <w:pStyle w:val="SingleTxt"/>
        <w:spacing w:after="0" w:line="120" w:lineRule="exact"/>
        <w:rPr>
          <w:sz w:val="10"/>
        </w:rPr>
      </w:pPr>
    </w:p>
    <w:p w14:paraId="05B9AB0C" w14:textId="1DB5769F" w:rsidR="008D2F10"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 xml:space="preserve">Estado de Qatar, Ministerio de Educación y Enseñanza Superior, </w:t>
      </w:r>
      <w:r w:rsidRPr="00D43575">
        <w:rPr>
          <w:rFonts w:eastAsiaTheme="minorHAnsi"/>
          <w:i/>
          <w:iCs/>
          <w:w w:val="103"/>
          <w:kern w:val="14"/>
          <w:szCs w:val="20"/>
        </w:rPr>
        <w:t>Educación para Todos: informe nacional del Estado de Qatar 2000</w:t>
      </w:r>
      <w:r w:rsidR="00083383" w:rsidRPr="00D43575">
        <w:rPr>
          <w:rFonts w:eastAsiaTheme="minorHAnsi"/>
          <w:i/>
          <w:iCs/>
          <w:w w:val="103"/>
          <w:kern w:val="14"/>
          <w:szCs w:val="20"/>
        </w:rPr>
        <w:noBreakHyphen/>
      </w:r>
      <w:r w:rsidRPr="00D43575">
        <w:rPr>
          <w:rFonts w:eastAsiaTheme="minorHAnsi"/>
          <w:i/>
          <w:iCs/>
          <w:w w:val="103"/>
          <w:kern w:val="14"/>
          <w:szCs w:val="20"/>
        </w:rPr>
        <w:t>201</w:t>
      </w:r>
      <w:r w:rsidRPr="00D43575">
        <w:rPr>
          <w:rFonts w:eastAsiaTheme="minorHAnsi"/>
          <w:iCs/>
          <w:w w:val="103"/>
          <w:kern w:val="14"/>
          <w:szCs w:val="20"/>
        </w:rPr>
        <w:t>5, julio de 2014</w:t>
      </w:r>
      <w:r w:rsidR="00083383" w:rsidRPr="00D43575">
        <w:rPr>
          <w:rFonts w:eastAsiaTheme="minorHAnsi"/>
          <w:iCs/>
          <w:w w:val="103"/>
          <w:kern w:val="14"/>
          <w:szCs w:val="20"/>
        </w:rPr>
        <w:t>.</w:t>
      </w:r>
    </w:p>
    <w:p w14:paraId="3EE399AB" w14:textId="77777777" w:rsidR="008D2F10" w:rsidRPr="00D43575" w:rsidRDefault="008D2F10" w:rsidP="003B5AA5">
      <w:pPr>
        <w:pStyle w:val="SingleTxt"/>
        <w:spacing w:after="0" w:line="120" w:lineRule="exact"/>
        <w:rPr>
          <w:sz w:val="10"/>
        </w:rPr>
      </w:pPr>
    </w:p>
    <w:p w14:paraId="3C8AFDD6" w14:textId="77777777" w:rsidR="008D2F10" w:rsidRPr="00D43575" w:rsidRDefault="008D2F10" w:rsidP="003B5AA5">
      <w:pPr>
        <w:pStyle w:val="SingleTxt"/>
        <w:spacing w:after="0" w:line="120" w:lineRule="exact"/>
        <w:rPr>
          <w:sz w:val="10"/>
        </w:rPr>
      </w:pPr>
    </w:p>
    <w:p w14:paraId="3B38C49F" w14:textId="3D1ECABA" w:rsidR="008D2F10" w:rsidRPr="00D43575" w:rsidRDefault="008D2F10" w:rsidP="00310555">
      <w:pPr>
        <w:pStyle w:val="SingleTxt"/>
        <w:keepLines/>
        <w:numPr>
          <w:ilvl w:val="0"/>
          <w:numId w:val="10"/>
        </w:numPr>
        <w:ind w:left="1267" w:firstLine="0"/>
      </w:pPr>
      <w:r w:rsidRPr="00D43575">
        <w:t>Como se aprecia claramente en el cuadro 12, las tasas de alfabetismo de hombres y mujeres están aumentando año tras año y ya han alcanzado unas cifras bastante elevadas</w:t>
      </w:r>
      <w:r w:rsidR="00083383" w:rsidRPr="00D43575">
        <w:t>.</w:t>
      </w:r>
      <w:r w:rsidRPr="00D43575">
        <w:t xml:space="preserve"> El cuadro muestra que las tasas de alfabetismo entre alumnos adultos hombres y mujeres son prácticamente las mismas</w:t>
      </w:r>
      <w:r w:rsidR="00083383" w:rsidRPr="00D43575">
        <w:t>.</w:t>
      </w:r>
      <w:r w:rsidRPr="00D43575">
        <w:t xml:space="preserve"> Los resultados apuntan a una mejora notable y a un aumento de las tasas, lo que da cuenta de la atención que presta el Estado de Qatar a la educación de adultos de ambos sexos sin discriminación alguna</w:t>
      </w:r>
      <w:r w:rsidR="00083383" w:rsidRPr="00D43575">
        <w:t>.</w:t>
      </w:r>
      <w:r w:rsidRPr="00D43575">
        <w:t xml:space="preserve"> El cuadro 13 muestra el número de estudiantes en educación de adultos y alfabetización, desglosados por sexo, durante el período 2001</w:t>
      </w:r>
      <w:r w:rsidR="00083383" w:rsidRPr="00D43575">
        <w:noBreakHyphen/>
      </w:r>
      <w:r w:rsidRPr="00D43575">
        <w:t>2013</w:t>
      </w:r>
      <w:r w:rsidR="00083383" w:rsidRPr="00D43575">
        <w:t>.</w:t>
      </w:r>
    </w:p>
    <w:p w14:paraId="0BDBE55A" w14:textId="77777777" w:rsidR="008D2F10" w:rsidRPr="00D43575" w:rsidRDefault="008D2F10" w:rsidP="008D2F10">
      <w:pPr>
        <w:pStyle w:val="SingleTxt"/>
        <w:spacing w:after="0" w:line="120" w:lineRule="exact"/>
        <w:rPr>
          <w:sz w:val="10"/>
        </w:rPr>
      </w:pPr>
    </w:p>
    <w:p w14:paraId="0DFA5C27" w14:textId="6B7FD469" w:rsidR="008D2F10" w:rsidRPr="00D43575" w:rsidRDefault="008D2F10" w:rsidP="00FC6BA7">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r>
      <w:r w:rsidR="003771A9">
        <w:rPr>
          <w:b w:val="0"/>
          <w:bCs w:val="0"/>
          <w:szCs w:val="20"/>
        </w:rPr>
        <w:t>Cuadro 13</w:t>
      </w:r>
      <w:r w:rsidR="00473E2B" w:rsidRPr="00D43575">
        <w:rPr>
          <w:b w:val="0"/>
          <w:bCs w:val="0"/>
          <w:szCs w:val="20"/>
        </w:rPr>
        <w:t xml:space="preserve"> </w:t>
      </w:r>
      <w:r w:rsidR="00473E2B" w:rsidRPr="00D43575">
        <w:rPr>
          <w:b w:val="0"/>
          <w:bCs w:val="0"/>
          <w:szCs w:val="20"/>
        </w:rPr>
        <w:br/>
      </w:r>
      <w:r w:rsidRPr="00D43575">
        <w:rPr>
          <w:bCs w:val="0"/>
          <w:szCs w:val="20"/>
        </w:rPr>
        <w:t>Número de estudiantes hombres y mujeres matriculados en educación de adultos y alfabetización, desglosados por sexo, unidades y niveles educativos, 2001</w:t>
      </w:r>
      <w:r w:rsidR="00083383" w:rsidRPr="00D43575">
        <w:rPr>
          <w:bCs w:val="0"/>
          <w:szCs w:val="20"/>
        </w:rPr>
        <w:noBreakHyphen/>
      </w:r>
      <w:r w:rsidRPr="00D43575">
        <w:rPr>
          <w:bCs w:val="0"/>
          <w:szCs w:val="20"/>
        </w:rPr>
        <w:t>2017</w:t>
      </w:r>
    </w:p>
    <w:p w14:paraId="58AE0F52" w14:textId="77777777" w:rsidR="008D2F10" w:rsidRPr="00D43575" w:rsidRDefault="008D2F10" w:rsidP="00FC6BA7">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03"/>
        <w:gridCol w:w="763"/>
        <w:gridCol w:w="699"/>
        <w:gridCol w:w="691"/>
        <w:gridCol w:w="691"/>
        <w:gridCol w:w="691"/>
        <w:gridCol w:w="619"/>
        <w:gridCol w:w="958"/>
        <w:gridCol w:w="827"/>
        <w:gridCol w:w="603"/>
      </w:tblGrid>
      <w:tr w:rsidR="008D2F10" w:rsidRPr="00D43575" w14:paraId="3B4F09AC" w14:textId="77777777" w:rsidTr="00EA5196">
        <w:trPr>
          <w:tblHeader/>
        </w:trPr>
        <w:tc>
          <w:tcPr>
            <w:tcW w:w="903" w:type="dxa"/>
            <w:tcBorders>
              <w:top w:val="single" w:sz="4" w:space="0" w:color="auto"/>
              <w:bottom w:val="single" w:sz="12" w:space="0" w:color="auto"/>
            </w:tcBorders>
            <w:shd w:val="clear" w:color="auto" w:fill="auto"/>
            <w:vAlign w:val="bottom"/>
          </w:tcPr>
          <w:p w14:paraId="288E9DBF" w14:textId="77777777" w:rsidR="008D2F10" w:rsidRPr="00D43575" w:rsidRDefault="008D2F10" w:rsidP="00FC6BA7">
            <w:pPr>
              <w:pStyle w:val="SingleTxt"/>
              <w:keepNext/>
              <w:keepLines/>
              <w:spacing w:before="80" w:after="80" w:line="160" w:lineRule="exact"/>
              <w:ind w:left="11" w:right="43"/>
              <w:jc w:val="left"/>
              <w:rPr>
                <w:i/>
                <w:iCs/>
                <w:sz w:val="14"/>
              </w:rPr>
            </w:pPr>
            <w:r w:rsidRPr="00D43575">
              <w:rPr>
                <w:i/>
                <w:iCs/>
                <w:sz w:val="14"/>
              </w:rPr>
              <w:t>Curso académico</w:t>
            </w:r>
          </w:p>
        </w:tc>
        <w:tc>
          <w:tcPr>
            <w:tcW w:w="763" w:type="dxa"/>
            <w:tcBorders>
              <w:top w:val="single" w:sz="4" w:space="0" w:color="auto"/>
              <w:bottom w:val="single" w:sz="12" w:space="0" w:color="auto"/>
            </w:tcBorders>
            <w:shd w:val="clear" w:color="auto" w:fill="auto"/>
            <w:vAlign w:val="bottom"/>
          </w:tcPr>
          <w:p w14:paraId="024683E1" w14:textId="77777777" w:rsidR="008D2F10" w:rsidRPr="00D43575" w:rsidRDefault="008D2F10" w:rsidP="00FC6BA7">
            <w:pPr>
              <w:pStyle w:val="SingleTxt"/>
              <w:keepNext/>
              <w:keepLines/>
              <w:spacing w:before="80" w:after="80" w:line="160" w:lineRule="exact"/>
              <w:ind w:left="11" w:right="43"/>
              <w:jc w:val="left"/>
              <w:rPr>
                <w:i/>
                <w:iCs/>
                <w:sz w:val="14"/>
              </w:rPr>
            </w:pPr>
            <w:r w:rsidRPr="00D43575">
              <w:rPr>
                <w:i/>
                <w:iCs/>
                <w:sz w:val="14"/>
              </w:rPr>
              <w:t>Sexo</w:t>
            </w:r>
          </w:p>
        </w:tc>
        <w:tc>
          <w:tcPr>
            <w:tcW w:w="699" w:type="dxa"/>
            <w:tcBorders>
              <w:top w:val="single" w:sz="4" w:space="0" w:color="auto"/>
              <w:bottom w:val="single" w:sz="12" w:space="0" w:color="auto"/>
            </w:tcBorders>
            <w:shd w:val="clear" w:color="auto" w:fill="auto"/>
            <w:vAlign w:val="bottom"/>
          </w:tcPr>
          <w:p w14:paraId="663DF9E5" w14:textId="77777777" w:rsidR="008D2F10" w:rsidRPr="00D43575" w:rsidRDefault="008D2F10" w:rsidP="00FC6BA7">
            <w:pPr>
              <w:pStyle w:val="SingleTxt"/>
              <w:keepNext/>
              <w:keepLines/>
              <w:spacing w:before="80" w:after="80" w:line="160" w:lineRule="exact"/>
              <w:ind w:left="63" w:right="43"/>
              <w:jc w:val="right"/>
              <w:rPr>
                <w:i/>
                <w:iCs/>
                <w:sz w:val="14"/>
              </w:rPr>
            </w:pPr>
            <w:r w:rsidRPr="00D43575">
              <w:rPr>
                <w:i/>
                <w:iCs/>
                <w:sz w:val="14"/>
              </w:rPr>
              <w:t>Unidad 1</w:t>
            </w:r>
          </w:p>
        </w:tc>
        <w:tc>
          <w:tcPr>
            <w:tcW w:w="691" w:type="dxa"/>
            <w:tcBorders>
              <w:top w:val="single" w:sz="4" w:space="0" w:color="auto"/>
              <w:bottom w:val="single" w:sz="12" w:space="0" w:color="auto"/>
            </w:tcBorders>
            <w:shd w:val="clear" w:color="auto" w:fill="auto"/>
            <w:vAlign w:val="bottom"/>
          </w:tcPr>
          <w:p w14:paraId="72A8B802" w14:textId="77777777" w:rsidR="008D2F10" w:rsidRPr="00D43575" w:rsidRDefault="008D2F10" w:rsidP="00FC6BA7">
            <w:pPr>
              <w:pStyle w:val="SingleTxt"/>
              <w:keepNext/>
              <w:keepLines/>
              <w:spacing w:before="80" w:after="80" w:line="160" w:lineRule="exact"/>
              <w:ind w:left="63" w:right="43"/>
              <w:jc w:val="right"/>
              <w:rPr>
                <w:i/>
                <w:iCs/>
                <w:sz w:val="14"/>
              </w:rPr>
            </w:pPr>
            <w:r w:rsidRPr="00D43575">
              <w:rPr>
                <w:i/>
                <w:iCs/>
                <w:sz w:val="14"/>
              </w:rPr>
              <w:t>Unidad 2</w:t>
            </w:r>
          </w:p>
        </w:tc>
        <w:tc>
          <w:tcPr>
            <w:tcW w:w="691" w:type="dxa"/>
            <w:tcBorders>
              <w:top w:val="single" w:sz="4" w:space="0" w:color="auto"/>
              <w:bottom w:val="single" w:sz="12" w:space="0" w:color="auto"/>
            </w:tcBorders>
            <w:shd w:val="clear" w:color="auto" w:fill="auto"/>
            <w:vAlign w:val="bottom"/>
          </w:tcPr>
          <w:p w14:paraId="4DA81232" w14:textId="77777777" w:rsidR="008D2F10" w:rsidRPr="00D43575" w:rsidRDefault="008D2F10" w:rsidP="00FC6BA7">
            <w:pPr>
              <w:pStyle w:val="SingleTxt"/>
              <w:keepNext/>
              <w:keepLines/>
              <w:spacing w:before="80" w:after="80" w:line="160" w:lineRule="exact"/>
              <w:ind w:left="63" w:right="43"/>
              <w:jc w:val="right"/>
              <w:rPr>
                <w:i/>
                <w:iCs/>
                <w:sz w:val="14"/>
              </w:rPr>
            </w:pPr>
            <w:r w:rsidRPr="00D43575">
              <w:rPr>
                <w:i/>
                <w:iCs/>
                <w:sz w:val="14"/>
              </w:rPr>
              <w:t>Unidad 3</w:t>
            </w:r>
          </w:p>
        </w:tc>
        <w:tc>
          <w:tcPr>
            <w:tcW w:w="691" w:type="dxa"/>
            <w:tcBorders>
              <w:top w:val="single" w:sz="4" w:space="0" w:color="auto"/>
              <w:bottom w:val="single" w:sz="12" w:space="0" w:color="auto"/>
            </w:tcBorders>
            <w:shd w:val="clear" w:color="auto" w:fill="auto"/>
            <w:vAlign w:val="bottom"/>
          </w:tcPr>
          <w:p w14:paraId="43CEF08A" w14:textId="77777777" w:rsidR="008D2F10" w:rsidRPr="00D43575" w:rsidRDefault="008D2F10" w:rsidP="00FC6BA7">
            <w:pPr>
              <w:pStyle w:val="SingleTxt"/>
              <w:keepNext/>
              <w:keepLines/>
              <w:spacing w:before="80" w:after="80" w:line="160" w:lineRule="exact"/>
              <w:ind w:left="63" w:right="43"/>
              <w:jc w:val="right"/>
              <w:rPr>
                <w:i/>
                <w:iCs/>
                <w:sz w:val="14"/>
              </w:rPr>
            </w:pPr>
            <w:r w:rsidRPr="00D43575">
              <w:rPr>
                <w:i/>
                <w:iCs/>
                <w:sz w:val="14"/>
              </w:rPr>
              <w:t>Unidad 4</w:t>
            </w:r>
          </w:p>
        </w:tc>
        <w:tc>
          <w:tcPr>
            <w:tcW w:w="619" w:type="dxa"/>
            <w:tcBorders>
              <w:top w:val="single" w:sz="4" w:space="0" w:color="auto"/>
              <w:bottom w:val="single" w:sz="12" w:space="0" w:color="auto"/>
            </w:tcBorders>
            <w:shd w:val="clear" w:color="auto" w:fill="auto"/>
            <w:vAlign w:val="bottom"/>
          </w:tcPr>
          <w:p w14:paraId="74EEB8F1" w14:textId="77777777" w:rsidR="008D2F10" w:rsidRPr="00D43575" w:rsidRDefault="008D2F10" w:rsidP="00FC6BA7">
            <w:pPr>
              <w:pStyle w:val="SingleTxt"/>
              <w:keepNext/>
              <w:keepLines/>
              <w:spacing w:before="80" w:after="80" w:line="160" w:lineRule="exact"/>
              <w:ind w:left="63" w:right="43"/>
              <w:jc w:val="right"/>
              <w:rPr>
                <w:i/>
                <w:iCs/>
                <w:sz w:val="14"/>
              </w:rPr>
            </w:pPr>
            <w:r w:rsidRPr="00D43575">
              <w:rPr>
                <w:i/>
                <w:iCs/>
                <w:sz w:val="14"/>
              </w:rPr>
              <w:t>Total</w:t>
            </w:r>
          </w:p>
        </w:tc>
        <w:tc>
          <w:tcPr>
            <w:tcW w:w="958" w:type="dxa"/>
            <w:tcBorders>
              <w:top w:val="single" w:sz="4" w:space="0" w:color="auto"/>
              <w:bottom w:val="single" w:sz="12" w:space="0" w:color="auto"/>
            </w:tcBorders>
            <w:shd w:val="clear" w:color="auto" w:fill="auto"/>
            <w:vAlign w:val="bottom"/>
          </w:tcPr>
          <w:p w14:paraId="0539FB74" w14:textId="77777777" w:rsidR="008D2F10" w:rsidRPr="00D43575" w:rsidRDefault="008D2F10" w:rsidP="00FC6BA7">
            <w:pPr>
              <w:pStyle w:val="SingleTxt"/>
              <w:keepNext/>
              <w:keepLines/>
              <w:spacing w:before="80" w:after="80" w:line="160" w:lineRule="exact"/>
              <w:ind w:left="63" w:right="43"/>
              <w:jc w:val="right"/>
              <w:rPr>
                <w:i/>
                <w:iCs/>
                <w:sz w:val="14"/>
              </w:rPr>
            </w:pPr>
            <w:r w:rsidRPr="00D43575">
              <w:rPr>
                <w:i/>
                <w:iCs/>
                <w:sz w:val="14"/>
              </w:rPr>
              <w:t>Educación preparatoria</w:t>
            </w:r>
          </w:p>
        </w:tc>
        <w:tc>
          <w:tcPr>
            <w:tcW w:w="827" w:type="dxa"/>
            <w:tcBorders>
              <w:top w:val="single" w:sz="4" w:space="0" w:color="auto"/>
              <w:bottom w:val="single" w:sz="12" w:space="0" w:color="auto"/>
            </w:tcBorders>
            <w:shd w:val="clear" w:color="auto" w:fill="auto"/>
            <w:vAlign w:val="bottom"/>
          </w:tcPr>
          <w:p w14:paraId="1C703509" w14:textId="77777777" w:rsidR="008D2F10" w:rsidRPr="00D43575" w:rsidRDefault="008D2F10" w:rsidP="00FC6BA7">
            <w:pPr>
              <w:pStyle w:val="SingleTxt"/>
              <w:keepNext/>
              <w:keepLines/>
              <w:spacing w:before="80" w:after="80" w:line="160" w:lineRule="exact"/>
              <w:ind w:left="63" w:right="43"/>
              <w:jc w:val="right"/>
              <w:rPr>
                <w:i/>
                <w:iCs/>
                <w:sz w:val="14"/>
              </w:rPr>
            </w:pPr>
            <w:r w:rsidRPr="00D43575">
              <w:rPr>
                <w:i/>
                <w:iCs/>
                <w:sz w:val="14"/>
              </w:rPr>
              <w:t>Educación secundaria</w:t>
            </w:r>
          </w:p>
        </w:tc>
        <w:tc>
          <w:tcPr>
            <w:tcW w:w="603" w:type="dxa"/>
            <w:tcBorders>
              <w:top w:val="single" w:sz="4" w:space="0" w:color="auto"/>
              <w:bottom w:val="single" w:sz="12" w:space="0" w:color="auto"/>
            </w:tcBorders>
            <w:shd w:val="clear" w:color="auto" w:fill="auto"/>
            <w:vAlign w:val="bottom"/>
          </w:tcPr>
          <w:p w14:paraId="17AF4DF9" w14:textId="77777777" w:rsidR="008D2F10" w:rsidRPr="00D43575" w:rsidRDefault="008D2F10" w:rsidP="00FC6BA7">
            <w:pPr>
              <w:pStyle w:val="SingleTxt"/>
              <w:keepNext/>
              <w:keepLines/>
              <w:spacing w:before="80" w:after="80" w:line="160" w:lineRule="exact"/>
              <w:ind w:left="63" w:right="43"/>
              <w:jc w:val="right"/>
              <w:rPr>
                <w:i/>
                <w:iCs/>
                <w:sz w:val="14"/>
              </w:rPr>
            </w:pPr>
            <w:r w:rsidRPr="00D43575">
              <w:rPr>
                <w:i/>
                <w:iCs/>
                <w:sz w:val="14"/>
              </w:rPr>
              <w:t>Total</w:t>
            </w:r>
          </w:p>
        </w:tc>
      </w:tr>
      <w:tr w:rsidR="008D2F10" w:rsidRPr="00D43575" w14:paraId="48D06612" w14:textId="77777777" w:rsidTr="00EA5196">
        <w:trPr>
          <w:trHeight w:hRule="exact" w:val="115"/>
          <w:tblHeader/>
        </w:trPr>
        <w:tc>
          <w:tcPr>
            <w:tcW w:w="903" w:type="dxa"/>
            <w:tcBorders>
              <w:top w:val="single" w:sz="12" w:space="0" w:color="auto"/>
            </w:tcBorders>
            <w:shd w:val="clear" w:color="auto" w:fill="auto"/>
            <w:vAlign w:val="bottom"/>
          </w:tcPr>
          <w:p w14:paraId="6232D882" w14:textId="77777777" w:rsidR="008D2F10" w:rsidRPr="00D43575" w:rsidRDefault="008D2F10" w:rsidP="00FC6BA7">
            <w:pPr>
              <w:keepNext/>
              <w:keepLines/>
              <w:tabs>
                <w:tab w:val="left" w:pos="288"/>
                <w:tab w:val="left" w:pos="576"/>
                <w:tab w:val="left" w:pos="864"/>
                <w:tab w:val="left" w:pos="1152"/>
              </w:tabs>
              <w:spacing w:before="40" w:after="40" w:line="210" w:lineRule="exact"/>
              <w:ind w:right="40"/>
              <w:rPr>
                <w:sz w:val="17"/>
              </w:rPr>
            </w:pPr>
          </w:p>
        </w:tc>
        <w:tc>
          <w:tcPr>
            <w:tcW w:w="763" w:type="dxa"/>
            <w:tcBorders>
              <w:top w:val="single" w:sz="12" w:space="0" w:color="auto"/>
            </w:tcBorders>
            <w:shd w:val="clear" w:color="auto" w:fill="auto"/>
            <w:vAlign w:val="bottom"/>
          </w:tcPr>
          <w:p w14:paraId="53A8E8F0" w14:textId="77777777" w:rsidR="008D2F10" w:rsidRPr="00D43575" w:rsidRDefault="008D2F10" w:rsidP="00FC6BA7">
            <w:pPr>
              <w:keepNext/>
              <w:keepLines/>
              <w:tabs>
                <w:tab w:val="left" w:pos="288"/>
                <w:tab w:val="left" w:pos="576"/>
                <w:tab w:val="left" w:pos="864"/>
                <w:tab w:val="left" w:pos="1152"/>
              </w:tabs>
              <w:spacing w:before="40" w:after="40" w:line="210" w:lineRule="exact"/>
              <w:ind w:left="144" w:right="43"/>
              <w:rPr>
                <w:sz w:val="17"/>
              </w:rPr>
            </w:pPr>
          </w:p>
        </w:tc>
        <w:tc>
          <w:tcPr>
            <w:tcW w:w="699" w:type="dxa"/>
            <w:tcBorders>
              <w:top w:val="single" w:sz="12" w:space="0" w:color="auto"/>
            </w:tcBorders>
            <w:shd w:val="clear" w:color="auto" w:fill="auto"/>
            <w:vAlign w:val="bottom"/>
          </w:tcPr>
          <w:p w14:paraId="11FD26BE" w14:textId="77777777" w:rsidR="008D2F10" w:rsidRPr="00D43575" w:rsidRDefault="008D2F10" w:rsidP="00FC6BA7">
            <w:pPr>
              <w:keepNext/>
              <w:keepLines/>
              <w:tabs>
                <w:tab w:val="left" w:pos="288"/>
                <w:tab w:val="left" w:pos="576"/>
                <w:tab w:val="left" w:pos="864"/>
                <w:tab w:val="left" w:pos="1152"/>
              </w:tabs>
              <w:spacing w:before="40" w:after="40" w:line="210" w:lineRule="exact"/>
              <w:ind w:left="30" w:right="40"/>
              <w:jc w:val="right"/>
              <w:rPr>
                <w:sz w:val="17"/>
              </w:rPr>
            </w:pPr>
          </w:p>
        </w:tc>
        <w:tc>
          <w:tcPr>
            <w:tcW w:w="691" w:type="dxa"/>
            <w:tcBorders>
              <w:top w:val="single" w:sz="12" w:space="0" w:color="auto"/>
            </w:tcBorders>
            <w:shd w:val="clear" w:color="auto" w:fill="auto"/>
            <w:vAlign w:val="bottom"/>
          </w:tcPr>
          <w:p w14:paraId="37C3FB8D" w14:textId="77777777" w:rsidR="008D2F10" w:rsidRPr="00D43575" w:rsidRDefault="008D2F10" w:rsidP="00FC6BA7">
            <w:pPr>
              <w:keepNext/>
              <w:keepLines/>
              <w:tabs>
                <w:tab w:val="left" w:pos="288"/>
                <w:tab w:val="left" w:pos="576"/>
                <w:tab w:val="left" w:pos="864"/>
                <w:tab w:val="left" w:pos="1152"/>
              </w:tabs>
              <w:spacing w:before="40" w:after="40" w:line="210" w:lineRule="exact"/>
              <w:ind w:left="30" w:right="40"/>
              <w:jc w:val="right"/>
              <w:rPr>
                <w:sz w:val="17"/>
              </w:rPr>
            </w:pPr>
          </w:p>
        </w:tc>
        <w:tc>
          <w:tcPr>
            <w:tcW w:w="691" w:type="dxa"/>
            <w:tcBorders>
              <w:top w:val="single" w:sz="12" w:space="0" w:color="auto"/>
            </w:tcBorders>
            <w:shd w:val="clear" w:color="auto" w:fill="auto"/>
            <w:vAlign w:val="bottom"/>
          </w:tcPr>
          <w:p w14:paraId="7496105C" w14:textId="77777777" w:rsidR="008D2F10" w:rsidRPr="00D43575" w:rsidRDefault="008D2F10" w:rsidP="00FC6BA7">
            <w:pPr>
              <w:keepNext/>
              <w:keepLines/>
              <w:tabs>
                <w:tab w:val="left" w:pos="288"/>
                <w:tab w:val="left" w:pos="576"/>
                <w:tab w:val="left" w:pos="864"/>
                <w:tab w:val="left" w:pos="1152"/>
              </w:tabs>
              <w:spacing w:before="40" w:after="40" w:line="210" w:lineRule="exact"/>
              <w:ind w:left="30" w:right="40"/>
              <w:jc w:val="right"/>
              <w:rPr>
                <w:sz w:val="17"/>
              </w:rPr>
            </w:pPr>
          </w:p>
        </w:tc>
        <w:tc>
          <w:tcPr>
            <w:tcW w:w="691" w:type="dxa"/>
            <w:tcBorders>
              <w:top w:val="single" w:sz="12" w:space="0" w:color="auto"/>
            </w:tcBorders>
            <w:shd w:val="clear" w:color="auto" w:fill="auto"/>
            <w:vAlign w:val="bottom"/>
          </w:tcPr>
          <w:p w14:paraId="3BFE85D8" w14:textId="77777777" w:rsidR="008D2F10" w:rsidRPr="00D43575" w:rsidRDefault="008D2F10" w:rsidP="00FC6BA7">
            <w:pPr>
              <w:keepNext/>
              <w:keepLines/>
              <w:tabs>
                <w:tab w:val="left" w:pos="288"/>
                <w:tab w:val="left" w:pos="576"/>
                <w:tab w:val="left" w:pos="864"/>
                <w:tab w:val="left" w:pos="1152"/>
              </w:tabs>
              <w:spacing w:before="40" w:after="40" w:line="210" w:lineRule="exact"/>
              <w:ind w:left="30" w:right="40"/>
              <w:jc w:val="right"/>
              <w:rPr>
                <w:sz w:val="17"/>
              </w:rPr>
            </w:pPr>
          </w:p>
        </w:tc>
        <w:tc>
          <w:tcPr>
            <w:tcW w:w="619" w:type="dxa"/>
            <w:tcBorders>
              <w:top w:val="single" w:sz="12" w:space="0" w:color="auto"/>
            </w:tcBorders>
            <w:shd w:val="clear" w:color="auto" w:fill="auto"/>
            <w:vAlign w:val="bottom"/>
          </w:tcPr>
          <w:p w14:paraId="2E618304" w14:textId="77777777" w:rsidR="008D2F10" w:rsidRPr="00D43575" w:rsidRDefault="008D2F10" w:rsidP="00FC6BA7">
            <w:pPr>
              <w:keepNext/>
              <w:keepLines/>
              <w:tabs>
                <w:tab w:val="left" w:pos="288"/>
                <w:tab w:val="left" w:pos="576"/>
                <w:tab w:val="left" w:pos="864"/>
                <w:tab w:val="left" w:pos="1152"/>
              </w:tabs>
              <w:spacing w:before="40" w:after="40" w:line="210" w:lineRule="exact"/>
              <w:ind w:left="30" w:right="40"/>
              <w:jc w:val="right"/>
              <w:rPr>
                <w:sz w:val="17"/>
              </w:rPr>
            </w:pPr>
          </w:p>
        </w:tc>
        <w:tc>
          <w:tcPr>
            <w:tcW w:w="958" w:type="dxa"/>
            <w:tcBorders>
              <w:top w:val="single" w:sz="12" w:space="0" w:color="auto"/>
            </w:tcBorders>
            <w:shd w:val="clear" w:color="auto" w:fill="auto"/>
            <w:vAlign w:val="bottom"/>
          </w:tcPr>
          <w:p w14:paraId="6DEBF83B" w14:textId="77777777" w:rsidR="008D2F10" w:rsidRPr="00D43575" w:rsidRDefault="008D2F10" w:rsidP="00FC6BA7">
            <w:pPr>
              <w:keepNext/>
              <w:keepLines/>
              <w:tabs>
                <w:tab w:val="left" w:pos="288"/>
                <w:tab w:val="left" w:pos="576"/>
                <w:tab w:val="left" w:pos="864"/>
                <w:tab w:val="left" w:pos="1152"/>
              </w:tabs>
              <w:spacing w:before="40" w:after="40" w:line="210" w:lineRule="exact"/>
              <w:ind w:left="144" w:right="40"/>
              <w:jc w:val="right"/>
              <w:rPr>
                <w:sz w:val="17"/>
              </w:rPr>
            </w:pPr>
          </w:p>
        </w:tc>
        <w:tc>
          <w:tcPr>
            <w:tcW w:w="827" w:type="dxa"/>
            <w:tcBorders>
              <w:top w:val="single" w:sz="12" w:space="0" w:color="auto"/>
            </w:tcBorders>
            <w:shd w:val="clear" w:color="auto" w:fill="auto"/>
            <w:vAlign w:val="bottom"/>
          </w:tcPr>
          <w:p w14:paraId="109EF017" w14:textId="77777777" w:rsidR="008D2F10" w:rsidRPr="00D43575" w:rsidRDefault="008D2F10" w:rsidP="00FC6BA7">
            <w:pPr>
              <w:keepNext/>
              <w:keepLines/>
              <w:tabs>
                <w:tab w:val="left" w:pos="288"/>
                <w:tab w:val="left" w:pos="576"/>
                <w:tab w:val="left" w:pos="864"/>
                <w:tab w:val="left" w:pos="1152"/>
              </w:tabs>
              <w:spacing w:before="40" w:after="40" w:line="210" w:lineRule="exact"/>
              <w:ind w:left="144" w:right="40"/>
              <w:jc w:val="right"/>
              <w:rPr>
                <w:sz w:val="17"/>
              </w:rPr>
            </w:pPr>
          </w:p>
        </w:tc>
        <w:tc>
          <w:tcPr>
            <w:tcW w:w="603" w:type="dxa"/>
            <w:tcBorders>
              <w:top w:val="single" w:sz="12" w:space="0" w:color="auto"/>
            </w:tcBorders>
            <w:shd w:val="clear" w:color="auto" w:fill="auto"/>
            <w:vAlign w:val="bottom"/>
          </w:tcPr>
          <w:p w14:paraId="3C6D5130" w14:textId="77777777" w:rsidR="008D2F10" w:rsidRPr="00D43575" w:rsidRDefault="008D2F10" w:rsidP="00FC6BA7">
            <w:pPr>
              <w:keepNext/>
              <w:keepLines/>
              <w:tabs>
                <w:tab w:val="left" w:pos="288"/>
                <w:tab w:val="left" w:pos="576"/>
                <w:tab w:val="left" w:pos="864"/>
                <w:tab w:val="left" w:pos="1152"/>
              </w:tabs>
              <w:spacing w:before="40" w:after="40" w:line="210" w:lineRule="exact"/>
              <w:ind w:left="30" w:right="40"/>
              <w:jc w:val="right"/>
              <w:rPr>
                <w:sz w:val="17"/>
              </w:rPr>
            </w:pPr>
          </w:p>
        </w:tc>
      </w:tr>
      <w:tr w:rsidR="008D2F10" w:rsidRPr="00D43575" w14:paraId="31FA097A" w14:textId="77777777" w:rsidTr="00EA5196">
        <w:tc>
          <w:tcPr>
            <w:tcW w:w="903" w:type="dxa"/>
            <w:shd w:val="clear" w:color="auto" w:fill="auto"/>
            <w:vAlign w:val="bottom"/>
          </w:tcPr>
          <w:p w14:paraId="7DE88CE3"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2001/2000</w:t>
            </w:r>
          </w:p>
        </w:tc>
        <w:tc>
          <w:tcPr>
            <w:tcW w:w="763" w:type="dxa"/>
            <w:shd w:val="clear" w:color="auto" w:fill="auto"/>
            <w:vAlign w:val="bottom"/>
          </w:tcPr>
          <w:p w14:paraId="5D71E430"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Hombres</w:t>
            </w:r>
          </w:p>
        </w:tc>
        <w:tc>
          <w:tcPr>
            <w:tcW w:w="699" w:type="dxa"/>
            <w:shd w:val="clear" w:color="auto" w:fill="auto"/>
            <w:vAlign w:val="bottom"/>
          </w:tcPr>
          <w:p w14:paraId="754BEBDD"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93</w:t>
            </w:r>
          </w:p>
        </w:tc>
        <w:tc>
          <w:tcPr>
            <w:tcW w:w="691" w:type="dxa"/>
            <w:shd w:val="clear" w:color="auto" w:fill="auto"/>
            <w:vAlign w:val="bottom"/>
          </w:tcPr>
          <w:p w14:paraId="7CA462BC"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63</w:t>
            </w:r>
          </w:p>
        </w:tc>
        <w:tc>
          <w:tcPr>
            <w:tcW w:w="691" w:type="dxa"/>
            <w:shd w:val="clear" w:color="auto" w:fill="auto"/>
            <w:vAlign w:val="bottom"/>
          </w:tcPr>
          <w:p w14:paraId="496CC467"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91</w:t>
            </w:r>
          </w:p>
        </w:tc>
        <w:tc>
          <w:tcPr>
            <w:tcW w:w="691" w:type="dxa"/>
            <w:shd w:val="clear" w:color="auto" w:fill="auto"/>
            <w:vAlign w:val="bottom"/>
          </w:tcPr>
          <w:p w14:paraId="6CB771DE"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109</w:t>
            </w:r>
          </w:p>
        </w:tc>
        <w:tc>
          <w:tcPr>
            <w:tcW w:w="619" w:type="dxa"/>
            <w:shd w:val="clear" w:color="auto" w:fill="auto"/>
            <w:vAlign w:val="bottom"/>
          </w:tcPr>
          <w:p w14:paraId="5498324E"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356</w:t>
            </w:r>
          </w:p>
        </w:tc>
        <w:tc>
          <w:tcPr>
            <w:tcW w:w="958" w:type="dxa"/>
            <w:shd w:val="clear" w:color="auto" w:fill="auto"/>
            <w:vAlign w:val="bottom"/>
          </w:tcPr>
          <w:p w14:paraId="6DCEC076"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624</w:t>
            </w:r>
          </w:p>
        </w:tc>
        <w:tc>
          <w:tcPr>
            <w:tcW w:w="827" w:type="dxa"/>
            <w:shd w:val="clear" w:color="auto" w:fill="auto"/>
            <w:vAlign w:val="bottom"/>
          </w:tcPr>
          <w:p w14:paraId="2FBA5ED0"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947</w:t>
            </w:r>
          </w:p>
        </w:tc>
        <w:tc>
          <w:tcPr>
            <w:tcW w:w="603" w:type="dxa"/>
            <w:shd w:val="clear" w:color="auto" w:fill="auto"/>
            <w:vAlign w:val="bottom"/>
          </w:tcPr>
          <w:p w14:paraId="1BD4136D"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1 927</w:t>
            </w:r>
          </w:p>
        </w:tc>
      </w:tr>
      <w:tr w:rsidR="008D2F10" w:rsidRPr="00D43575" w14:paraId="22547DDB" w14:textId="77777777" w:rsidTr="00EA5196">
        <w:tc>
          <w:tcPr>
            <w:tcW w:w="903" w:type="dxa"/>
            <w:tcBorders>
              <w:bottom w:val="single" w:sz="4" w:space="0" w:color="auto"/>
            </w:tcBorders>
            <w:shd w:val="clear" w:color="auto" w:fill="auto"/>
            <w:vAlign w:val="bottom"/>
          </w:tcPr>
          <w:p w14:paraId="604A4EBB"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63" w:type="dxa"/>
            <w:tcBorders>
              <w:bottom w:val="single" w:sz="4" w:space="0" w:color="auto"/>
            </w:tcBorders>
            <w:shd w:val="clear" w:color="auto" w:fill="auto"/>
            <w:vAlign w:val="bottom"/>
          </w:tcPr>
          <w:p w14:paraId="1DBB4BBB"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Mujeres</w:t>
            </w:r>
          </w:p>
        </w:tc>
        <w:tc>
          <w:tcPr>
            <w:tcW w:w="699" w:type="dxa"/>
            <w:tcBorders>
              <w:bottom w:val="single" w:sz="4" w:space="0" w:color="auto"/>
            </w:tcBorders>
            <w:shd w:val="clear" w:color="auto" w:fill="auto"/>
            <w:vAlign w:val="bottom"/>
          </w:tcPr>
          <w:p w14:paraId="3554F8B6"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116</w:t>
            </w:r>
          </w:p>
        </w:tc>
        <w:tc>
          <w:tcPr>
            <w:tcW w:w="691" w:type="dxa"/>
            <w:tcBorders>
              <w:bottom w:val="single" w:sz="4" w:space="0" w:color="auto"/>
            </w:tcBorders>
            <w:shd w:val="clear" w:color="auto" w:fill="auto"/>
            <w:vAlign w:val="bottom"/>
          </w:tcPr>
          <w:p w14:paraId="17D6254D"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63</w:t>
            </w:r>
          </w:p>
        </w:tc>
        <w:tc>
          <w:tcPr>
            <w:tcW w:w="691" w:type="dxa"/>
            <w:tcBorders>
              <w:bottom w:val="single" w:sz="4" w:space="0" w:color="auto"/>
            </w:tcBorders>
            <w:shd w:val="clear" w:color="auto" w:fill="auto"/>
            <w:vAlign w:val="bottom"/>
          </w:tcPr>
          <w:p w14:paraId="0D61C3E2"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91</w:t>
            </w:r>
          </w:p>
        </w:tc>
        <w:tc>
          <w:tcPr>
            <w:tcW w:w="691" w:type="dxa"/>
            <w:tcBorders>
              <w:bottom w:val="single" w:sz="4" w:space="0" w:color="auto"/>
            </w:tcBorders>
            <w:shd w:val="clear" w:color="auto" w:fill="auto"/>
            <w:vAlign w:val="bottom"/>
          </w:tcPr>
          <w:p w14:paraId="7AA45E75"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45</w:t>
            </w:r>
          </w:p>
        </w:tc>
        <w:tc>
          <w:tcPr>
            <w:tcW w:w="619" w:type="dxa"/>
            <w:tcBorders>
              <w:bottom w:val="single" w:sz="4" w:space="0" w:color="auto"/>
            </w:tcBorders>
            <w:shd w:val="clear" w:color="auto" w:fill="auto"/>
            <w:vAlign w:val="bottom"/>
          </w:tcPr>
          <w:p w14:paraId="0EC8B8E6"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315</w:t>
            </w:r>
          </w:p>
        </w:tc>
        <w:tc>
          <w:tcPr>
            <w:tcW w:w="958" w:type="dxa"/>
            <w:tcBorders>
              <w:bottom w:val="single" w:sz="4" w:space="0" w:color="auto"/>
            </w:tcBorders>
            <w:shd w:val="clear" w:color="auto" w:fill="auto"/>
            <w:vAlign w:val="bottom"/>
          </w:tcPr>
          <w:p w14:paraId="456A15EA"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208</w:t>
            </w:r>
          </w:p>
        </w:tc>
        <w:tc>
          <w:tcPr>
            <w:tcW w:w="827" w:type="dxa"/>
            <w:tcBorders>
              <w:bottom w:val="single" w:sz="4" w:space="0" w:color="auto"/>
            </w:tcBorders>
            <w:shd w:val="clear" w:color="auto" w:fill="auto"/>
            <w:vAlign w:val="bottom"/>
          </w:tcPr>
          <w:p w14:paraId="11D77AFE"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421</w:t>
            </w:r>
          </w:p>
        </w:tc>
        <w:tc>
          <w:tcPr>
            <w:tcW w:w="603" w:type="dxa"/>
            <w:tcBorders>
              <w:bottom w:val="single" w:sz="4" w:space="0" w:color="auto"/>
            </w:tcBorders>
            <w:shd w:val="clear" w:color="auto" w:fill="auto"/>
            <w:vAlign w:val="bottom"/>
          </w:tcPr>
          <w:p w14:paraId="1296129B"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944</w:t>
            </w:r>
          </w:p>
        </w:tc>
      </w:tr>
      <w:tr w:rsidR="008D2F10" w:rsidRPr="00D43575" w14:paraId="16994483" w14:textId="77777777" w:rsidTr="00EA5196">
        <w:tc>
          <w:tcPr>
            <w:tcW w:w="903" w:type="dxa"/>
            <w:tcBorders>
              <w:top w:val="single" w:sz="4" w:space="0" w:color="auto"/>
              <w:bottom w:val="single" w:sz="4" w:space="0" w:color="auto"/>
            </w:tcBorders>
            <w:shd w:val="clear" w:color="auto" w:fill="auto"/>
            <w:vAlign w:val="bottom"/>
          </w:tcPr>
          <w:p w14:paraId="1E6D0138" w14:textId="77777777" w:rsidR="008D2F10" w:rsidRPr="00D43575" w:rsidRDefault="008D2F10" w:rsidP="00FC6BA7">
            <w:pPr>
              <w:keepNext/>
              <w:keepLines/>
              <w:tabs>
                <w:tab w:val="left" w:pos="288"/>
                <w:tab w:val="left" w:pos="576"/>
                <w:tab w:val="left" w:pos="864"/>
                <w:tab w:val="left" w:pos="1152"/>
                <w:tab w:val="left" w:pos="5112"/>
                <w:tab w:val="right" w:pos="8640"/>
              </w:tabs>
              <w:spacing w:before="81" w:after="81" w:line="210" w:lineRule="exact"/>
              <w:ind w:right="40"/>
              <w:rPr>
                <w:b/>
                <w:bCs/>
                <w:sz w:val="17"/>
                <w:szCs w:val="20"/>
              </w:rPr>
            </w:pPr>
            <w:r w:rsidRPr="00D43575">
              <w:rPr>
                <w:b/>
                <w:bCs/>
                <w:sz w:val="17"/>
                <w:szCs w:val="20"/>
              </w:rPr>
              <w:tab/>
              <w:t>Total</w:t>
            </w:r>
          </w:p>
        </w:tc>
        <w:tc>
          <w:tcPr>
            <w:tcW w:w="763" w:type="dxa"/>
            <w:tcBorders>
              <w:top w:val="single" w:sz="4" w:space="0" w:color="auto"/>
              <w:bottom w:val="single" w:sz="4" w:space="0" w:color="auto"/>
            </w:tcBorders>
            <w:shd w:val="clear" w:color="auto" w:fill="auto"/>
            <w:vAlign w:val="bottom"/>
          </w:tcPr>
          <w:p w14:paraId="56D47FD5" w14:textId="77777777" w:rsidR="008D2F10" w:rsidRPr="00D43575" w:rsidRDefault="008D2F10" w:rsidP="00FC6BA7">
            <w:pPr>
              <w:keepNext/>
              <w:keepLines/>
              <w:tabs>
                <w:tab w:val="left" w:pos="288"/>
                <w:tab w:val="left" w:pos="576"/>
                <w:tab w:val="left" w:pos="864"/>
                <w:tab w:val="left" w:pos="1152"/>
                <w:tab w:val="left" w:pos="5112"/>
                <w:tab w:val="right" w:pos="8640"/>
              </w:tabs>
              <w:spacing w:before="81" w:after="81" w:line="210" w:lineRule="exact"/>
              <w:ind w:left="144" w:right="43"/>
              <w:rPr>
                <w:b/>
                <w:bCs/>
                <w:sz w:val="17"/>
                <w:szCs w:val="20"/>
              </w:rPr>
            </w:pPr>
          </w:p>
        </w:tc>
        <w:tc>
          <w:tcPr>
            <w:tcW w:w="699" w:type="dxa"/>
            <w:tcBorders>
              <w:top w:val="single" w:sz="4" w:space="0" w:color="auto"/>
              <w:bottom w:val="single" w:sz="4" w:space="0" w:color="auto"/>
            </w:tcBorders>
            <w:shd w:val="clear" w:color="auto" w:fill="auto"/>
            <w:vAlign w:val="bottom"/>
          </w:tcPr>
          <w:p w14:paraId="3138FAF4" w14:textId="77777777" w:rsidR="008D2F10" w:rsidRPr="00D43575" w:rsidRDefault="008D2F10" w:rsidP="00FC6BA7">
            <w:pPr>
              <w:keepNext/>
              <w:keepLines/>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209</w:t>
            </w:r>
          </w:p>
        </w:tc>
        <w:tc>
          <w:tcPr>
            <w:tcW w:w="691" w:type="dxa"/>
            <w:tcBorders>
              <w:top w:val="single" w:sz="4" w:space="0" w:color="auto"/>
              <w:bottom w:val="single" w:sz="4" w:space="0" w:color="auto"/>
            </w:tcBorders>
            <w:shd w:val="clear" w:color="auto" w:fill="auto"/>
            <w:vAlign w:val="bottom"/>
          </w:tcPr>
          <w:p w14:paraId="72001DAE" w14:textId="77777777" w:rsidR="008D2F10" w:rsidRPr="00D43575" w:rsidRDefault="008D2F10" w:rsidP="00FC6BA7">
            <w:pPr>
              <w:keepNext/>
              <w:keepLines/>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126</w:t>
            </w:r>
          </w:p>
        </w:tc>
        <w:tc>
          <w:tcPr>
            <w:tcW w:w="691" w:type="dxa"/>
            <w:tcBorders>
              <w:top w:val="single" w:sz="4" w:space="0" w:color="auto"/>
              <w:bottom w:val="single" w:sz="4" w:space="0" w:color="auto"/>
            </w:tcBorders>
            <w:shd w:val="clear" w:color="auto" w:fill="auto"/>
            <w:vAlign w:val="bottom"/>
          </w:tcPr>
          <w:p w14:paraId="097FA183" w14:textId="77777777" w:rsidR="008D2F10" w:rsidRPr="00D43575" w:rsidRDefault="008D2F10" w:rsidP="00FC6BA7">
            <w:pPr>
              <w:keepNext/>
              <w:keepLines/>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182</w:t>
            </w:r>
          </w:p>
        </w:tc>
        <w:tc>
          <w:tcPr>
            <w:tcW w:w="691" w:type="dxa"/>
            <w:tcBorders>
              <w:top w:val="single" w:sz="4" w:space="0" w:color="auto"/>
              <w:bottom w:val="single" w:sz="4" w:space="0" w:color="auto"/>
            </w:tcBorders>
            <w:shd w:val="clear" w:color="auto" w:fill="auto"/>
            <w:vAlign w:val="bottom"/>
          </w:tcPr>
          <w:p w14:paraId="0063D777" w14:textId="77777777" w:rsidR="008D2F10" w:rsidRPr="00D43575" w:rsidRDefault="008D2F10" w:rsidP="00FC6BA7">
            <w:pPr>
              <w:keepNext/>
              <w:keepLines/>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154</w:t>
            </w:r>
          </w:p>
        </w:tc>
        <w:tc>
          <w:tcPr>
            <w:tcW w:w="619" w:type="dxa"/>
            <w:tcBorders>
              <w:top w:val="single" w:sz="4" w:space="0" w:color="auto"/>
              <w:bottom w:val="single" w:sz="4" w:space="0" w:color="auto"/>
            </w:tcBorders>
            <w:shd w:val="clear" w:color="auto" w:fill="auto"/>
            <w:vAlign w:val="bottom"/>
          </w:tcPr>
          <w:p w14:paraId="114D9E8A" w14:textId="77777777" w:rsidR="008D2F10" w:rsidRPr="00D43575" w:rsidRDefault="008D2F10" w:rsidP="00FC6BA7">
            <w:pPr>
              <w:keepNext/>
              <w:keepLines/>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671</w:t>
            </w:r>
          </w:p>
        </w:tc>
        <w:tc>
          <w:tcPr>
            <w:tcW w:w="958" w:type="dxa"/>
            <w:tcBorders>
              <w:top w:val="single" w:sz="4" w:space="0" w:color="auto"/>
              <w:bottom w:val="single" w:sz="4" w:space="0" w:color="auto"/>
            </w:tcBorders>
            <w:shd w:val="clear" w:color="auto" w:fill="auto"/>
            <w:vAlign w:val="bottom"/>
          </w:tcPr>
          <w:p w14:paraId="69C7D159" w14:textId="77777777" w:rsidR="008D2F10" w:rsidRPr="00D43575" w:rsidRDefault="008D2F10" w:rsidP="00FC6BA7">
            <w:pPr>
              <w:keepNext/>
              <w:keepLines/>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832</w:t>
            </w:r>
          </w:p>
        </w:tc>
        <w:tc>
          <w:tcPr>
            <w:tcW w:w="827" w:type="dxa"/>
            <w:tcBorders>
              <w:top w:val="single" w:sz="4" w:space="0" w:color="auto"/>
              <w:bottom w:val="single" w:sz="4" w:space="0" w:color="auto"/>
            </w:tcBorders>
            <w:shd w:val="clear" w:color="auto" w:fill="auto"/>
            <w:vAlign w:val="bottom"/>
          </w:tcPr>
          <w:p w14:paraId="31B73AE6" w14:textId="77777777" w:rsidR="008D2F10" w:rsidRPr="00D43575" w:rsidRDefault="008D2F10" w:rsidP="00FC6BA7">
            <w:pPr>
              <w:keepNext/>
              <w:keepLines/>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1 368</w:t>
            </w:r>
          </w:p>
        </w:tc>
        <w:tc>
          <w:tcPr>
            <w:tcW w:w="603" w:type="dxa"/>
            <w:tcBorders>
              <w:top w:val="single" w:sz="4" w:space="0" w:color="auto"/>
              <w:bottom w:val="single" w:sz="4" w:space="0" w:color="auto"/>
            </w:tcBorders>
            <w:shd w:val="clear" w:color="auto" w:fill="auto"/>
            <w:vAlign w:val="bottom"/>
          </w:tcPr>
          <w:p w14:paraId="5D5B675D" w14:textId="77777777" w:rsidR="008D2F10" w:rsidRPr="00D43575" w:rsidRDefault="008D2F10" w:rsidP="00FC6BA7">
            <w:pPr>
              <w:keepNext/>
              <w:keepLines/>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2 871</w:t>
            </w:r>
          </w:p>
        </w:tc>
      </w:tr>
      <w:tr w:rsidR="008D2F10" w:rsidRPr="00D43575" w14:paraId="4DF9A5BC" w14:textId="77777777" w:rsidTr="00EA5196">
        <w:tc>
          <w:tcPr>
            <w:tcW w:w="903" w:type="dxa"/>
            <w:tcBorders>
              <w:top w:val="single" w:sz="4" w:space="0" w:color="auto"/>
            </w:tcBorders>
            <w:shd w:val="clear" w:color="auto" w:fill="auto"/>
            <w:vAlign w:val="bottom"/>
          </w:tcPr>
          <w:p w14:paraId="10E61462"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2007/2008</w:t>
            </w:r>
          </w:p>
        </w:tc>
        <w:tc>
          <w:tcPr>
            <w:tcW w:w="763" w:type="dxa"/>
            <w:tcBorders>
              <w:top w:val="single" w:sz="4" w:space="0" w:color="auto"/>
            </w:tcBorders>
            <w:shd w:val="clear" w:color="auto" w:fill="auto"/>
            <w:vAlign w:val="bottom"/>
          </w:tcPr>
          <w:p w14:paraId="65A8AF51"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Hombres</w:t>
            </w:r>
          </w:p>
        </w:tc>
        <w:tc>
          <w:tcPr>
            <w:tcW w:w="699" w:type="dxa"/>
            <w:tcBorders>
              <w:top w:val="single" w:sz="4" w:space="0" w:color="auto"/>
            </w:tcBorders>
            <w:shd w:val="clear" w:color="auto" w:fill="auto"/>
            <w:vAlign w:val="bottom"/>
          </w:tcPr>
          <w:p w14:paraId="135AADB7"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27</w:t>
            </w:r>
          </w:p>
        </w:tc>
        <w:tc>
          <w:tcPr>
            <w:tcW w:w="691" w:type="dxa"/>
            <w:tcBorders>
              <w:top w:val="single" w:sz="4" w:space="0" w:color="auto"/>
            </w:tcBorders>
            <w:shd w:val="clear" w:color="auto" w:fill="auto"/>
            <w:vAlign w:val="bottom"/>
          </w:tcPr>
          <w:p w14:paraId="18C6FF8D"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31</w:t>
            </w:r>
          </w:p>
        </w:tc>
        <w:tc>
          <w:tcPr>
            <w:tcW w:w="691" w:type="dxa"/>
            <w:tcBorders>
              <w:top w:val="single" w:sz="4" w:space="0" w:color="auto"/>
            </w:tcBorders>
            <w:shd w:val="clear" w:color="auto" w:fill="auto"/>
            <w:vAlign w:val="bottom"/>
          </w:tcPr>
          <w:p w14:paraId="2546954C"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52</w:t>
            </w:r>
          </w:p>
        </w:tc>
        <w:tc>
          <w:tcPr>
            <w:tcW w:w="691" w:type="dxa"/>
            <w:tcBorders>
              <w:top w:val="single" w:sz="4" w:space="0" w:color="auto"/>
            </w:tcBorders>
            <w:shd w:val="clear" w:color="auto" w:fill="auto"/>
            <w:vAlign w:val="bottom"/>
          </w:tcPr>
          <w:p w14:paraId="1FDA4C9E"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71</w:t>
            </w:r>
          </w:p>
        </w:tc>
        <w:tc>
          <w:tcPr>
            <w:tcW w:w="619" w:type="dxa"/>
            <w:tcBorders>
              <w:top w:val="single" w:sz="4" w:space="0" w:color="auto"/>
            </w:tcBorders>
            <w:shd w:val="clear" w:color="auto" w:fill="auto"/>
            <w:vAlign w:val="bottom"/>
          </w:tcPr>
          <w:p w14:paraId="14BA123B"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181</w:t>
            </w:r>
          </w:p>
        </w:tc>
        <w:tc>
          <w:tcPr>
            <w:tcW w:w="958" w:type="dxa"/>
            <w:tcBorders>
              <w:top w:val="single" w:sz="4" w:space="0" w:color="auto"/>
            </w:tcBorders>
            <w:shd w:val="clear" w:color="auto" w:fill="auto"/>
            <w:vAlign w:val="bottom"/>
          </w:tcPr>
          <w:p w14:paraId="415A2A30"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578</w:t>
            </w:r>
          </w:p>
        </w:tc>
        <w:tc>
          <w:tcPr>
            <w:tcW w:w="827" w:type="dxa"/>
            <w:tcBorders>
              <w:top w:val="single" w:sz="4" w:space="0" w:color="auto"/>
            </w:tcBorders>
            <w:shd w:val="clear" w:color="auto" w:fill="auto"/>
            <w:vAlign w:val="bottom"/>
          </w:tcPr>
          <w:p w14:paraId="3B115B97"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1 043</w:t>
            </w:r>
          </w:p>
        </w:tc>
        <w:tc>
          <w:tcPr>
            <w:tcW w:w="603" w:type="dxa"/>
            <w:tcBorders>
              <w:top w:val="single" w:sz="4" w:space="0" w:color="auto"/>
            </w:tcBorders>
            <w:shd w:val="clear" w:color="auto" w:fill="auto"/>
            <w:vAlign w:val="bottom"/>
          </w:tcPr>
          <w:p w14:paraId="23F375C4"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1 802</w:t>
            </w:r>
          </w:p>
        </w:tc>
      </w:tr>
      <w:tr w:rsidR="008D2F10" w:rsidRPr="00D43575" w14:paraId="5196AE6E" w14:textId="77777777" w:rsidTr="00EA5196">
        <w:tc>
          <w:tcPr>
            <w:tcW w:w="903" w:type="dxa"/>
            <w:tcBorders>
              <w:bottom w:val="single" w:sz="4" w:space="0" w:color="auto"/>
            </w:tcBorders>
            <w:shd w:val="clear" w:color="auto" w:fill="auto"/>
            <w:vAlign w:val="bottom"/>
          </w:tcPr>
          <w:p w14:paraId="7D580CB6"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63" w:type="dxa"/>
            <w:tcBorders>
              <w:bottom w:val="single" w:sz="4" w:space="0" w:color="auto"/>
            </w:tcBorders>
            <w:shd w:val="clear" w:color="auto" w:fill="auto"/>
            <w:vAlign w:val="bottom"/>
          </w:tcPr>
          <w:p w14:paraId="35ECA624"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Mujeres</w:t>
            </w:r>
          </w:p>
        </w:tc>
        <w:tc>
          <w:tcPr>
            <w:tcW w:w="699" w:type="dxa"/>
            <w:tcBorders>
              <w:bottom w:val="single" w:sz="4" w:space="0" w:color="auto"/>
            </w:tcBorders>
            <w:shd w:val="clear" w:color="auto" w:fill="auto"/>
            <w:vAlign w:val="bottom"/>
          </w:tcPr>
          <w:p w14:paraId="52AE8F04"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55</w:t>
            </w:r>
          </w:p>
        </w:tc>
        <w:tc>
          <w:tcPr>
            <w:tcW w:w="691" w:type="dxa"/>
            <w:tcBorders>
              <w:bottom w:val="single" w:sz="4" w:space="0" w:color="auto"/>
            </w:tcBorders>
            <w:shd w:val="clear" w:color="auto" w:fill="auto"/>
            <w:vAlign w:val="bottom"/>
          </w:tcPr>
          <w:p w14:paraId="0DB1616D"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68</w:t>
            </w:r>
          </w:p>
        </w:tc>
        <w:tc>
          <w:tcPr>
            <w:tcW w:w="691" w:type="dxa"/>
            <w:tcBorders>
              <w:bottom w:val="single" w:sz="4" w:space="0" w:color="auto"/>
            </w:tcBorders>
            <w:shd w:val="clear" w:color="auto" w:fill="auto"/>
            <w:vAlign w:val="bottom"/>
          </w:tcPr>
          <w:p w14:paraId="68F34552"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61</w:t>
            </w:r>
          </w:p>
        </w:tc>
        <w:tc>
          <w:tcPr>
            <w:tcW w:w="691" w:type="dxa"/>
            <w:tcBorders>
              <w:bottom w:val="single" w:sz="4" w:space="0" w:color="auto"/>
            </w:tcBorders>
            <w:shd w:val="clear" w:color="auto" w:fill="auto"/>
            <w:vAlign w:val="bottom"/>
          </w:tcPr>
          <w:p w14:paraId="57B759DE"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49</w:t>
            </w:r>
          </w:p>
        </w:tc>
        <w:tc>
          <w:tcPr>
            <w:tcW w:w="619" w:type="dxa"/>
            <w:tcBorders>
              <w:bottom w:val="single" w:sz="4" w:space="0" w:color="auto"/>
            </w:tcBorders>
            <w:shd w:val="clear" w:color="auto" w:fill="auto"/>
            <w:vAlign w:val="bottom"/>
          </w:tcPr>
          <w:p w14:paraId="2FFF75E3"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233</w:t>
            </w:r>
          </w:p>
        </w:tc>
        <w:tc>
          <w:tcPr>
            <w:tcW w:w="958" w:type="dxa"/>
            <w:tcBorders>
              <w:bottom w:val="single" w:sz="4" w:space="0" w:color="auto"/>
            </w:tcBorders>
            <w:shd w:val="clear" w:color="auto" w:fill="auto"/>
            <w:vAlign w:val="bottom"/>
          </w:tcPr>
          <w:p w14:paraId="765A4FF1"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169</w:t>
            </w:r>
          </w:p>
        </w:tc>
        <w:tc>
          <w:tcPr>
            <w:tcW w:w="827" w:type="dxa"/>
            <w:tcBorders>
              <w:bottom w:val="single" w:sz="4" w:space="0" w:color="auto"/>
            </w:tcBorders>
            <w:shd w:val="clear" w:color="auto" w:fill="auto"/>
            <w:vAlign w:val="bottom"/>
          </w:tcPr>
          <w:p w14:paraId="01B9BF86"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264</w:t>
            </w:r>
          </w:p>
        </w:tc>
        <w:tc>
          <w:tcPr>
            <w:tcW w:w="603" w:type="dxa"/>
            <w:tcBorders>
              <w:bottom w:val="single" w:sz="4" w:space="0" w:color="auto"/>
            </w:tcBorders>
            <w:shd w:val="clear" w:color="auto" w:fill="auto"/>
            <w:vAlign w:val="bottom"/>
          </w:tcPr>
          <w:p w14:paraId="4DF52B9B"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666</w:t>
            </w:r>
          </w:p>
        </w:tc>
      </w:tr>
      <w:tr w:rsidR="008D2F10" w:rsidRPr="00D43575" w14:paraId="6AD523BD" w14:textId="77777777" w:rsidTr="00EA5196">
        <w:tc>
          <w:tcPr>
            <w:tcW w:w="903" w:type="dxa"/>
            <w:tcBorders>
              <w:top w:val="single" w:sz="4" w:space="0" w:color="auto"/>
              <w:bottom w:val="single" w:sz="4" w:space="0" w:color="auto"/>
            </w:tcBorders>
            <w:shd w:val="clear" w:color="auto" w:fill="auto"/>
            <w:vAlign w:val="bottom"/>
          </w:tcPr>
          <w:p w14:paraId="1CAE89A1" w14:textId="77777777" w:rsidR="008D2F10" w:rsidRPr="00D43575" w:rsidRDefault="008D2F10" w:rsidP="00FC6BA7">
            <w:pPr>
              <w:keepNext/>
              <w:keepLines/>
              <w:tabs>
                <w:tab w:val="left" w:pos="288"/>
                <w:tab w:val="left" w:pos="576"/>
                <w:tab w:val="left" w:pos="864"/>
                <w:tab w:val="left" w:pos="1152"/>
                <w:tab w:val="left" w:pos="5112"/>
                <w:tab w:val="right" w:pos="8640"/>
              </w:tabs>
              <w:spacing w:before="81" w:after="81" w:line="210" w:lineRule="exact"/>
              <w:ind w:right="40"/>
              <w:rPr>
                <w:b/>
                <w:bCs/>
                <w:sz w:val="17"/>
                <w:szCs w:val="20"/>
              </w:rPr>
            </w:pPr>
            <w:r w:rsidRPr="00D43575">
              <w:rPr>
                <w:b/>
                <w:bCs/>
                <w:sz w:val="17"/>
                <w:szCs w:val="20"/>
              </w:rPr>
              <w:tab/>
              <w:t>Total</w:t>
            </w:r>
          </w:p>
        </w:tc>
        <w:tc>
          <w:tcPr>
            <w:tcW w:w="763" w:type="dxa"/>
            <w:tcBorders>
              <w:top w:val="single" w:sz="4" w:space="0" w:color="auto"/>
              <w:bottom w:val="single" w:sz="4" w:space="0" w:color="auto"/>
            </w:tcBorders>
            <w:shd w:val="clear" w:color="auto" w:fill="auto"/>
            <w:vAlign w:val="bottom"/>
          </w:tcPr>
          <w:p w14:paraId="6EE2ACE4" w14:textId="77777777" w:rsidR="008D2F10" w:rsidRPr="00D43575" w:rsidRDefault="008D2F10" w:rsidP="00FC6BA7">
            <w:pPr>
              <w:keepNext/>
              <w:keepLines/>
              <w:tabs>
                <w:tab w:val="left" w:pos="288"/>
                <w:tab w:val="left" w:pos="576"/>
                <w:tab w:val="left" w:pos="864"/>
                <w:tab w:val="left" w:pos="1152"/>
                <w:tab w:val="left" w:pos="5112"/>
                <w:tab w:val="right" w:pos="8640"/>
              </w:tabs>
              <w:spacing w:before="81" w:after="81" w:line="210" w:lineRule="exact"/>
              <w:ind w:left="144" w:right="43"/>
              <w:rPr>
                <w:b/>
                <w:bCs/>
                <w:sz w:val="17"/>
                <w:szCs w:val="20"/>
              </w:rPr>
            </w:pPr>
          </w:p>
        </w:tc>
        <w:tc>
          <w:tcPr>
            <w:tcW w:w="699" w:type="dxa"/>
            <w:tcBorders>
              <w:top w:val="single" w:sz="4" w:space="0" w:color="auto"/>
              <w:bottom w:val="single" w:sz="4" w:space="0" w:color="auto"/>
            </w:tcBorders>
            <w:shd w:val="clear" w:color="auto" w:fill="auto"/>
            <w:vAlign w:val="bottom"/>
          </w:tcPr>
          <w:p w14:paraId="090FAB01" w14:textId="77777777" w:rsidR="008D2F10" w:rsidRPr="00D43575" w:rsidRDefault="008D2F10" w:rsidP="00FC6BA7">
            <w:pPr>
              <w:keepNext/>
              <w:keepLines/>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82</w:t>
            </w:r>
          </w:p>
        </w:tc>
        <w:tc>
          <w:tcPr>
            <w:tcW w:w="691" w:type="dxa"/>
            <w:tcBorders>
              <w:top w:val="single" w:sz="4" w:space="0" w:color="auto"/>
              <w:bottom w:val="single" w:sz="4" w:space="0" w:color="auto"/>
            </w:tcBorders>
            <w:shd w:val="clear" w:color="auto" w:fill="auto"/>
            <w:vAlign w:val="bottom"/>
          </w:tcPr>
          <w:p w14:paraId="392008B9" w14:textId="77777777" w:rsidR="008D2F10" w:rsidRPr="00D43575" w:rsidRDefault="008D2F10" w:rsidP="00FC6BA7">
            <w:pPr>
              <w:keepNext/>
              <w:keepLines/>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99</w:t>
            </w:r>
          </w:p>
        </w:tc>
        <w:tc>
          <w:tcPr>
            <w:tcW w:w="691" w:type="dxa"/>
            <w:tcBorders>
              <w:top w:val="single" w:sz="4" w:space="0" w:color="auto"/>
              <w:bottom w:val="single" w:sz="4" w:space="0" w:color="auto"/>
            </w:tcBorders>
            <w:shd w:val="clear" w:color="auto" w:fill="auto"/>
            <w:vAlign w:val="bottom"/>
          </w:tcPr>
          <w:p w14:paraId="1CFB865D" w14:textId="77777777" w:rsidR="008D2F10" w:rsidRPr="00D43575" w:rsidRDefault="008D2F10" w:rsidP="00FC6BA7">
            <w:pPr>
              <w:keepNext/>
              <w:keepLines/>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113</w:t>
            </w:r>
          </w:p>
        </w:tc>
        <w:tc>
          <w:tcPr>
            <w:tcW w:w="691" w:type="dxa"/>
            <w:tcBorders>
              <w:top w:val="single" w:sz="4" w:space="0" w:color="auto"/>
              <w:bottom w:val="single" w:sz="4" w:space="0" w:color="auto"/>
            </w:tcBorders>
            <w:shd w:val="clear" w:color="auto" w:fill="auto"/>
            <w:vAlign w:val="bottom"/>
          </w:tcPr>
          <w:p w14:paraId="785E5980" w14:textId="77777777" w:rsidR="008D2F10" w:rsidRPr="00D43575" w:rsidRDefault="008D2F10" w:rsidP="00FC6BA7">
            <w:pPr>
              <w:keepNext/>
              <w:keepLines/>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120</w:t>
            </w:r>
          </w:p>
        </w:tc>
        <w:tc>
          <w:tcPr>
            <w:tcW w:w="619" w:type="dxa"/>
            <w:tcBorders>
              <w:top w:val="single" w:sz="4" w:space="0" w:color="auto"/>
              <w:bottom w:val="single" w:sz="4" w:space="0" w:color="auto"/>
            </w:tcBorders>
            <w:shd w:val="clear" w:color="auto" w:fill="auto"/>
            <w:vAlign w:val="bottom"/>
          </w:tcPr>
          <w:p w14:paraId="569C7AC9" w14:textId="77777777" w:rsidR="008D2F10" w:rsidRPr="00D43575" w:rsidRDefault="008D2F10" w:rsidP="00FC6BA7">
            <w:pPr>
              <w:keepNext/>
              <w:keepLines/>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414</w:t>
            </w:r>
          </w:p>
        </w:tc>
        <w:tc>
          <w:tcPr>
            <w:tcW w:w="958" w:type="dxa"/>
            <w:tcBorders>
              <w:top w:val="single" w:sz="4" w:space="0" w:color="auto"/>
              <w:bottom w:val="single" w:sz="4" w:space="0" w:color="auto"/>
            </w:tcBorders>
            <w:shd w:val="clear" w:color="auto" w:fill="auto"/>
            <w:vAlign w:val="bottom"/>
          </w:tcPr>
          <w:p w14:paraId="4C1F5174" w14:textId="77777777" w:rsidR="008D2F10" w:rsidRPr="00D43575" w:rsidRDefault="008D2F10" w:rsidP="00FC6BA7">
            <w:pPr>
              <w:keepNext/>
              <w:keepLines/>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747</w:t>
            </w:r>
          </w:p>
        </w:tc>
        <w:tc>
          <w:tcPr>
            <w:tcW w:w="827" w:type="dxa"/>
            <w:tcBorders>
              <w:top w:val="single" w:sz="4" w:space="0" w:color="auto"/>
              <w:bottom w:val="single" w:sz="4" w:space="0" w:color="auto"/>
            </w:tcBorders>
            <w:shd w:val="clear" w:color="auto" w:fill="auto"/>
            <w:vAlign w:val="bottom"/>
          </w:tcPr>
          <w:p w14:paraId="6884A036" w14:textId="77777777" w:rsidR="008D2F10" w:rsidRPr="00D43575" w:rsidRDefault="008D2F10" w:rsidP="00FC6BA7">
            <w:pPr>
              <w:keepNext/>
              <w:keepLines/>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1 307</w:t>
            </w:r>
          </w:p>
        </w:tc>
        <w:tc>
          <w:tcPr>
            <w:tcW w:w="603" w:type="dxa"/>
            <w:tcBorders>
              <w:top w:val="single" w:sz="4" w:space="0" w:color="auto"/>
              <w:bottom w:val="single" w:sz="4" w:space="0" w:color="auto"/>
            </w:tcBorders>
            <w:shd w:val="clear" w:color="auto" w:fill="auto"/>
            <w:vAlign w:val="bottom"/>
          </w:tcPr>
          <w:p w14:paraId="430325FD" w14:textId="77777777" w:rsidR="008D2F10" w:rsidRPr="00D43575" w:rsidRDefault="008D2F10" w:rsidP="00FC6BA7">
            <w:pPr>
              <w:keepNext/>
              <w:keepLines/>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2 467</w:t>
            </w:r>
          </w:p>
        </w:tc>
      </w:tr>
      <w:tr w:rsidR="008D2F10" w:rsidRPr="00D43575" w14:paraId="7EECFE66" w14:textId="77777777" w:rsidTr="00EA5196">
        <w:tc>
          <w:tcPr>
            <w:tcW w:w="903" w:type="dxa"/>
            <w:tcBorders>
              <w:top w:val="single" w:sz="4" w:space="0" w:color="auto"/>
            </w:tcBorders>
            <w:shd w:val="clear" w:color="auto" w:fill="auto"/>
            <w:vAlign w:val="bottom"/>
          </w:tcPr>
          <w:p w14:paraId="0DC8F8C8"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2013/2012</w:t>
            </w:r>
          </w:p>
        </w:tc>
        <w:tc>
          <w:tcPr>
            <w:tcW w:w="763" w:type="dxa"/>
            <w:tcBorders>
              <w:top w:val="single" w:sz="4" w:space="0" w:color="auto"/>
            </w:tcBorders>
            <w:shd w:val="clear" w:color="auto" w:fill="auto"/>
            <w:vAlign w:val="bottom"/>
          </w:tcPr>
          <w:p w14:paraId="71FCD284"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Hombres</w:t>
            </w:r>
          </w:p>
        </w:tc>
        <w:tc>
          <w:tcPr>
            <w:tcW w:w="699" w:type="dxa"/>
            <w:tcBorders>
              <w:top w:val="single" w:sz="4" w:space="0" w:color="auto"/>
            </w:tcBorders>
            <w:shd w:val="clear" w:color="auto" w:fill="auto"/>
            <w:vAlign w:val="bottom"/>
          </w:tcPr>
          <w:p w14:paraId="0B250532"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61</w:t>
            </w:r>
          </w:p>
        </w:tc>
        <w:tc>
          <w:tcPr>
            <w:tcW w:w="691" w:type="dxa"/>
            <w:tcBorders>
              <w:top w:val="single" w:sz="4" w:space="0" w:color="auto"/>
            </w:tcBorders>
            <w:shd w:val="clear" w:color="auto" w:fill="auto"/>
            <w:vAlign w:val="bottom"/>
          </w:tcPr>
          <w:p w14:paraId="264510BA"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38</w:t>
            </w:r>
          </w:p>
        </w:tc>
        <w:tc>
          <w:tcPr>
            <w:tcW w:w="691" w:type="dxa"/>
            <w:tcBorders>
              <w:top w:val="single" w:sz="4" w:space="0" w:color="auto"/>
            </w:tcBorders>
            <w:shd w:val="clear" w:color="auto" w:fill="auto"/>
            <w:vAlign w:val="bottom"/>
          </w:tcPr>
          <w:p w14:paraId="429F86F0"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67</w:t>
            </w:r>
          </w:p>
        </w:tc>
        <w:tc>
          <w:tcPr>
            <w:tcW w:w="691" w:type="dxa"/>
            <w:tcBorders>
              <w:top w:val="single" w:sz="4" w:space="0" w:color="auto"/>
            </w:tcBorders>
            <w:shd w:val="clear" w:color="auto" w:fill="auto"/>
            <w:vAlign w:val="bottom"/>
          </w:tcPr>
          <w:p w14:paraId="7D087715"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80</w:t>
            </w:r>
          </w:p>
        </w:tc>
        <w:tc>
          <w:tcPr>
            <w:tcW w:w="619" w:type="dxa"/>
            <w:tcBorders>
              <w:top w:val="single" w:sz="4" w:space="0" w:color="auto"/>
            </w:tcBorders>
            <w:shd w:val="clear" w:color="auto" w:fill="auto"/>
            <w:vAlign w:val="bottom"/>
          </w:tcPr>
          <w:p w14:paraId="48CD4EEC"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246</w:t>
            </w:r>
          </w:p>
        </w:tc>
        <w:tc>
          <w:tcPr>
            <w:tcW w:w="958" w:type="dxa"/>
            <w:tcBorders>
              <w:top w:val="single" w:sz="4" w:space="0" w:color="auto"/>
            </w:tcBorders>
            <w:shd w:val="clear" w:color="auto" w:fill="auto"/>
            <w:vAlign w:val="bottom"/>
          </w:tcPr>
          <w:p w14:paraId="07599BF7"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891</w:t>
            </w:r>
          </w:p>
        </w:tc>
        <w:tc>
          <w:tcPr>
            <w:tcW w:w="827" w:type="dxa"/>
            <w:tcBorders>
              <w:top w:val="single" w:sz="4" w:space="0" w:color="auto"/>
            </w:tcBorders>
            <w:shd w:val="clear" w:color="auto" w:fill="auto"/>
            <w:vAlign w:val="bottom"/>
          </w:tcPr>
          <w:p w14:paraId="13C0F93F"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1 867</w:t>
            </w:r>
          </w:p>
        </w:tc>
        <w:tc>
          <w:tcPr>
            <w:tcW w:w="603" w:type="dxa"/>
            <w:tcBorders>
              <w:top w:val="single" w:sz="4" w:space="0" w:color="auto"/>
            </w:tcBorders>
            <w:shd w:val="clear" w:color="auto" w:fill="auto"/>
            <w:vAlign w:val="bottom"/>
          </w:tcPr>
          <w:p w14:paraId="6D26A74C"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3 004</w:t>
            </w:r>
          </w:p>
        </w:tc>
      </w:tr>
      <w:tr w:rsidR="008D2F10" w:rsidRPr="00D43575" w14:paraId="047BBAC8" w14:textId="77777777" w:rsidTr="00EA5196">
        <w:tc>
          <w:tcPr>
            <w:tcW w:w="903" w:type="dxa"/>
            <w:tcBorders>
              <w:bottom w:val="single" w:sz="4" w:space="0" w:color="auto"/>
            </w:tcBorders>
            <w:shd w:val="clear" w:color="auto" w:fill="auto"/>
            <w:vAlign w:val="bottom"/>
          </w:tcPr>
          <w:p w14:paraId="64E88F8E"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63" w:type="dxa"/>
            <w:tcBorders>
              <w:bottom w:val="single" w:sz="4" w:space="0" w:color="auto"/>
            </w:tcBorders>
            <w:shd w:val="clear" w:color="auto" w:fill="auto"/>
            <w:vAlign w:val="bottom"/>
          </w:tcPr>
          <w:p w14:paraId="48D82835"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Mujeres</w:t>
            </w:r>
          </w:p>
        </w:tc>
        <w:tc>
          <w:tcPr>
            <w:tcW w:w="699" w:type="dxa"/>
            <w:tcBorders>
              <w:bottom w:val="single" w:sz="4" w:space="0" w:color="auto"/>
            </w:tcBorders>
            <w:shd w:val="clear" w:color="auto" w:fill="auto"/>
            <w:vAlign w:val="bottom"/>
          </w:tcPr>
          <w:p w14:paraId="278B4921"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251</w:t>
            </w:r>
          </w:p>
        </w:tc>
        <w:tc>
          <w:tcPr>
            <w:tcW w:w="691" w:type="dxa"/>
            <w:tcBorders>
              <w:bottom w:val="single" w:sz="4" w:space="0" w:color="auto"/>
            </w:tcBorders>
            <w:shd w:val="clear" w:color="auto" w:fill="auto"/>
            <w:vAlign w:val="bottom"/>
          </w:tcPr>
          <w:p w14:paraId="25814298"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139</w:t>
            </w:r>
          </w:p>
        </w:tc>
        <w:tc>
          <w:tcPr>
            <w:tcW w:w="691" w:type="dxa"/>
            <w:tcBorders>
              <w:bottom w:val="single" w:sz="4" w:space="0" w:color="auto"/>
            </w:tcBorders>
            <w:shd w:val="clear" w:color="auto" w:fill="auto"/>
            <w:vAlign w:val="bottom"/>
          </w:tcPr>
          <w:p w14:paraId="6AE47F42"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107</w:t>
            </w:r>
          </w:p>
        </w:tc>
        <w:tc>
          <w:tcPr>
            <w:tcW w:w="691" w:type="dxa"/>
            <w:tcBorders>
              <w:bottom w:val="single" w:sz="4" w:space="0" w:color="auto"/>
            </w:tcBorders>
            <w:shd w:val="clear" w:color="auto" w:fill="auto"/>
            <w:vAlign w:val="bottom"/>
          </w:tcPr>
          <w:p w14:paraId="5AF2F01A"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116</w:t>
            </w:r>
          </w:p>
        </w:tc>
        <w:tc>
          <w:tcPr>
            <w:tcW w:w="619" w:type="dxa"/>
            <w:tcBorders>
              <w:bottom w:val="single" w:sz="4" w:space="0" w:color="auto"/>
            </w:tcBorders>
            <w:shd w:val="clear" w:color="auto" w:fill="auto"/>
            <w:vAlign w:val="bottom"/>
          </w:tcPr>
          <w:p w14:paraId="34F1E94B"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613</w:t>
            </w:r>
          </w:p>
        </w:tc>
        <w:tc>
          <w:tcPr>
            <w:tcW w:w="958" w:type="dxa"/>
            <w:tcBorders>
              <w:bottom w:val="single" w:sz="4" w:space="0" w:color="auto"/>
            </w:tcBorders>
            <w:shd w:val="clear" w:color="auto" w:fill="auto"/>
            <w:vAlign w:val="bottom"/>
          </w:tcPr>
          <w:p w14:paraId="3F8F9F8A"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418</w:t>
            </w:r>
          </w:p>
        </w:tc>
        <w:tc>
          <w:tcPr>
            <w:tcW w:w="827" w:type="dxa"/>
            <w:tcBorders>
              <w:bottom w:val="single" w:sz="4" w:space="0" w:color="auto"/>
            </w:tcBorders>
            <w:shd w:val="clear" w:color="auto" w:fill="auto"/>
            <w:vAlign w:val="bottom"/>
          </w:tcPr>
          <w:p w14:paraId="03E83AF1"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749</w:t>
            </w:r>
          </w:p>
        </w:tc>
        <w:tc>
          <w:tcPr>
            <w:tcW w:w="603" w:type="dxa"/>
            <w:tcBorders>
              <w:bottom w:val="single" w:sz="4" w:space="0" w:color="auto"/>
            </w:tcBorders>
            <w:shd w:val="clear" w:color="auto" w:fill="auto"/>
            <w:vAlign w:val="bottom"/>
          </w:tcPr>
          <w:p w14:paraId="7F29DFCD"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1 780</w:t>
            </w:r>
          </w:p>
        </w:tc>
      </w:tr>
      <w:tr w:rsidR="008D2F10" w:rsidRPr="00D43575" w14:paraId="043CC14D" w14:textId="77777777" w:rsidTr="00EA5196">
        <w:tc>
          <w:tcPr>
            <w:tcW w:w="903" w:type="dxa"/>
            <w:tcBorders>
              <w:top w:val="single" w:sz="4" w:space="0" w:color="auto"/>
              <w:bottom w:val="single" w:sz="4" w:space="0" w:color="auto"/>
            </w:tcBorders>
            <w:shd w:val="clear" w:color="auto" w:fill="auto"/>
            <w:vAlign w:val="bottom"/>
          </w:tcPr>
          <w:p w14:paraId="19B92F26" w14:textId="77777777" w:rsidR="008D2F10" w:rsidRPr="00D43575" w:rsidRDefault="008D2F10" w:rsidP="00D169AC">
            <w:pPr>
              <w:tabs>
                <w:tab w:val="left" w:pos="288"/>
                <w:tab w:val="left" w:pos="576"/>
                <w:tab w:val="left" w:pos="864"/>
                <w:tab w:val="left" w:pos="1152"/>
                <w:tab w:val="left" w:pos="5112"/>
                <w:tab w:val="right" w:pos="8640"/>
              </w:tabs>
              <w:spacing w:before="81" w:after="81" w:line="210" w:lineRule="exact"/>
              <w:ind w:right="40"/>
              <w:rPr>
                <w:b/>
                <w:bCs/>
                <w:sz w:val="17"/>
                <w:szCs w:val="20"/>
              </w:rPr>
            </w:pPr>
            <w:r w:rsidRPr="00D43575">
              <w:rPr>
                <w:b/>
                <w:bCs/>
                <w:sz w:val="17"/>
                <w:szCs w:val="20"/>
              </w:rPr>
              <w:tab/>
              <w:t>Total</w:t>
            </w:r>
          </w:p>
        </w:tc>
        <w:tc>
          <w:tcPr>
            <w:tcW w:w="763" w:type="dxa"/>
            <w:tcBorders>
              <w:top w:val="single" w:sz="4" w:space="0" w:color="auto"/>
              <w:bottom w:val="single" w:sz="4" w:space="0" w:color="auto"/>
            </w:tcBorders>
            <w:shd w:val="clear" w:color="auto" w:fill="auto"/>
            <w:vAlign w:val="bottom"/>
          </w:tcPr>
          <w:p w14:paraId="705289E3" w14:textId="77777777" w:rsidR="008D2F10" w:rsidRPr="00D43575" w:rsidRDefault="008D2F10" w:rsidP="00D169AC">
            <w:pPr>
              <w:widowControl w:val="0"/>
              <w:tabs>
                <w:tab w:val="left" w:pos="288"/>
                <w:tab w:val="left" w:pos="576"/>
                <w:tab w:val="left" w:pos="864"/>
                <w:tab w:val="left" w:pos="1152"/>
                <w:tab w:val="left" w:pos="5112"/>
                <w:tab w:val="right" w:pos="8640"/>
              </w:tabs>
              <w:spacing w:before="81" w:after="81" w:line="210" w:lineRule="exact"/>
              <w:ind w:left="144" w:right="43"/>
              <w:rPr>
                <w:b/>
                <w:bCs/>
                <w:sz w:val="17"/>
                <w:szCs w:val="20"/>
              </w:rPr>
            </w:pPr>
          </w:p>
        </w:tc>
        <w:tc>
          <w:tcPr>
            <w:tcW w:w="699" w:type="dxa"/>
            <w:tcBorders>
              <w:top w:val="single" w:sz="4" w:space="0" w:color="auto"/>
              <w:bottom w:val="single" w:sz="4" w:space="0" w:color="auto"/>
            </w:tcBorders>
            <w:shd w:val="clear" w:color="auto" w:fill="auto"/>
            <w:vAlign w:val="bottom"/>
          </w:tcPr>
          <w:p w14:paraId="2980B570" w14:textId="77777777" w:rsidR="008D2F10" w:rsidRPr="00D43575" w:rsidRDefault="008D2F10" w:rsidP="00D169AC">
            <w:pPr>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312</w:t>
            </w:r>
          </w:p>
        </w:tc>
        <w:tc>
          <w:tcPr>
            <w:tcW w:w="691" w:type="dxa"/>
            <w:tcBorders>
              <w:top w:val="single" w:sz="4" w:space="0" w:color="auto"/>
              <w:bottom w:val="single" w:sz="4" w:space="0" w:color="auto"/>
            </w:tcBorders>
            <w:shd w:val="clear" w:color="auto" w:fill="auto"/>
            <w:vAlign w:val="bottom"/>
          </w:tcPr>
          <w:p w14:paraId="49BD59C9" w14:textId="77777777" w:rsidR="008D2F10" w:rsidRPr="00D43575" w:rsidRDefault="008D2F10" w:rsidP="00D169AC">
            <w:pPr>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177</w:t>
            </w:r>
          </w:p>
        </w:tc>
        <w:tc>
          <w:tcPr>
            <w:tcW w:w="691" w:type="dxa"/>
            <w:tcBorders>
              <w:top w:val="single" w:sz="4" w:space="0" w:color="auto"/>
              <w:bottom w:val="single" w:sz="4" w:space="0" w:color="auto"/>
            </w:tcBorders>
            <w:shd w:val="clear" w:color="auto" w:fill="auto"/>
            <w:vAlign w:val="bottom"/>
          </w:tcPr>
          <w:p w14:paraId="002A5488" w14:textId="77777777" w:rsidR="008D2F10" w:rsidRPr="00D43575" w:rsidRDefault="008D2F10" w:rsidP="00D169AC">
            <w:pPr>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174</w:t>
            </w:r>
          </w:p>
        </w:tc>
        <w:tc>
          <w:tcPr>
            <w:tcW w:w="691" w:type="dxa"/>
            <w:tcBorders>
              <w:top w:val="single" w:sz="4" w:space="0" w:color="auto"/>
              <w:bottom w:val="single" w:sz="4" w:space="0" w:color="auto"/>
            </w:tcBorders>
            <w:shd w:val="clear" w:color="auto" w:fill="auto"/>
            <w:vAlign w:val="bottom"/>
          </w:tcPr>
          <w:p w14:paraId="72F99715" w14:textId="77777777" w:rsidR="008D2F10" w:rsidRPr="00D43575" w:rsidRDefault="008D2F10" w:rsidP="00D169AC">
            <w:pPr>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196</w:t>
            </w:r>
          </w:p>
        </w:tc>
        <w:tc>
          <w:tcPr>
            <w:tcW w:w="619" w:type="dxa"/>
            <w:tcBorders>
              <w:top w:val="single" w:sz="4" w:space="0" w:color="auto"/>
              <w:bottom w:val="single" w:sz="4" w:space="0" w:color="auto"/>
            </w:tcBorders>
            <w:shd w:val="clear" w:color="auto" w:fill="auto"/>
            <w:vAlign w:val="bottom"/>
          </w:tcPr>
          <w:p w14:paraId="6C25EAE0" w14:textId="77777777" w:rsidR="008D2F10" w:rsidRPr="00D43575" w:rsidRDefault="008D2F10" w:rsidP="00D169AC">
            <w:pPr>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859</w:t>
            </w:r>
          </w:p>
        </w:tc>
        <w:tc>
          <w:tcPr>
            <w:tcW w:w="958" w:type="dxa"/>
            <w:tcBorders>
              <w:top w:val="single" w:sz="4" w:space="0" w:color="auto"/>
              <w:bottom w:val="single" w:sz="4" w:space="0" w:color="auto"/>
            </w:tcBorders>
            <w:shd w:val="clear" w:color="auto" w:fill="auto"/>
            <w:vAlign w:val="bottom"/>
          </w:tcPr>
          <w:p w14:paraId="05B09155" w14:textId="77777777" w:rsidR="008D2F10" w:rsidRPr="00D43575" w:rsidRDefault="008D2F10" w:rsidP="00D169AC">
            <w:pPr>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1 309</w:t>
            </w:r>
          </w:p>
        </w:tc>
        <w:tc>
          <w:tcPr>
            <w:tcW w:w="827" w:type="dxa"/>
            <w:tcBorders>
              <w:top w:val="single" w:sz="4" w:space="0" w:color="auto"/>
              <w:bottom w:val="single" w:sz="4" w:space="0" w:color="auto"/>
            </w:tcBorders>
            <w:shd w:val="clear" w:color="auto" w:fill="auto"/>
            <w:vAlign w:val="bottom"/>
          </w:tcPr>
          <w:p w14:paraId="61C42A64" w14:textId="77777777" w:rsidR="008D2F10" w:rsidRPr="00D43575" w:rsidRDefault="008D2F10" w:rsidP="00D169AC">
            <w:pPr>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2 616</w:t>
            </w:r>
          </w:p>
        </w:tc>
        <w:tc>
          <w:tcPr>
            <w:tcW w:w="603" w:type="dxa"/>
            <w:tcBorders>
              <w:top w:val="single" w:sz="4" w:space="0" w:color="auto"/>
              <w:bottom w:val="single" w:sz="4" w:space="0" w:color="auto"/>
            </w:tcBorders>
            <w:shd w:val="clear" w:color="auto" w:fill="auto"/>
            <w:vAlign w:val="bottom"/>
          </w:tcPr>
          <w:p w14:paraId="3D9B273A" w14:textId="77777777" w:rsidR="008D2F10" w:rsidRPr="00D43575" w:rsidRDefault="008D2F10" w:rsidP="00D169AC">
            <w:pPr>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4 784</w:t>
            </w:r>
          </w:p>
        </w:tc>
      </w:tr>
      <w:tr w:rsidR="008D2F10" w:rsidRPr="00D43575" w14:paraId="58BFA710" w14:textId="77777777" w:rsidTr="00EA5196">
        <w:tc>
          <w:tcPr>
            <w:tcW w:w="903" w:type="dxa"/>
            <w:tcBorders>
              <w:top w:val="single" w:sz="4" w:space="0" w:color="auto"/>
            </w:tcBorders>
            <w:shd w:val="clear" w:color="auto" w:fill="auto"/>
            <w:vAlign w:val="bottom"/>
          </w:tcPr>
          <w:p w14:paraId="29D069A9" w14:textId="77777777" w:rsidR="008D2F10" w:rsidRPr="00D43575" w:rsidRDefault="008D2F10" w:rsidP="00D169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2017/2016</w:t>
            </w:r>
          </w:p>
        </w:tc>
        <w:tc>
          <w:tcPr>
            <w:tcW w:w="763" w:type="dxa"/>
            <w:tcBorders>
              <w:top w:val="single" w:sz="4" w:space="0" w:color="auto"/>
            </w:tcBorders>
            <w:shd w:val="clear" w:color="auto" w:fill="auto"/>
            <w:vAlign w:val="bottom"/>
          </w:tcPr>
          <w:p w14:paraId="3B724532" w14:textId="77777777" w:rsidR="008D2F10" w:rsidRPr="00D43575" w:rsidRDefault="008D2F10" w:rsidP="00D169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Hombres</w:t>
            </w:r>
          </w:p>
        </w:tc>
        <w:tc>
          <w:tcPr>
            <w:tcW w:w="699" w:type="dxa"/>
            <w:tcBorders>
              <w:top w:val="single" w:sz="4" w:space="0" w:color="auto"/>
            </w:tcBorders>
            <w:shd w:val="clear" w:color="auto" w:fill="auto"/>
            <w:vAlign w:val="bottom"/>
          </w:tcPr>
          <w:p w14:paraId="29D56FF9" w14:textId="77777777" w:rsidR="008D2F10" w:rsidRPr="00D43575" w:rsidRDefault="008D2F10" w:rsidP="00D169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tl/>
              </w:rPr>
            </w:pPr>
          </w:p>
        </w:tc>
        <w:tc>
          <w:tcPr>
            <w:tcW w:w="691" w:type="dxa"/>
            <w:tcBorders>
              <w:top w:val="single" w:sz="4" w:space="0" w:color="auto"/>
            </w:tcBorders>
            <w:shd w:val="clear" w:color="auto" w:fill="auto"/>
            <w:vAlign w:val="bottom"/>
          </w:tcPr>
          <w:p w14:paraId="7C357101" w14:textId="77777777" w:rsidR="008D2F10" w:rsidRPr="00D43575" w:rsidRDefault="008D2F10" w:rsidP="00D169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91" w:type="dxa"/>
            <w:tcBorders>
              <w:top w:val="single" w:sz="4" w:space="0" w:color="auto"/>
            </w:tcBorders>
            <w:shd w:val="clear" w:color="auto" w:fill="auto"/>
            <w:vAlign w:val="bottom"/>
          </w:tcPr>
          <w:p w14:paraId="293D337E" w14:textId="77777777" w:rsidR="008D2F10" w:rsidRPr="00D43575" w:rsidRDefault="008D2F10" w:rsidP="00D169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91" w:type="dxa"/>
            <w:tcBorders>
              <w:top w:val="single" w:sz="4" w:space="0" w:color="auto"/>
            </w:tcBorders>
            <w:shd w:val="clear" w:color="auto" w:fill="auto"/>
            <w:vAlign w:val="bottom"/>
          </w:tcPr>
          <w:p w14:paraId="2BED33A1" w14:textId="77777777" w:rsidR="008D2F10" w:rsidRPr="00D43575" w:rsidRDefault="008D2F10" w:rsidP="00D169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19" w:type="dxa"/>
            <w:tcBorders>
              <w:top w:val="single" w:sz="4" w:space="0" w:color="auto"/>
            </w:tcBorders>
            <w:shd w:val="clear" w:color="auto" w:fill="auto"/>
            <w:vAlign w:val="bottom"/>
          </w:tcPr>
          <w:p w14:paraId="45E26C92" w14:textId="77777777" w:rsidR="008D2F10" w:rsidRPr="00D43575" w:rsidRDefault="008D2F10" w:rsidP="00D169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381</w:t>
            </w:r>
          </w:p>
        </w:tc>
        <w:tc>
          <w:tcPr>
            <w:tcW w:w="958" w:type="dxa"/>
            <w:tcBorders>
              <w:top w:val="single" w:sz="4" w:space="0" w:color="auto"/>
            </w:tcBorders>
            <w:shd w:val="clear" w:color="auto" w:fill="auto"/>
            <w:vAlign w:val="bottom"/>
          </w:tcPr>
          <w:p w14:paraId="1A6C0903" w14:textId="77777777" w:rsidR="008D2F10" w:rsidRPr="00D43575" w:rsidRDefault="008D2F10" w:rsidP="00D169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1 267</w:t>
            </w:r>
          </w:p>
        </w:tc>
        <w:tc>
          <w:tcPr>
            <w:tcW w:w="827" w:type="dxa"/>
            <w:tcBorders>
              <w:top w:val="single" w:sz="4" w:space="0" w:color="auto"/>
            </w:tcBorders>
            <w:shd w:val="clear" w:color="auto" w:fill="auto"/>
            <w:vAlign w:val="bottom"/>
          </w:tcPr>
          <w:p w14:paraId="3DA2881D" w14:textId="77777777" w:rsidR="008D2F10" w:rsidRPr="00D43575" w:rsidRDefault="008D2F10" w:rsidP="00D169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2 766</w:t>
            </w:r>
          </w:p>
        </w:tc>
        <w:tc>
          <w:tcPr>
            <w:tcW w:w="603" w:type="dxa"/>
            <w:tcBorders>
              <w:top w:val="single" w:sz="4" w:space="0" w:color="auto"/>
            </w:tcBorders>
            <w:shd w:val="clear" w:color="auto" w:fill="auto"/>
            <w:vAlign w:val="bottom"/>
          </w:tcPr>
          <w:p w14:paraId="1F4C9A14" w14:textId="77777777" w:rsidR="008D2F10" w:rsidRPr="00D43575" w:rsidRDefault="008D2F10" w:rsidP="00D169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4 414</w:t>
            </w:r>
          </w:p>
        </w:tc>
      </w:tr>
      <w:tr w:rsidR="008D2F10" w:rsidRPr="00D43575" w14:paraId="5C1C2292" w14:textId="77777777" w:rsidTr="00EA5196">
        <w:tc>
          <w:tcPr>
            <w:tcW w:w="903" w:type="dxa"/>
            <w:tcBorders>
              <w:bottom w:val="single" w:sz="4" w:space="0" w:color="auto"/>
            </w:tcBorders>
            <w:shd w:val="clear" w:color="auto" w:fill="auto"/>
            <w:vAlign w:val="bottom"/>
          </w:tcPr>
          <w:p w14:paraId="4B78FAB0" w14:textId="77777777" w:rsidR="008D2F10" w:rsidRPr="00D43575" w:rsidRDefault="008D2F10" w:rsidP="00D169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763" w:type="dxa"/>
            <w:tcBorders>
              <w:bottom w:val="single" w:sz="4" w:space="0" w:color="auto"/>
            </w:tcBorders>
            <w:shd w:val="clear" w:color="auto" w:fill="auto"/>
            <w:vAlign w:val="bottom"/>
          </w:tcPr>
          <w:p w14:paraId="7B35FEA9" w14:textId="77777777" w:rsidR="008D2F10" w:rsidRPr="00D43575" w:rsidRDefault="008D2F10" w:rsidP="00D169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Mujeres</w:t>
            </w:r>
          </w:p>
        </w:tc>
        <w:tc>
          <w:tcPr>
            <w:tcW w:w="699" w:type="dxa"/>
            <w:tcBorders>
              <w:bottom w:val="single" w:sz="4" w:space="0" w:color="auto"/>
            </w:tcBorders>
            <w:shd w:val="clear" w:color="auto" w:fill="auto"/>
            <w:vAlign w:val="bottom"/>
          </w:tcPr>
          <w:p w14:paraId="61779998" w14:textId="77777777" w:rsidR="008D2F10" w:rsidRPr="00D43575" w:rsidRDefault="008D2F10" w:rsidP="00D169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tl/>
              </w:rPr>
            </w:pPr>
          </w:p>
        </w:tc>
        <w:tc>
          <w:tcPr>
            <w:tcW w:w="691" w:type="dxa"/>
            <w:tcBorders>
              <w:bottom w:val="single" w:sz="4" w:space="0" w:color="auto"/>
            </w:tcBorders>
            <w:shd w:val="clear" w:color="auto" w:fill="auto"/>
            <w:vAlign w:val="bottom"/>
          </w:tcPr>
          <w:p w14:paraId="444C5454" w14:textId="77777777" w:rsidR="008D2F10" w:rsidRPr="00D43575" w:rsidRDefault="008D2F10" w:rsidP="00D169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91" w:type="dxa"/>
            <w:tcBorders>
              <w:bottom w:val="single" w:sz="4" w:space="0" w:color="auto"/>
            </w:tcBorders>
            <w:shd w:val="clear" w:color="auto" w:fill="auto"/>
            <w:vAlign w:val="bottom"/>
          </w:tcPr>
          <w:p w14:paraId="3F4BFAE0" w14:textId="77777777" w:rsidR="008D2F10" w:rsidRPr="00D43575" w:rsidRDefault="008D2F10" w:rsidP="00D169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91" w:type="dxa"/>
            <w:tcBorders>
              <w:bottom w:val="single" w:sz="4" w:space="0" w:color="auto"/>
            </w:tcBorders>
            <w:shd w:val="clear" w:color="auto" w:fill="auto"/>
            <w:vAlign w:val="bottom"/>
          </w:tcPr>
          <w:p w14:paraId="60E42D7A" w14:textId="77777777" w:rsidR="008D2F10" w:rsidRPr="00D43575" w:rsidRDefault="008D2F10" w:rsidP="00D169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619" w:type="dxa"/>
            <w:tcBorders>
              <w:bottom w:val="single" w:sz="4" w:space="0" w:color="auto"/>
            </w:tcBorders>
            <w:shd w:val="clear" w:color="auto" w:fill="auto"/>
            <w:vAlign w:val="bottom"/>
          </w:tcPr>
          <w:p w14:paraId="2CB193D0" w14:textId="77777777" w:rsidR="008D2F10" w:rsidRPr="00D43575" w:rsidRDefault="008D2F10" w:rsidP="00D169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1 072</w:t>
            </w:r>
          </w:p>
        </w:tc>
        <w:tc>
          <w:tcPr>
            <w:tcW w:w="958" w:type="dxa"/>
            <w:tcBorders>
              <w:bottom w:val="single" w:sz="4" w:space="0" w:color="auto"/>
            </w:tcBorders>
            <w:shd w:val="clear" w:color="auto" w:fill="auto"/>
            <w:vAlign w:val="bottom"/>
          </w:tcPr>
          <w:p w14:paraId="33805B05" w14:textId="77777777" w:rsidR="008D2F10" w:rsidRPr="00D43575" w:rsidRDefault="008D2F10" w:rsidP="00D169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946</w:t>
            </w:r>
          </w:p>
        </w:tc>
        <w:tc>
          <w:tcPr>
            <w:tcW w:w="827" w:type="dxa"/>
            <w:tcBorders>
              <w:bottom w:val="single" w:sz="4" w:space="0" w:color="auto"/>
            </w:tcBorders>
            <w:shd w:val="clear" w:color="auto" w:fill="auto"/>
            <w:vAlign w:val="bottom"/>
          </w:tcPr>
          <w:p w14:paraId="5E309B18" w14:textId="77777777" w:rsidR="008D2F10" w:rsidRPr="00D43575" w:rsidRDefault="008D2F10" w:rsidP="00D169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1 943</w:t>
            </w:r>
          </w:p>
        </w:tc>
        <w:tc>
          <w:tcPr>
            <w:tcW w:w="603" w:type="dxa"/>
            <w:tcBorders>
              <w:bottom w:val="single" w:sz="4" w:space="0" w:color="auto"/>
            </w:tcBorders>
            <w:shd w:val="clear" w:color="auto" w:fill="auto"/>
            <w:vAlign w:val="bottom"/>
          </w:tcPr>
          <w:p w14:paraId="09BABE1D" w14:textId="77777777" w:rsidR="008D2F10" w:rsidRPr="00D43575" w:rsidRDefault="008D2F10" w:rsidP="00D169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3 961</w:t>
            </w:r>
          </w:p>
        </w:tc>
      </w:tr>
      <w:tr w:rsidR="008D2F10" w:rsidRPr="00D43575" w14:paraId="0A683A1B" w14:textId="77777777" w:rsidTr="00EA5196">
        <w:tc>
          <w:tcPr>
            <w:tcW w:w="903" w:type="dxa"/>
            <w:tcBorders>
              <w:top w:val="single" w:sz="4" w:space="0" w:color="auto"/>
              <w:bottom w:val="single" w:sz="12" w:space="0" w:color="auto"/>
            </w:tcBorders>
            <w:shd w:val="clear" w:color="auto" w:fill="auto"/>
            <w:vAlign w:val="bottom"/>
          </w:tcPr>
          <w:p w14:paraId="3E67122E" w14:textId="77777777" w:rsidR="008D2F10" w:rsidRPr="00D43575" w:rsidRDefault="008D2F10" w:rsidP="00D169AC">
            <w:pPr>
              <w:tabs>
                <w:tab w:val="left" w:pos="288"/>
                <w:tab w:val="left" w:pos="576"/>
                <w:tab w:val="left" w:pos="864"/>
                <w:tab w:val="left" w:pos="1152"/>
                <w:tab w:val="left" w:pos="5112"/>
                <w:tab w:val="right" w:pos="8640"/>
              </w:tabs>
              <w:spacing w:before="81" w:after="81" w:line="210" w:lineRule="exact"/>
              <w:ind w:right="40"/>
              <w:rPr>
                <w:b/>
                <w:bCs/>
                <w:sz w:val="17"/>
                <w:szCs w:val="20"/>
              </w:rPr>
            </w:pPr>
            <w:r w:rsidRPr="00D43575">
              <w:rPr>
                <w:b/>
                <w:bCs/>
                <w:sz w:val="17"/>
                <w:szCs w:val="20"/>
              </w:rPr>
              <w:tab/>
              <w:t>Total</w:t>
            </w:r>
          </w:p>
        </w:tc>
        <w:tc>
          <w:tcPr>
            <w:tcW w:w="763" w:type="dxa"/>
            <w:tcBorders>
              <w:top w:val="single" w:sz="4" w:space="0" w:color="auto"/>
              <w:bottom w:val="single" w:sz="12" w:space="0" w:color="auto"/>
            </w:tcBorders>
            <w:shd w:val="clear" w:color="auto" w:fill="auto"/>
            <w:vAlign w:val="bottom"/>
          </w:tcPr>
          <w:p w14:paraId="13315212" w14:textId="77777777" w:rsidR="008D2F10" w:rsidRPr="00D43575" w:rsidRDefault="008D2F10" w:rsidP="00D169AC">
            <w:pPr>
              <w:widowControl w:val="0"/>
              <w:tabs>
                <w:tab w:val="left" w:pos="288"/>
                <w:tab w:val="left" w:pos="576"/>
                <w:tab w:val="left" w:pos="864"/>
                <w:tab w:val="left" w:pos="1152"/>
                <w:tab w:val="left" w:pos="5112"/>
                <w:tab w:val="right" w:pos="8640"/>
              </w:tabs>
              <w:spacing w:before="81" w:after="81" w:line="210" w:lineRule="exact"/>
              <w:ind w:left="144" w:right="43"/>
              <w:rPr>
                <w:b/>
                <w:bCs/>
                <w:sz w:val="17"/>
                <w:szCs w:val="20"/>
              </w:rPr>
            </w:pPr>
          </w:p>
        </w:tc>
        <w:tc>
          <w:tcPr>
            <w:tcW w:w="699" w:type="dxa"/>
            <w:tcBorders>
              <w:top w:val="single" w:sz="4" w:space="0" w:color="auto"/>
              <w:bottom w:val="single" w:sz="12" w:space="0" w:color="auto"/>
            </w:tcBorders>
            <w:shd w:val="clear" w:color="auto" w:fill="auto"/>
            <w:vAlign w:val="bottom"/>
          </w:tcPr>
          <w:p w14:paraId="66262A78" w14:textId="77777777" w:rsidR="008D2F10" w:rsidRPr="00D43575" w:rsidRDefault="008D2F10" w:rsidP="00D169AC">
            <w:pPr>
              <w:tabs>
                <w:tab w:val="left" w:pos="288"/>
                <w:tab w:val="left" w:pos="576"/>
                <w:tab w:val="left" w:pos="864"/>
                <w:tab w:val="left" w:pos="1152"/>
                <w:tab w:val="left" w:pos="5112"/>
                <w:tab w:val="right" w:pos="8640"/>
              </w:tabs>
              <w:spacing w:before="81" w:after="81" w:line="210" w:lineRule="exact"/>
              <w:ind w:right="40"/>
              <w:jc w:val="right"/>
              <w:rPr>
                <w:b/>
                <w:sz w:val="17"/>
                <w:szCs w:val="20"/>
                <w:rtl/>
              </w:rPr>
            </w:pPr>
          </w:p>
        </w:tc>
        <w:tc>
          <w:tcPr>
            <w:tcW w:w="691" w:type="dxa"/>
            <w:tcBorders>
              <w:top w:val="single" w:sz="4" w:space="0" w:color="auto"/>
              <w:bottom w:val="single" w:sz="12" w:space="0" w:color="auto"/>
            </w:tcBorders>
            <w:shd w:val="clear" w:color="auto" w:fill="auto"/>
            <w:vAlign w:val="bottom"/>
          </w:tcPr>
          <w:p w14:paraId="613824B2" w14:textId="77777777" w:rsidR="008D2F10" w:rsidRPr="00D43575" w:rsidRDefault="008D2F10" w:rsidP="00D169AC">
            <w:pPr>
              <w:tabs>
                <w:tab w:val="left" w:pos="288"/>
                <w:tab w:val="left" w:pos="576"/>
                <w:tab w:val="left" w:pos="864"/>
                <w:tab w:val="left" w:pos="1152"/>
                <w:tab w:val="left" w:pos="5112"/>
                <w:tab w:val="right" w:pos="8640"/>
              </w:tabs>
              <w:spacing w:before="81" w:after="81" w:line="210" w:lineRule="exact"/>
              <w:ind w:right="40"/>
              <w:jc w:val="right"/>
              <w:rPr>
                <w:b/>
                <w:sz w:val="17"/>
                <w:szCs w:val="20"/>
              </w:rPr>
            </w:pPr>
          </w:p>
        </w:tc>
        <w:tc>
          <w:tcPr>
            <w:tcW w:w="691" w:type="dxa"/>
            <w:tcBorders>
              <w:top w:val="single" w:sz="4" w:space="0" w:color="auto"/>
              <w:bottom w:val="single" w:sz="12" w:space="0" w:color="auto"/>
            </w:tcBorders>
            <w:shd w:val="clear" w:color="auto" w:fill="auto"/>
            <w:vAlign w:val="bottom"/>
          </w:tcPr>
          <w:p w14:paraId="41E4981B" w14:textId="77777777" w:rsidR="008D2F10" w:rsidRPr="00D43575" w:rsidRDefault="008D2F10" w:rsidP="00D169AC">
            <w:pPr>
              <w:tabs>
                <w:tab w:val="left" w:pos="288"/>
                <w:tab w:val="left" w:pos="576"/>
                <w:tab w:val="left" w:pos="864"/>
                <w:tab w:val="left" w:pos="1152"/>
                <w:tab w:val="left" w:pos="5112"/>
                <w:tab w:val="right" w:pos="8640"/>
              </w:tabs>
              <w:spacing w:before="81" w:after="81" w:line="210" w:lineRule="exact"/>
              <w:ind w:right="40"/>
              <w:jc w:val="right"/>
              <w:rPr>
                <w:b/>
                <w:sz w:val="17"/>
                <w:szCs w:val="20"/>
              </w:rPr>
            </w:pPr>
          </w:p>
        </w:tc>
        <w:tc>
          <w:tcPr>
            <w:tcW w:w="691" w:type="dxa"/>
            <w:tcBorders>
              <w:top w:val="single" w:sz="4" w:space="0" w:color="auto"/>
              <w:bottom w:val="single" w:sz="12" w:space="0" w:color="auto"/>
            </w:tcBorders>
            <w:shd w:val="clear" w:color="auto" w:fill="auto"/>
            <w:vAlign w:val="bottom"/>
          </w:tcPr>
          <w:p w14:paraId="79AC1CAC" w14:textId="77777777" w:rsidR="008D2F10" w:rsidRPr="00D43575" w:rsidRDefault="008D2F10" w:rsidP="00D169AC">
            <w:pPr>
              <w:tabs>
                <w:tab w:val="left" w:pos="288"/>
                <w:tab w:val="left" w:pos="576"/>
                <w:tab w:val="left" w:pos="864"/>
                <w:tab w:val="left" w:pos="1152"/>
                <w:tab w:val="left" w:pos="5112"/>
                <w:tab w:val="right" w:pos="8640"/>
              </w:tabs>
              <w:spacing w:before="81" w:after="81" w:line="210" w:lineRule="exact"/>
              <w:ind w:right="40"/>
              <w:jc w:val="right"/>
              <w:rPr>
                <w:b/>
                <w:sz w:val="17"/>
                <w:szCs w:val="20"/>
              </w:rPr>
            </w:pPr>
          </w:p>
        </w:tc>
        <w:tc>
          <w:tcPr>
            <w:tcW w:w="619" w:type="dxa"/>
            <w:tcBorders>
              <w:top w:val="single" w:sz="4" w:space="0" w:color="auto"/>
              <w:bottom w:val="single" w:sz="12" w:space="0" w:color="auto"/>
            </w:tcBorders>
            <w:shd w:val="clear" w:color="auto" w:fill="auto"/>
            <w:vAlign w:val="bottom"/>
          </w:tcPr>
          <w:p w14:paraId="5AD4DCA8" w14:textId="77777777" w:rsidR="008D2F10" w:rsidRPr="00D43575" w:rsidRDefault="008D2F10" w:rsidP="00D169AC">
            <w:pPr>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1 453</w:t>
            </w:r>
          </w:p>
        </w:tc>
        <w:tc>
          <w:tcPr>
            <w:tcW w:w="958" w:type="dxa"/>
            <w:tcBorders>
              <w:top w:val="single" w:sz="4" w:space="0" w:color="auto"/>
              <w:bottom w:val="single" w:sz="12" w:space="0" w:color="auto"/>
            </w:tcBorders>
            <w:shd w:val="clear" w:color="auto" w:fill="auto"/>
            <w:vAlign w:val="bottom"/>
          </w:tcPr>
          <w:p w14:paraId="332201B5" w14:textId="77777777" w:rsidR="008D2F10" w:rsidRPr="00D43575" w:rsidRDefault="008D2F10" w:rsidP="00D169AC">
            <w:pPr>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2 213</w:t>
            </w:r>
          </w:p>
        </w:tc>
        <w:tc>
          <w:tcPr>
            <w:tcW w:w="827" w:type="dxa"/>
            <w:tcBorders>
              <w:top w:val="single" w:sz="4" w:space="0" w:color="auto"/>
              <w:bottom w:val="single" w:sz="12" w:space="0" w:color="auto"/>
            </w:tcBorders>
            <w:shd w:val="clear" w:color="auto" w:fill="auto"/>
            <w:vAlign w:val="bottom"/>
          </w:tcPr>
          <w:p w14:paraId="3AA84D14" w14:textId="77777777" w:rsidR="008D2F10" w:rsidRPr="00D43575" w:rsidRDefault="008D2F10" w:rsidP="00D169AC">
            <w:pPr>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4 709</w:t>
            </w:r>
          </w:p>
        </w:tc>
        <w:tc>
          <w:tcPr>
            <w:tcW w:w="603" w:type="dxa"/>
            <w:tcBorders>
              <w:top w:val="single" w:sz="4" w:space="0" w:color="auto"/>
              <w:bottom w:val="single" w:sz="12" w:space="0" w:color="auto"/>
            </w:tcBorders>
            <w:shd w:val="clear" w:color="auto" w:fill="auto"/>
            <w:vAlign w:val="bottom"/>
          </w:tcPr>
          <w:p w14:paraId="65A1C750" w14:textId="77777777" w:rsidR="008D2F10" w:rsidRPr="00D43575" w:rsidRDefault="008D2F10" w:rsidP="00D169AC">
            <w:pPr>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8 375</w:t>
            </w:r>
          </w:p>
        </w:tc>
      </w:tr>
    </w:tbl>
    <w:p w14:paraId="5B89E2D1" w14:textId="77777777" w:rsidR="008D2F10" w:rsidRPr="00D43575" w:rsidRDefault="008D2F10" w:rsidP="008D2F10">
      <w:pPr>
        <w:pStyle w:val="SingleTxt"/>
        <w:spacing w:after="0" w:line="120" w:lineRule="exact"/>
        <w:rPr>
          <w:sz w:val="10"/>
        </w:rPr>
      </w:pPr>
    </w:p>
    <w:p w14:paraId="53CF50EE" w14:textId="19993FB7" w:rsidR="008D2F10"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 xml:space="preserve">Estado de Qatar, Ministerio de Educación y Enseñanza Superior, </w:t>
      </w:r>
      <w:r w:rsidRPr="00D43575">
        <w:rPr>
          <w:rFonts w:eastAsiaTheme="minorHAnsi"/>
          <w:i/>
          <w:iCs/>
          <w:w w:val="103"/>
          <w:kern w:val="14"/>
          <w:szCs w:val="20"/>
        </w:rPr>
        <w:t>Educación para Todos: informe nacional del Estado de Qatar 2000</w:t>
      </w:r>
      <w:r w:rsidR="00083383" w:rsidRPr="00D43575">
        <w:rPr>
          <w:rFonts w:eastAsiaTheme="minorHAnsi"/>
          <w:i/>
          <w:iCs/>
          <w:w w:val="103"/>
          <w:kern w:val="14"/>
          <w:szCs w:val="20"/>
        </w:rPr>
        <w:noBreakHyphen/>
      </w:r>
      <w:r w:rsidRPr="00D43575">
        <w:rPr>
          <w:rFonts w:eastAsiaTheme="minorHAnsi"/>
          <w:i/>
          <w:iCs/>
          <w:w w:val="103"/>
          <w:kern w:val="14"/>
          <w:szCs w:val="20"/>
        </w:rPr>
        <w:t>2015</w:t>
      </w:r>
      <w:r w:rsidRPr="00D43575">
        <w:rPr>
          <w:rFonts w:eastAsiaTheme="minorHAnsi"/>
          <w:iCs/>
          <w:w w:val="103"/>
          <w:kern w:val="14"/>
          <w:szCs w:val="20"/>
        </w:rPr>
        <w:t>, julio de 2014</w:t>
      </w:r>
      <w:r w:rsidR="00083383" w:rsidRPr="00D43575">
        <w:rPr>
          <w:rFonts w:eastAsiaTheme="minorHAnsi"/>
          <w:iCs/>
          <w:w w:val="103"/>
          <w:kern w:val="14"/>
          <w:szCs w:val="20"/>
        </w:rPr>
        <w:t>.</w:t>
      </w:r>
      <w:r w:rsidRPr="00D43575">
        <w:rPr>
          <w:rFonts w:eastAsiaTheme="minorHAnsi"/>
          <w:iCs/>
          <w:w w:val="103"/>
          <w:kern w:val="14"/>
          <w:szCs w:val="20"/>
        </w:rPr>
        <w:t xml:space="preserve"> Boletín sobre estadísticas educativas, mayo, año escolar 2016</w:t>
      </w:r>
      <w:r w:rsidR="00083383" w:rsidRPr="00D43575">
        <w:rPr>
          <w:rFonts w:eastAsiaTheme="minorHAnsi"/>
          <w:iCs/>
          <w:w w:val="103"/>
          <w:kern w:val="14"/>
          <w:szCs w:val="20"/>
        </w:rPr>
        <w:noBreakHyphen/>
      </w:r>
      <w:r w:rsidRPr="00D43575">
        <w:rPr>
          <w:rFonts w:eastAsiaTheme="minorHAnsi"/>
          <w:iCs/>
          <w:w w:val="103"/>
          <w:kern w:val="14"/>
          <w:szCs w:val="20"/>
        </w:rPr>
        <w:t>2017</w:t>
      </w:r>
      <w:r w:rsidR="00083383" w:rsidRPr="00D43575">
        <w:rPr>
          <w:rFonts w:eastAsiaTheme="minorHAnsi"/>
          <w:iCs/>
          <w:w w:val="103"/>
          <w:kern w:val="14"/>
          <w:szCs w:val="20"/>
        </w:rPr>
        <w:t>.</w:t>
      </w:r>
    </w:p>
    <w:p w14:paraId="53608E9B" w14:textId="77777777" w:rsidR="00A87ECC" w:rsidRPr="00D43575" w:rsidRDefault="00A87ECC" w:rsidP="00A87ECC">
      <w:pPr>
        <w:pStyle w:val="SingleTxt"/>
        <w:spacing w:after="0" w:line="120" w:lineRule="exact"/>
        <w:rPr>
          <w:sz w:val="10"/>
        </w:rPr>
      </w:pPr>
    </w:p>
    <w:p w14:paraId="3A4BA979" w14:textId="77777777" w:rsidR="00A87ECC" w:rsidRPr="00D43575" w:rsidRDefault="00A87ECC" w:rsidP="00A87ECC">
      <w:pPr>
        <w:pStyle w:val="SingleTxt"/>
        <w:spacing w:after="0" w:line="120" w:lineRule="exact"/>
        <w:rPr>
          <w:sz w:val="10"/>
        </w:rPr>
      </w:pPr>
    </w:p>
    <w:p w14:paraId="03B166A5" w14:textId="71EC71A7" w:rsidR="008D2F10" w:rsidRPr="00D43575" w:rsidRDefault="008D2F10" w:rsidP="001D1AD0">
      <w:pPr>
        <w:pStyle w:val="SingleTxt"/>
        <w:numPr>
          <w:ilvl w:val="0"/>
          <w:numId w:val="10"/>
        </w:numPr>
        <w:ind w:left="1267" w:firstLine="0"/>
      </w:pPr>
      <w:r w:rsidRPr="00D43575">
        <w:lastRenderedPageBreak/>
        <w:t>El cuadro 13 muestra el total de hombres y mujeres adultos matriculados en el año de base 2001, que fue de 2</w:t>
      </w:r>
      <w:r w:rsidR="00083383" w:rsidRPr="00D43575">
        <w:t>.</w:t>
      </w:r>
      <w:r w:rsidRPr="00D43575">
        <w:t>871, concretamente 1</w:t>
      </w:r>
      <w:r w:rsidR="00083383" w:rsidRPr="00D43575">
        <w:t>.</w:t>
      </w:r>
      <w:r w:rsidRPr="00D43575">
        <w:t>927 hombres, el 67,1%, y 944</w:t>
      </w:r>
      <w:r w:rsidR="00083383" w:rsidRPr="00D43575">
        <w:t xml:space="preserve"> </w:t>
      </w:r>
      <w:r w:rsidRPr="00D43575">
        <w:t>mujeres, esto es, el 32,9%</w:t>
      </w:r>
      <w:r w:rsidR="00083383" w:rsidRPr="00D43575">
        <w:t>.</w:t>
      </w:r>
      <w:r w:rsidRPr="00D43575">
        <w:t xml:space="preserve"> El número total de estudiantes hombres y mujeres en 2013 fue de 4</w:t>
      </w:r>
      <w:r w:rsidR="00083383" w:rsidRPr="00D43575">
        <w:t>.</w:t>
      </w:r>
      <w:r w:rsidRPr="00D43575">
        <w:t>784, concretamente 3</w:t>
      </w:r>
      <w:r w:rsidR="00083383" w:rsidRPr="00D43575">
        <w:t>.</w:t>
      </w:r>
      <w:r w:rsidRPr="00D43575">
        <w:t>004 hombres, el 62,8%, y 1</w:t>
      </w:r>
      <w:r w:rsidR="00083383" w:rsidRPr="00D43575">
        <w:t>.</w:t>
      </w:r>
      <w:r w:rsidRPr="00D43575">
        <w:t>780 mujeres, es decir, el 37,2%</w:t>
      </w:r>
      <w:r w:rsidR="00083383" w:rsidRPr="00D43575">
        <w:t>.</w:t>
      </w:r>
    </w:p>
    <w:p w14:paraId="47BB79B2" w14:textId="61CDCA74" w:rsidR="008D2F10" w:rsidRPr="00D43575" w:rsidRDefault="008D2F10" w:rsidP="001D1AD0">
      <w:pPr>
        <w:pStyle w:val="SingleTxt"/>
        <w:numPr>
          <w:ilvl w:val="0"/>
          <w:numId w:val="10"/>
        </w:numPr>
        <w:ind w:left="1267" w:firstLine="0"/>
      </w:pPr>
      <w:r w:rsidRPr="00D43575">
        <w:t>Estas estadísticas indican que hay más hombres que mujeres matriculados en la educación de adultos y la alfabetización (educación paralela)</w:t>
      </w:r>
      <w:r w:rsidR="00083383" w:rsidRPr="00D43575">
        <w:t>.</w:t>
      </w:r>
      <w:r w:rsidRPr="00D43575">
        <w:t xml:space="preserve"> Es probable que esto se deba a la composición demográfica de la población del Estado de Qatar, en la que hay más hombres que mujeres, lo cual se explica por los trabajadores migrantes que llegan al país</w:t>
      </w:r>
      <w:r w:rsidR="00083383" w:rsidRPr="00D43575">
        <w:t>.</w:t>
      </w:r>
      <w:r w:rsidRPr="00D43575">
        <w:t xml:space="preserve"> También cabe la posibilidad de que los hombres abandonen sus estudios antes o después para incorporarse al mercado de trabajo, tras lo cual pueden reanudar sus estudios más adelante</w:t>
      </w:r>
      <w:r w:rsidR="00083383" w:rsidRPr="00D43575">
        <w:t>.</w:t>
      </w:r>
    </w:p>
    <w:p w14:paraId="7E386C84" w14:textId="739518E1" w:rsidR="008D2F10" w:rsidRPr="00D43575" w:rsidRDefault="008D2F10" w:rsidP="001D1AD0">
      <w:pPr>
        <w:pStyle w:val="SingleTxt"/>
        <w:numPr>
          <w:ilvl w:val="0"/>
          <w:numId w:val="10"/>
        </w:numPr>
        <w:ind w:left="1267" w:firstLine="0"/>
      </w:pPr>
      <w:r w:rsidRPr="00D43575">
        <w:t>La matriculación de mujeres aumentó en el curso 2015</w:t>
      </w:r>
      <w:r w:rsidR="00083383" w:rsidRPr="00D43575">
        <w:noBreakHyphen/>
      </w:r>
      <w:r w:rsidRPr="00D43575">
        <w:t>2016 y superó por primera vez la de los hombres, con un 61%</w:t>
      </w:r>
      <w:r w:rsidR="00083383" w:rsidRPr="00D43575">
        <w:t>.</w:t>
      </w:r>
      <w:r w:rsidRPr="00D43575">
        <w:t xml:space="preserve"> Se trata de un indicador positivo ascendente</w:t>
      </w:r>
      <w:r w:rsidR="00083383" w:rsidRPr="00D43575">
        <w:t>.</w:t>
      </w:r>
      <w:r w:rsidRPr="00D43575">
        <w:t xml:space="preserve"> En el cuadro 14 se muestran las tasas de matriculación en la educación de adultos (enseñanza paralela) desglosadas por sexo de 2012 a 2016</w:t>
      </w:r>
      <w:r w:rsidR="00083383" w:rsidRPr="00D43575">
        <w:t>.</w:t>
      </w:r>
    </w:p>
    <w:p w14:paraId="55A7EF66" w14:textId="77777777" w:rsidR="008D2F10" w:rsidRPr="00D43575" w:rsidRDefault="008D2F10" w:rsidP="008D2F10">
      <w:pPr>
        <w:pStyle w:val="SingleTxt"/>
        <w:spacing w:after="0" w:line="120" w:lineRule="exact"/>
        <w:rPr>
          <w:sz w:val="10"/>
        </w:rPr>
      </w:pPr>
    </w:p>
    <w:p w14:paraId="2698082E" w14:textId="68DF86F6"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r>
      <w:r w:rsidR="00F50320">
        <w:rPr>
          <w:b w:val="0"/>
          <w:bCs w:val="0"/>
          <w:szCs w:val="20"/>
        </w:rPr>
        <w:t>Cuadro 14</w:t>
      </w:r>
      <w:r w:rsidR="00473E2B" w:rsidRPr="00D43575">
        <w:rPr>
          <w:b w:val="0"/>
          <w:bCs w:val="0"/>
          <w:szCs w:val="20"/>
        </w:rPr>
        <w:t xml:space="preserve"> </w:t>
      </w:r>
      <w:r w:rsidR="00473E2B" w:rsidRPr="00D43575">
        <w:rPr>
          <w:b w:val="0"/>
          <w:bCs w:val="0"/>
          <w:szCs w:val="20"/>
        </w:rPr>
        <w:br/>
      </w:r>
      <w:r w:rsidRPr="00D43575">
        <w:rPr>
          <w:bCs w:val="0"/>
          <w:szCs w:val="20"/>
        </w:rPr>
        <w:t>Tasas de matriculación en la educación de adultos (enseñanza paralela) desglosadas por sexo de 2012 a 2016</w:t>
      </w:r>
    </w:p>
    <w:p w14:paraId="317E844F" w14:textId="77777777" w:rsidR="008D2F10" w:rsidRPr="00D43575" w:rsidRDefault="008D2F10" w:rsidP="008D2F1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72"/>
        <w:gridCol w:w="1464"/>
        <w:gridCol w:w="1464"/>
        <w:gridCol w:w="1260"/>
        <w:gridCol w:w="1620"/>
      </w:tblGrid>
      <w:tr w:rsidR="008D2F10" w:rsidRPr="00D43575" w14:paraId="13B9D582" w14:textId="77777777" w:rsidTr="00BD7BE9">
        <w:trPr>
          <w:tblHeader/>
        </w:trPr>
        <w:tc>
          <w:tcPr>
            <w:tcW w:w="1572" w:type="dxa"/>
            <w:tcBorders>
              <w:top w:val="single" w:sz="4" w:space="0" w:color="auto"/>
              <w:bottom w:val="single" w:sz="12" w:space="0" w:color="auto"/>
            </w:tcBorders>
            <w:shd w:val="clear" w:color="auto" w:fill="auto"/>
            <w:vAlign w:val="bottom"/>
          </w:tcPr>
          <w:p w14:paraId="5DA69BFF" w14:textId="77777777" w:rsidR="008D2F10" w:rsidRPr="00D43575" w:rsidRDefault="008D2F10" w:rsidP="00BF3A92">
            <w:pPr>
              <w:pStyle w:val="SingleTxt"/>
              <w:spacing w:before="80" w:after="80" w:line="160" w:lineRule="exact"/>
              <w:ind w:left="11" w:right="43"/>
              <w:jc w:val="left"/>
              <w:rPr>
                <w:i/>
                <w:iCs/>
                <w:sz w:val="14"/>
              </w:rPr>
            </w:pPr>
            <w:r w:rsidRPr="00D43575">
              <w:rPr>
                <w:i/>
                <w:iCs/>
                <w:sz w:val="14"/>
              </w:rPr>
              <w:t>Año</w:t>
            </w:r>
          </w:p>
        </w:tc>
        <w:tc>
          <w:tcPr>
            <w:tcW w:w="1464" w:type="dxa"/>
            <w:tcBorders>
              <w:top w:val="single" w:sz="4" w:space="0" w:color="auto"/>
              <w:bottom w:val="single" w:sz="12" w:space="0" w:color="auto"/>
            </w:tcBorders>
            <w:shd w:val="clear" w:color="auto" w:fill="auto"/>
            <w:vAlign w:val="bottom"/>
          </w:tcPr>
          <w:p w14:paraId="5BBB628C" w14:textId="77777777" w:rsidR="008D2F10" w:rsidRPr="00D43575" w:rsidRDefault="008D2F10" w:rsidP="00BF3A92">
            <w:pPr>
              <w:pStyle w:val="SingleTxt"/>
              <w:spacing w:before="80" w:after="80" w:line="160" w:lineRule="exact"/>
              <w:ind w:left="63" w:right="43"/>
              <w:jc w:val="right"/>
              <w:rPr>
                <w:i/>
                <w:iCs/>
                <w:sz w:val="14"/>
              </w:rPr>
            </w:pPr>
            <w:r w:rsidRPr="00D43575">
              <w:rPr>
                <w:i/>
                <w:iCs/>
                <w:sz w:val="14"/>
              </w:rPr>
              <w:t>Hombres</w:t>
            </w:r>
          </w:p>
        </w:tc>
        <w:tc>
          <w:tcPr>
            <w:tcW w:w="1464" w:type="dxa"/>
            <w:tcBorders>
              <w:top w:val="single" w:sz="4" w:space="0" w:color="auto"/>
              <w:bottom w:val="single" w:sz="12" w:space="0" w:color="auto"/>
            </w:tcBorders>
            <w:shd w:val="clear" w:color="auto" w:fill="auto"/>
            <w:vAlign w:val="bottom"/>
          </w:tcPr>
          <w:p w14:paraId="3EC077B1" w14:textId="77777777" w:rsidR="008D2F10" w:rsidRPr="00D43575" w:rsidRDefault="008D2F10" w:rsidP="00BF3A92">
            <w:pPr>
              <w:pStyle w:val="SingleTxt"/>
              <w:spacing w:before="80" w:after="80" w:line="160" w:lineRule="exact"/>
              <w:ind w:left="63" w:right="43"/>
              <w:jc w:val="right"/>
              <w:rPr>
                <w:i/>
                <w:iCs/>
                <w:sz w:val="14"/>
              </w:rPr>
            </w:pPr>
            <w:r w:rsidRPr="00D43575">
              <w:rPr>
                <w:i/>
                <w:iCs/>
                <w:sz w:val="14"/>
              </w:rPr>
              <w:t>Mujeres</w:t>
            </w:r>
          </w:p>
        </w:tc>
        <w:tc>
          <w:tcPr>
            <w:tcW w:w="1260" w:type="dxa"/>
            <w:tcBorders>
              <w:top w:val="single" w:sz="4" w:space="0" w:color="auto"/>
              <w:bottom w:val="single" w:sz="12" w:space="0" w:color="auto"/>
            </w:tcBorders>
            <w:shd w:val="clear" w:color="auto" w:fill="auto"/>
            <w:vAlign w:val="bottom"/>
          </w:tcPr>
          <w:p w14:paraId="78BC8B2D" w14:textId="77777777" w:rsidR="008D2F10" w:rsidRPr="00D43575" w:rsidRDefault="008D2F10" w:rsidP="00BF3A92">
            <w:pPr>
              <w:pStyle w:val="SingleTxt"/>
              <w:spacing w:before="80" w:after="80" w:line="160" w:lineRule="exact"/>
              <w:ind w:left="63" w:right="43"/>
              <w:jc w:val="right"/>
              <w:rPr>
                <w:i/>
                <w:iCs/>
                <w:sz w:val="14"/>
              </w:rPr>
            </w:pPr>
            <w:r w:rsidRPr="00D43575">
              <w:rPr>
                <w:i/>
                <w:iCs/>
                <w:sz w:val="14"/>
              </w:rPr>
              <w:t>Total</w:t>
            </w:r>
          </w:p>
        </w:tc>
        <w:tc>
          <w:tcPr>
            <w:tcW w:w="1620" w:type="dxa"/>
            <w:tcBorders>
              <w:top w:val="single" w:sz="4" w:space="0" w:color="auto"/>
              <w:bottom w:val="single" w:sz="12" w:space="0" w:color="auto"/>
            </w:tcBorders>
            <w:shd w:val="clear" w:color="auto" w:fill="auto"/>
            <w:vAlign w:val="bottom"/>
          </w:tcPr>
          <w:p w14:paraId="7434414B" w14:textId="77777777" w:rsidR="008D2F10" w:rsidRPr="00D43575" w:rsidRDefault="008D2F10" w:rsidP="00BF3A92">
            <w:pPr>
              <w:pStyle w:val="SingleTxt"/>
              <w:spacing w:before="80" w:after="80" w:line="160" w:lineRule="exact"/>
              <w:ind w:left="63" w:right="43"/>
              <w:jc w:val="right"/>
              <w:rPr>
                <w:i/>
                <w:iCs/>
                <w:sz w:val="14"/>
              </w:rPr>
            </w:pPr>
            <w:r w:rsidRPr="00D43575">
              <w:rPr>
                <w:i/>
                <w:iCs/>
                <w:sz w:val="14"/>
              </w:rPr>
              <w:t>Porcentaje de mujeres</w:t>
            </w:r>
          </w:p>
        </w:tc>
      </w:tr>
      <w:tr w:rsidR="008D2F10" w:rsidRPr="00D43575" w14:paraId="494845EE" w14:textId="77777777" w:rsidTr="00BD7BE9">
        <w:trPr>
          <w:trHeight w:hRule="exact" w:val="115"/>
          <w:tblHeader/>
        </w:trPr>
        <w:tc>
          <w:tcPr>
            <w:tcW w:w="1572" w:type="dxa"/>
            <w:tcBorders>
              <w:top w:val="single" w:sz="12" w:space="0" w:color="auto"/>
            </w:tcBorders>
            <w:shd w:val="clear" w:color="auto" w:fill="auto"/>
            <w:vAlign w:val="bottom"/>
          </w:tcPr>
          <w:p w14:paraId="5B40880F" w14:textId="77777777" w:rsidR="008D2F10" w:rsidRPr="00D43575" w:rsidRDefault="008D2F10" w:rsidP="00BD7BE9">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shd w:val="clear" w:color="auto" w:fill="auto"/>
            <w:vAlign w:val="bottom"/>
          </w:tcPr>
          <w:p w14:paraId="55B08B41"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70DB145A"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c>
          <w:tcPr>
            <w:tcW w:w="1260" w:type="dxa"/>
            <w:tcBorders>
              <w:top w:val="single" w:sz="12" w:space="0" w:color="auto"/>
            </w:tcBorders>
            <w:shd w:val="clear" w:color="auto" w:fill="auto"/>
            <w:vAlign w:val="bottom"/>
          </w:tcPr>
          <w:p w14:paraId="1FA8B570"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c>
          <w:tcPr>
            <w:tcW w:w="1620" w:type="dxa"/>
            <w:tcBorders>
              <w:top w:val="single" w:sz="12" w:space="0" w:color="auto"/>
            </w:tcBorders>
            <w:shd w:val="clear" w:color="auto" w:fill="auto"/>
            <w:vAlign w:val="bottom"/>
          </w:tcPr>
          <w:p w14:paraId="26453D2A" w14:textId="77777777" w:rsidR="008D2F10" w:rsidRPr="00D43575" w:rsidRDefault="008D2F10" w:rsidP="00BD7BE9">
            <w:pPr>
              <w:tabs>
                <w:tab w:val="left" w:pos="288"/>
                <w:tab w:val="left" w:pos="576"/>
                <w:tab w:val="left" w:pos="864"/>
                <w:tab w:val="left" w:pos="1152"/>
              </w:tabs>
              <w:spacing w:before="40" w:after="40" w:line="210" w:lineRule="exact"/>
              <w:ind w:left="144" w:right="40"/>
              <w:jc w:val="right"/>
              <w:rPr>
                <w:sz w:val="17"/>
              </w:rPr>
            </w:pPr>
          </w:p>
        </w:tc>
      </w:tr>
      <w:tr w:rsidR="008D2F10" w:rsidRPr="00D43575" w14:paraId="2A7E27DA" w14:textId="77777777" w:rsidTr="00BD7BE9">
        <w:tc>
          <w:tcPr>
            <w:tcW w:w="1572" w:type="dxa"/>
            <w:shd w:val="clear" w:color="auto" w:fill="auto"/>
            <w:vAlign w:val="bottom"/>
          </w:tcPr>
          <w:p w14:paraId="74AF94D9" w14:textId="77777777" w:rsidR="008D2F10" w:rsidRPr="00D43575" w:rsidRDefault="008D2F10" w:rsidP="00B35E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2015/2016</w:t>
            </w:r>
          </w:p>
        </w:tc>
        <w:tc>
          <w:tcPr>
            <w:tcW w:w="1464" w:type="dxa"/>
            <w:shd w:val="clear" w:color="auto" w:fill="auto"/>
            <w:vAlign w:val="bottom"/>
          </w:tcPr>
          <w:p w14:paraId="0EEE3D6C" w14:textId="77777777" w:rsidR="008D2F10" w:rsidRPr="00D43575" w:rsidRDefault="008D2F10" w:rsidP="00BF3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860</w:t>
            </w:r>
          </w:p>
        </w:tc>
        <w:tc>
          <w:tcPr>
            <w:tcW w:w="1464" w:type="dxa"/>
            <w:shd w:val="clear" w:color="auto" w:fill="auto"/>
            <w:vAlign w:val="bottom"/>
          </w:tcPr>
          <w:p w14:paraId="64B723FC" w14:textId="77777777" w:rsidR="008D2F10" w:rsidRPr="00D43575" w:rsidRDefault="008D2F10" w:rsidP="00BF3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1 318</w:t>
            </w:r>
          </w:p>
        </w:tc>
        <w:tc>
          <w:tcPr>
            <w:tcW w:w="1260" w:type="dxa"/>
            <w:shd w:val="clear" w:color="auto" w:fill="auto"/>
            <w:vAlign w:val="bottom"/>
          </w:tcPr>
          <w:p w14:paraId="60EC6CE3" w14:textId="77777777" w:rsidR="008D2F10" w:rsidRPr="00D43575" w:rsidRDefault="008D2F10" w:rsidP="00BF3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2 178</w:t>
            </w:r>
          </w:p>
        </w:tc>
        <w:tc>
          <w:tcPr>
            <w:tcW w:w="1620" w:type="dxa"/>
            <w:shd w:val="clear" w:color="auto" w:fill="auto"/>
            <w:vAlign w:val="bottom"/>
          </w:tcPr>
          <w:p w14:paraId="691A2158" w14:textId="77777777" w:rsidR="008D2F10" w:rsidRPr="00D43575" w:rsidRDefault="008D2F10" w:rsidP="00BF3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61</w:t>
            </w:r>
          </w:p>
        </w:tc>
      </w:tr>
      <w:tr w:rsidR="008D2F10" w:rsidRPr="00D43575" w14:paraId="3BF3E694" w14:textId="77777777" w:rsidTr="00BD7BE9">
        <w:tc>
          <w:tcPr>
            <w:tcW w:w="1572" w:type="dxa"/>
            <w:shd w:val="clear" w:color="auto" w:fill="auto"/>
            <w:vAlign w:val="bottom"/>
          </w:tcPr>
          <w:p w14:paraId="44CBABD7" w14:textId="77777777" w:rsidR="008D2F10" w:rsidRPr="00D43575" w:rsidRDefault="008D2F10" w:rsidP="00B35E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2014/2015</w:t>
            </w:r>
          </w:p>
        </w:tc>
        <w:tc>
          <w:tcPr>
            <w:tcW w:w="1464" w:type="dxa"/>
            <w:shd w:val="clear" w:color="auto" w:fill="auto"/>
            <w:vAlign w:val="bottom"/>
          </w:tcPr>
          <w:p w14:paraId="548C222F" w14:textId="77777777" w:rsidR="008D2F10" w:rsidRPr="00D43575" w:rsidRDefault="008D2F10" w:rsidP="00BF3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3 699</w:t>
            </w:r>
          </w:p>
        </w:tc>
        <w:tc>
          <w:tcPr>
            <w:tcW w:w="1464" w:type="dxa"/>
            <w:shd w:val="clear" w:color="auto" w:fill="auto"/>
            <w:vAlign w:val="bottom"/>
          </w:tcPr>
          <w:p w14:paraId="1F083F11" w14:textId="77777777" w:rsidR="008D2F10" w:rsidRPr="00D43575" w:rsidRDefault="008D2F10" w:rsidP="00BF3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2 588</w:t>
            </w:r>
          </w:p>
        </w:tc>
        <w:tc>
          <w:tcPr>
            <w:tcW w:w="1260" w:type="dxa"/>
            <w:shd w:val="clear" w:color="auto" w:fill="auto"/>
            <w:vAlign w:val="bottom"/>
          </w:tcPr>
          <w:p w14:paraId="1A68286C" w14:textId="77777777" w:rsidR="008D2F10" w:rsidRPr="00D43575" w:rsidRDefault="008D2F10" w:rsidP="00BF3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6 287</w:t>
            </w:r>
          </w:p>
        </w:tc>
        <w:tc>
          <w:tcPr>
            <w:tcW w:w="1620" w:type="dxa"/>
            <w:shd w:val="clear" w:color="auto" w:fill="auto"/>
            <w:vAlign w:val="bottom"/>
          </w:tcPr>
          <w:p w14:paraId="28E38862" w14:textId="77777777" w:rsidR="008D2F10" w:rsidRPr="00D43575" w:rsidRDefault="008D2F10" w:rsidP="00BF3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41</w:t>
            </w:r>
          </w:p>
        </w:tc>
      </w:tr>
      <w:tr w:rsidR="008D2F10" w:rsidRPr="00D43575" w14:paraId="7FC595F5" w14:textId="77777777" w:rsidTr="00BD7BE9">
        <w:tc>
          <w:tcPr>
            <w:tcW w:w="1572" w:type="dxa"/>
            <w:shd w:val="clear" w:color="auto" w:fill="auto"/>
            <w:vAlign w:val="bottom"/>
          </w:tcPr>
          <w:p w14:paraId="16E1807A" w14:textId="77777777" w:rsidR="008D2F10" w:rsidRPr="00D43575" w:rsidRDefault="008D2F10" w:rsidP="00B35E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2013/2014</w:t>
            </w:r>
          </w:p>
        </w:tc>
        <w:tc>
          <w:tcPr>
            <w:tcW w:w="1464" w:type="dxa"/>
            <w:shd w:val="clear" w:color="auto" w:fill="auto"/>
            <w:vAlign w:val="bottom"/>
          </w:tcPr>
          <w:p w14:paraId="640A9173" w14:textId="77777777" w:rsidR="008D2F10" w:rsidRPr="00D43575" w:rsidRDefault="008D2F10" w:rsidP="00BF3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3 248</w:t>
            </w:r>
          </w:p>
        </w:tc>
        <w:tc>
          <w:tcPr>
            <w:tcW w:w="1464" w:type="dxa"/>
            <w:shd w:val="clear" w:color="auto" w:fill="auto"/>
            <w:vAlign w:val="bottom"/>
          </w:tcPr>
          <w:p w14:paraId="047ACD69" w14:textId="77777777" w:rsidR="008D2F10" w:rsidRPr="00D43575" w:rsidRDefault="008D2F10" w:rsidP="00BF3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1 715</w:t>
            </w:r>
          </w:p>
        </w:tc>
        <w:tc>
          <w:tcPr>
            <w:tcW w:w="1260" w:type="dxa"/>
            <w:shd w:val="clear" w:color="auto" w:fill="auto"/>
            <w:vAlign w:val="bottom"/>
          </w:tcPr>
          <w:p w14:paraId="7626E672" w14:textId="77777777" w:rsidR="008D2F10" w:rsidRPr="00D43575" w:rsidRDefault="008D2F10" w:rsidP="00BF3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4 963</w:t>
            </w:r>
          </w:p>
        </w:tc>
        <w:tc>
          <w:tcPr>
            <w:tcW w:w="1620" w:type="dxa"/>
            <w:shd w:val="clear" w:color="auto" w:fill="auto"/>
            <w:vAlign w:val="bottom"/>
          </w:tcPr>
          <w:p w14:paraId="4D63912F" w14:textId="77777777" w:rsidR="008D2F10" w:rsidRPr="00D43575" w:rsidRDefault="008D2F10" w:rsidP="00BF3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35</w:t>
            </w:r>
          </w:p>
        </w:tc>
      </w:tr>
      <w:tr w:rsidR="008D2F10" w:rsidRPr="00D43575" w14:paraId="699EF070" w14:textId="77777777" w:rsidTr="00BD7BE9">
        <w:tc>
          <w:tcPr>
            <w:tcW w:w="1572" w:type="dxa"/>
            <w:tcBorders>
              <w:bottom w:val="single" w:sz="12" w:space="0" w:color="auto"/>
            </w:tcBorders>
            <w:shd w:val="clear" w:color="auto" w:fill="auto"/>
            <w:vAlign w:val="bottom"/>
          </w:tcPr>
          <w:p w14:paraId="5A16C8B2" w14:textId="77777777" w:rsidR="008D2F10" w:rsidRPr="00D43575" w:rsidRDefault="008D2F10" w:rsidP="00B35E1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2012/2013</w:t>
            </w:r>
          </w:p>
        </w:tc>
        <w:tc>
          <w:tcPr>
            <w:tcW w:w="1464" w:type="dxa"/>
            <w:tcBorders>
              <w:bottom w:val="single" w:sz="12" w:space="0" w:color="auto"/>
            </w:tcBorders>
            <w:shd w:val="clear" w:color="auto" w:fill="auto"/>
            <w:vAlign w:val="bottom"/>
          </w:tcPr>
          <w:p w14:paraId="371E35B2" w14:textId="77777777" w:rsidR="008D2F10" w:rsidRPr="00D43575" w:rsidRDefault="008D2F10" w:rsidP="00BF3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3 004</w:t>
            </w:r>
          </w:p>
        </w:tc>
        <w:tc>
          <w:tcPr>
            <w:tcW w:w="1464" w:type="dxa"/>
            <w:tcBorders>
              <w:bottom w:val="single" w:sz="12" w:space="0" w:color="auto"/>
            </w:tcBorders>
            <w:shd w:val="clear" w:color="auto" w:fill="auto"/>
            <w:vAlign w:val="bottom"/>
          </w:tcPr>
          <w:p w14:paraId="1CFED01F" w14:textId="77777777" w:rsidR="008D2F10" w:rsidRPr="00D43575" w:rsidRDefault="008D2F10" w:rsidP="00BF3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1 780</w:t>
            </w:r>
          </w:p>
        </w:tc>
        <w:tc>
          <w:tcPr>
            <w:tcW w:w="1260" w:type="dxa"/>
            <w:tcBorders>
              <w:bottom w:val="single" w:sz="12" w:space="0" w:color="auto"/>
            </w:tcBorders>
            <w:shd w:val="clear" w:color="auto" w:fill="auto"/>
            <w:vAlign w:val="bottom"/>
          </w:tcPr>
          <w:p w14:paraId="768302A9" w14:textId="77777777" w:rsidR="008D2F10" w:rsidRPr="00D43575" w:rsidRDefault="008D2F10" w:rsidP="00BF3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4 784</w:t>
            </w:r>
          </w:p>
        </w:tc>
        <w:tc>
          <w:tcPr>
            <w:tcW w:w="1620" w:type="dxa"/>
            <w:tcBorders>
              <w:bottom w:val="single" w:sz="12" w:space="0" w:color="auto"/>
            </w:tcBorders>
            <w:shd w:val="clear" w:color="auto" w:fill="auto"/>
            <w:vAlign w:val="bottom"/>
          </w:tcPr>
          <w:p w14:paraId="1B09FF96" w14:textId="77777777" w:rsidR="008D2F10" w:rsidRPr="00D43575" w:rsidRDefault="008D2F10" w:rsidP="00BF3A9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37</w:t>
            </w:r>
          </w:p>
        </w:tc>
      </w:tr>
    </w:tbl>
    <w:p w14:paraId="117AD574" w14:textId="77777777" w:rsidR="008D2F10" w:rsidRPr="00D43575" w:rsidRDefault="008D2F10" w:rsidP="008D2F10">
      <w:pPr>
        <w:pStyle w:val="SingleTxt"/>
        <w:spacing w:after="0" w:line="120" w:lineRule="exact"/>
        <w:rPr>
          <w:sz w:val="10"/>
        </w:rPr>
      </w:pPr>
    </w:p>
    <w:p w14:paraId="305B71AC" w14:textId="252F6178" w:rsidR="008D2F10"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 xml:space="preserve">Estado de Qatar, Ministerio de Educación y Enseñanza Superior, </w:t>
      </w:r>
      <w:r w:rsidRPr="00D43575">
        <w:rPr>
          <w:rFonts w:eastAsiaTheme="minorHAnsi"/>
          <w:i/>
          <w:iCs/>
          <w:w w:val="103"/>
          <w:kern w:val="14"/>
          <w:szCs w:val="20"/>
        </w:rPr>
        <w:t>Educación para Todos: informe nacional del Estado de Qatar 2000</w:t>
      </w:r>
      <w:r w:rsidR="00083383" w:rsidRPr="00D43575">
        <w:rPr>
          <w:rFonts w:eastAsiaTheme="minorHAnsi"/>
          <w:i/>
          <w:iCs/>
          <w:w w:val="103"/>
          <w:kern w:val="14"/>
          <w:szCs w:val="20"/>
        </w:rPr>
        <w:noBreakHyphen/>
      </w:r>
      <w:r w:rsidRPr="00D43575">
        <w:rPr>
          <w:rFonts w:eastAsiaTheme="minorHAnsi"/>
          <w:i/>
          <w:iCs/>
          <w:w w:val="103"/>
          <w:kern w:val="14"/>
          <w:szCs w:val="20"/>
        </w:rPr>
        <w:t>2015</w:t>
      </w:r>
      <w:r w:rsidRPr="00D43575">
        <w:rPr>
          <w:rFonts w:eastAsiaTheme="minorHAnsi"/>
          <w:iCs/>
          <w:w w:val="103"/>
          <w:kern w:val="14"/>
          <w:szCs w:val="20"/>
        </w:rPr>
        <w:t>, julio de 2014</w:t>
      </w:r>
      <w:r w:rsidR="00083383" w:rsidRPr="00D43575">
        <w:rPr>
          <w:rFonts w:eastAsiaTheme="minorHAnsi"/>
          <w:iCs/>
          <w:w w:val="103"/>
          <w:kern w:val="14"/>
          <w:szCs w:val="20"/>
        </w:rPr>
        <w:t>.</w:t>
      </w:r>
    </w:p>
    <w:p w14:paraId="3F24A59B" w14:textId="77777777" w:rsidR="008D2F10" w:rsidRPr="00D43575" w:rsidRDefault="008D2F10" w:rsidP="003B5AA5">
      <w:pPr>
        <w:pStyle w:val="SingleTxt"/>
        <w:spacing w:after="0" w:line="120" w:lineRule="exact"/>
        <w:rPr>
          <w:sz w:val="10"/>
        </w:rPr>
      </w:pPr>
    </w:p>
    <w:p w14:paraId="7BF20824" w14:textId="77777777" w:rsidR="008D2F10" w:rsidRPr="00D43575" w:rsidRDefault="008D2F10" w:rsidP="003B5AA5">
      <w:pPr>
        <w:pStyle w:val="SingleTxt"/>
        <w:spacing w:after="0" w:line="120" w:lineRule="exact"/>
        <w:rPr>
          <w:sz w:val="10"/>
        </w:rPr>
      </w:pPr>
    </w:p>
    <w:p w14:paraId="0F2F4F4F"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Educación superior</w:t>
      </w:r>
    </w:p>
    <w:p w14:paraId="2502317D" w14:textId="77777777" w:rsidR="008D2F10" w:rsidRPr="00D43575" w:rsidRDefault="008D2F10" w:rsidP="008D2F10">
      <w:pPr>
        <w:pStyle w:val="SingleTxt"/>
        <w:spacing w:after="0" w:line="120" w:lineRule="exact"/>
        <w:rPr>
          <w:sz w:val="10"/>
        </w:rPr>
      </w:pPr>
    </w:p>
    <w:p w14:paraId="18A9772B" w14:textId="58AC2E27" w:rsidR="00083383" w:rsidRPr="00D43575" w:rsidRDefault="008D2F10" w:rsidP="001D1AD0">
      <w:pPr>
        <w:pStyle w:val="SingleTxt"/>
        <w:numPr>
          <w:ilvl w:val="0"/>
          <w:numId w:val="10"/>
        </w:numPr>
        <w:ind w:left="1267" w:firstLine="0"/>
      </w:pPr>
      <w:r w:rsidRPr="00D43575">
        <w:t>Las mujeres qataríes han asumido funciones importantes en las universidades nacionales</w:t>
      </w:r>
      <w:r w:rsidR="00083383" w:rsidRPr="00D43575">
        <w:t>.</w:t>
      </w:r>
      <w:r w:rsidRPr="00D43575">
        <w:t xml:space="preserve"> La Universidad de Qatar ofrece oportunidades para incorporarse al cuerpo docente a todos los qataríes en pie de igualdad y conforme a los requisitos de formación y competencias, independientemente del sexo</w:t>
      </w:r>
      <w:r w:rsidR="00083383" w:rsidRPr="00D43575">
        <w:t>.</w:t>
      </w:r>
      <w:r w:rsidRPr="00D43575">
        <w:t xml:space="preserve"> Según se aprecia en el cuadro 15, el porcentaje de profesores que son mujeres qataríes se aproxima al porcentaje de profesores hombres en las distintas facultades de la Universidad de Qatar</w:t>
      </w:r>
      <w:r w:rsidR="00083383" w:rsidRPr="00D43575">
        <w:t>.</w:t>
      </w:r>
      <w:r w:rsidRPr="00D43575">
        <w:t xml:space="preserve"> El porcentaje de mujeres qataríes docentes en la Universidad de Qatar desde el año académico 2013</w:t>
      </w:r>
      <w:r w:rsidR="00083383" w:rsidRPr="00D43575">
        <w:noBreakHyphen/>
      </w:r>
      <w:r w:rsidRPr="00D43575">
        <w:t>2014 hasta 2016</w:t>
      </w:r>
      <w:r w:rsidR="00083383" w:rsidRPr="00D43575">
        <w:noBreakHyphen/>
      </w:r>
      <w:r w:rsidRPr="00D43575">
        <w:t>2017 fue superior al de profesores hombres</w:t>
      </w:r>
      <w:r w:rsidR="00083383" w:rsidRPr="00D43575">
        <w:t>.</w:t>
      </w:r>
      <w:r w:rsidRPr="00D43575">
        <w:t xml:space="preserve"> En el curso 2016</w:t>
      </w:r>
      <w:r w:rsidR="00083383" w:rsidRPr="00D43575">
        <w:noBreakHyphen/>
      </w:r>
      <w:r w:rsidRPr="00D43575">
        <w:t>2017, el porcentaje de mujeres qataríes alcanzó aproximadamente el 53,3% del total de miembros del cuerpo docente</w:t>
      </w:r>
      <w:r w:rsidR="00083383" w:rsidRPr="00D43575">
        <w:t>.</w:t>
      </w:r>
    </w:p>
    <w:p w14:paraId="61B1495F" w14:textId="3F537BEC" w:rsidR="00F50320" w:rsidRDefault="00F50320">
      <w:pPr>
        <w:suppressAutoHyphens w:val="0"/>
        <w:spacing w:line="240" w:lineRule="auto"/>
        <w:rPr>
          <w:kern w:val="14"/>
          <w:sz w:val="10"/>
        </w:rPr>
      </w:pPr>
      <w:r>
        <w:rPr>
          <w:sz w:val="10"/>
        </w:rPr>
        <w:br w:type="page"/>
      </w:r>
    </w:p>
    <w:p w14:paraId="00C5D558" w14:textId="77777777" w:rsidR="008D2F10" w:rsidRPr="00D43575" w:rsidRDefault="008D2F10" w:rsidP="008D2F10">
      <w:pPr>
        <w:pStyle w:val="SingleTxt"/>
        <w:spacing w:after="0" w:line="120" w:lineRule="exact"/>
        <w:rPr>
          <w:sz w:val="10"/>
        </w:rPr>
      </w:pPr>
    </w:p>
    <w:p w14:paraId="5499B5D9" w14:textId="6C3EA728" w:rsidR="008D2F10" w:rsidRPr="00D43575" w:rsidRDefault="008D2F10" w:rsidP="00083383">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480"/>
        <w:rPr>
          <w:bCs w:val="0"/>
          <w:szCs w:val="20"/>
        </w:rPr>
      </w:pPr>
      <w:r w:rsidRPr="00D43575">
        <w:rPr>
          <w:bCs w:val="0"/>
          <w:szCs w:val="20"/>
        </w:rPr>
        <w:tab/>
      </w:r>
      <w:r w:rsidRPr="00D43575">
        <w:rPr>
          <w:bCs w:val="0"/>
          <w:szCs w:val="20"/>
        </w:rPr>
        <w:tab/>
      </w:r>
      <w:r w:rsidR="00F50320">
        <w:rPr>
          <w:b w:val="0"/>
          <w:bCs w:val="0"/>
          <w:szCs w:val="20"/>
        </w:rPr>
        <w:t>Cuadro 15</w:t>
      </w:r>
      <w:r w:rsidR="00473E2B" w:rsidRPr="00D43575">
        <w:rPr>
          <w:b w:val="0"/>
          <w:bCs w:val="0"/>
          <w:szCs w:val="20"/>
        </w:rPr>
        <w:t xml:space="preserve"> </w:t>
      </w:r>
      <w:r w:rsidR="00473E2B" w:rsidRPr="00D43575">
        <w:rPr>
          <w:b w:val="0"/>
          <w:bCs w:val="0"/>
          <w:szCs w:val="20"/>
        </w:rPr>
        <w:br/>
      </w:r>
      <w:r w:rsidRPr="00D43575">
        <w:rPr>
          <w:bCs w:val="0"/>
          <w:szCs w:val="20"/>
        </w:rPr>
        <w:t>Número de miembros del cuerpo docente de la Universidad de Qatar, por sexo y</w:t>
      </w:r>
      <w:r w:rsidR="00083383" w:rsidRPr="00D43575">
        <w:rPr>
          <w:bCs w:val="0"/>
          <w:szCs w:val="20"/>
        </w:rPr>
        <w:t xml:space="preserve"> </w:t>
      </w:r>
      <w:r w:rsidRPr="00D43575">
        <w:rPr>
          <w:bCs w:val="0"/>
          <w:szCs w:val="20"/>
        </w:rPr>
        <w:t>nacionalidad (qataríes y no qataríes) a partir del año académico 2011</w:t>
      </w:r>
      <w:r w:rsidR="00083383" w:rsidRPr="00D43575">
        <w:rPr>
          <w:bCs w:val="0"/>
          <w:szCs w:val="20"/>
        </w:rPr>
        <w:noBreakHyphen/>
      </w:r>
      <w:r w:rsidRPr="00D43575">
        <w:rPr>
          <w:bCs w:val="0"/>
          <w:szCs w:val="20"/>
        </w:rPr>
        <w:t>2012 hasta</w:t>
      </w:r>
      <w:r w:rsidR="00083383" w:rsidRPr="00D43575">
        <w:rPr>
          <w:bCs w:val="0"/>
          <w:szCs w:val="20"/>
        </w:rPr>
        <w:t xml:space="preserve"> </w:t>
      </w:r>
      <w:r w:rsidRPr="00D43575">
        <w:rPr>
          <w:bCs w:val="0"/>
          <w:szCs w:val="20"/>
        </w:rPr>
        <w:t>2016</w:t>
      </w:r>
      <w:r w:rsidR="00083383" w:rsidRPr="00D43575">
        <w:rPr>
          <w:bCs w:val="0"/>
          <w:szCs w:val="20"/>
        </w:rPr>
        <w:noBreakHyphen/>
      </w:r>
      <w:r w:rsidRPr="00D43575">
        <w:rPr>
          <w:bCs w:val="0"/>
          <w:szCs w:val="20"/>
        </w:rPr>
        <w:t>2017</w:t>
      </w:r>
    </w:p>
    <w:p w14:paraId="27E21DE0" w14:textId="77777777" w:rsidR="008D2F10" w:rsidRPr="00D43575" w:rsidRDefault="008D2F10" w:rsidP="008D2F10">
      <w:pPr>
        <w:pStyle w:val="SingleTxt"/>
        <w:spacing w:after="0" w:line="120" w:lineRule="exact"/>
        <w:rPr>
          <w:sz w:val="10"/>
        </w:rPr>
      </w:pPr>
    </w:p>
    <w:tbl>
      <w:tblPr>
        <w:tblW w:w="7290" w:type="dxa"/>
        <w:tblInd w:w="1260" w:type="dxa"/>
        <w:tblLayout w:type="fixed"/>
        <w:tblCellMar>
          <w:left w:w="0" w:type="dxa"/>
          <w:right w:w="0" w:type="dxa"/>
        </w:tblCellMar>
        <w:tblLook w:val="0000" w:firstRow="0" w:lastRow="0" w:firstColumn="0" w:lastColumn="0" w:noHBand="0" w:noVBand="0"/>
      </w:tblPr>
      <w:tblGrid>
        <w:gridCol w:w="1260"/>
        <w:gridCol w:w="810"/>
        <w:gridCol w:w="760"/>
        <w:gridCol w:w="892"/>
        <w:gridCol w:w="892"/>
        <w:gridCol w:w="892"/>
        <w:gridCol w:w="892"/>
        <w:gridCol w:w="892"/>
      </w:tblGrid>
      <w:tr w:rsidR="008D2F10" w:rsidRPr="00D43575" w14:paraId="7DB760A7" w14:textId="77777777" w:rsidTr="00D73F71">
        <w:trPr>
          <w:trHeight w:val="53"/>
          <w:tblHeader/>
        </w:trPr>
        <w:tc>
          <w:tcPr>
            <w:tcW w:w="1260" w:type="dxa"/>
            <w:tcBorders>
              <w:top w:val="single" w:sz="4" w:space="0" w:color="auto"/>
              <w:bottom w:val="single" w:sz="12" w:space="0" w:color="auto"/>
            </w:tcBorders>
            <w:shd w:val="clear" w:color="auto" w:fill="auto"/>
            <w:vAlign w:val="bottom"/>
          </w:tcPr>
          <w:p w14:paraId="28A0DE43" w14:textId="77777777" w:rsidR="008D2F10" w:rsidRPr="00D43575" w:rsidRDefault="008D2F10" w:rsidP="00ED0A51">
            <w:pPr>
              <w:pStyle w:val="SingleTxt"/>
              <w:spacing w:before="80" w:after="80" w:line="160" w:lineRule="exact"/>
              <w:ind w:left="63" w:right="43"/>
              <w:jc w:val="right"/>
              <w:rPr>
                <w:i/>
                <w:iCs/>
                <w:sz w:val="14"/>
              </w:rPr>
            </w:pPr>
          </w:p>
        </w:tc>
        <w:tc>
          <w:tcPr>
            <w:tcW w:w="810" w:type="dxa"/>
            <w:tcBorders>
              <w:top w:val="single" w:sz="4" w:space="0" w:color="auto"/>
              <w:bottom w:val="single" w:sz="12" w:space="0" w:color="auto"/>
            </w:tcBorders>
            <w:shd w:val="clear" w:color="auto" w:fill="auto"/>
            <w:vAlign w:val="bottom"/>
          </w:tcPr>
          <w:p w14:paraId="3E7B798C" w14:textId="77777777" w:rsidR="008D2F10" w:rsidRPr="00D43575" w:rsidRDefault="008D2F10" w:rsidP="00ED0A51">
            <w:pPr>
              <w:pStyle w:val="SingleTxt"/>
              <w:spacing w:before="80" w:after="80" w:line="160" w:lineRule="exact"/>
              <w:ind w:left="63" w:right="43"/>
              <w:jc w:val="right"/>
              <w:rPr>
                <w:i/>
                <w:iCs/>
                <w:sz w:val="14"/>
              </w:rPr>
            </w:pPr>
          </w:p>
        </w:tc>
        <w:tc>
          <w:tcPr>
            <w:tcW w:w="760" w:type="dxa"/>
            <w:tcBorders>
              <w:top w:val="single" w:sz="4" w:space="0" w:color="auto"/>
              <w:bottom w:val="single" w:sz="12" w:space="0" w:color="auto"/>
            </w:tcBorders>
            <w:shd w:val="clear" w:color="auto" w:fill="auto"/>
            <w:vAlign w:val="bottom"/>
          </w:tcPr>
          <w:p w14:paraId="21F2B518" w14:textId="3A58E1FE" w:rsidR="008D2F10" w:rsidRPr="00D43575" w:rsidRDefault="008D2F10" w:rsidP="00ED0A51">
            <w:pPr>
              <w:pStyle w:val="SingleTxt"/>
              <w:spacing w:before="80" w:after="80" w:line="160" w:lineRule="exact"/>
              <w:ind w:left="63" w:right="43"/>
              <w:jc w:val="right"/>
              <w:rPr>
                <w:i/>
                <w:iCs/>
                <w:sz w:val="14"/>
              </w:rPr>
            </w:pPr>
            <w:r w:rsidRPr="00D43575">
              <w:rPr>
                <w:i/>
                <w:iCs/>
                <w:sz w:val="14"/>
              </w:rPr>
              <w:t>2011</w:t>
            </w:r>
            <w:r w:rsidR="00083383" w:rsidRPr="00D43575">
              <w:rPr>
                <w:i/>
                <w:iCs/>
                <w:sz w:val="14"/>
              </w:rPr>
              <w:noBreakHyphen/>
            </w:r>
            <w:r w:rsidRPr="00D43575">
              <w:rPr>
                <w:i/>
                <w:iCs/>
                <w:sz w:val="14"/>
              </w:rPr>
              <w:t>2012</w:t>
            </w:r>
          </w:p>
        </w:tc>
        <w:tc>
          <w:tcPr>
            <w:tcW w:w="892" w:type="dxa"/>
            <w:tcBorders>
              <w:top w:val="single" w:sz="4" w:space="0" w:color="auto"/>
              <w:bottom w:val="single" w:sz="12" w:space="0" w:color="auto"/>
            </w:tcBorders>
            <w:shd w:val="clear" w:color="auto" w:fill="auto"/>
            <w:vAlign w:val="bottom"/>
          </w:tcPr>
          <w:p w14:paraId="771A2D43" w14:textId="563ACBD7" w:rsidR="008D2F10" w:rsidRPr="00D43575" w:rsidRDefault="008D2F10" w:rsidP="00ED0A51">
            <w:pPr>
              <w:pStyle w:val="SingleTxt"/>
              <w:spacing w:before="80" w:after="80" w:line="160" w:lineRule="exact"/>
              <w:ind w:left="63" w:right="43"/>
              <w:jc w:val="right"/>
              <w:rPr>
                <w:i/>
                <w:iCs/>
                <w:sz w:val="14"/>
              </w:rPr>
            </w:pPr>
            <w:r w:rsidRPr="00D43575">
              <w:rPr>
                <w:i/>
                <w:iCs/>
                <w:sz w:val="14"/>
              </w:rPr>
              <w:t>2012</w:t>
            </w:r>
            <w:r w:rsidR="00083383" w:rsidRPr="00D43575">
              <w:rPr>
                <w:i/>
                <w:iCs/>
                <w:sz w:val="14"/>
              </w:rPr>
              <w:noBreakHyphen/>
            </w:r>
            <w:r w:rsidRPr="00D43575">
              <w:rPr>
                <w:i/>
                <w:iCs/>
                <w:sz w:val="14"/>
              </w:rPr>
              <w:t>2013</w:t>
            </w:r>
          </w:p>
        </w:tc>
        <w:tc>
          <w:tcPr>
            <w:tcW w:w="892" w:type="dxa"/>
            <w:tcBorders>
              <w:top w:val="single" w:sz="4" w:space="0" w:color="auto"/>
              <w:bottom w:val="single" w:sz="12" w:space="0" w:color="auto"/>
            </w:tcBorders>
            <w:shd w:val="clear" w:color="auto" w:fill="auto"/>
            <w:vAlign w:val="bottom"/>
          </w:tcPr>
          <w:p w14:paraId="4247517C" w14:textId="3AE8338E" w:rsidR="008D2F10" w:rsidRPr="00D43575" w:rsidRDefault="008D2F10" w:rsidP="00ED0A51">
            <w:pPr>
              <w:pStyle w:val="SingleTxt"/>
              <w:spacing w:before="80" w:after="80" w:line="160" w:lineRule="exact"/>
              <w:ind w:left="63" w:right="43"/>
              <w:jc w:val="right"/>
              <w:rPr>
                <w:i/>
                <w:iCs/>
                <w:sz w:val="14"/>
              </w:rPr>
            </w:pPr>
            <w:r w:rsidRPr="00D43575">
              <w:rPr>
                <w:i/>
                <w:iCs/>
                <w:sz w:val="14"/>
              </w:rPr>
              <w:t>2013</w:t>
            </w:r>
            <w:r w:rsidR="00083383" w:rsidRPr="00D43575">
              <w:rPr>
                <w:i/>
                <w:iCs/>
                <w:sz w:val="14"/>
              </w:rPr>
              <w:noBreakHyphen/>
            </w:r>
            <w:r w:rsidRPr="00D43575">
              <w:rPr>
                <w:i/>
                <w:iCs/>
                <w:sz w:val="14"/>
              </w:rPr>
              <w:t>2014</w:t>
            </w:r>
          </w:p>
        </w:tc>
        <w:tc>
          <w:tcPr>
            <w:tcW w:w="892" w:type="dxa"/>
            <w:tcBorders>
              <w:top w:val="single" w:sz="4" w:space="0" w:color="auto"/>
              <w:bottom w:val="single" w:sz="12" w:space="0" w:color="auto"/>
            </w:tcBorders>
            <w:shd w:val="clear" w:color="auto" w:fill="auto"/>
            <w:vAlign w:val="bottom"/>
          </w:tcPr>
          <w:p w14:paraId="450DDC7C" w14:textId="40048A6E" w:rsidR="008D2F10" w:rsidRPr="00D43575" w:rsidRDefault="008D2F10" w:rsidP="00ED0A51">
            <w:pPr>
              <w:pStyle w:val="SingleTxt"/>
              <w:spacing w:before="80" w:after="80" w:line="160" w:lineRule="exact"/>
              <w:ind w:left="63" w:right="43"/>
              <w:jc w:val="right"/>
              <w:rPr>
                <w:i/>
                <w:iCs/>
                <w:sz w:val="14"/>
              </w:rPr>
            </w:pPr>
            <w:r w:rsidRPr="00D43575">
              <w:rPr>
                <w:i/>
                <w:iCs/>
                <w:sz w:val="14"/>
              </w:rPr>
              <w:t>2014</w:t>
            </w:r>
            <w:r w:rsidR="00083383" w:rsidRPr="00D43575">
              <w:rPr>
                <w:i/>
                <w:iCs/>
                <w:sz w:val="14"/>
              </w:rPr>
              <w:noBreakHyphen/>
            </w:r>
            <w:r w:rsidRPr="00D43575">
              <w:rPr>
                <w:i/>
                <w:iCs/>
                <w:sz w:val="14"/>
              </w:rPr>
              <w:t>2015</w:t>
            </w:r>
          </w:p>
        </w:tc>
        <w:tc>
          <w:tcPr>
            <w:tcW w:w="892" w:type="dxa"/>
            <w:tcBorders>
              <w:top w:val="single" w:sz="4" w:space="0" w:color="auto"/>
              <w:bottom w:val="single" w:sz="12" w:space="0" w:color="auto"/>
            </w:tcBorders>
            <w:shd w:val="clear" w:color="auto" w:fill="auto"/>
            <w:vAlign w:val="bottom"/>
          </w:tcPr>
          <w:p w14:paraId="3FD0641A" w14:textId="6048E325" w:rsidR="008D2F10" w:rsidRPr="00D43575" w:rsidRDefault="008D2F10" w:rsidP="00ED0A51">
            <w:pPr>
              <w:pStyle w:val="SingleTxt"/>
              <w:spacing w:before="80" w:after="80" w:line="160" w:lineRule="exact"/>
              <w:ind w:left="63" w:right="43"/>
              <w:jc w:val="right"/>
              <w:rPr>
                <w:i/>
                <w:iCs/>
                <w:sz w:val="14"/>
              </w:rPr>
            </w:pPr>
            <w:r w:rsidRPr="00D43575">
              <w:rPr>
                <w:i/>
                <w:iCs/>
                <w:sz w:val="14"/>
              </w:rPr>
              <w:t>2015</w:t>
            </w:r>
            <w:r w:rsidR="00083383" w:rsidRPr="00D43575">
              <w:rPr>
                <w:i/>
                <w:iCs/>
                <w:sz w:val="14"/>
              </w:rPr>
              <w:noBreakHyphen/>
            </w:r>
            <w:r w:rsidRPr="00D43575">
              <w:rPr>
                <w:i/>
                <w:iCs/>
                <w:sz w:val="14"/>
              </w:rPr>
              <w:t>2016</w:t>
            </w:r>
          </w:p>
        </w:tc>
        <w:tc>
          <w:tcPr>
            <w:tcW w:w="892" w:type="dxa"/>
            <w:tcBorders>
              <w:top w:val="single" w:sz="4" w:space="0" w:color="auto"/>
              <w:bottom w:val="single" w:sz="12" w:space="0" w:color="auto"/>
            </w:tcBorders>
            <w:shd w:val="clear" w:color="auto" w:fill="auto"/>
            <w:vAlign w:val="bottom"/>
          </w:tcPr>
          <w:p w14:paraId="389D183B" w14:textId="76D10B8F" w:rsidR="008D2F10" w:rsidRPr="00D43575" w:rsidRDefault="008D2F10" w:rsidP="00ED0A51">
            <w:pPr>
              <w:pStyle w:val="SingleTxt"/>
              <w:spacing w:before="80" w:after="80" w:line="160" w:lineRule="exact"/>
              <w:ind w:left="63" w:right="43"/>
              <w:jc w:val="right"/>
              <w:rPr>
                <w:i/>
                <w:iCs/>
                <w:sz w:val="14"/>
              </w:rPr>
            </w:pPr>
            <w:r w:rsidRPr="00D43575">
              <w:rPr>
                <w:i/>
                <w:iCs/>
                <w:sz w:val="14"/>
              </w:rPr>
              <w:t>2016</w:t>
            </w:r>
            <w:r w:rsidR="00083383" w:rsidRPr="00D43575">
              <w:rPr>
                <w:i/>
                <w:iCs/>
                <w:sz w:val="14"/>
              </w:rPr>
              <w:noBreakHyphen/>
            </w:r>
            <w:r w:rsidRPr="00D43575">
              <w:rPr>
                <w:i/>
                <w:iCs/>
                <w:sz w:val="14"/>
              </w:rPr>
              <w:t>2017</w:t>
            </w:r>
          </w:p>
        </w:tc>
      </w:tr>
      <w:tr w:rsidR="008D2F10" w:rsidRPr="00D43575" w14:paraId="3217DE43" w14:textId="77777777" w:rsidTr="00D73F71">
        <w:trPr>
          <w:trHeight w:hRule="exact" w:val="115"/>
          <w:tblHeader/>
        </w:trPr>
        <w:tc>
          <w:tcPr>
            <w:tcW w:w="1260" w:type="dxa"/>
            <w:tcBorders>
              <w:top w:val="single" w:sz="12" w:space="0" w:color="auto"/>
            </w:tcBorders>
            <w:shd w:val="clear" w:color="auto" w:fill="auto"/>
            <w:vAlign w:val="bottom"/>
          </w:tcPr>
          <w:p w14:paraId="7F03E2F8" w14:textId="77777777" w:rsidR="008D2F10" w:rsidRPr="00D43575" w:rsidRDefault="008D2F10" w:rsidP="00BD7BE9">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shd w:val="clear" w:color="auto" w:fill="auto"/>
            <w:vAlign w:val="bottom"/>
          </w:tcPr>
          <w:p w14:paraId="5327517C" w14:textId="77777777" w:rsidR="008D2F10" w:rsidRPr="00D43575" w:rsidRDefault="008D2F10" w:rsidP="00BD7BE9">
            <w:pPr>
              <w:tabs>
                <w:tab w:val="left" w:pos="288"/>
                <w:tab w:val="left" w:pos="576"/>
                <w:tab w:val="left" w:pos="864"/>
                <w:tab w:val="left" w:pos="1152"/>
              </w:tabs>
              <w:spacing w:before="40" w:after="40" w:line="210" w:lineRule="exact"/>
              <w:ind w:right="40"/>
              <w:rPr>
                <w:sz w:val="17"/>
              </w:rPr>
            </w:pPr>
          </w:p>
        </w:tc>
        <w:tc>
          <w:tcPr>
            <w:tcW w:w="760" w:type="dxa"/>
            <w:tcBorders>
              <w:top w:val="single" w:sz="12" w:space="0" w:color="auto"/>
            </w:tcBorders>
            <w:shd w:val="clear" w:color="auto" w:fill="auto"/>
            <w:vAlign w:val="bottom"/>
          </w:tcPr>
          <w:p w14:paraId="266DD299" w14:textId="77777777" w:rsidR="008D2F10" w:rsidRPr="00D43575" w:rsidRDefault="008D2F10" w:rsidP="00BD7BE9">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shd w:val="clear" w:color="auto" w:fill="auto"/>
            <w:vAlign w:val="bottom"/>
          </w:tcPr>
          <w:p w14:paraId="5E34F52C" w14:textId="77777777" w:rsidR="008D2F10" w:rsidRPr="00D43575" w:rsidRDefault="008D2F10" w:rsidP="00BD7BE9">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shd w:val="clear" w:color="auto" w:fill="auto"/>
            <w:vAlign w:val="bottom"/>
          </w:tcPr>
          <w:p w14:paraId="30AE7EAA" w14:textId="77777777" w:rsidR="008D2F10" w:rsidRPr="00D43575" w:rsidRDefault="008D2F10" w:rsidP="00BD7BE9">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shd w:val="clear" w:color="auto" w:fill="auto"/>
            <w:vAlign w:val="bottom"/>
          </w:tcPr>
          <w:p w14:paraId="313E05E4" w14:textId="77777777" w:rsidR="008D2F10" w:rsidRPr="00D43575" w:rsidRDefault="008D2F10" w:rsidP="00BD7BE9">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shd w:val="clear" w:color="auto" w:fill="auto"/>
            <w:vAlign w:val="bottom"/>
          </w:tcPr>
          <w:p w14:paraId="3374D645" w14:textId="77777777" w:rsidR="008D2F10" w:rsidRPr="00D43575" w:rsidRDefault="008D2F10" w:rsidP="00BD7BE9">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shd w:val="clear" w:color="auto" w:fill="auto"/>
            <w:vAlign w:val="bottom"/>
          </w:tcPr>
          <w:p w14:paraId="244CD1C3" w14:textId="77777777" w:rsidR="008D2F10" w:rsidRPr="00D43575" w:rsidRDefault="008D2F10" w:rsidP="00BD7BE9">
            <w:pPr>
              <w:tabs>
                <w:tab w:val="left" w:pos="288"/>
                <w:tab w:val="left" w:pos="576"/>
                <w:tab w:val="left" w:pos="864"/>
                <w:tab w:val="left" w:pos="1152"/>
              </w:tabs>
              <w:spacing w:before="40" w:after="40" w:line="210" w:lineRule="exact"/>
              <w:ind w:right="40"/>
              <w:jc w:val="right"/>
              <w:rPr>
                <w:sz w:val="17"/>
              </w:rPr>
            </w:pPr>
          </w:p>
        </w:tc>
      </w:tr>
      <w:tr w:rsidR="008D2F10" w:rsidRPr="00D43575" w14:paraId="787DC66A" w14:textId="77777777" w:rsidTr="00D73F71">
        <w:tc>
          <w:tcPr>
            <w:tcW w:w="1260" w:type="dxa"/>
            <w:shd w:val="clear" w:color="auto" w:fill="auto"/>
            <w:vAlign w:val="bottom"/>
          </w:tcPr>
          <w:p w14:paraId="58B68190"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Qataríes</w:t>
            </w:r>
          </w:p>
        </w:tc>
        <w:tc>
          <w:tcPr>
            <w:tcW w:w="810" w:type="dxa"/>
            <w:shd w:val="clear" w:color="auto" w:fill="auto"/>
            <w:vAlign w:val="bottom"/>
          </w:tcPr>
          <w:p w14:paraId="6C954741"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Hombres</w:t>
            </w:r>
          </w:p>
        </w:tc>
        <w:tc>
          <w:tcPr>
            <w:tcW w:w="760" w:type="dxa"/>
            <w:shd w:val="clear" w:color="auto" w:fill="auto"/>
            <w:vAlign w:val="bottom"/>
          </w:tcPr>
          <w:p w14:paraId="35DB6F91"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87</w:t>
            </w:r>
          </w:p>
        </w:tc>
        <w:tc>
          <w:tcPr>
            <w:tcW w:w="892" w:type="dxa"/>
            <w:shd w:val="clear" w:color="auto" w:fill="auto"/>
            <w:vAlign w:val="bottom"/>
          </w:tcPr>
          <w:p w14:paraId="3E53D755"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86</w:t>
            </w:r>
          </w:p>
        </w:tc>
        <w:tc>
          <w:tcPr>
            <w:tcW w:w="892" w:type="dxa"/>
            <w:shd w:val="clear" w:color="auto" w:fill="auto"/>
            <w:vAlign w:val="bottom"/>
          </w:tcPr>
          <w:p w14:paraId="3178A090"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80</w:t>
            </w:r>
          </w:p>
        </w:tc>
        <w:tc>
          <w:tcPr>
            <w:tcW w:w="892" w:type="dxa"/>
            <w:shd w:val="clear" w:color="auto" w:fill="auto"/>
            <w:vAlign w:val="bottom"/>
          </w:tcPr>
          <w:p w14:paraId="7BB46F21"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85</w:t>
            </w:r>
          </w:p>
        </w:tc>
        <w:tc>
          <w:tcPr>
            <w:tcW w:w="892" w:type="dxa"/>
            <w:shd w:val="clear" w:color="auto" w:fill="auto"/>
            <w:vAlign w:val="bottom"/>
          </w:tcPr>
          <w:p w14:paraId="54183561"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86</w:t>
            </w:r>
          </w:p>
        </w:tc>
        <w:tc>
          <w:tcPr>
            <w:tcW w:w="892" w:type="dxa"/>
            <w:shd w:val="clear" w:color="auto" w:fill="auto"/>
            <w:vAlign w:val="bottom"/>
          </w:tcPr>
          <w:p w14:paraId="3FC4B5C3"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92</w:t>
            </w:r>
          </w:p>
        </w:tc>
      </w:tr>
      <w:tr w:rsidR="008D2F10" w:rsidRPr="00D43575" w14:paraId="524F4D69" w14:textId="77777777" w:rsidTr="00D73F71">
        <w:tc>
          <w:tcPr>
            <w:tcW w:w="1260" w:type="dxa"/>
            <w:tcBorders>
              <w:bottom w:val="single" w:sz="4" w:space="0" w:color="auto"/>
            </w:tcBorders>
            <w:shd w:val="clear" w:color="auto" w:fill="auto"/>
            <w:vAlign w:val="bottom"/>
          </w:tcPr>
          <w:p w14:paraId="0C31C2C7"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10" w:type="dxa"/>
            <w:tcBorders>
              <w:bottom w:val="single" w:sz="4" w:space="0" w:color="auto"/>
            </w:tcBorders>
            <w:shd w:val="clear" w:color="auto" w:fill="auto"/>
            <w:vAlign w:val="bottom"/>
          </w:tcPr>
          <w:p w14:paraId="6C09FFEB"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Mujeres</w:t>
            </w:r>
          </w:p>
        </w:tc>
        <w:tc>
          <w:tcPr>
            <w:tcW w:w="760" w:type="dxa"/>
            <w:tcBorders>
              <w:bottom w:val="single" w:sz="4" w:space="0" w:color="auto"/>
            </w:tcBorders>
            <w:shd w:val="clear" w:color="auto" w:fill="auto"/>
            <w:vAlign w:val="bottom"/>
          </w:tcPr>
          <w:p w14:paraId="56ABB9FB"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89</w:t>
            </w:r>
          </w:p>
        </w:tc>
        <w:tc>
          <w:tcPr>
            <w:tcW w:w="892" w:type="dxa"/>
            <w:tcBorders>
              <w:bottom w:val="single" w:sz="4" w:space="0" w:color="auto"/>
            </w:tcBorders>
            <w:shd w:val="clear" w:color="auto" w:fill="auto"/>
            <w:vAlign w:val="bottom"/>
          </w:tcPr>
          <w:p w14:paraId="150AA355"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83</w:t>
            </w:r>
          </w:p>
        </w:tc>
        <w:tc>
          <w:tcPr>
            <w:tcW w:w="892" w:type="dxa"/>
            <w:tcBorders>
              <w:bottom w:val="single" w:sz="4" w:space="0" w:color="auto"/>
            </w:tcBorders>
            <w:shd w:val="clear" w:color="auto" w:fill="auto"/>
            <w:vAlign w:val="bottom"/>
          </w:tcPr>
          <w:p w14:paraId="5428C2DA"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81</w:t>
            </w:r>
          </w:p>
        </w:tc>
        <w:tc>
          <w:tcPr>
            <w:tcW w:w="892" w:type="dxa"/>
            <w:tcBorders>
              <w:bottom w:val="single" w:sz="4" w:space="0" w:color="auto"/>
            </w:tcBorders>
            <w:shd w:val="clear" w:color="auto" w:fill="auto"/>
            <w:vAlign w:val="bottom"/>
          </w:tcPr>
          <w:p w14:paraId="3AC81045"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95</w:t>
            </w:r>
          </w:p>
        </w:tc>
        <w:tc>
          <w:tcPr>
            <w:tcW w:w="892" w:type="dxa"/>
            <w:tcBorders>
              <w:bottom w:val="single" w:sz="4" w:space="0" w:color="auto"/>
            </w:tcBorders>
            <w:shd w:val="clear" w:color="auto" w:fill="auto"/>
            <w:vAlign w:val="bottom"/>
          </w:tcPr>
          <w:p w14:paraId="2824F033"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90</w:t>
            </w:r>
          </w:p>
        </w:tc>
        <w:tc>
          <w:tcPr>
            <w:tcW w:w="892" w:type="dxa"/>
            <w:tcBorders>
              <w:bottom w:val="single" w:sz="4" w:space="0" w:color="auto"/>
            </w:tcBorders>
            <w:shd w:val="clear" w:color="auto" w:fill="auto"/>
            <w:vAlign w:val="bottom"/>
          </w:tcPr>
          <w:p w14:paraId="2C1F92CB"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105</w:t>
            </w:r>
          </w:p>
        </w:tc>
      </w:tr>
      <w:tr w:rsidR="008D2F10" w:rsidRPr="00D43575" w14:paraId="68251721" w14:textId="77777777" w:rsidTr="00D73F71">
        <w:tc>
          <w:tcPr>
            <w:tcW w:w="1260" w:type="dxa"/>
            <w:tcBorders>
              <w:top w:val="single" w:sz="4" w:space="0" w:color="auto"/>
              <w:bottom w:val="single" w:sz="4" w:space="0" w:color="auto"/>
            </w:tcBorders>
            <w:shd w:val="clear" w:color="auto" w:fill="auto"/>
            <w:vAlign w:val="bottom"/>
          </w:tcPr>
          <w:p w14:paraId="4759A2EA"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10" w:type="dxa"/>
            <w:tcBorders>
              <w:top w:val="single" w:sz="4" w:space="0" w:color="auto"/>
              <w:bottom w:val="single" w:sz="4" w:space="0" w:color="auto"/>
            </w:tcBorders>
            <w:shd w:val="clear" w:color="auto" w:fill="auto"/>
            <w:vAlign w:val="bottom"/>
          </w:tcPr>
          <w:p w14:paraId="54CBC8D1" w14:textId="77777777" w:rsidR="008D2F10" w:rsidRPr="00D43575" w:rsidRDefault="008D2F10" w:rsidP="004871EC">
            <w:pPr>
              <w:tabs>
                <w:tab w:val="left" w:pos="288"/>
                <w:tab w:val="left" w:pos="576"/>
                <w:tab w:val="left" w:pos="864"/>
                <w:tab w:val="left" w:pos="1152"/>
                <w:tab w:val="left" w:pos="5112"/>
                <w:tab w:val="right" w:pos="8640"/>
              </w:tabs>
              <w:spacing w:before="81" w:after="81" w:line="210" w:lineRule="exact"/>
              <w:ind w:right="40"/>
              <w:rPr>
                <w:b/>
                <w:bCs/>
                <w:sz w:val="17"/>
                <w:szCs w:val="20"/>
              </w:rPr>
            </w:pPr>
            <w:r w:rsidRPr="00D43575">
              <w:rPr>
                <w:b/>
                <w:bCs/>
                <w:sz w:val="17"/>
                <w:szCs w:val="20"/>
              </w:rPr>
              <w:t>Total</w:t>
            </w:r>
          </w:p>
        </w:tc>
        <w:tc>
          <w:tcPr>
            <w:tcW w:w="760" w:type="dxa"/>
            <w:tcBorders>
              <w:top w:val="single" w:sz="4" w:space="0" w:color="auto"/>
              <w:bottom w:val="single" w:sz="4" w:space="0" w:color="auto"/>
            </w:tcBorders>
            <w:shd w:val="clear" w:color="auto" w:fill="auto"/>
            <w:vAlign w:val="bottom"/>
          </w:tcPr>
          <w:p w14:paraId="28E3E3A7"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D43575">
              <w:rPr>
                <w:b/>
                <w:sz w:val="17"/>
              </w:rPr>
              <w:t>176</w:t>
            </w:r>
          </w:p>
        </w:tc>
        <w:tc>
          <w:tcPr>
            <w:tcW w:w="892" w:type="dxa"/>
            <w:tcBorders>
              <w:top w:val="single" w:sz="4" w:space="0" w:color="auto"/>
              <w:bottom w:val="single" w:sz="4" w:space="0" w:color="auto"/>
            </w:tcBorders>
            <w:shd w:val="clear" w:color="auto" w:fill="auto"/>
            <w:vAlign w:val="bottom"/>
          </w:tcPr>
          <w:p w14:paraId="49A13C75"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D43575">
              <w:rPr>
                <w:b/>
                <w:sz w:val="17"/>
              </w:rPr>
              <w:t>169</w:t>
            </w:r>
          </w:p>
        </w:tc>
        <w:tc>
          <w:tcPr>
            <w:tcW w:w="892" w:type="dxa"/>
            <w:tcBorders>
              <w:top w:val="single" w:sz="4" w:space="0" w:color="auto"/>
              <w:bottom w:val="single" w:sz="4" w:space="0" w:color="auto"/>
            </w:tcBorders>
            <w:shd w:val="clear" w:color="auto" w:fill="auto"/>
            <w:vAlign w:val="bottom"/>
          </w:tcPr>
          <w:p w14:paraId="49993696"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D43575">
              <w:rPr>
                <w:b/>
                <w:sz w:val="17"/>
              </w:rPr>
              <w:t>161</w:t>
            </w:r>
          </w:p>
        </w:tc>
        <w:tc>
          <w:tcPr>
            <w:tcW w:w="892" w:type="dxa"/>
            <w:tcBorders>
              <w:top w:val="single" w:sz="4" w:space="0" w:color="auto"/>
              <w:bottom w:val="single" w:sz="4" w:space="0" w:color="auto"/>
            </w:tcBorders>
            <w:shd w:val="clear" w:color="auto" w:fill="auto"/>
            <w:vAlign w:val="bottom"/>
          </w:tcPr>
          <w:p w14:paraId="15CFE96B"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D43575">
              <w:rPr>
                <w:b/>
                <w:sz w:val="17"/>
              </w:rPr>
              <w:t>180</w:t>
            </w:r>
          </w:p>
        </w:tc>
        <w:tc>
          <w:tcPr>
            <w:tcW w:w="892" w:type="dxa"/>
            <w:tcBorders>
              <w:top w:val="single" w:sz="4" w:space="0" w:color="auto"/>
              <w:bottom w:val="single" w:sz="4" w:space="0" w:color="auto"/>
            </w:tcBorders>
            <w:shd w:val="clear" w:color="auto" w:fill="auto"/>
            <w:vAlign w:val="bottom"/>
          </w:tcPr>
          <w:p w14:paraId="643A67F0"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D43575">
              <w:rPr>
                <w:b/>
                <w:sz w:val="17"/>
              </w:rPr>
              <w:t>176</w:t>
            </w:r>
          </w:p>
        </w:tc>
        <w:tc>
          <w:tcPr>
            <w:tcW w:w="892" w:type="dxa"/>
            <w:tcBorders>
              <w:top w:val="single" w:sz="4" w:space="0" w:color="auto"/>
              <w:bottom w:val="single" w:sz="4" w:space="0" w:color="auto"/>
            </w:tcBorders>
            <w:shd w:val="clear" w:color="auto" w:fill="auto"/>
            <w:vAlign w:val="bottom"/>
          </w:tcPr>
          <w:p w14:paraId="2FB259A0"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D43575">
              <w:rPr>
                <w:b/>
                <w:sz w:val="17"/>
              </w:rPr>
              <w:t>197</w:t>
            </w:r>
          </w:p>
        </w:tc>
      </w:tr>
      <w:tr w:rsidR="008D2F10" w:rsidRPr="00D43575" w14:paraId="382FA44A" w14:textId="77777777" w:rsidTr="00D73F71">
        <w:tc>
          <w:tcPr>
            <w:tcW w:w="1260" w:type="dxa"/>
            <w:shd w:val="clear" w:color="auto" w:fill="auto"/>
            <w:vAlign w:val="bottom"/>
          </w:tcPr>
          <w:p w14:paraId="71F53C2E"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Otras nacionalidades</w:t>
            </w:r>
          </w:p>
        </w:tc>
        <w:tc>
          <w:tcPr>
            <w:tcW w:w="810" w:type="dxa"/>
            <w:shd w:val="clear" w:color="auto" w:fill="auto"/>
            <w:vAlign w:val="bottom"/>
          </w:tcPr>
          <w:p w14:paraId="68129FD4"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Hombres</w:t>
            </w:r>
          </w:p>
        </w:tc>
        <w:tc>
          <w:tcPr>
            <w:tcW w:w="760" w:type="dxa"/>
            <w:shd w:val="clear" w:color="auto" w:fill="auto"/>
            <w:vAlign w:val="bottom"/>
          </w:tcPr>
          <w:p w14:paraId="2D8A703E"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350</w:t>
            </w:r>
          </w:p>
        </w:tc>
        <w:tc>
          <w:tcPr>
            <w:tcW w:w="892" w:type="dxa"/>
            <w:shd w:val="clear" w:color="auto" w:fill="auto"/>
            <w:vAlign w:val="bottom"/>
          </w:tcPr>
          <w:p w14:paraId="3300C767"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394</w:t>
            </w:r>
          </w:p>
        </w:tc>
        <w:tc>
          <w:tcPr>
            <w:tcW w:w="892" w:type="dxa"/>
            <w:shd w:val="clear" w:color="auto" w:fill="auto"/>
            <w:vAlign w:val="bottom"/>
          </w:tcPr>
          <w:p w14:paraId="3FEE7BD5"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509</w:t>
            </w:r>
          </w:p>
        </w:tc>
        <w:tc>
          <w:tcPr>
            <w:tcW w:w="892" w:type="dxa"/>
            <w:shd w:val="clear" w:color="auto" w:fill="auto"/>
            <w:vAlign w:val="bottom"/>
          </w:tcPr>
          <w:p w14:paraId="3B1163CF"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610</w:t>
            </w:r>
          </w:p>
        </w:tc>
        <w:tc>
          <w:tcPr>
            <w:tcW w:w="892" w:type="dxa"/>
            <w:shd w:val="clear" w:color="auto" w:fill="auto"/>
            <w:vAlign w:val="bottom"/>
          </w:tcPr>
          <w:p w14:paraId="252ED657"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659</w:t>
            </w:r>
          </w:p>
        </w:tc>
        <w:tc>
          <w:tcPr>
            <w:tcW w:w="892" w:type="dxa"/>
            <w:shd w:val="clear" w:color="auto" w:fill="auto"/>
            <w:vAlign w:val="bottom"/>
          </w:tcPr>
          <w:p w14:paraId="10E18ECA"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663</w:t>
            </w:r>
          </w:p>
        </w:tc>
      </w:tr>
      <w:tr w:rsidR="008D2F10" w:rsidRPr="00D43575" w14:paraId="2E2C2611" w14:textId="77777777" w:rsidTr="00D73F71">
        <w:tc>
          <w:tcPr>
            <w:tcW w:w="1260" w:type="dxa"/>
            <w:tcBorders>
              <w:bottom w:val="single" w:sz="4" w:space="0" w:color="auto"/>
            </w:tcBorders>
            <w:shd w:val="clear" w:color="auto" w:fill="auto"/>
            <w:vAlign w:val="bottom"/>
          </w:tcPr>
          <w:p w14:paraId="16BE7A9C"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10" w:type="dxa"/>
            <w:tcBorders>
              <w:bottom w:val="single" w:sz="4" w:space="0" w:color="auto"/>
            </w:tcBorders>
            <w:shd w:val="clear" w:color="auto" w:fill="auto"/>
            <w:vAlign w:val="bottom"/>
          </w:tcPr>
          <w:p w14:paraId="24727057"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Mujeres</w:t>
            </w:r>
          </w:p>
        </w:tc>
        <w:tc>
          <w:tcPr>
            <w:tcW w:w="760" w:type="dxa"/>
            <w:tcBorders>
              <w:bottom w:val="single" w:sz="4" w:space="0" w:color="auto"/>
            </w:tcBorders>
            <w:shd w:val="clear" w:color="auto" w:fill="auto"/>
            <w:vAlign w:val="bottom"/>
          </w:tcPr>
          <w:p w14:paraId="554C7FE3"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115</w:t>
            </w:r>
          </w:p>
        </w:tc>
        <w:tc>
          <w:tcPr>
            <w:tcW w:w="892" w:type="dxa"/>
            <w:tcBorders>
              <w:bottom w:val="single" w:sz="4" w:space="0" w:color="auto"/>
            </w:tcBorders>
            <w:shd w:val="clear" w:color="auto" w:fill="auto"/>
            <w:vAlign w:val="bottom"/>
          </w:tcPr>
          <w:p w14:paraId="72D30FD6"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124</w:t>
            </w:r>
          </w:p>
        </w:tc>
        <w:tc>
          <w:tcPr>
            <w:tcW w:w="892" w:type="dxa"/>
            <w:tcBorders>
              <w:bottom w:val="single" w:sz="4" w:space="0" w:color="auto"/>
            </w:tcBorders>
            <w:shd w:val="clear" w:color="auto" w:fill="auto"/>
            <w:vAlign w:val="bottom"/>
          </w:tcPr>
          <w:p w14:paraId="261385EC"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146</w:t>
            </w:r>
          </w:p>
        </w:tc>
        <w:tc>
          <w:tcPr>
            <w:tcW w:w="892" w:type="dxa"/>
            <w:tcBorders>
              <w:bottom w:val="single" w:sz="4" w:space="0" w:color="auto"/>
            </w:tcBorders>
            <w:shd w:val="clear" w:color="auto" w:fill="auto"/>
            <w:vAlign w:val="bottom"/>
          </w:tcPr>
          <w:p w14:paraId="560567E7"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158</w:t>
            </w:r>
          </w:p>
        </w:tc>
        <w:tc>
          <w:tcPr>
            <w:tcW w:w="892" w:type="dxa"/>
            <w:tcBorders>
              <w:bottom w:val="single" w:sz="4" w:space="0" w:color="auto"/>
            </w:tcBorders>
            <w:shd w:val="clear" w:color="auto" w:fill="auto"/>
            <w:vAlign w:val="bottom"/>
          </w:tcPr>
          <w:p w14:paraId="286FF976"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169</w:t>
            </w:r>
          </w:p>
        </w:tc>
        <w:tc>
          <w:tcPr>
            <w:tcW w:w="892" w:type="dxa"/>
            <w:tcBorders>
              <w:bottom w:val="single" w:sz="4" w:space="0" w:color="auto"/>
            </w:tcBorders>
            <w:shd w:val="clear" w:color="auto" w:fill="auto"/>
            <w:vAlign w:val="bottom"/>
          </w:tcPr>
          <w:p w14:paraId="6AC1F6F6"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178</w:t>
            </w:r>
          </w:p>
        </w:tc>
      </w:tr>
      <w:tr w:rsidR="008D2F10" w:rsidRPr="00D43575" w14:paraId="7E9E3EB3" w14:textId="77777777" w:rsidTr="00D73F71">
        <w:trPr>
          <w:trHeight w:val="47"/>
        </w:trPr>
        <w:tc>
          <w:tcPr>
            <w:tcW w:w="1260" w:type="dxa"/>
            <w:tcBorders>
              <w:top w:val="single" w:sz="4" w:space="0" w:color="auto"/>
              <w:bottom w:val="single" w:sz="4" w:space="0" w:color="auto"/>
            </w:tcBorders>
            <w:shd w:val="clear" w:color="auto" w:fill="auto"/>
            <w:vAlign w:val="bottom"/>
          </w:tcPr>
          <w:p w14:paraId="6EBD26D3"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810" w:type="dxa"/>
            <w:tcBorders>
              <w:top w:val="single" w:sz="4" w:space="0" w:color="auto"/>
              <w:bottom w:val="single" w:sz="4" w:space="0" w:color="auto"/>
            </w:tcBorders>
            <w:shd w:val="clear" w:color="auto" w:fill="auto"/>
            <w:vAlign w:val="bottom"/>
          </w:tcPr>
          <w:p w14:paraId="698765E2" w14:textId="77777777" w:rsidR="008D2F10" w:rsidRPr="00D43575" w:rsidRDefault="008D2F10" w:rsidP="00ED0A51">
            <w:pPr>
              <w:tabs>
                <w:tab w:val="left" w:pos="288"/>
                <w:tab w:val="left" w:pos="576"/>
                <w:tab w:val="left" w:pos="864"/>
                <w:tab w:val="left" w:pos="1152"/>
                <w:tab w:val="left" w:pos="5112"/>
                <w:tab w:val="right" w:pos="8640"/>
              </w:tabs>
              <w:spacing w:before="81" w:after="81" w:line="210" w:lineRule="exact"/>
              <w:ind w:right="40"/>
              <w:rPr>
                <w:b/>
                <w:bCs/>
                <w:sz w:val="17"/>
                <w:szCs w:val="20"/>
              </w:rPr>
            </w:pPr>
            <w:r w:rsidRPr="00D43575">
              <w:rPr>
                <w:b/>
                <w:bCs/>
                <w:sz w:val="17"/>
                <w:szCs w:val="20"/>
              </w:rPr>
              <w:t>Total</w:t>
            </w:r>
          </w:p>
        </w:tc>
        <w:tc>
          <w:tcPr>
            <w:tcW w:w="760" w:type="dxa"/>
            <w:tcBorders>
              <w:top w:val="single" w:sz="4" w:space="0" w:color="auto"/>
              <w:bottom w:val="single" w:sz="4" w:space="0" w:color="auto"/>
            </w:tcBorders>
            <w:shd w:val="clear" w:color="auto" w:fill="auto"/>
            <w:vAlign w:val="bottom"/>
          </w:tcPr>
          <w:p w14:paraId="0A5C8B69"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D43575">
              <w:rPr>
                <w:b/>
                <w:sz w:val="17"/>
              </w:rPr>
              <w:t>465</w:t>
            </w:r>
          </w:p>
        </w:tc>
        <w:tc>
          <w:tcPr>
            <w:tcW w:w="892" w:type="dxa"/>
            <w:tcBorders>
              <w:top w:val="single" w:sz="4" w:space="0" w:color="auto"/>
              <w:bottom w:val="single" w:sz="4" w:space="0" w:color="auto"/>
            </w:tcBorders>
            <w:shd w:val="clear" w:color="auto" w:fill="auto"/>
            <w:vAlign w:val="bottom"/>
          </w:tcPr>
          <w:p w14:paraId="1B5CFBBC"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D43575">
              <w:rPr>
                <w:b/>
                <w:sz w:val="17"/>
              </w:rPr>
              <w:t>518</w:t>
            </w:r>
          </w:p>
        </w:tc>
        <w:tc>
          <w:tcPr>
            <w:tcW w:w="892" w:type="dxa"/>
            <w:tcBorders>
              <w:top w:val="single" w:sz="4" w:space="0" w:color="auto"/>
              <w:bottom w:val="single" w:sz="4" w:space="0" w:color="auto"/>
            </w:tcBorders>
            <w:shd w:val="clear" w:color="auto" w:fill="auto"/>
            <w:vAlign w:val="bottom"/>
          </w:tcPr>
          <w:p w14:paraId="593224CD"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D43575">
              <w:rPr>
                <w:b/>
                <w:sz w:val="17"/>
              </w:rPr>
              <w:t>655</w:t>
            </w:r>
          </w:p>
        </w:tc>
        <w:tc>
          <w:tcPr>
            <w:tcW w:w="892" w:type="dxa"/>
            <w:tcBorders>
              <w:top w:val="single" w:sz="4" w:space="0" w:color="auto"/>
              <w:bottom w:val="single" w:sz="4" w:space="0" w:color="auto"/>
            </w:tcBorders>
            <w:shd w:val="clear" w:color="auto" w:fill="auto"/>
            <w:vAlign w:val="bottom"/>
          </w:tcPr>
          <w:p w14:paraId="73BAAD94"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D43575">
              <w:rPr>
                <w:b/>
                <w:sz w:val="17"/>
              </w:rPr>
              <w:t>768</w:t>
            </w:r>
          </w:p>
        </w:tc>
        <w:tc>
          <w:tcPr>
            <w:tcW w:w="892" w:type="dxa"/>
            <w:tcBorders>
              <w:top w:val="single" w:sz="4" w:space="0" w:color="auto"/>
              <w:bottom w:val="single" w:sz="4" w:space="0" w:color="auto"/>
            </w:tcBorders>
            <w:shd w:val="clear" w:color="auto" w:fill="auto"/>
            <w:vAlign w:val="bottom"/>
          </w:tcPr>
          <w:p w14:paraId="5BA1F030"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D43575">
              <w:rPr>
                <w:b/>
                <w:sz w:val="17"/>
              </w:rPr>
              <w:t>828</w:t>
            </w:r>
          </w:p>
        </w:tc>
        <w:tc>
          <w:tcPr>
            <w:tcW w:w="892" w:type="dxa"/>
            <w:tcBorders>
              <w:top w:val="single" w:sz="4" w:space="0" w:color="auto"/>
              <w:bottom w:val="single" w:sz="4" w:space="0" w:color="auto"/>
            </w:tcBorders>
            <w:shd w:val="clear" w:color="auto" w:fill="auto"/>
            <w:vAlign w:val="bottom"/>
          </w:tcPr>
          <w:p w14:paraId="6E885127" w14:textId="77777777" w:rsidR="008D2F10" w:rsidRPr="00D43575" w:rsidRDefault="008D2F10" w:rsidP="00ED0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b/>
                <w:sz w:val="17"/>
              </w:rPr>
            </w:pPr>
            <w:r w:rsidRPr="00D43575">
              <w:rPr>
                <w:b/>
                <w:sz w:val="17"/>
              </w:rPr>
              <w:t>841</w:t>
            </w:r>
          </w:p>
        </w:tc>
      </w:tr>
      <w:tr w:rsidR="008D2F10" w:rsidRPr="00D43575" w14:paraId="1691682A" w14:textId="77777777" w:rsidTr="00D73F71">
        <w:tc>
          <w:tcPr>
            <w:tcW w:w="1260" w:type="dxa"/>
            <w:tcBorders>
              <w:top w:val="single" w:sz="4" w:space="0" w:color="auto"/>
              <w:bottom w:val="single" w:sz="12" w:space="0" w:color="auto"/>
            </w:tcBorders>
            <w:shd w:val="clear" w:color="auto" w:fill="auto"/>
            <w:vAlign w:val="bottom"/>
          </w:tcPr>
          <w:p w14:paraId="17D84AD9" w14:textId="77777777" w:rsidR="008D2F10" w:rsidRPr="00D43575" w:rsidRDefault="008D2F10" w:rsidP="00ED0A51">
            <w:pPr>
              <w:tabs>
                <w:tab w:val="left" w:pos="288"/>
                <w:tab w:val="left" w:pos="576"/>
                <w:tab w:val="left" w:pos="864"/>
                <w:tab w:val="left" w:pos="1152"/>
                <w:tab w:val="left" w:pos="5112"/>
                <w:tab w:val="right" w:pos="8640"/>
              </w:tabs>
              <w:spacing w:before="81" w:after="81" w:line="210" w:lineRule="exact"/>
              <w:ind w:right="40"/>
              <w:rPr>
                <w:b/>
                <w:bCs/>
                <w:sz w:val="17"/>
                <w:szCs w:val="20"/>
              </w:rPr>
            </w:pPr>
            <w:r w:rsidRPr="00D43575">
              <w:rPr>
                <w:b/>
                <w:bCs/>
                <w:sz w:val="17"/>
                <w:szCs w:val="20"/>
              </w:rPr>
              <w:t>Total general</w:t>
            </w:r>
          </w:p>
        </w:tc>
        <w:tc>
          <w:tcPr>
            <w:tcW w:w="810" w:type="dxa"/>
            <w:tcBorders>
              <w:top w:val="single" w:sz="4" w:space="0" w:color="auto"/>
              <w:bottom w:val="single" w:sz="12" w:space="0" w:color="auto"/>
            </w:tcBorders>
            <w:shd w:val="clear" w:color="auto" w:fill="auto"/>
            <w:vAlign w:val="bottom"/>
          </w:tcPr>
          <w:p w14:paraId="5FBC1702" w14:textId="77777777" w:rsidR="008D2F10" w:rsidRPr="00D43575" w:rsidRDefault="008D2F10" w:rsidP="001E2AB1">
            <w:pPr>
              <w:tabs>
                <w:tab w:val="left" w:pos="288"/>
                <w:tab w:val="left" w:pos="576"/>
                <w:tab w:val="left" w:pos="864"/>
                <w:tab w:val="left" w:pos="1152"/>
                <w:tab w:val="left" w:pos="5112"/>
                <w:tab w:val="right" w:pos="8640"/>
              </w:tabs>
              <w:spacing w:before="81" w:after="81" w:line="210" w:lineRule="exact"/>
              <w:ind w:right="40"/>
              <w:jc w:val="right"/>
              <w:rPr>
                <w:b/>
                <w:sz w:val="17"/>
                <w:szCs w:val="20"/>
              </w:rPr>
            </w:pPr>
          </w:p>
        </w:tc>
        <w:tc>
          <w:tcPr>
            <w:tcW w:w="760" w:type="dxa"/>
            <w:tcBorders>
              <w:top w:val="single" w:sz="4" w:space="0" w:color="auto"/>
              <w:bottom w:val="single" w:sz="12" w:space="0" w:color="auto"/>
            </w:tcBorders>
            <w:shd w:val="clear" w:color="auto" w:fill="auto"/>
            <w:vAlign w:val="bottom"/>
          </w:tcPr>
          <w:p w14:paraId="4DCBA010" w14:textId="77777777" w:rsidR="008D2F10" w:rsidRPr="00D43575" w:rsidRDefault="008D2F10" w:rsidP="001E2AB1">
            <w:pPr>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641</w:t>
            </w:r>
          </w:p>
        </w:tc>
        <w:tc>
          <w:tcPr>
            <w:tcW w:w="892" w:type="dxa"/>
            <w:tcBorders>
              <w:top w:val="single" w:sz="4" w:space="0" w:color="auto"/>
              <w:bottom w:val="single" w:sz="12" w:space="0" w:color="auto"/>
            </w:tcBorders>
            <w:shd w:val="clear" w:color="auto" w:fill="auto"/>
            <w:vAlign w:val="bottom"/>
          </w:tcPr>
          <w:p w14:paraId="17C854B7" w14:textId="77777777" w:rsidR="008D2F10" w:rsidRPr="00D43575" w:rsidRDefault="008D2F10" w:rsidP="001E2AB1">
            <w:pPr>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687</w:t>
            </w:r>
          </w:p>
        </w:tc>
        <w:tc>
          <w:tcPr>
            <w:tcW w:w="892" w:type="dxa"/>
            <w:tcBorders>
              <w:top w:val="single" w:sz="4" w:space="0" w:color="auto"/>
              <w:bottom w:val="single" w:sz="12" w:space="0" w:color="auto"/>
            </w:tcBorders>
            <w:shd w:val="clear" w:color="auto" w:fill="auto"/>
            <w:vAlign w:val="bottom"/>
          </w:tcPr>
          <w:p w14:paraId="7B66AE38" w14:textId="77777777" w:rsidR="008D2F10" w:rsidRPr="00D43575" w:rsidRDefault="008D2F10" w:rsidP="001E2AB1">
            <w:pPr>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816</w:t>
            </w:r>
          </w:p>
        </w:tc>
        <w:tc>
          <w:tcPr>
            <w:tcW w:w="892" w:type="dxa"/>
            <w:tcBorders>
              <w:top w:val="single" w:sz="4" w:space="0" w:color="auto"/>
              <w:bottom w:val="single" w:sz="12" w:space="0" w:color="auto"/>
            </w:tcBorders>
            <w:shd w:val="clear" w:color="auto" w:fill="auto"/>
            <w:vAlign w:val="bottom"/>
          </w:tcPr>
          <w:p w14:paraId="2D368DF6" w14:textId="77777777" w:rsidR="008D2F10" w:rsidRPr="00D43575" w:rsidRDefault="008D2F10" w:rsidP="001E2AB1">
            <w:pPr>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948</w:t>
            </w:r>
          </w:p>
        </w:tc>
        <w:tc>
          <w:tcPr>
            <w:tcW w:w="892" w:type="dxa"/>
            <w:tcBorders>
              <w:top w:val="single" w:sz="4" w:space="0" w:color="auto"/>
              <w:bottom w:val="single" w:sz="12" w:space="0" w:color="auto"/>
            </w:tcBorders>
            <w:shd w:val="clear" w:color="auto" w:fill="auto"/>
            <w:vAlign w:val="bottom"/>
          </w:tcPr>
          <w:p w14:paraId="20F0D456" w14:textId="77777777" w:rsidR="008D2F10" w:rsidRPr="00D43575" w:rsidRDefault="008D2F10" w:rsidP="001E2AB1">
            <w:pPr>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1 004</w:t>
            </w:r>
          </w:p>
        </w:tc>
        <w:tc>
          <w:tcPr>
            <w:tcW w:w="892" w:type="dxa"/>
            <w:tcBorders>
              <w:top w:val="single" w:sz="4" w:space="0" w:color="auto"/>
              <w:bottom w:val="single" w:sz="12" w:space="0" w:color="auto"/>
            </w:tcBorders>
            <w:shd w:val="clear" w:color="auto" w:fill="auto"/>
            <w:vAlign w:val="bottom"/>
          </w:tcPr>
          <w:p w14:paraId="520EA309" w14:textId="77777777" w:rsidR="008D2F10" w:rsidRPr="00D43575" w:rsidRDefault="008D2F10" w:rsidP="001E2AB1">
            <w:pPr>
              <w:tabs>
                <w:tab w:val="left" w:pos="288"/>
                <w:tab w:val="left" w:pos="576"/>
                <w:tab w:val="left" w:pos="864"/>
                <w:tab w:val="left" w:pos="1152"/>
                <w:tab w:val="left" w:pos="5112"/>
                <w:tab w:val="right" w:pos="8640"/>
              </w:tabs>
              <w:spacing w:before="81" w:after="81" w:line="210" w:lineRule="exact"/>
              <w:ind w:right="40"/>
              <w:jc w:val="right"/>
              <w:rPr>
                <w:b/>
                <w:sz w:val="17"/>
                <w:szCs w:val="20"/>
              </w:rPr>
            </w:pPr>
            <w:r w:rsidRPr="00D43575">
              <w:rPr>
                <w:b/>
                <w:sz w:val="17"/>
                <w:szCs w:val="20"/>
              </w:rPr>
              <w:t>1 038</w:t>
            </w:r>
          </w:p>
        </w:tc>
      </w:tr>
    </w:tbl>
    <w:p w14:paraId="6355C934" w14:textId="77777777" w:rsidR="008D2F10" w:rsidRPr="00D43575" w:rsidRDefault="008D2F10" w:rsidP="008D2F10">
      <w:pPr>
        <w:pStyle w:val="SingleTxt"/>
        <w:spacing w:after="0" w:line="120" w:lineRule="exact"/>
        <w:rPr>
          <w:sz w:val="10"/>
        </w:rPr>
      </w:pPr>
    </w:p>
    <w:p w14:paraId="6D14C7B3" w14:textId="48A5ECAA" w:rsidR="008D2F10"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
          <w:iCs/>
          <w:w w:val="103"/>
          <w:kern w:val="14"/>
          <w:szCs w:val="20"/>
        </w:rPr>
      </w:pPr>
      <w:r w:rsidRPr="00D43575">
        <w:rPr>
          <w:rFonts w:eastAsiaTheme="minorHAnsi"/>
          <w:i/>
          <w:iCs/>
          <w:w w:val="103"/>
          <w:kern w:val="14"/>
          <w:szCs w:val="20"/>
        </w:rPr>
        <w:t>Fuente:</w:t>
      </w:r>
      <w:r w:rsidRPr="00D43575">
        <w:rPr>
          <w:rFonts w:eastAsiaTheme="minorHAnsi"/>
          <w:iCs/>
          <w:w w:val="103"/>
          <w:kern w:val="14"/>
          <w:szCs w:val="20"/>
        </w:rPr>
        <w:t xml:space="preserve"> Estado de Qatar, Universidad de Qatar, Departamento de Estrategia y Desarrollo, 2017</w:t>
      </w:r>
      <w:r w:rsidR="00083383" w:rsidRPr="00D43575">
        <w:rPr>
          <w:rFonts w:eastAsiaTheme="minorHAnsi"/>
          <w:iCs/>
          <w:w w:val="103"/>
          <w:kern w:val="14"/>
          <w:szCs w:val="20"/>
        </w:rPr>
        <w:t>.</w:t>
      </w:r>
    </w:p>
    <w:p w14:paraId="513E08E0" w14:textId="77777777" w:rsidR="008D2F10" w:rsidRPr="00D43575" w:rsidRDefault="008D2F10" w:rsidP="003B5AA5">
      <w:pPr>
        <w:pStyle w:val="SingleTxt"/>
        <w:spacing w:after="0" w:line="120" w:lineRule="exact"/>
        <w:rPr>
          <w:sz w:val="10"/>
        </w:rPr>
      </w:pPr>
    </w:p>
    <w:p w14:paraId="53E7541D" w14:textId="77777777" w:rsidR="008D2F10" w:rsidRPr="00D43575" w:rsidRDefault="008D2F10" w:rsidP="003B5AA5">
      <w:pPr>
        <w:pStyle w:val="SingleTxt"/>
        <w:spacing w:after="0" w:line="120" w:lineRule="exact"/>
        <w:rPr>
          <w:sz w:val="10"/>
        </w:rPr>
      </w:pPr>
    </w:p>
    <w:p w14:paraId="6C92B519" w14:textId="17AB4043" w:rsidR="008D2F10" w:rsidRPr="00D43575" w:rsidRDefault="008D2F10" w:rsidP="00623557">
      <w:pPr>
        <w:pStyle w:val="SingleTxt"/>
        <w:keepLines/>
        <w:numPr>
          <w:ilvl w:val="0"/>
          <w:numId w:val="10"/>
        </w:numPr>
        <w:ind w:left="1267" w:firstLine="0"/>
      </w:pPr>
      <w:r w:rsidRPr="00D43575">
        <w:t>Las mujeres ocupan puestos directivos en la Universidad de Qatar en pie de igualdad con los hombres, lo que refleja los principios del mérito y la igualdad de género</w:t>
      </w:r>
      <w:r w:rsidR="00083383" w:rsidRPr="00D43575">
        <w:t>.</w:t>
      </w:r>
      <w:r w:rsidRPr="00D43575">
        <w:t xml:space="preserve"> Una mujer fue rectora de la Universidad de Qatar durante más de un decenio, período durante el cual se hicieron numerosos logros notables, como la ampliación de la universidad con la inauguración de nuevas facultades y la</w:t>
      </w:r>
      <w:r w:rsidR="00083383" w:rsidRPr="00D43575">
        <w:t xml:space="preserve"> </w:t>
      </w:r>
      <w:r w:rsidRPr="00D43575">
        <w:t>concesión de la acreditación académica a más de un programa de estudios</w:t>
      </w:r>
      <w:r w:rsidR="00083383" w:rsidRPr="00D43575">
        <w:t>.</w:t>
      </w:r>
      <w:r w:rsidRPr="00D43575">
        <w:t xml:space="preserve"> En la actualidad, las mujeres en la Universidad de Qatar ocupan varios puestos directivos de categoría superior, como el de vicerrectora</w:t>
      </w:r>
      <w:r w:rsidR="00083383" w:rsidRPr="00D43575">
        <w:t>.</w:t>
      </w:r>
      <w:r w:rsidRPr="00D43575">
        <w:t xml:space="preserve"> Otras mujeres también ejercen de decanas de diversas facultades y de vicedecanas de muchas otras, como se indica en el cuadro que figura a continuación</w:t>
      </w:r>
      <w:r w:rsidR="00083383" w:rsidRPr="00D43575">
        <w:t>.</w:t>
      </w:r>
    </w:p>
    <w:p w14:paraId="533A74BF" w14:textId="77777777" w:rsidR="00A86E98" w:rsidRPr="00D43575" w:rsidRDefault="00A86E98" w:rsidP="00A86E98">
      <w:pPr>
        <w:pStyle w:val="SingleTxt"/>
        <w:spacing w:after="0" w:line="120" w:lineRule="exact"/>
        <w:rPr>
          <w:sz w:val="10"/>
        </w:rPr>
      </w:pPr>
    </w:p>
    <w:p w14:paraId="049D9630" w14:textId="6162DE3E"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r>
      <w:r w:rsidR="00F50320">
        <w:rPr>
          <w:b w:val="0"/>
          <w:bCs w:val="0"/>
          <w:szCs w:val="20"/>
        </w:rPr>
        <w:t>Cuadro 16</w:t>
      </w:r>
      <w:r w:rsidR="006262DC" w:rsidRPr="00D43575">
        <w:rPr>
          <w:b w:val="0"/>
          <w:bCs w:val="0"/>
          <w:szCs w:val="20"/>
        </w:rPr>
        <w:t xml:space="preserve"> </w:t>
      </w:r>
      <w:r w:rsidR="006262DC" w:rsidRPr="00D43575">
        <w:rPr>
          <w:b w:val="0"/>
          <w:bCs w:val="0"/>
          <w:szCs w:val="20"/>
        </w:rPr>
        <w:br/>
      </w:r>
      <w:r w:rsidRPr="00D43575">
        <w:rPr>
          <w:bCs w:val="0"/>
          <w:szCs w:val="20"/>
        </w:rPr>
        <w:t>Puestos directivos en la Universidad de Qatar desde el año académico 2011</w:t>
      </w:r>
      <w:r w:rsidR="00083383" w:rsidRPr="00D43575">
        <w:rPr>
          <w:bCs w:val="0"/>
          <w:szCs w:val="20"/>
        </w:rPr>
        <w:noBreakHyphen/>
      </w:r>
      <w:r w:rsidRPr="00D43575">
        <w:rPr>
          <w:bCs w:val="0"/>
          <w:szCs w:val="20"/>
        </w:rPr>
        <w:t>2012 hasta 2016</w:t>
      </w:r>
      <w:r w:rsidR="00083383" w:rsidRPr="00D43575">
        <w:rPr>
          <w:bCs w:val="0"/>
          <w:szCs w:val="20"/>
        </w:rPr>
        <w:noBreakHyphen/>
      </w:r>
      <w:r w:rsidRPr="00D43575">
        <w:rPr>
          <w:bCs w:val="0"/>
          <w:szCs w:val="20"/>
        </w:rPr>
        <w:t>2017, por cargo y sexo</w:t>
      </w:r>
    </w:p>
    <w:p w14:paraId="2C9757E6" w14:textId="77777777" w:rsidR="008D2F10" w:rsidRPr="00D43575" w:rsidRDefault="008D2F10" w:rsidP="008D2F1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90"/>
        <w:gridCol w:w="644"/>
        <w:gridCol w:w="644"/>
        <w:gridCol w:w="136"/>
        <w:gridCol w:w="509"/>
        <w:gridCol w:w="644"/>
        <w:gridCol w:w="136"/>
        <w:gridCol w:w="509"/>
        <w:gridCol w:w="644"/>
        <w:gridCol w:w="136"/>
        <w:gridCol w:w="508"/>
        <w:gridCol w:w="645"/>
        <w:gridCol w:w="136"/>
        <w:gridCol w:w="469"/>
        <w:gridCol w:w="630"/>
      </w:tblGrid>
      <w:tr w:rsidR="008D2F10" w:rsidRPr="00D43575" w14:paraId="67014B67" w14:textId="77777777" w:rsidTr="00BD7BE9">
        <w:trPr>
          <w:tblHeader/>
        </w:trPr>
        <w:tc>
          <w:tcPr>
            <w:tcW w:w="990" w:type="dxa"/>
            <w:tcBorders>
              <w:top w:val="single" w:sz="4" w:space="0" w:color="auto"/>
            </w:tcBorders>
            <w:shd w:val="clear" w:color="auto" w:fill="auto"/>
            <w:vAlign w:val="bottom"/>
          </w:tcPr>
          <w:p w14:paraId="4513EFB1" w14:textId="77777777" w:rsidR="008D2F10" w:rsidRPr="00D43575" w:rsidRDefault="008D2F10" w:rsidP="00BD7BE9">
            <w:pPr>
              <w:spacing w:before="81" w:after="81" w:line="160" w:lineRule="exact"/>
              <w:ind w:right="40"/>
              <w:rPr>
                <w:i/>
                <w:sz w:val="14"/>
              </w:rPr>
            </w:pPr>
          </w:p>
        </w:tc>
        <w:tc>
          <w:tcPr>
            <w:tcW w:w="1288" w:type="dxa"/>
            <w:gridSpan w:val="2"/>
            <w:tcBorders>
              <w:top w:val="single" w:sz="4" w:space="0" w:color="auto"/>
              <w:bottom w:val="single" w:sz="4" w:space="0" w:color="auto"/>
            </w:tcBorders>
            <w:shd w:val="clear" w:color="auto" w:fill="auto"/>
            <w:vAlign w:val="bottom"/>
          </w:tcPr>
          <w:p w14:paraId="28DF2AAD" w14:textId="77777777" w:rsidR="008D2F10" w:rsidRPr="00D43575" w:rsidRDefault="008D2F10" w:rsidP="00C802D9">
            <w:pPr>
              <w:pStyle w:val="SingleTxt"/>
              <w:spacing w:before="80" w:after="80" w:line="160" w:lineRule="exact"/>
              <w:ind w:left="144" w:right="43"/>
              <w:jc w:val="center"/>
              <w:rPr>
                <w:i/>
                <w:iCs/>
                <w:sz w:val="14"/>
              </w:rPr>
            </w:pPr>
            <w:r w:rsidRPr="00D43575">
              <w:rPr>
                <w:i/>
                <w:iCs/>
                <w:sz w:val="14"/>
              </w:rPr>
              <w:t>Rector</w:t>
            </w:r>
          </w:p>
        </w:tc>
        <w:tc>
          <w:tcPr>
            <w:tcW w:w="136" w:type="dxa"/>
            <w:tcBorders>
              <w:top w:val="single" w:sz="4" w:space="0" w:color="auto"/>
            </w:tcBorders>
            <w:shd w:val="clear" w:color="auto" w:fill="auto"/>
            <w:vAlign w:val="bottom"/>
          </w:tcPr>
          <w:p w14:paraId="1474EC5E" w14:textId="77777777" w:rsidR="008D2F10" w:rsidRPr="00D43575" w:rsidRDefault="008D2F10" w:rsidP="00BD7BE9">
            <w:pPr>
              <w:spacing w:before="81" w:after="81" w:line="160" w:lineRule="exact"/>
              <w:ind w:left="30" w:right="40"/>
              <w:jc w:val="center"/>
              <w:rPr>
                <w:i/>
                <w:sz w:val="14"/>
              </w:rPr>
            </w:pPr>
          </w:p>
        </w:tc>
        <w:tc>
          <w:tcPr>
            <w:tcW w:w="1153" w:type="dxa"/>
            <w:gridSpan w:val="2"/>
            <w:tcBorders>
              <w:top w:val="single" w:sz="4" w:space="0" w:color="auto"/>
              <w:bottom w:val="single" w:sz="4" w:space="0" w:color="auto"/>
            </w:tcBorders>
            <w:shd w:val="clear" w:color="auto" w:fill="auto"/>
            <w:vAlign w:val="bottom"/>
          </w:tcPr>
          <w:p w14:paraId="649C8A7E" w14:textId="77777777" w:rsidR="008D2F10" w:rsidRPr="00D43575" w:rsidRDefault="008D2F10" w:rsidP="00C802D9">
            <w:pPr>
              <w:pStyle w:val="SingleTxt"/>
              <w:spacing w:before="80" w:after="80" w:line="160" w:lineRule="exact"/>
              <w:ind w:left="144" w:right="43"/>
              <w:jc w:val="center"/>
              <w:rPr>
                <w:i/>
                <w:iCs/>
                <w:sz w:val="14"/>
              </w:rPr>
            </w:pPr>
            <w:r w:rsidRPr="00D43575">
              <w:rPr>
                <w:i/>
                <w:iCs/>
                <w:sz w:val="14"/>
              </w:rPr>
              <w:t>Vicerrector</w:t>
            </w:r>
          </w:p>
        </w:tc>
        <w:tc>
          <w:tcPr>
            <w:tcW w:w="136" w:type="dxa"/>
            <w:tcBorders>
              <w:top w:val="single" w:sz="4" w:space="0" w:color="auto"/>
            </w:tcBorders>
            <w:shd w:val="clear" w:color="auto" w:fill="auto"/>
            <w:vAlign w:val="bottom"/>
          </w:tcPr>
          <w:p w14:paraId="6479F464" w14:textId="77777777" w:rsidR="008D2F10" w:rsidRPr="00D43575" w:rsidRDefault="008D2F10" w:rsidP="00BD7BE9">
            <w:pPr>
              <w:spacing w:before="81" w:after="81" w:line="160" w:lineRule="exact"/>
              <w:ind w:left="30" w:right="40"/>
              <w:jc w:val="center"/>
              <w:rPr>
                <w:i/>
                <w:sz w:val="14"/>
              </w:rPr>
            </w:pPr>
          </w:p>
        </w:tc>
        <w:tc>
          <w:tcPr>
            <w:tcW w:w="1153" w:type="dxa"/>
            <w:gridSpan w:val="2"/>
            <w:tcBorders>
              <w:top w:val="single" w:sz="4" w:space="0" w:color="auto"/>
              <w:bottom w:val="single" w:sz="4" w:space="0" w:color="auto"/>
            </w:tcBorders>
            <w:shd w:val="clear" w:color="auto" w:fill="auto"/>
            <w:vAlign w:val="bottom"/>
          </w:tcPr>
          <w:p w14:paraId="35A17A65" w14:textId="77777777" w:rsidR="008D2F10" w:rsidRPr="00D43575" w:rsidRDefault="008D2F10" w:rsidP="00C802D9">
            <w:pPr>
              <w:pStyle w:val="SingleTxt"/>
              <w:spacing w:before="80" w:after="80" w:line="160" w:lineRule="exact"/>
              <w:ind w:left="144" w:right="43"/>
              <w:jc w:val="center"/>
              <w:rPr>
                <w:i/>
                <w:iCs/>
                <w:sz w:val="14"/>
              </w:rPr>
            </w:pPr>
            <w:r w:rsidRPr="00D43575">
              <w:rPr>
                <w:i/>
                <w:iCs/>
                <w:sz w:val="14"/>
              </w:rPr>
              <w:t>Vicerrector adjunto</w:t>
            </w:r>
          </w:p>
        </w:tc>
        <w:tc>
          <w:tcPr>
            <w:tcW w:w="136" w:type="dxa"/>
            <w:tcBorders>
              <w:top w:val="single" w:sz="4" w:space="0" w:color="auto"/>
            </w:tcBorders>
            <w:shd w:val="clear" w:color="auto" w:fill="auto"/>
            <w:vAlign w:val="bottom"/>
          </w:tcPr>
          <w:p w14:paraId="0EE134E9" w14:textId="77777777" w:rsidR="008D2F10" w:rsidRPr="00D43575" w:rsidRDefault="008D2F10" w:rsidP="00BD7BE9">
            <w:pPr>
              <w:spacing w:before="81" w:after="81" w:line="160" w:lineRule="exact"/>
              <w:ind w:left="30" w:right="40"/>
              <w:jc w:val="center"/>
              <w:rPr>
                <w:i/>
                <w:sz w:val="14"/>
              </w:rPr>
            </w:pPr>
          </w:p>
        </w:tc>
        <w:tc>
          <w:tcPr>
            <w:tcW w:w="1153" w:type="dxa"/>
            <w:gridSpan w:val="2"/>
            <w:tcBorders>
              <w:top w:val="single" w:sz="4" w:space="0" w:color="auto"/>
              <w:bottom w:val="single" w:sz="4" w:space="0" w:color="auto"/>
            </w:tcBorders>
            <w:shd w:val="clear" w:color="auto" w:fill="auto"/>
            <w:vAlign w:val="bottom"/>
          </w:tcPr>
          <w:p w14:paraId="70B7754E" w14:textId="77777777" w:rsidR="008D2F10" w:rsidRPr="00D43575" w:rsidRDefault="008D2F10" w:rsidP="00C802D9">
            <w:pPr>
              <w:pStyle w:val="SingleTxt"/>
              <w:spacing w:before="80" w:after="80" w:line="160" w:lineRule="exact"/>
              <w:ind w:left="144" w:right="43"/>
              <w:jc w:val="center"/>
              <w:rPr>
                <w:i/>
                <w:iCs/>
                <w:sz w:val="14"/>
              </w:rPr>
            </w:pPr>
            <w:r w:rsidRPr="00D43575">
              <w:rPr>
                <w:i/>
                <w:iCs/>
                <w:sz w:val="14"/>
              </w:rPr>
              <w:t>Decano</w:t>
            </w:r>
          </w:p>
        </w:tc>
        <w:tc>
          <w:tcPr>
            <w:tcW w:w="136" w:type="dxa"/>
            <w:tcBorders>
              <w:top w:val="single" w:sz="4" w:space="0" w:color="auto"/>
            </w:tcBorders>
            <w:shd w:val="clear" w:color="auto" w:fill="auto"/>
            <w:vAlign w:val="bottom"/>
          </w:tcPr>
          <w:p w14:paraId="491C270C" w14:textId="77777777" w:rsidR="008D2F10" w:rsidRPr="00D43575" w:rsidRDefault="008D2F10" w:rsidP="00BD7BE9">
            <w:pPr>
              <w:spacing w:before="81" w:after="81" w:line="160" w:lineRule="exact"/>
              <w:ind w:left="30" w:right="40"/>
              <w:jc w:val="center"/>
              <w:rPr>
                <w:i/>
                <w:sz w:val="14"/>
              </w:rPr>
            </w:pPr>
          </w:p>
        </w:tc>
        <w:tc>
          <w:tcPr>
            <w:tcW w:w="1099" w:type="dxa"/>
            <w:gridSpan w:val="2"/>
            <w:tcBorders>
              <w:top w:val="single" w:sz="4" w:space="0" w:color="auto"/>
              <w:bottom w:val="single" w:sz="4" w:space="0" w:color="auto"/>
            </w:tcBorders>
            <w:shd w:val="clear" w:color="auto" w:fill="auto"/>
            <w:vAlign w:val="bottom"/>
          </w:tcPr>
          <w:p w14:paraId="5812DEFC" w14:textId="77777777" w:rsidR="008D2F10" w:rsidRPr="00D43575" w:rsidRDefault="008D2F10" w:rsidP="00C802D9">
            <w:pPr>
              <w:pStyle w:val="SingleTxt"/>
              <w:spacing w:before="80" w:after="80" w:line="160" w:lineRule="exact"/>
              <w:ind w:left="144" w:right="43"/>
              <w:jc w:val="center"/>
              <w:rPr>
                <w:i/>
                <w:iCs/>
                <w:sz w:val="14"/>
              </w:rPr>
            </w:pPr>
            <w:r w:rsidRPr="00D43575">
              <w:rPr>
                <w:i/>
                <w:iCs/>
                <w:sz w:val="14"/>
              </w:rPr>
              <w:t>Vicedecano</w:t>
            </w:r>
          </w:p>
        </w:tc>
      </w:tr>
      <w:tr w:rsidR="008D2F10" w:rsidRPr="00D43575" w14:paraId="2D63C6CE" w14:textId="77777777" w:rsidTr="00BD7BE9">
        <w:trPr>
          <w:trHeight w:val="57"/>
          <w:tblHeader/>
        </w:trPr>
        <w:tc>
          <w:tcPr>
            <w:tcW w:w="990" w:type="dxa"/>
            <w:tcBorders>
              <w:bottom w:val="single" w:sz="12" w:space="0" w:color="auto"/>
            </w:tcBorders>
            <w:shd w:val="clear" w:color="auto" w:fill="auto"/>
            <w:vAlign w:val="bottom"/>
          </w:tcPr>
          <w:p w14:paraId="37B690CD" w14:textId="77777777" w:rsidR="008D2F10" w:rsidRPr="00D43575" w:rsidRDefault="008D2F10" w:rsidP="00BD7BE9">
            <w:pPr>
              <w:spacing w:before="81" w:after="81" w:line="160" w:lineRule="exact"/>
              <w:ind w:right="40"/>
              <w:rPr>
                <w:i/>
                <w:sz w:val="14"/>
              </w:rPr>
            </w:pPr>
          </w:p>
        </w:tc>
        <w:tc>
          <w:tcPr>
            <w:tcW w:w="644" w:type="dxa"/>
            <w:tcBorders>
              <w:top w:val="single" w:sz="4" w:space="0" w:color="auto"/>
              <w:bottom w:val="single" w:sz="12" w:space="0" w:color="auto"/>
            </w:tcBorders>
            <w:shd w:val="clear" w:color="auto" w:fill="auto"/>
            <w:vAlign w:val="bottom"/>
          </w:tcPr>
          <w:p w14:paraId="71DDCEE7" w14:textId="77777777" w:rsidR="008D2F10" w:rsidRPr="00D43575" w:rsidRDefault="008D2F10" w:rsidP="001E2AB1">
            <w:pPr>
              <w:pStyle w:val="SingleTxt"/>
              <w:spacing w:before="80" w:after="80" w:line="160" w:lineRule="exact"/>
              <w:ind w:left="63" w:right="43"/>
              <w:jc w:val="right"/>
              <w:rPr>
                <w:i/>
                <w:iCs/>
                <w:sz w:val="14"/>
              </w:rPr>
            </w:pPr>
            <w:r w:rsidRPr="00D43575">
              <w:rPr>
                <w:i/>
                <w:iCs/>
                <w:sz w:val="14"/>
              </w:rPr>
              <w:t>Hombre</w:t>
            </w:r>
          </w:p>
        </w:tc>
        <w:tc>
          <w:tcPr>
            <w:tcW w:w="644" w:type="dxa"/>
            <w:tcBorders>
              <w:top w:val="single" w:sz="4" w:space="0" w:color="auto"/>
              <w:bottom w:val="single" w:sz="12" w:space="0" w:color="auto"/>
            </w:tcBorders>
            <w:shd w:val="clear" w:color="auto" w:fill="auto"/>
            <w:vAlign w:val="bottom"/>
          </w:tcPr>
          <w:p w14:paraId="65576A3A" w14:textId="77777777" w:rsidR="008D2F10" w:rsidRPr="00D43575" w:rsidRDefault="008D2F10" w:rsidP="001E2AB1">
            <w:pPr>
              <w:pStyle w:val="SingleTxt"/>
              <w:spacing w:before="80" w:after="80" w:line="160" w:lineRule="exact"/>
              <w:ind w:left="63" w:right="43"/>
              <w:jc w:val="right"/>
              <w:rPr>
                <w:i/>
                <w:iCs/>
                <w:sz w:val="14"/>
              </w:rPr>
            </w:pPr>
            <w:r w:rsidRPr="00D43575">
              <w:rPr>
                <w:i/>
                <w:iCs/>
                <w:sz w:val="14"/>
              </w:rPr>
              <w:t>Mujer</w:t>
            </w:r>
          </w:p>
        </w:tc>
        <w:tc>
          <w:tcPr>
            <w:tcW w:w="645" w:type="dxa"/>
            <w:gridSpan w:val="2"/>
            <w:tcBorders>
              <w:bottom w:val="single" w:sz="12" w:space="0" w:color="auto"/>
            </w:tcBorders>
            <w:shd w:val="clear" w:color="auto" w:fill="auto"/>
            <w:vAlign w:val="bottom"/>
          </w:tcPr>
          <w:p w14:paraId="65932C14" w14:textId="77777777" w:rsidR="008D2F10" w:rsidRPr="00D43575" w:rsidRDefault="008D2F10" w:rsidP="001E2AB1">
            <w:pPr>
              <w:pStyle w:val="SingleTxt"/>
              <w:spacing w:before="80" w:after="80" w:line="160" w:lineRule="exact"/>
              <w:ind w:left="63" w:right="43"/>
              <w:jc w:val="right"/>
              <w:rPr>
                <w:i/>
                <w:iCs/>
                <w:sz w:val="14"/>
              </w:rPr>
            </w:pPr>
            <w:r w:rsidRPr="00D43575">
              <w:rPr>
                <w:i/>
                <w:iCs/>
                <w:sz w:val="14"/>
              </w:rPr>
              <w:t>Hombre</w:t>
            </w:r>
          </w:p>
        </w:tc>
        <w:tc>
          <w:tcPr>
            <w:tcW w:w="644" w:type="dxa"/>
            <w:tcBorders>
              <w:bottom w:val="single" w:sz="12" w:space="0" w:color="auto"/>
            </w:tcBorders>
            <w:shd w:val="clear" w:color="auto" w:fill="auto"/>
            <w:vAlign w:val="bottom"/>
          </w:tcPr>
          <w:p w14:paraId="5A0EE284" w14:textId="77777777" w:rsidR="008D2F10" w:rsidRPr="00D43575" w:rsidRDefault="008D2F10" w:rsidP="001E2AB1">
            <w:pPr>
              <w:pStyle w:val="SingleTxt"/>
              <w:spacing w:before="80" w:after="80" w:line="160" w:lineRule="exact"/>
              <w:ind w:left="63" w:right="43"/>
              <w:jc w:val="right"/>
              <w:rPr>
                <w:i/>
                <w:iCs/>
                <w:sz w:val="14"/>
              </w:rPr>
            </w:pPr>
            <w:r w:rsidRPr="00D43575">
              <w:rPr>
                <w:i/>
                <w:iCs/>
                <w:sz w:val="14"/>
              </w:rPr>
              <w:t>Mujer</w:t>
            </w:r>
          </w:p>
        </w:tc>
        <w:tc>
          <w:tcPr>
            <w:tcW w:w="645" w:type="dxa"/>
            <w:gridSpan w:val="2"/>
            <w:tcBorders>
              <w:bottom w:val="single" w:sz="12" w:space="0" w:color="auto"/>
            </w:tcBorders>
            <w:shd w:val="clear" w:color="auto" w:fill="auto"/>
            <w:vAlign w:val="bottom"/>
          </w:tcPr>
          <w:p w14:paraId="0814C756" w14:textId="77777777" w:rsidR="008D2F10" w:rsidRPr="00D43575" w:rsidRDefault="008D2F10" w:rsidP="001E2AB1">
            <w:pPr>
              <w:pStyle w:val="SingleTxt"/>
              <w:spacing w:before="80" w:after="80" w:line="160" w:lineRule="exact"/>
              <w:ind w:left="63" w:right="43"/>
              <w:jc w:val="right"/>
              <w:rPr>
                <w:i/>
                <w:iCs/>
                <w:sz w:val="14"/>
              </w:rPr>
            </w:pPr>
            <w:r w:rsidRPr="00D43575">
              <w:rPr>
                <w:i/>
                <w:iCs/>
                <w:sz w:val="14"/>
              </w:rPr>
              <w:t>Hombre</w:t>
            </w:r>
          </w:p>
        </w:tc>
        <w:tc>
          <w:tcPr>
            <w:tcW w:w="644" w:type="dxa"/>
            <w:tcBorders>
              <w:bottom w:val="single" w:sz="12" w:space="0" w:color="auto"/>
            </w:tcBorders>
            <w:shd w:val="clear" w:color="auto" w:fill="auto"/>
            <w:vAlign w:val="bottom"/>
          </w:tcPr>
          <w:p w14:paraId="202FD881" w14:textId="77777777" w:rsidR="008D2F10" w:rsidRPr="00D43575" w:rsidRDefault="008D2F10" w:rsidP="001E2AB1">
            <w:pPr>
              <w:pStyle w:val="SingleTxt"/>
              <w:spacing w:before="80" w:after="80" w:line="160" w:lineRule="exact"/>
              <w:ind w:left="63" w:right="43"/>
              <w:jc w:val="right"/>
              <w:rPr>
                <w:i/>
                <w:iCs/>
                <w:sz w:val="14"/>
              </w:rPr>
            </w:pPr>
            <w:r w:rsidRPr="00D43575">
              <w:rPr>
                <w:i/>
                <w:iCs/>
                <w:sz w:val="14"/>
              </w:rPr>
              <w:t>Mujer</w:t>
            </w:r>
          </w:p>
        </w:tc>
        <w:tc>
          <w:tcPr>
            <w:tcW w:w="644" w:type="dxa"/>
            <w:gridSpan w:val="2"/>
            <w:tcBorders>
              <w:bottom w:val="single" w:sz="12" w:space="0" w:color="auto"/>
            </w:tcBorders>
            <w:shd w:val="clear" w:color="auto" w:fill="auto"/>
            <w:vAlign w:val="bottom"/>
          </w:tcPr>
          <w:p w14:paraId="6691916C" w14:textId="77777777" w:rsidR="008D2F10" w:rsidRPr="00D43575" w:rsidRDefault="008D2F10" w:rsidP="001E2AB1">
            <w:pPr>
              <w:pStyle w:val="SingleTxt"/>
              <w:spacing w:before="80" w:after="80" w:line="160" w:lineRule="exact"/>
              <w:ind w:left="63" w:right="43"/>
              <w:jc w:val="right"/>
              <w:rPr>
                <w:i/>
                <w:iCs/>
                <w:sz w:val="14"/>
              </w:rPr>
            </w:pPr>
            <w:r w:rsidRPr="00D43575">
              <w:rPr>
                <w:i/>
                <w:iCs/>
                <w:sz w:val="14"/>
              </w:rPr>
              <w:t>Hombre</w:t>
            </w:r>
          </w:p>
        </w:tc>
        <w:tc>
          <w:tcPr>
            <w:tcW w:w="645" w:type="dxa"/>
            <w:tcBorders>
              <w:bottom w:val="single" w:sz="12" w:space="0" w:color="auto"/>
            </w:tcBorders>
            <w:shd w:val="clear" w:color="auto" w:fill="auto"/>
            <w:vAlign w:val="bottom"/>
          </w:tcPr>
          <w:p w14:paraId="7984BDCA" w14:textId="77777777" w:rsidR="008D2F10" w:rsidRPr="00D43575" w:rsidRDefault="008D2F10" w:rsidP="001E2AB1">
            <w:pPr>
              <w:pStyle w:val="SingleTxt"/>
              <w:spacing w:before="80" w:after="80" w:line="160" w:lineRule="exact"/>
              <w:ind w:left="63" w:right="43"/>
              <w:jc w:val="right"/>
              <w:rPr>
                <w:i/>
                <w:iCs/>
                <w:sz w:val="14"/>
              </w:rPr>
            </w:pPr>
            <w:r w:rsidRPr="00D43575">
              <w:rPr>
                <w:i/>
                <w:iCs/>
                <w:sz w:val="14"/>
              </w:rPr>
              <w:t>Mujer</w:t>
            </w:r>
          </w:p>
        </w:tc>
        <w:tc>
          <w:tcPr>
            <w:tcW w:w="605" w:type="dxa"/>
            <w:gridSpan w:val="2"/>
            <w:tcBorders>
              <w:bottom w:val="single" w:sz="12" w:space="0" w:color="auto"/>
            </w:tcBorders>
            <w:shd w:val="clear" w:color="auto" w:fill="auto"/>
            <w:vAlign w:val="bottom"/>
          </w:tcPr>
          <w:p w14:paraId="7471DB40" w14:textId="77777777" w:rsidR="008D2F10" w:rsidRPr="00D43575" w:rsidRDefault="008D2F10" w:rsidP="001E2AB1">
            <w:pPr>
              <w:pStyle w:val="SingleTxt"/>
              <w:spacing w:before="80" w:after="80" w:line="160" w:lineRule="exact"/>
              <w:ind w:left="63" w:right="43"/>
              <w:jc w:val="right"/>
              <w:rPr>
                <w:i/>
                <w:iCs/>
                <w:sz w:val="14"/>
              </w:rPr>
            </w:pPr>
            <w:r w:rsidRPr="00D43575">
              <w:rPr>
                <w:i/>
                <w:iCs/>
                <w:sz w:val="14"/>
              </w:rPr>
              <w:t>Hombre</w:t>
            </w:r>
          </w:p>
        </w:tc>
        <w:tc>
          <w:tcPr>
            <w:tcW w:w="630" w:type="dxa"/>
            <w:tcBorders>
              <w:bottom w:val="single" w:sz="12" w:space="0" w:color="auto"/>
            </w:tcBorders>
            <w:shd w:val="clear" w:color="auto" w:fill="auto"/>
            <w:vAlign w:val="bottom"/>
          </w:tcPr>
          <w:p w14:paraId="4EF5239B" w14:textId="77777777" w:rsidR="008D2F10" w:rsidRPr="00D43575" w:rsidRDefault="008D2F10" w:rsidP="001E2AB1">
            <w:pPr>
              <w:pStyle w:val="SingleTxt"/>
              <w:spacing w:before="80" w:after="80" w:line="160" w:lineRule="exact"/>
              <w:ind w:left="63" w:right="43"/>
              <w:jc w:val="right"/>
              <w:rPr>
                <w:i/>
                <w:iCs/>
                <w:sz w:val="14"/>
              </w:rPr>
            </w:pPr>
            <w:r w:rsidRPr="00D43575">
              <w:rPr>
                <w:i/>
                <w:iCs/>
                <w:sz w:val="14"/>
              </w:rPr>
              <w:t>Mujer</w:t>
            </w:r>
          </w:p>
        </w:tc>
      </w:tr>
      <w:tr w:rsidR="008D2F10" w:rsidRPr="00D43575" w14:paraId="4EDB6EB7" w14:textId="77777777" w:rsidTr="00BD7BE9">
        <w:trPr>
          <w:trHeight w:hRule="exact" w:val="115"/>
          <w:tblHeader/>
        </w:trPr>
        <w:tc>
          <w:tcPr>
            <w:tcW w:w="990" w:type="dxa"/>
            <w:tcBorders>
              <w:top w:val="single" w:sz="12" w:space="0" w:color="auto"/>
            </w:tcBorders>
            <w:shd w:val="clear" w:color="auto" w:fill="auto"/>
            <w:vAlign w:val="bottom"/>
          </w:tcPr>
          <w:p w14:paraId="67CE89FA" w14:textId="77777777" w:rsidR="008D2F10" w:rsidRPr="00D43575" w:rsidRDefault="008D2F10" w:rsidP="00BD7BE9">
            <w:pPr>
              <w:tabs>
                <w:tab w:val="left" w:pos="288"/>
                <w:tab w:val="left" w:pos="576"/>
                <w:tab w:val="left" w:pos="864"/>
                <w:tab w:val="left" w:pos="1152"/>
              </w:tabs>
              <w:spacing w:before="40" w:after="40" w:line="210" w:lineRule="exact"/>
              <w:ind w:right="40"/>
              <w:rPr>
                <w:sz w:val="17"/>
              </w:rPr>
            </w:pPr>
          </w:p>
        </w:tc>
        <w:tc>
          <w:tcPr>
            <w:tcW w:w="644" w:type="dxa"/>
            <w:tcBorders>
              <w:top w:val="single" w:sz="12" w:space="0" w:color="auto"/>
            </w:tcBorders>
            <w:shd w:val="clear" w:color="auto" w:fill="auto"/>
            <w:vAlign w:val="bottom"/>
          </w:tcPr>
          <w:p w14:paraId="79901E0C" w14:textId="77777777" w:rsidR="008D2F10" w:rsidRPr="00D43575" w:rsidRDefault="008D2F10" w:rsidP="00BD7BE9">
            <w:pPr>
              <w:tabs>
                <w:tab w:val="left" w:pos="288"/>
                <w:tab w:val="left" w:pos="576"/>
                <w:tab w:val="left" w:pos="864"/>
                <w:tab w:val="left" w:pos="1152"/>
              </w:tabs>
              <w:spacing w:before="40" w:after="40" w:line="210" w:lineRule="exact"/>
              <w:ind w:left="30" w:right="40"/>
              <w:jc w:val="right"/>
              <w:rPr>
                <w:sz w:val="17"/>
              </w:rPr>
            </w:pPr>
          </w:p>
        </w:tc>
        <w:tc>
          <w:tcPr>
            <w:tcW w:w="644" w:type="dxa"/>
            <w:tcBorders>
              <w:top w:val="single" w:sz="12" w:space="0" w:color="auto"/>
            </w:tcBorders>
            <w:shd w:val="clear" w:color="auto" w:fill="auto"/>
            <w:vAlign w:val="bottom"/>
          </w:tcPr>
          <w:p w14:paraId="28DDB795" w14:textId="77777777" w:rsidR="008D2F10" w:rsidRPr="00D43575" w:rsidRDefault="008D2F10" w:rsidP="00BD7BE9">
            <w:pPr>
              <w:tabs>
                <w:tab w:val="left" w:pos="288"/>
                <w:tab w:val="left" w:pos="576"/>
                <w:tab w:val="left" w:pos="864"/>
                <w:tab w:val="left" w:pos="1152"/>
              </w:tabs>
              <w:spacing w:before="40" w:after="40" w:line="210" w:lineRule="exact"/>
              <w:ind w:left="30" w:right="40"/>
              <w:jc w:val="right"/>
              <w:rPr>
                <w:sz w:val="17"/>
              </w:rPr>
            </w:pPr>
          </w:p>
        </w:tc>
        <w:tc>
          <w:tcPr>
            <w:tcW w:w="645" w:type="dxa"/>
            <w:gridSpan w:val="2"/>
            <w:tcBorders>
              <w:top w:val="single" w:sz="12" w:space="0" w:color="auto"/>
            </w:tcBorders>
            <w:shd w:val="clear" w:color="auto" w:fill="auto"/>
            <w:vAlign w:val="bottom"/>
          </w:tcPr>
          <w:p w14:paraId="5CD8A778" w14:textId="77777777" w:rsidR="008D2F10" w:rsidRPr="00D43575" w:rsidRDefault="008D2F10" w:rsidP="00BD7BE9">
            <w:pPr>
              <w:tabs>
                <w:tab w:val="left" w:pos="288"/>
                <w:tab w:val="left" w:pos="576"/>
                <w:tab w:val="left" w:pos="864"/>
                <w:tab w:val="left" w:pos="1152"/>
              </w:tabs>
              <w:spacing w:before="40" w:after="40" w:line="210" w:lineRule="exact"/>
              <w:ind w:left="30" w:right="40"/>
              <w:jc w:val="right"/>
              <w:rPr>
                <w:sz w:val="17"/>
              </w:rPr>
            </w:pPr>
          </w:p>
        </w:tc>
        <w:tc>
          <w:tcPr>
            <w:tcW w:w="644" w:type="dxa"/>
            <w:tcBorders>
              <w:top w:val="single" w:sz="12" w:space="0" w:color="auto"/>
            </w:tcBorders>
            <w:shd w:val="clear" w:color="auto" w:fill="auto"/>
            <w:vAlign w:val="bottom"/>
          </w:tcPr>
          <w:p w14:paraId="7E9D8659" w14:textId="77777777" w:rsidR="008D2F10" w:rsidRPr="00D43575" w:rsidRDefault="008D2F10" w:rsidP="00BD7BE9">
            <w:pPr>
              <w:tabs>
                <w:tab w:val="left" w:pos="288"/>
                <w:tab w:val="left" w:pos="576"/>
                <w:tab w:val="left" w:pos="864"/>
                <w:tab w:val="left" w:pos="1152"/>
              </w:tabs>
              <w:spacing w:before="40" w:after="40" w:line="210" w:lineRule="exact"/>
              <w:ind w:left="30" w:right="40"/>
              <w:jc w:val="right"/>
              <w:rPr>
                <w:sz w:val="17"/>
              </w:rPr>
            </w:pPr>
          </w:p>
        </w:tc>
        <w:tc>
          <w:tcPr>
            <w:tcW w:w="645" w:type="dxa"/>
            <w:gridSpan w:val="2"/>
            <w:tcBorders>
              <w:top w:val="single" w:sz="12" w:space="0" w:color="auto"/>
            </w:tcBorders>
            <w:shd w:val="clear" w:color="auto" w:fill="auto"/>
            <w:vAlign w:val="bottom"/>
          </w:tcPr>
          <w:p w14:paraId="7C3809C7" w14:textId="77777777" w:rsidR="008D2F10" w:rsidRPr="00D43575" w:rsidRDefault="008D2F10" w:rsidP="00BD7BE9">
            <w:pPr>
              <w:tabs>
                <w:tab w:val="left" w:pos="288"/>
                <w:tab w:val="left" w:pos="576"/>
                <w:tab w:val="left" w:pos="864"/>
                <w:tab w:val="left" w:pos="1152"/>
              </w:tabs>
              <w:spacing w:before="40" w:after="40" w:line="210" w:lineRule="exact"/>
              <w:ind w:left="30" w:right="40"/>
              <w:jc w:val="right"/>
              <w:rPr>
                <w:sz w:val="17"/>
              </w:rPr>
            </w:pPr>
          </w:p>
        </w:tc>
        <w:tc>
          <w:tcPr>
            <w:tcW w:w="644" w:type="dxa"/>
            <w:tcBorders>
              <w:top w:val="single" w:sz="12" w:space="0" w:color="auto"/>
            </w:tcBorders>
            <w:shd w:val="clear" w:color="auto" w:fill="auto"/>
            <w:vAlign w:val="bottom"/>
          </w:tcPr>
          <w:p w14:paraId="0CDC0478" w14:textId="77777777" w:rsidR="008D2F10" w:rsidRPr="00D43575" w:rsidRDefault="008D2F10" w:rsidP="00BD7BE9">
            <w:pPr>
              <w:tabs>
                <w:tab w:val="left" w:pos="288"/>
                <w:tab w:val="left" w:pos="576"/>
                <w:tab w:val="left" w:pos="864"/>
                <w:tab w:val="left" w:pos="1152"/>
              </w:tabs>
              <w:spacing w:before="40" w:after="40" w:line="210" w:lineRule="exact"/>
              <w:ind w:left="30" w:right="40"/>
              <w:jc w:val="right"/>
              <w:rPr>
                <w:sz w:val="17"/>
              </w:rPr>
            </w:pPr>
          </w:p>
        </w:tc>
        <w:tc>
          <w:tcPr>
            <w:tcW w:w="644" w:type="dxa"/>
            <w:gridSpan w:val="2"/>
            <w:tcBorders>
              <w:top w:val="single" w:sz="12" w:space="0" w:color="auto"/>
            </w:tcBorders>
            <w:shd w:val="clear" w:color="auto" w:fill="auto"/>
            <w:vAlign w:val="bottom"/>
          </w:tcPr>
          <w:p w14:paraId="6FA415BB" w14:textId="77777777" w:rsidR="008D2F10" w:rsidRPr="00D43575" w:rsidRDefault="008D2F10" w:rsidP="00BD7BE9">
            <w:pPr>
              <w:tabs>
                <w:tab w:val="left" w:pos="288"/>
                <w:tab w:val="left" w:pos="576"/>
                <w:tab w:val="left" w:pos="864"/>
                <w:tab w:val="left" w:pos="1152"/>
              </w:tabs>
              <w:spacing w:before="40" w:after="40" w:line="210" w:lineRule="exact"/>
              <w:ind w:left="30" w:right="40"/>
              <w:jc w:val="right"/>
              <w:rPr>
                <w:sz w:val="17"/>
              </w:rPr>
            </w:pPr>
          </w:p>
        </w:tc>
        <w:tc>
          <w:tcPr>
            <w:tcW w:w="645" w:type="dxa"/>
            <w:tcBorders>
              <w:top w:val="single" w:sz="12" w:space="0" w:color="auto"/>
            </w:tcBorders>
            <w:shd w:val="clear" w:color="auto" w:fill="auto"/>
            <w:vAlign w:val="bottom"/>
          </w:tcPr>
          <w:p w14:paraId="04E2923C" w14:textId="77777777" w:rsidR="008D2F10" w:rsidRPr="00D43575" w:rsidRDefault="008D2F10" w:rsidP="00BD7BE9">
            <w:pPr>
              <w:tabs>
                <w:tab w:val="left" w:pos="288"/>
                <w:tab w:val="left" w:pos="576"/>
                <w:tab w:val="left" w:pos="864"/>
                <w:tab w:val="left" w:pos="1152"/>
              </w:tabs>
              <w:spacing w:before="40" w:after="40" w:line="210" w:lineRule="exact"/>
              <w:ind w:left="30" w:right="40"/>
              <w:jc w:val="right"/>
              <w:rPr>
                <w:sz w:val="17"/>
              </w:rPr>
            </w:pPr>
          </w:p>
        </w:tc>
        <w:tc>
          <w:tcPr>
            <w:tcW w:w="605" w:type="dxa"/>
            <w:gridSpan w:val="2"/>
            <w:tcBorders>
              <w:top w:val="single" w:sz="12" w:space="0" w:color="auto"/>
            </w:tcBorders>
            <w:shd w:val="clear" w:color="auto" w:fill="auto"/>
            <w:vAlign w:val="bottom"/>
          </w:tcPr>
          <w:p w14:paraId="0310BF79" w14:textId="77777777" w:rsidR="008D2F10" w:rsidRPr="00D43575" w:rsidRDefault="008D2F10" w:rsidP="00BD7BE9">
            <w:pPr>
              <w:tabs>
                <w:tab w:val="left" w:pos="288"/>
                <w:tab w:val="left" w:pos="576"/>
                <w:tab w:val="left" w:pos="864"/>
                <w:tab w:val="left" w:pos="1152"/>
              </w:tabs>
              <w:spacing w:before="40" w:after="40" w:line="210" w:lineRule="exact"/>
              <w:ind w:left="30" w:right="40"/>
              <w:jc w:val="right"/>
              <w:rPr>
                <w:sz w:val="17"/>
              </w:rPr>
            </w:pPr>
          </w:p>
        </w:tc>
        <w:tc>
          <w:tcPr>
            <w:tcW w:w="630" w:type="dxa"/>
            <w:tcBorders>
              <w:top w:val="single" w:sz="12" w:space="0" w:color="auto"/>
            </w:tcBorders>
            <w:shd w:val="clear" w:color="auto" w:fill="auto"/>
            <w:vAlign w:val="bottom"/>
          </w:tcPr>
          <w:p w14:paraId="348E36DC" w14:textId="77777777" w:rsidR="008D2F10" w:rsidRPr="00D43575" w:rsidRDefault="008D2F10" w:rsidP="00BD7BE9">
            <w:pPr>
              <w:tabs>
                <w:tab w:val="left" w:pos="288"/>
                <w:tab w:val="left" w:pos="576"/>
                <w:tab w:val="left" w:pos="864"/>
                <w:tab w:val="left" w:pos="1152"/>
              </w:tabs>
              <w:spacing w:before="40" w:after="40" w:line="210" w:lineRule="exact"/>
              <w:ind w:left="30" w:right="40"/>
              <w:jc w:val="right"/>
              <w:rPr>
                <w:sz w:val="17"/>
              </w:rPr>
            </w:pPr>
          </w:p>
        </w:tc>
      </w:tr>
      <w:tr w:rsidR="008D2F10" w:rsidRPr="00D43575" w14:paraId="18214087" w14:textId="77777777" w:rsidTr="00BD7BE9">
        <w:tc>
          <w:tcPr>
            <w:tcW w:w="990" w:type="dxa"/>
            <w:shd w:val="clear" w:color="auto" w:fill="auto"/>
            <w:vAlign w:val="bottom"/>
          </w:tcPr>
          <w:p w14:paraId="53333653" w14:textId="0D3C14DA" w:rsidR="008D2F10" w:rsidRPr="00D43575" w:rsidRDefault="008D2F10" w:rsidP="001E2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2011</w:t>
            </w:r>
            <w:r w:rsidR="00083383" w:rsidRPr="00D43575">
              <w:rPr>
                <w:sz w:val="17"/>
              </w:rPr>
              <w:noBreakHyphen/>
            </w:r>
            <w:r w:rsidRPr="00D43575">
              <w:rPr>
                <w:sz w:val="17"/>
              </w:rPr>
              <w:t>2012</w:t>
            </w:r>
          </w:p>
        </w:tc>
        <w:tc>
          <w:tcPr>
            <w:tcW w:w="644" w:type="dxa"/>
            <w:shd w:val="clear" w:color="auto" w:fill="auto"/>
            <w:vAlign w:val="bottom"/>
          </w:tcPr>
          <w:p w14:paraId="6EB7F1CE"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644" w:type="dxa"/>
            <w:shd w:val="clear" w:color="auto" w:fill="auto"/>
            <w:vAlign w:val="bottom"/>
          </w:tcPr>
          <w:p w14:paraId="21C45C01"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645" w:type="dxa"/>
            <w:gridSpan w:val="2"/>
            <w:shd w:val="clear" w:color="auto" w:fill="auto"/>
            <w:vAlign w:val="bottom"/>
          </w:tcPr>
          <w:p w14:paraId="050A690F"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w:t>
            </w:r>
          </w:p>
        </w:tc>
        <w:tc>
          <w:tcPr>
            <w:tcW w:w="644" w:type="dxa"/>
            <w:shd w:val="clear" w:color="auto" w:fill="auto"/>
            <w:vAlign w:val="bottom"/>
          </w:tcPr>
          <w:p w14:paraId="7B6D1DFE"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645" w:type="dxa"/>
            <w:gridSpan w:val="2"/>
            <w:shd w:val="clear" w:color="auto" w:fill="auto"/>
            <w:vAlign w:val="bottom"/>
          </w:tcPr>
          <w:p w14:paraId="2424864C"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644" w:type="dxa"/>
            <w:shd w:val="clear" w:color="auto" w:fill="auto"/>
            <w:vAlign w:val="bottom"/>
          </w:tcPr>
          <w:p w14:paraId="2840D02D"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644" w:type="dxa"/>
            <w:gridSpan w:val="2"/>
            <w:shd w:val="clear" w:color="auto" w:fill="auto"/>
            <w:vAlign w:val="bottom"/>
          </w:tcPr>
          <w:p w14:paraId="597F1B86"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w:t>
            </w:r>
          </w:p>
        </w:tc>
        <w:tc>
          <w:tcPr>
            <w:tcW w:w="645" w:type="dxa"/>
            <w:shd w:val="clear" w:color="auto" w:fill="auto"/>
            <w:vAlign w:val="bottom"/>
          </w:tcPr>
          <w:p w14:paraId="7C4FC0F6"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w:t>
            </w:r>
          </w:p>
        </w:tc>
        <w:tc>
          <w:tcPr>
            <w:tcW w:w="605" w:type="dxa"/>
            <w:gridSpan w:val="2"/>
            <w:shd w:val="clear" w:color="auto" w:fill="auto"/>
            <w:vAlign w:val="bottom"/>
          </w:tcPr>
          <w:p w14:paraId="1AAAA30B"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w:t>
            </w:r>
          </w:p>
        </w:tc>
        <w:tc>
          <w:tcPr>
            <w:tcW w:w="630" w:type="dxa"/>
            <w:shd w:val="clear" w:color="auto" w:fill="auto"/>
            <w:vAlign w:val="bottom"/>
          </w:tcPr>
          <w:p w14:paraId="1F3D9246"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r>
      <w:tr w:rsidR="008D2F10" w:rsidRPr="00D43575" w14:paraId="03715034" w14:textId="77777777" w:rsidTr="00BD7BE9">
        <w:tc>
          <w:tcPr>
            <w:tcW w:w="990" w:type="dxa"/>
            <w:shd w:val="clear" w:color="auto" w:fill="auto"/>
            <w:vAlign w:val="bottom"/>
          </w:tcPr>
          <w:p w14:paraId="4EB53E41" w14:textId="60E19987" w:rsidR="008D2F10" w:rsidRPr="00D43575" w:rsidRDefault="008D2F10" w:rsidP="001E2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2012</w:t>
            </w:r>
            <w:r w:rsidR="00083383" w:rsidRPr="00D43575">
              <w:rPr>
                <w:sz w:val="17"/>
              </w:rPr>
              <w:noBreakHyphen/>
            </w:r>
            <w:r w:rsidRPr="00D43575">
              <w:rPr>
                <w:sz w:val="17"/>
              </w:rPr>
              <w:t>2013</w:t>
            </w:r>
          </w:p>
        </w:tc>
        <w:tc>
          <w:tcPr>
            <w:tcW w:w="644" w:type="dxa"/>
            <w:shd w:val="clear" w:color="auto" w:fill="auto"/>
            <w:vAlign w:val="bottom"/>
          </w:tcPr>
          <w:p w14:paraId="1A221AD5"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644" w:type="dxa"/>
            <w:shd w:val="clear" w:color="auto" w:fill="auto"/>
            <w:vAlign w:val="bottom"/>
          </w:tcPr>
          <w:p w14:paraId="296C2157"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645" w:type="dxa"/>
            <w:gridSpan w:val="2"/>
            <w:shd w:val="clear" w:color="auto" w:fill="auto"/>
            <w:vAlign w:val="bottom"/>
          </w:tcPr>
          <w:p w14:paraId="3447D6C8"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w:t>
            </w:r>
          </w:p>
        </w:tc>
        <w:tc>
          <w:tcPr>
            <w:tcW w:w="644" w:type="dxa"/>
            <w:shd w:val="clear" w:color="auto" w:fill="auto"/>
            <w:vAlign w:val="bottom"/>
          </w:tcPr>
          <w:p w14:paraId="430777C5"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645" w:type="dxa"/>
            <w:gridSpan w:val="2"/>
            <w:shd w:val="clear" w:color="auto" w:fill="auto"/>
            <w:vAlign w:val="bottom"/>
          </w:tcPr>
          <w:p w14:paraId="108A947D"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w:t>
            </w:r>
          </w:p>
        </w:tc>
        <w:tc>
          <w:tcPr>
            <w:tcW w:w="644" w:type="dxa"/>
            <w:shd w:val="clear" w:color="auto" w:fill="auto"/>
            <w:vAlign w:val="bottom"/>
          </w:tcPr>
          <w:p w14:paraId="2F6F43AC"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644" w:type="dxa"/>
            <w:gridSpan w:val="2"/>
            <w:shd w:val="clear" w:color="auto" w:fill="auto"/>
            <w:vAlign w:val="bottom"/>
          </w:tcPr>
          <w:p w14:paraId="5A83E32B"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w:t>
            </w:r>
          </w:p>
        </w:tc>
        <w:tc>
          <w:tcPr>
            <w:tcW w:w="645" w:type="dxa"/>
            <w:shd w:val="clear" w:color="auto" w:fill="auto"/>
            <w:vAlign w:val="bottom"/>
          </w:tcPr>
          <w:p w14:paraId="10AEBF9E"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w:t>
            </w:r>
          </w:p>
        </w:tc>
        <w:tc>
          <w:tcPr>
            <w:tcW w:w="605" w:type="dxa"/>
            <w:gridSpan w:val="2"/>
            <w:shd w:val="clear" w:color="auto" w:fill="auto"/>
            <w:vAlign w:val="bottom"/>
          </w:tcPr>
          <w:p w14:paraId="1AF9BF75"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w:t>
            </w:r>
          </w:p>
        </w:tc>
        <w:tc>
          <w:tcPr>
            <w:tcW w:w="630" w:type="dxa"/>
            <w:shd w:val="clear" w:color="auto" w:fill="auto"/>
            <w:vAlign w:val="bottom"/>
          </w:tcPr>
          <w:p w14:paraId="7A32A1AD"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r>
      <w:tr w:rsidR="008D2F10" w:rsidRPr="00D43575" w14:paraId="77973F21" w14:textId="77777777" w:rsidTr="00BD7BE9">
        <w:tc>
          <w:tcPr>
            <w:tcW w:w="990" w:type="dxa"/>
            <w:shd w:val="clear" w:color="auto" w:fill="auto"/>
            <w:vAlign w:val="bottom"/>
          </w:tcPr>
          <w:p w14:paraId="2D1E932A" w14:textId="25E4ED67" w:rsidR="008D2F10" w:rsidRPr="00D43575" w:rsidRDefault="008D2F10" w:rsidP="001E2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2013</w:t>
            </w:r>
            <w:r w:rsidR="00083383" w:rsidRPr="00D43575">
              <w:rPr>
                <w:sz w:val="17"/>
              </w:rPr>
              <w:noBreakHyphen/>
            </w:r>
            <w:r w:rsidRPr="00D43575">
              <w:rPr>
                <w:sz w:val="17"/>
              </w:rPr>
              <w:t>2014</w:t>
            </w:r>
          </w:p>
        </w:tc>
        <w:tc>
          <w:tcPr>
            <w:tcW w:w="644" w:type="dxa"/>
            <w:shd w:val="clear" w:color="auto" w:fill="auto"/>
            <w:vAlign w:val="bottom"/>
          </w:tcPr>
          <w:p w14:paraId="0900758C"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644" w:type="dxa"/>
            <w:shd w:val="clear" w:color="auto" w:fill="auto"/>
            <w:vAlign w:val="bottom"/>
          </w:tcPr>
          <w:p w14:paraId="71AA33AE"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645" w:type="dxa"/>
            <w:gridSpan w:val="2"/>
            <w:shd w:val="clear" w:color="auto" w:fill="auto"/>
            <w:vAlign w:val="bottom"/>
          </w:tcPr>
          <w:p w14:paraId="298D806A"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w:t>
            </w:r>
          </w:p>
        </w:tc>
        <w:tc>
          <w:tcPr>
            <w:tcW w:w="644" w:type="dxa"/>
            <w:shd w:val="clear" w:color="auto" w:fill="auto"/>
            <w:vAlign w:val="bottom"/>
          </w:tcPr>
          <w:p w14:paraId="3484330F"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645" w:type="dxa"/>
            <w:gridSpan w:val="2"/>
            <w:shd w:val="clear" w:color="auto" w:fill="auto"/>
            <w:vAlign w:val="bottom"/>
          </w:tcPr>
          <w:p w14:paraId="4EA7840A"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w:t>
            </w:r>
          </w:p>
        </w:tc>
        <w:tc>
          <w:tcPr>
            <w:tcW w:w="644" w:type="dxa"/>
            <w:shd w:val="clear" w:color="auto" w:fill="auto"/>
            <w:vAlign w:val="bottom"/>
          </w:tcPr>
          <w:p w14:paraId="0B815950"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644" w:type="dxa"/>
            <w:gridSpan w:val="2"/>
            <w:shd w:val="clear" w:color="auto" w:fill="auto"/>
            <w:vAlign w:val="bottom"/>
          </w:tcPr>
          <w:p w14:paraId="7C4C1831"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w:t>
            </w:r>
          </w:p>
        </w:tc>
        <w:tc>
          <w:tcPr>
            <w:tcW w:w="645" w:type="dxa"/>
            <w:shd w:val="clear" w:color="auto" w:fill="auto"/>
            <w:vAlign w:val="bottom"/>
          </w:tcPr>
          <w:p w14:paraId="0E49109B"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w:t>
            </w:r>
          </w:p>
        </w:tc>
        <w:tc>
          <w:tcPr>
            <w:tcW w:w="605" w:type="dxa"/>
            <w:gridSpan w:val="2"/>
            <w:shd w:val="clear" w:color="auto" w:fill="auto"/>
            <w:vAlign w:val="bottom"/>
          </w:tcPr>
          <w:p w14:paraId="240EC714"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11</w:t>
            </w:r>
          </w:p>
        </w:tc>
        <w:tc>
          <w:tcPr>
            <w:tcW w:w="630" w:type="dxa"/>
            <w:shd w:val="clear" w:color="auto" w:fill="auto"/>
            <w:vAlign w:val="bottom"/>
          </w:tcPr>
          <w:p w14:paraId="65F809A7"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w:t>
            </w:r>
          </w:p>
        </w:tc>
      </w:tr>
      <w:tr w:rsidR="008D2F10" w:rsidRPr="00D43575" w14:paraId="219AE1B5" w14:textId="77777777" w:rsidTr="00BD7BE9">
        <w:tc>
          <w:tcPr>
            <w:tcW w:w="990" w:type="dxa"/>
            <w:shd w:val="clear" w:color="auto" w:fill="auto"/>
            <w:vAlign w:val="bottom"/>
          </w:tcPr>
          <w:p w14:paraId="005DD1AC" w14:textId="3D23F893" w:rsidR="008D2F10" w:rsidRPr="00D43575" w:rsidRDefault="008D2F10" w:rsidP="001E2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2014</w:t>
            </w:r>
            <w:r w:rsidR="00083383" w:rsidRPr="00D43575">
              <w:rPr>
                <w:sz w:val="17"/>
              </w:rPr>
              <w:noBreakHyphen/>
            </w:r>
            <w:r w:rsidRPr="00D43575">
              <w:rPr>
                <w:sz w:val="17"/>
              </w:rPr>
              <w:t>2015</w:t>
            </w:r>
          </w:p>
        </w:tc>
        <w:tc>
          <w:tcPr>
            <w:tcW w:w="644" w:type="dxa"/>
            <w:shd w:val="clear" w:color="auto" w:fill="auto"/>
            <w:vAlign w:val="bottom"/>
          </w:tcPr>
          <w:p w14:paraId="2A41708D"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644" w:type="dxa"/>
            <w:shd w:val="clear" w:color="auto" w:fill="auto"/>
            <w:vAlign w:val="bottom"/>
          </w:tcPr>
          <w:p w14:paraId="2B87AC7D"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645" w:type="dxa"/>
            <w:gridSpan w:val="2"/>
            <w:shd w:val="clear" w:color="auto" w:fill="auto"/>
            <w:vAlign w:val="bottom"/>
          </w:tcPr>
          <w:p w14:paraId="0EF1026B"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w:t>
            </w:r>
          </w:p>
        </w:tc>
        <w:tc>
          <w:tcPr>
            <w:tcW w:w="644" w:type="dxa"/>
            <w:shd w:val="clear" w:color="auto" w:fill="auto"/>
            <w:vAlign w:val="bottom"/>
          </w:tcPr>
          <w:p w14:paraId="4EF66F87"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645" w:type="dxa"/>
            <w:gridSpan w:val="2"/>
            <w:shd w:val="clear" w:color="auto" w:fill="auto"/>
            <w:vAlign w:val="bottom"/>
          </w:tcPr>
          <w:p w14:paraId="5F2171C5"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11</w:t>
            </w:r>
          </w:p>
        </w:tc>
        <w:tc>
          <w:tcPr>
            <w:tcW w:w="644" w:type="dxa"/>
            <w:shd w:val="clear" w:color="auto" w:fill="auto"/>
            <w:vAlign w:val="bottom"/>
          </w:tcPr>
          <w:p w14:paraId="211689B4"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w:t>
            </w:r>
          </w:p>
        </w:tc>
        <w:tc>
          <w:tcPr>
            <w:tcW w:w="644" w:type="dxa"/>
            <w:gridSpan w:val="2"/>
            <w:shd w:val="clear" w:color="auto" w:fill="auto"/>
            <w:vAlign w:val="bottom"/>
          </w:tcPr>
          <w:p w14:paraId="78AD90E2"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w:t>
            </w:r>
          </w:p>
        </w:tc>
        <w:tc>
          <w:tcPr>
            <w:tcW w:w="645" w:type="dxa"/>
            <w:shd w:val="clear" w:color="auto" w:fill="auto"/>
            <w:vAlign w:val="bottom"/>
          </w:tcPr>
          <w:p w14:paraId="359C2DC8"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w:t>
            </w:r>
          </w:p>
        </w:tc>
        <w:tc>
          <w:tcPr>
            <w:tcW w:w="605" w:type="dxa"/>
            <w:gridSpan w:val="2"/>
            <w:shd w:val="clear" w:color="auto" w:fill="auto"/>
            <w:vAlign w:val="bottom"/>
          </w:tcPr>
          <w:p w14:paraId="439518EA"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51</w:t>
            </w:r>
          </w:p>
        </w:tc>
        <w:tc>
          <w:tcPr>
            <w:tcW w:w="630" w:type="dxa"/>
            <w:shd w:val="clear" w:color="auto" w:fill="auto"/>
            <w:vAlign w:val="bottom"/>
          </w:tcPr>
          <w:p w14:paraId="49E998E2"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w:t>
            </w:r>
          </w:p>
        </w:tc>
      </w:tr>
      <w:tr w:rsidR="008D2F10" w:rsidRPr="00D43575" w14:paraId="55411214" w14:textId="77777777" w:rsidTr="00BD7BE9">
        <w:tc>
          <w:tcPr>
            <w:tcW w:w="990" w:type="dxa"/>
            <w:shd w:val="clear" w:color="auto" w:fill="auto"/>
            <w:vAlign w:val="bottom"/>
          </w:tcPr>
          <w:p w14:paraId="4DD19ACB" w14:textId="380B18E6" w:rsidR="008D2F10" w:rsidRPr="00D43575" w:rsidRDefault="008D2F10" w:rsidP="001E2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2015</w:t>
            </w:r>
            <w:r w:rsidR="00083383" w:rsidRPr="00D43575">
              <w:rPr>
                <w:sz w:val="17"/>
              </w:rPr>
              <w:noBreakHyphen/>
            </w:r>
            <w:r w:rsidRPr="00D43575">
              <w:rPr>
                <w:sz w:val="17"/>
              </w:rPr>
              <w:t>2016</w:t>
            </w:r>
          </w:p>
        </w:tc>
        <w:tc>
          <w:tcPr>
            <w:tcW w:w="644" w:type="dxa"/>
            <w:shd w:val="clear" w:color="auto" w:fill="auto"/>
            <w:vAlign w:val="bottom"/>
          </w:tcPr>
          <w:p w14:paraId="7D2C46DE"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644" w:type="dxa"/>
            <w:shd w:val="clear" w:color="auto" w:fill="auto"/>
            <w:vAlign w:val="bottom"/>
          </w:tcPr>
          <w:p w14:paraId="26A7ACC9"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645" w:type="dxa"/>
            <w:gridSpan w:val="2"/>
            <w:shd w:val="clear" w:color="auto" w:fill="auto"/>
            <w:vAlign w:val="bottom"/>
          </w:tcPr>
          <w:p w14:paraId="099C517F"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w:t>
            </w:r>
          </w:p>
        </w:tc>
        <w:tc>
          <w:tcPr>
            <w:tcW w:w="644" w:type="dxa"/>
            <w:shd w:val="clear" w:color="auto" w:fill="auto"/>
            <w:vAlign w:val="bottom"/>
          </w:tcPr>
          <w:p w14:paraId="4CEF2AA3"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645" w:type="dxa"/>
            <w:gridSpan w:val="2"/>
            <w:shd w:val="clear" w:color="auto" w:fill="auto"/>
            <w:vAlign w:val="bottom"/>
          </w:tcPr>
          <w:p w14:paraId="0E437D38"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644" w:type="dxa"/>
            <w:shd w:val="clear" w:color="auto" w:fill="auto"/>
            <w:vAlign w:val="bottom"/>
          </w:tcPr>
          <w:p w14:paraId="4E278431"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644" w:type="dxa"/>
            <w:gridSpan w:val="2"/>
            <w:shd w:val="clear" w:color="auto" w:fill="auto"/>
            <w:vAlign w:val="bottom"/>
          </w:tcPr>
          <w:p w14:paraId="5D072424"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w:t>
            </w:r>
          </w:p>
        </w:tc>
        <w:tc>
          <w:tcPr>
            <w:tcW w:w="645" w:type="dxa"/>
            <w:shd w:val="clear" w:color="auto" w:fill="auto"/>
            <w:vAlign w:val="bottom"/>
          </w:tcPr>
          <w:p w14:paraId="760258D5"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605" w:type="dxa"/>
            <w:gridSpan w:val="2"/>
            <w:shd w:val="clear" w:color="auto" w:fill="auto"/>
            <w:vAlign w:val="bottom"/>
          </w:tcPr>
          <w:p w14:paraId="5316E8D3"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22</w:t>
            </w:r>
          </w:p>
        </w:tc>
        <w:tc>
          <w:tcPr>
            <w:tcW w:w="630" w:type="dxa"/>
            <w:shd w:val="clear" w:color="auto" w:fill="auto"/>
            <w:vAlign w:val="bottom"/>
          </w:tcPr>
          <w:p w14:paraId="30EED3D3"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w:t>
            </w:r>
          </w:p>
        </w:tc>
      </w:tr>
      <w:tr w:rsidR="008D2F10" w:rsidRPr="00D43575" w14:paraId="4B64AF6A" w14:textId="77777777" w:rsidTr="00BD7BE9">
        <w:tc>
          <w:tcPr>
            <w:tcW w:w="990" w:type="dxa"/>
            <w:shd w:val="clear" w:color="auto" w:fill="auto"/>
            <w:vAlign w:val="bottom"/>
          </w:tcPr>
          <w:p w14:paraId="3C5F6D98" w14:textId="1A8F5B90" w:rsidR="008D2F10" w:rsidRPr="00D43575" w:rsidRDefault="008D2F10" w:rsidP="001E2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2016</w:t>
            </w:r>
            <w:r w:rsidR="00083383" w:rsidRPr="00D43575">
              <w:rPr>
                <w:sz w:val="17"/>
              </w:rPr>
              <w:noBreakHyphen/>
            </w:r>
            <w:r w:rsidRPr="00D43575">
              <w:rPr>
                <w:sz w:val="17"/>
              </w:rPr>
              <w:t>2017</w:t>
            </w:r>
          </w:p>
        </w:tc>
        <w:tc>
          <w:tcPr>
            <w:tcW w:w="644" w:type="dxa"/>
            <w:shd w:val="clear" w:color="auto" w:fill="auto"/>
            <w:vAlign w:val="bottom"/>
          </w:tcPr>
          <w:p w14:paraId="33FC4260"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644" w:type="dxa"/>
            <w:shd w:val="clear" w:color="auto" w:fill="auto"/>
            <w:vAlign w:val="bottom"/>
          </w:tcPr>
          <w:p w14:paraId="6F8B34C3"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645" w:type="dxa"/>
            <w:gridSpan w:val="2"/>
            <w:shd w:val="clear" w:color="auto" w:fill="auto"/>
            <w:vAlign w:val="bottom"/>
          </w:tcPr>
          <w:p w14:paraId="4A741F84"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w:t>
            </w:r>
          </w:p>
        </w:tc>
        <w:tc>
          <w:tcPr>
            <w:tcW w:w="644" w:type="dxa"/>
            <w:shd w:val="clear" w:color="auto" w:fill="auto"/>
            <w:vAlign w:val="bottom"/>
          </w:tcPr>
          <w:p w14:paraId="63E9DC66"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645" w:type="dxa"/>
            <w:gridSpan w:val="2"/>
            <w:shd w:val="clear" w:color="auto" w:fill="auto"/>
            <w:vAlign w:val="bottom"/>
          </w:tcPr>
          <w:p w14:paraId="1DB91FE8"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w:t>
            </w:r>
          </w:p>
        </w:tc>
        <w:tc>
          <w:tcPr>
            <w:tcW w:w="644" w:type="dxa"/>
            <w:shd w:val="clear" w:color="auto" w:fill="auto"/>
            <w:vAlign w:val="bottom"/>
          </w:tcPr>
          <w:p w14:paraId="6209BB81"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644" w:type="dxa"/>
            <w:gridSpan w:val="2"/>
            <w:shd w:val="clear" w:color="auto" w:fill="auto"/>
            <w:vAlign w:val="bottom"/>
          </w:tcPr>
          <w:p w14:paraId="2A6B34DB"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w:t>
            </w:r>
          </w:p>
        </w:tc>
        <w:tc>
          <w:tcPr>
            <w:tcW w:w="645" w:type="dxa"/>
            <w:shd w:val="clear" w:color="auto" w:fill="auto"/>
            <w:vAlign w:val="bottom"/>
          </w:tcPr>
          <w:p w14:paraId="6DD78C19"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605" w:type="dxa"/>
            <w:gridSpan w:val="2"/>
            <w:shd w:val="clear" w:color="auto" w:fill="auto"/>
            <w:vAlign w:val="bottom"/>
          </w:tcPr>
          <w:p w14:paraId="0126936C"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12</w:t>
            </w:r>
          </w:p>
        </w:tc>
        <w:tc>
          <w:tcPr>
            <w:tcW w:w="630" w:type="dxa"/>
            <w:shd w:val="clear" w:color="auto" w:fill="auto"/>
            <w:vAlign w:val="bottom"/>
          </w:tcPr>
          <w:p w14:paraId="3FF23EEC"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w:t>
            </w:r>
          </w:p>
        </w:tc>
      </w:tr>
      <w:tr w:rsidR="008D2F10" w:rsidRPr="00D43575" w14:paraId="3B37E545" w14:textId="77777777" w:rsidTr="00BD7BE9">
        <w:tc>
          <w:tcPr>
            <w:tcW w:w="990" w:type="dxa"/>
            <w:tcBorders>
              <w:bottom w:val="single" w:sz="12" w:space="0" w:color="auto"/>
            </w:tcBorders>
            <w:shd w:val="clear" w:color="auto" w:fill="auto"/>
            <w:vAlign w:val="bottom"/>
          </w:tcPr>
          <w:p w14:paraId="70AA45FA" w14:textId="77777777" w:rsidR="008D2F10" w:rsidRPr="00D43575" w:rsidRDefault="008D2F10" w:rsidP="001E2AB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2017</w:t>
            </w:r>
          </w:p>
        </w:tc>
        <w:tc>
          <w:tcPr>
            <w:tcW w:w="644" w:type="dxa"/>
            <w:tcBorders>
              <w:bottom w:val="single" w:sz="12" w:space="0" w:color="auto"/>
            </w:tcBorders>
            <w:shd w:val="clear" w:color="auto" w:fill="auto"/>
            <w:vAlign w:val="bottom"/>
          </w:tcPr>
          <w:p w14:paraId="4F4B8B2B"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644" w:type="dxa"/>
            <w:tcBorders>
              <w:bottom w:val="single" w:sz="12" w:space="0" w:color="auto"/>
            </w:tcBorders>
            <w:shd w:val="clear" w:color="auto" w:fill="auto"/>
            <w:vAlign w:val="bottom"/>
          </w:tcPr>
          <w:p w14:paraId="2026DA7F"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645" w:type="dxa"/>
            <w:gridSpan w:val="2"/>
            <w:tcBorders>
              <w:bottom w:val="single" w:sz="12" w:space="0" w:color="auto"/>
            </w:tcBorders>
            <w:shd w:val="clear" w:color="auto" w:fill="auto"/>
            <w:vAlign w:val="bottom"/>
          </w:tcPr>
          <w:p w14:paraId="0D9906DE"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w:t>
            </w:r>
          </w:p>
        </w:tc>
        <w:tc>
          <w:tcPr>
            <w:tcW w:w="644" w:type="dxa"/>
            <w:tcBorders>
              <w:bottom w:val="single" w:sz="12" w:space="0" w:color="auto"/>
            </w:tcBorders>
            <w:shd w:val="clear" w:color="auto" w:fill="auto"/>
            <w:vAlign w:val="bottom"/>
          </w:tcPr>
          <w:p w14:paraId="42A92620"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645" w:type="dxa"/>
            <w:gridSpan w:val="2"/>
            <w:tcBorders>
              <w:bottom w:val="single" w:sz="12" w:space="0" w:color="auto"/>
            </w:tcBorders>
            <w:shd w:val="clear" w:color="auto" w:fill="auto"/>
            <w:vAlign w:val="bottom"/>
          </w:tcPr>
          <w:p w14:paraId="6E286B4B"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w:t>
            </w:r>
          </w:p>
        </w:tc>
        <w:tc>
          <w:tcPr>
            <w:tcW w:w="644" w:type="dxa"/>
            <w:tcBorders>
              <w:bottom w:val="single" w:sz="12" w:space="0" w:color="auto"/>
            </w:tcBorders>
            <w:shd w:val="clear" w:color="auto" w:fill="auto"/>
            <w:vAlign w:val="bottom"/>
          </w:tcPr>
          <w:p w14:paraId="1FA91C00"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644" w:type="dxa"/>
            <w:gridSpan w:val="2"/>
            <w:tcBorders>
              <w:bottom w:val="single" w:sz="12" w:space="0" w:color="auto"/>
            </w:tcBorders>
            <w:shd w:val="clear" w:color="auto" w:fill="auto"/>
            <w:vAlign w:val="bottom"/>
          </w:tcPr>
          <w:p w14:paraId="35A3FA4D"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w:t>
            </w:r>
          </w:p>
        </w:tc>
        <w:tc>
          <w:tcPr>
            <w:tcW w:w="645" w:type="dxa"/>
            <w:tcBorders>
              <w:bottom w:val="single" w:sz="12" w:space="0" w:color="auto"/>
            </w:tcBorders>
            <w:shd w:val="clear" w:color="auto" w:fill="auto"/>
            <w:vAlign w:val="bottom"/>
          </w:tcPr>
          <w:p w14:paraId="6EC62EB1"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w:t>
            </w:r>
          </w:p>
        </w:tc>
        <w:tc>
          <w:tcPr>
            <w:tcW w:w="605" w:type="dxa"/>
            <w:gridSpan w:val="2"/>
            <w:tcBorders>
              <w:bottom w:val="single" w:sz="12" w:space="0" w:color="auto"/>
            </w:tcBorders>
            <w:shd w:val="clear" w:color="auto" w:fill="auto"/>
            <w:vAlign w:val="bottom"/>
          </w:tcPr>
          <w:p w14:paraId="43FA2A85"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16</w:t>
            </w:r>
          </w:p>
        </w:tc>
        <w:tc>
          <w:tcPr>
            <w:tcW w:w="630" w:type="dxa"/>
            <w:tcBorders>
              <w:bottom w:val="single" w:sz="12" w:space="0" w:color="auto"/>
            </w:tcBorders>
            <w:shd w:val="clear" w:color="auto" w:fill="auto"/>
            <w:vAlign w:val="bottom"/>
          </w:tcPr>
          <w:p w14:paraId="6F3E11A5"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w:t>
            </w:r>
          </w:p>
        </w:tc>
      </w:tr>
    </w:tbl>
    <w:p w14:paraId="6A636B7E" w14:textId="77777777" w:rsidR="008D2F10" w:rsidRPr="00D43575" w:rsidRDefault="008D2F10" w:rsidP="008D2F10">
      <w:pPr>
        <w:pStyle w:val="SingleTxt"/>
        <w:spacing w:after="0" w:line="120" w:lineRule="exact"/>
        <w:rPr>
          <w:sz w:val="10"/>
        </w:rPr>
      </w:pPr>
    </w:p>
    <w:p w14:paraId="031FC267" w14:textId="1800D7C7" w:rsidR="008D2F10"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Estado de Qatar, Universidad de Qatar, Departamento de Estrategia y Desarrollo, 2017</w:t>
      </w:r>
      <w:r w:rsidR="00083383" w:rsidRPr="00D43575">
        <w:rPr>
          <w:rFonts w:eastAsiaTheme="minorHAnsi"/>
          <w:iCs/>
          <w:w w:val="103"/>
          <w:kern w:val="14"/>
          <w:szCs w:val="20"/>
        </w:rPr>
        <w:t>.</w:t>
      </w:r>
    </w:p>
    <w:p w14:paraId="7471A608" w14:textId="77777777" w:rsidR="008D2F10" w:rsidRPr="00D43575" w:rsidRDefault="008D2F10" w:rsidP="003B5AA5">
      <w:pPr>
        <w:pStyle w:val="SingleTxt"/>
        <w:spacing w:after="0" w:line="120" w:lineRule="exact"/>
        <w:rPr>
          <w:sz w:val="10"/>
        </w:rPr>
      </w:pPr>
    </w:p>
    <w:p w14:paraId="46FB7F16" w14:textId="77777777" w:rsidR="008D2F10" w:rsidRPr="00D43575" w:rsidRDefault="008D2F10" w:rsidP="003B5AA5">
      <w:pPr>
        <w:pStyle w:val="SingleTxt"/>
        <w:spacing w:after="0" w:line="120" w:lineRule="exact"/>
        <w:rPr>
          <w:sz w:val="10"/>
        </w:rPr>
      </w:pPr>
    </w:p>
    <w:p w14:paraId="0BE24B74" w14:textId="7D8DA110" w:rsidR="00083383" w:rsidRPr="00D43575" w:rsidRDefault="008D2F10" w:rsidP="001D1AD0">
      <w:pPr>
        <w:pStyle w:val="SingleTxt"/>
        <w:numPr>
          <w:ilvl w:val="0"/>
          <w:numId w:val="10"/>
        </w:numPr>
        <w:ind w:left="1267" w:firstLine="0"/>
      </w:pPr>
      <w:r w:rsidRPr="00D43575">
        <w:t>La Universidad de Qatar ha seguido adoptando medidas para preparar planes de estudios dedicados a los derechos humanos, las relaciones internacionales, las organizaciones internacionales de derechos humanos y el derecho internacional humanitario</w:t>
      </w:r>
      <w:r w:rsidR="00083383" w:rsidRPr="00D43575">
        <w:t>.</w:t>
      </w:r>
      <w:r w:rsidRPr="00D43575">
        <w:t xml:space="preserve"> En 2016 suscribió un memorando de entendimiento con el Comité Nacional de Derechos Humanos para la cooperación mutua en las esferas de la </w:t>
      </w:r>
      <w:r w:rsidRPr="00D43575">
        <w:lastRenderedPageBreak/>
        <w:t>investigación, la capacitación y la formación con el objetivo de promover, afirmar y proteger los derechos humanos</w:t>
      </w:r>
      <w:r w:rsidR="00083383" w:rsidRPr="00D43575">
        <w:t>.</w:t>
      </w:r>
      <w:r w:rsidRPr="00D43575">
        <w:t xml:space="preserve"> La Escuela Militar Ahmed Bin Mohammed de las Fuerzas Armadas de Qatar ofrece un programa de estudios sobre los derechos humanos</w:t>
      </w:r>
      <w:r w:rsidR="00083383" w:rsidRPr="00D43575">
        <w:t>.</w:t>
      </w:r>
      <w:r w:rsidRPr="00D43575">
        <w:t xml:space="preserve"> Esta escuela también organiza visitas sobre el terreno para los estudiantes a las instituciones competentes, como el Comité Nacional de Derechos Humanos, el Departamento de Prisiones y los lugares de trabajo de los trabajadores migrantes, como parte de su formación práctica en materia de derechos humanos</w:t>
      </w:r>
      <w:r w:rsidR="00083383" w:rsidRPr="00D43575">
        <w:t>.</w:t>
      </w:r>
    </w:p>
    <w:p w14:paraId="018AC4FB" w14:textId="6E22F54D" w:rsidR="008D2F10" w:rsidRPr="00D43575" w:rsidRDefault="008D2F10" w:rsidP="001D1AD0">
      <w:pPr>
        <w:pStyle w:val="SingleTxt"/>
        <w:numPr>
          <w:ilvl w:val="0"/>
          <w:numId w:val="10"/>
        </w:numPr>
        <w:ind w:left="1267" w:firstLine="0"/>
      </w:pPr>
      <w:r w:rsidRPr="00D43575">
        <w:t>La Universidad de Qatar se adhiere al principio de la igualdad de género en sus políticas de admisión</w:t>
      </w:r>
      <w:r w:rsidR="00083383" w:rsidRPr="00D43575">
        <w:t>.</w:t>
      </w:r>
      <w:r w:rsidRPr="00D43575">
        <w:t xml:space="preserve"> De ello dan cuenta los porcentajes de admisiones a las diversas facultades de la Universidad que se recogen en el siguiente cuadro</w:t>
      </w:r>
      <w:r w:rsidR="00083383" w:rsidRPr="00D43575">
        <w:t>.</w:t>
      </w:r>
      <w:r w:rsidRPr="00D43575">
        <w:t xml:space="preserve"> Las tasas de admisión de mujeres son más elevadas que las de los hombres en algunas facultades y años</w:t>
      </w:r>
      <w:r w:rsidR="00083383" w:rsidRPr="00D43575">
        <w:t>.</w:t>
      </w:r>
      <w:r w:rsidRPr="00D43575">
        <w:t xml:space="preserve"> En vista de la urgente necesidad del Estado de que haya mujeres en el ámbito de la asistencia sanitaria, la Universidad de Qatar ha creado facultades universitarias que solo aceptan a mujeres, como la Facultad de Ciencias de la Salud y la Facultad de Farmacia</w:t>
      </w:r>
      <w:r w:rsidR="00083383" w:rsidRPr="00D43575">
        <w:t>.</w:t>
      </w:r>
    </w:p>
    <w:p w14:paraId="3868C6EA" w14:textId="77777777" w:rsidR="00F50320" w:rsidRPr="00F50320" w:rsidRDefault="00F50320" w:rsidP="00F5032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2380"/>
        <w:rPr>
          <w:bCs w:val="0"/>
          <w:sz w:val="10"/>
          <w:szCs w:val="20"/>
        </w:rPr>
      </w:pPr>
    </w:p>
    <w:p w14:paraId="7AC52690" w14:textId="390D5C3F" w:rsidR="008D2F10" w:rsidRPr="00D43575" w:rsidRDefault="008D2F10" w:rsidP="00FC6BA7">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2380"/>
        <w:rPr>
          <w:bCs w:val="0"/>
          <w:szCs w:val="20"/>
        </w:rPr>
      </w:pPr>
      <w:r w:rsidRPr="00D43575">
        <w:rPr>
          <w:bCs w:val="0"/>
          <w:szCs w:val="20"/>
        </w:rPr>
        <w:tab/>
      </w:r>
      <w:r w:rsidRPr="00D43575">
        <w:rPr>
          <w:bCs w:val="0"/>
          <w:szCs w:val="20"/>
        </w:rPr>
        <w:tab/>
      </w:r>
      <w:r w:rsidR="00F50320">
        <w:rPr>
          <w:b w:val="0"/>
          <w:bCs w:val="0"/>
          <w:szCs w:val="20"/>
        </w:rPr>
        <w:t>Cuadro 17</w:t>
      </w:r>
      <w:r w:rsidR="006262DC" w:rsidRPr="00D43575">
        <w:rPr>
          <w:b w:val="0"/>
          <w:bCs w:val="0"/>
          <w:szCs w:val="20"/>
        </w:rPr>
        <w:br/>
      </w:r>
      <w:r w:rsidRPr="00D43575">
        <w:rPr>
          <w:bCs w:val="0"/>
          <w:szCs w:val="20"/>
        </w:rPr>
        <w:t>Porcentajes de admisión en las facultades de la Universidad de Qatar de 2014 a</w:t>
      </w:r>
      <w:r w:rsidR="00083383" w:rsidRPr="00D43575">
        <w:rPr>
          <w:bCs w:val="0"/>
          <w:szCs w:val="20"/>
        </w:rPr>
        <w:t xml:space="preserve"> </w:t>
      </w:r>
      <w:r w:rsidRPr="00D43575">
        <w:rPr>
          <w:bCs w:val="0"/>
          <w:szCs w:val="20"/>
        </w:rPr>
        <w:t>2017, desglosados por sexo</w:t>
      </w:r>
    </w:p>
    <w:p w14:paraId="78656B34" w14:textId="77777777" w:rsidR="008D2F10" w:rsidRPr="00D43575" w:rsidRDefault="008D2F10" w:rsidP="00FC6BA7">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20"/>
        <w:gridCol w:w="728"/>
        <w:gridCol w:w="728"/>
        <w:gridCol w:w="86"/>
        <w:gridCol w:w="675"/>
        <w:gridCol w:w="696"/>
        <w:gridCol w:w="87"/>
        <w:gridCol w:w="702"/>
        <w:gridCol w:w="668"/>
        <w:gridCol w:w="70"/>
        <w:gridCol w:w="658"/>
        <w:gridCol w:w="729"/>
      </w:tblGrid>
      <w:tr w:rsidR="008D2F10" w:rsidRPr="00D43575" w14:paraId="40C71354" w14:textId="77777777" w:rsidTr="00BD7BE9">
        <w:trPr>
          <w:tblHeader/>
        </w:trPr>
        <w:tc>
          <w:tcPr>
            <w:tcW w:w="1620" w:type="dxa"/>
            <w:tcBorders>
              <w:top w:val="single" w:sz="4" w:space="0" w:color="auto"/>
            </w:tcBorders>
            <w:shd w:val="clear" w:color="auto" w:fill="auto"/>
            <w:vAlign w:val="bottom"/>
          </w:tcPr>
          <w:p w14:paraId="65CEA4B2" w14:textId="77777777" w:rsidR="008D2F10" w:rsidRPr="00D43575" w:rsidRDefault="008D2F10" w:rsidP="00FC6BA7">
            <w:pPr>
              <w:keepNext/>
              <w:keepLines/>
              <w:tabs>
                <w:tab w:val="left" w:pos="288"/>
                <w:tab w:val="left" w:pos="576"/>
                <w:tab w:val="left" w:pos="864"/>
                <w:tab w:val="left" w:pos="1152"/>
              </w:tabs>
              <w:spacing w:before="81" w:after="81" w:line="160" w:lineRule="exact"/>
              <w:ind w:right="40"/>
              <w:rPr>
                <w:i/>
                <w:sz w:val="14"/>
              </w:rPr>
            </w:pPr>
          </w:p>
        </w:tc>
        <w:tc>
          <w:tcPr>
            <w:tcW w:w="1456" w:type="dxa"/>
            <w:gridSpan w:val="2"/>
            <w:tcBorders>
              <w:top w:val="single" w:sz="4" w:space="0" w:color="auto"/>
              <w:bottom w:val="single" w:sz="4" w:space="0" w:color="auto"/>
            </w:tcBorders>
            <w:shd w:val="clear" w:color="auto" w:fill="auto"/>
            <w:vAlign w:val="bottom"/>
          </w:tcPr>
          <w:p w14:paraId="439135C7" w14:textId="2794FF21" w:rsidR="008D2F10" w:rsidRPr="00D43575" w:rsidRDefault="008D2F10" w:rsidP="00FC6BA7">
            <w:pPr>
              <w:pStyle w:val="SingleTxt"/>
              <w:keepNext/>
              <w:keepLines/>
              <w:spacing w:before="80" w:after="80" w:line="160" w:lineRule="exact"/>
              <w:ind w:left="144" w:right="43"/>
              <w:jc w:val="center"/>
              <w:rPr>
                <w:i/>
                <w:iCs/>
                <w:sz w:val="14"/>
              </w:rPr>
            </w:pPr>
            <w:r w:rsidRPr="00D43575">
              <w:rPr>
                <w:i/>
                <w:iCs/>
                <w:sz w:val="14"/>
              </w:rPr>
              <w:t>2014</w:t>
            </w:r>
            <w:r w:rsidR="00083383" w:rsidRPr="00D43575">
              <w:rPr>
                <w:i/>
                <w:iCs/>
                <w:sz w:val="14"/>
              </w:rPr>
              <w:noBreakHyphen/>
            </w:r>
            <w:r w:rsidRPr="00D43575">
              <w:rPr>
                <w:i/>
                <w:iCs/>
                <w:sz w:val="14"/>
              </w:rPr>
              <w:t>2015</w:t>
            </w:r>
          </w:p>
        </w:tc>
        <w:tc>
          <w:tcPr>
            <w:tcW w:w="1457" w:type="dxa"/>
            <w:gridSpan w:val="3"/>
            <w:tcBorders>
              <w:top w:val="single" w:sz="4" w:space="0" w:color="auto"/>
            </w:tcBorders>
            <w:shd w:val="clear" w:color="auto" w:fill="auto"/>
            <w:vAlign w:val="bottom"/>
          </w:tcPr>
          <w:p w14:paraId="34C8E976" w14:textId="65616219" w:rsidR="008D2F10" w:rsidRPr="00D43575" w:rsidRDefault="008D2F10" w:rsidP="00FC6BA7">
            <w:pPr>
              <w:pStyle w:val="SingleTxt"/>
              <w:keepNext/>
              <w:keepLines/>
              <w:spacing w:before="80" w:after="80" w:line="160" w:lineRule="exact"/>
              <w:ind w:left="144" w:right="43"/>
              <w:jc w:val="center"/>
              <w:rPr>
                <w:i/>
                <w:iCs/>
                <w:sz w:val="14"/>
              </w:rPr>
            </w:pPr>
            <w:r w:rsidRPr="00D43575">
              <w:rPr>
                <w:i/>
                <w:iCs/>
                <w:sz w:val="14"/>
              </w:rPr>
              <w:t>2015</w:t>
            </w:r>
            <w:r w:rsidR="00083383" w:rsidRPr="00D43575">
              <w:rPr>
                <w:i/>
                <w:iCs/>
                <w:sz w:val="14"/>
              </w:rPr>
              <w:noBreakHyphen/>
            </w:r>
            <w:r w:rsidRPr="00D43575">
              <w:rPr>
                <w:i/>
                <w:iCs/>
                <w:sz w:val="14"/>
              </w:rPr>
              <w:t>2016</w:t>
            </w:r>
          </w:p>
        </w:tc>
        <w:tc>
          <w:tcPr>
            <w:tcW w:w="1457" w:type="dxa"/>
            <w:gridSpan w:val="3"/>
            <w:tcBorders>
              <w:top w:val="single" w:sz="4" w:space="0" w:color="auto"/>
            </w:tcBorders>
            <w:shd w:val="clear" w:color="auto" w:fill="auto"/>
            <w:vAlign w:val="bottom"/>
          </w:tcPr>
          <w:p w14:paraId="1AB1295D" w14:textId="059FA201" w:rsidR="008D2F10" w:rsidRPr="00D43575" w:rsidRDefault="008D2F10" w:rsidP="00FC6BA7">
            <w:pPr>
              <w:pStyle w:val="SingleTxt"/>
              <w:keepNext/>
              <w:keepLines/>
              <w:spacing w:before="80" w:after="80" w:line="160" w:lineRule="exact"/>
              <w:ind w:left="144" w:right="43"/>
              <w:jc w:val="center"/>
              <w:rPr>
                <w:i/>
                <w:iCs/>
                <w:sz w:val="14"/>
              </w:rPr>
            </w:pPr>
            <w:r w:rsidRPr="00D43575">
              <w:rPr>
                <w:i/>
                <w:iCs/>
                <w:sz w:val="14"/>
              </w:rPr>
              <w:t>2016</w:t>
            </w:r>
            <w:r w:rsidR="00083383" w:rsidRPr="00D43575">
              <w:rPr>
                <w:i/>
                <w:iCs/>
                <w:sz w:val="14"/>
              </w:rPr>
              <w:noBreakHyphen/>
            </w:r>
            <w:r w:rsidRPr="00D43575">
              <w:rPr>
                <w:i/>
                <w:iCs/>
                <w:sz w:val="14"/>
              </w:rPr>
              <w:t>2017</w:t>
            </w:r>
          </w:p>
        </w:tc>
        <w:tc>
          <w:tcPr>
            <w:tcW w:w="1457" w:type="dxa"/>
            <w:gridSpan w:val="3"/>
            <w:tcBorders>
              <w:top w:val="single" w:sz="4" w:space="0" w:color="auto"/>
            </w:tcBorders>
            <w:shd w:val="clear" w:color="auto" w:fill="auto"/>
            <w:vAlign w:val="bottom"/>
          </w:tcPr>
          <w:p w14:paraId="198C91EE" w14:textId="77777777" w:rsidR="008D2F10" w:rsidRPr="00D43575" w:rsidRDefault="008D2F10" w:rsidP="00FC6BA7">
            <w:pPr>
              <w:pStyle w:val="SingleTxt"/>
              <w:keepNext/>
              <w:keepLines/>
              <w:spacing w:before="80" w:after="80" w:line="160" w:lineRule="exact"/>
              <w:ind w:left="144" w:right="43"/>
              <w:jc w:val="center"/>
              <w:rPr>
                <w:i/>
                <w:iCs/>
                <w:sz w:val="14"/>
              </w:rPr>
            </w:pPr>
            <w:r w:rsidRPr="00D43575">
              <w:rPr>
                <w:i/>
                <w:iCs/>
                <w:sz w:val="14"/>
              </w:rPr>
              <w:t>Cuarto trimestre</w:t>
            </w:r>
            <w:r w:rsidR="00384187" w:rsidRPr="00D43575">
              <w:rPr>
                <w:i/>
                <w:iCs/>
                <w:sz w:val="14"/>
              </w:rPr>
              <w:br/>
            </w:r>
            <w:r w:rsidRPr="00D43575">
              <w:rPr>
                <w:i/>
                <w:iCs/>
                <w:sz w:val="14"/>
              </w:rPr>
              <w:t xml:space="preserve"> de 2017</w:t>
            </w:r>
          </w:p>
        </w:tc>
      </w:tr>
      <w:tr w:rsidR="008D2F10" w:rsidRPr="00D43575" w14:paraId="39A1DDD2" w14:textId="77777777" w:rsidTr="00384187">
        <w:trPr>
          <w:tblHeader/>
        </w:trPr>
        <w:tc>
          <w:tcPr>
            <w:tcW w:w="1620" w:type="dxa"/>
            <w:tcBorders>
              <w:bottom w:val="single" w:sz="12" w:space="0" w:color="auto"/>
            </w:tcBorders>
            <w:shd w:val="clear" w:color="auto" w:fill="auto"/>
            <w:vAlign w:val="bottom"/>
          </w:tcPr>
          <w:p w14:paraId="303D5C60" w14:textId="77777777" w:rsidR="008D2F10" w:rsidRPr="00D43575" w:rsidRDefault="008D2F10" w:rsidP="00FC6BA7">
            <w:pPr>
              <w:pStyle w:val="SingleTxt"/>
              <w:keepNext/>
              <w:keepLines/>
              <w:spacing w:before="80" w:after="80" w:line="160" w:lineRule="exact"/>
              <w:ind w:left="11" w:right="43"/>
              <w:jc w:val="left"/>
              <w:rPr>
                <w:i/>
                <w:iCs/>
                <w:sz w:val="14"/>
              </w:rPr>
            </w:pPr>
            <w:r w:rsidRPr="00D43575">
              <w:rPr>
                <w:i/>
                <w:iCs/>
                <w:sz w:val="14"/>
              </w:rPr>
              <w:t>Facultad</w:t>
            </w:r>
          </w:p>
        </w:tc>
        <w:tc>
          <w:tcPr>
            <w:tcW w:w="728" w:type="dxa"/>
            <w:tcBorders>
              <w:top w:val="single" w:sz="4" w:space="0" w:color="auto"/>
              <w:bottom w:val="single" w:sz="12" w:space="0" w:color="auto"/>
            </w:tcBorders>
            <w:shd w:val="clear" w:color="auto" w:fill="auto"/>
            <w:vAlign w:val="bottom"/>
          </w:tcPr>
          <w:p w14:paraId="3D0DA711" w14:textId="77777777" w:rsidR="008D2F10" w:rsidRPr="00D43575" w:rsidRDefault="008D2F10" w:rsidP="00FC6BA7">
            <w:pPr>
              <w:pStyle w:val="SingleTxt"/>
              <w:keepNext/>
              <w:keepLines/>
              <w:spacing w:before="80" w:after="80" w:line="160" w:lineRule="exact"/>
              <w:ind w:left="63" w:right="43"/>
              <w:jc w:val="right"/>
              <w:rPr>
                <w:i/>
                <w:iCs/>
                <w:sz w:val="14"/>
              </w:rPr>
            </w:pPr>
            <w:r w:rsidRPr="00D43575">
              <w:rPr>
                <w:i/>
                <w:iCs/>
                <w:sz w:val="14"/>
              </w:rPr>
              <w:t>Hombres (%)</w:t>
            </w:r>
          </w:p>
        </w:tc>
        <w:tc>
          <w:tcPr>
            <w:tcW w:w="728" w:type="dxa"/>
            <w:tcBorders>
              <w:top w:val="single" w:sz="4" w:space="0" w:color="auto"/>
              <w:bottom w:val="single" w:sz="12" w:space="0" w:color="auto"/>
            </w:tcBorders>
            <w:shd w:val="clear" w:color="auto" w:fill="auto"/>
            <w:vAlign w:val="bottom"/>
          </w:tcPr>
          <w:p w14:paraId="4FCF08FF" w14:textId="77777777" w:rsidR="008D2F10" w:rsidRPr="00D43575" w:rsidRDefault="008D2F10" w:rsidP="00FC6BA7">
            <w:pPr>
              <w:pStyle w:val="SingleTxt"/>
              <w:keepNext/>
              <w:keepLines/>
              <w:spacing w:before="80" w:after="80" w:line="160" w:lineRule="exact"/>
              <w:ind w:left="63" w:right="43"/>
              <w:jc w:val="right"/>
              <w:rPr>
                <w:i/>
                <w:iCs/>
                <w:sz w:val="14"/>
              </w:rPr>
            </w:pPr>
            <w:r w:rsidRPr="00D43575">
              <w:rPr>
                <w:i/>
                <w:iCs/>
                <w:sz w:val="14"/>
              </w:rPr>
              <w:t>Mujeres (%)</w:t>
            </w:r>
          </w:p>
        </w:tc>
        <w:tc>
          <w:tcPr>
            <w:tcW w:w="86" w:type="dxa"/>
            <w:tcBorders>
              <w:bottom w:val="single" w:sz="12" w:space="0" w:color="auto"/>
            </w:tcBorders>
            <w:shd w:val="clear" w:color="auto" w:fill="auto"/>
            <w:vAlign w:val="bottom"/>
          </w:tcPr>
          <w:p w14:paraId="549905F6" w14:textId="77777777" w:rsidR="008D2F10" w:rsidRPr="00D43575" w:rsidRDefault="008D2F10" w:rsidP="00FC6BA7">
            <w:pPr>
              <w:keepNext/>
              <w:keepLines/>
              <w:spacing w:before="81" w:after="81" w:line="160" w:lineRule="exact"/>
              <w:ind w:left="34" w:right="40"/>
              <w:jc w:val="right"/>
              <w:rPr>
                <w:i/>
                <w:sz w:val="14"/>
              </w:rPr>
            </w:pPr>
          </w:p>
        </w:tc>
        <w:tc>
          <w:tcPr>
            <w:tcW w:w="675" w:type="dxa"/>
            <w:tcBorders>
              <w:top w:val="single" w:sz="4" w:space="0" w:color="auto"/>
              <w:bottom w:val="single" w:sz="12" w:space="0" w:color="auto"/>
            </w:tcBorders>
            <w:shd w:val="clear" w:color="auto" w:fill="auto"/>
            <w:vAlign w:val="bottom"/>
          </w:tcPr>
          <w:p w14:paraId="0D869AB8" w14:textId="77777777" w:rsidR="008D2F10" w:rsidRPr="00D43575" w:rsidRDefault="008D2F10" w:rsidP="00FC6BA7">
            <w:pPr>
              <w:pStyle w:val="SingleTxt"/>
              <w:keepNext/>
              <w:keepLines/>
              <w:spacing w:before="80" w:after="80" w:line="160" w:lineRule="exact"/>
              <w:ind w:left="63" w:right="43"/>
              <w:jc w:val="right"/>
              <w:rPr>
                <w:i/>
                <w:iCs/>
                <w:sz w:val="14"/>
              </w:rPr>
            </w:pPr>
            <w:r w:rsidRPr="00D43575">
              <w:rPr>
                <w:i/>
                <w:iCs/>
                <w:sz w:val="14"/>
              </w:rPr>
              <w:t>Hombres (%)</w:t>
            </w:r>
          </w:p>
        </w:tc>
        <w:tc>
          <w:tcPr>
            <w:tcW w:w="696" w:type="dxa"/>
            <w:tcBorders>
              <w:top w:val="single" w:sz="4" w:space="0" w:color="auto"/>
              <w:bottom w:val="single" w:sz="12" w:space="0" w:color="auto"/>
            </w:tcBorders>
            <w:shd w:val="clear" w:color="auto" w:fill="auto"/>
            <w:vAlign w:val="bottom"/>
          </w:tcPr>
          <w:p w14:paraId="7FEA2AFB" w14:textId="77777777" w:rsidR="008D2F10" w:rsidRPr="00D43575" w:rsidRDefault="008D2F10" w:rsidP="00FC6BA7">
            <w:pPr>
              <w:pStyle w:val="SingleTxt"/>
              <w:keepNext/>
              <w:keepLines/>
              <w:spacing w:before="80" w:after="80" w:line="160" w:lineRule="exact"/>
              <w:ind w:left="63" w:right="43"/>
              <w:jc w:val="right"/>
              <w:rPr>
                <w:i/>
                <w:iCs/>
                <w:sz w:val="14"/>
              </w:rPr>
            </w:pPr>
            <w:r w:rsidRPr="00D43575">
              <w:rPr>
                <w:i/>
                <w:iCs/>
                <w:sz w:val="14"/>
              </w:rPr>
              <w:t>Mujeres (%)</w:t>
            </w:r>
          </w:p>
        </w:tc>
        <w:tc>
          <w:tcPr>
            <w:tcW w:w="87" w:type="dxa"/>
            <w:tcBorders>
              <w:bottom w:val="single" w:sz="12" w:space="0" w:color="auto"/>
            </w:tcBorders>
            <w:shd w:val="clear" w:color="auto" w:fill="auto"/>
            <w:vAlign w:val="bottom"/>
          </w:tcPr>
          <w:p w14:paraId="557FCA7B" w14:textId="77777777" w:rsidR="008D2F10" w:rsidRPr="00D43575" w:rsidRDefault="008D2F10" w:rsidP="00FC6BA7">
            <w:pPr>
              <w:keepNext/>
              <w:keepLines/>
              <w:spacing w:before="81" w:after="81" w:line="160" w:lineRule="exact"/>
              <w:ind w:left="34" w:right="40"/>
              <w:jc w:val="right"/>
              <w:rPr>
                <w:i/>
                <w:sz w:val="14"/>
              </w:rPr>
            </w:pPr>
          </w:p>
        </w:tc>
        <w:tc>
          <w:tcPr>
            <w:tcW w:w="702" w:type="dxa"/>
            <w:tcBorders>
              <w:top w:val="single" w:sz="4" w:space="0" w:color="auto"/>
              <w:bottom w:val="single" w:sz="12" w:space="0" w:color="auto"/>
            </w:tcBorders>
            <w:shd w:val="clear" w:color="auto" w:fill="auto"/>
            <w:vAlign w:val="bottom"/>
          </w:tcPr>
          <w:p w14:paraId="2287AEB9" w14:textId="77777777" w:rsidR="008D2F10" w:rsidRPr="00D43575" w:rsidRDefault="008D2F10" w:rsidP="00FC6BA7">
            <w:pPr>
              <w:pStyle w:val="SingleTxt"/>
              <w:keepNext/>
              <w:keepLines/>
              <w:spacing w:before="80" w:after="80" w:line="160" w:lineRule="exact"/>
              <w:ind w:left="63" w:right="43"/>
              <w:jc w:val="right"/>
              <w:rPr>
                <w:i/>
                <w:iCs/>
                <w:sz w:val="14"/>
              </w:rPr>
            </w:pPr>
            <w:r w:rsidRPr="00D43575">
              <w:rPr>
                <w:i/>
                <w:iCs/>
                <w:sz w:val="14"/>
              </w:rPr>
              <w:t>Hombres (%)</w:t>
            </w:r>
          </w:p>
        </w:tc>
        <w:tc>
          <w:tcPr>
            <w:tcW w:w="668" w:type="dxa"/>
            <w:tcBorders>
              <w:top w:val="single" w:sz="4" w:space="0" w:color="auto"/>
              <w:bottom w:val="single" w:sz="12" w:space="0" w:color="auto"/>
            </w:tcBorders>
            <w:shd w:val="clear" w:color="auto" w:fill="auto"/>
            <w:vAlign w:val="bottom"/>
          </w:tcPr>
          <w:p w14:paraId="4A46A11C" w14:textId="77777777" w:rsidR="008D2F10" w:rsidRPr="00D43575" w:rsidRDefault="008D2F10" w:rsidP="00FC6BA7">
            <w:pPr>
              <w:pStyle w:val="SingleTxt"/>
              <w:keepNext/>
              <w:keepLines/>
              <w:spacing w:before="80" w:after="80" w:line="160" w:lineRule="exact"/>
              <w:ind w:left="63" w:right="43"/>
              <w:jc w:val="right"/>
              <w:rPr>
                <w:i/>
                <w:iCs/>
                <w:sz w:val="14"/>
              </w:rPr>
            </w:pPr>
            <w:r w:rsidRPr="00D43575">
              <w:rPr>
                <w:i/>
                <w:iCs/>
                <w:sz w:val="14"/>
              </w:rPr>
              <w:t>Mujeres (%)</w:t>
            </w:r>
          </w:p>
        </w:tc>
        <w:tc>
          <w:tcPr>
            <w:tcW w:w="70" w:type="dxa"/>
            <w:tcBorders>
              <w:bottom w:val="single" w:sz="12" w:space="0" w:color="auto"/>
            </w:tcBorders>
            <w:shd w:val="clear" w:color="auto" w:fill="auto"/>
            <w:vAlign w:val="bottom"/>
          </w:tcPr>
          <w:p w14:paraId="129F87F7" w14:textId="77777777" w:rsidR="008D2F10" w:rsidRPr="00D43575" w:rsidRDefault="008D2F10" w:rsidP="00FC6BA7">
            <w:pPr>
              <w:keepNext/>
              <w:keepLines/>
              <w:spacing w:before="81" w:after="81" w:line="160" w:lineRule="exact"/>
              <w:ind w:left="34" w:right="40"/>
              <w:jc w:val="right"/>
              <w:rPr>
                <w:i/>
                <w:sz w:val="14"/>
              </w:rPr>
            </w:pPr>
          </w:p>
        </w:tc>
        <w:tc>
          <w:tcPr>
            <w:tcW w:w="658" w:type="dxa"/>
            <w:tcBorders>
              <w:top w:val="single" w:sz="4" w:space="0" w:color="auto"/>
              <w:bottom w:val="single" w:sz="12" w:space="0" w:color="auto"/>
            </w:tcBorders>
            <w:shd w:val="clear" w:color="auto" w:fill="auto"/>
            <w:vAlign w:val="bottom"/>
          </w:tcPr>
          <w:p w14:paraId="0D2FCB93" w14:textId="77777777" w:rsidR="008D2F10" w:rsidRPr="00D43575" w:rsidRDefault="008D2F10" w:rsidP="00FC6BA7">
            <w:pPr>
              <w:pStyle w:val="SingleTxt"/>
              <w:keepNext/>
              <w:keepLines/>
              <w:spacing w:before="80" w:after="80" w:line="160" w:lineRule="exact"/>
              <w:ind w:left="63" w:right="43"/>
              <w:jc w:val="right"/>
              <w:rPr>
                <w:i/>
                <w:iCs/>
                <w:sz w:val="14"/>
              </w:rPr>
            </w:pPr>
            <w:r w:rsidRPr="00D43575">
              <w:rPr>
                <w:i/>
                <w:iCs/>
                <w:sz w:val="14"/>
              </w:rPr>
              <w:t>Hombres (%)</w:t>
            </w:r>
          </w:p>
        </w:tc>
        <w:tc>
          <w:tcPr>
            <w:tcW w:w="729" w:type="dxa"/>
            <w:tcBorders>
              <w:top w:val="single" w:sz="4" w:space="0" w:color="auto"/>
              <w:bottom w:val="single" w:sz="12" w:space="0" w:color="auto"/>
            </w:tcBorders>
            <w:shd w:val="clear" w:color="auto" w:fill="auto"/>
            <w:vAlign w:val="bottom"/>
          </w:tcPr>
          <w:p w14:paraId="7DA18CC2" w14:textId="77777777" w:rsidR="008D2F10" w:rsidRPr="00D43575" w:rsidRDefault="008D2F10" w:rsidP="00FC6BA7">
            <w:pPr>
              <w:pStyle w:val="SingleTxt"/>
              <w:keepNext/>
              <w:keepLines/>
              <w:spacing w:before="80" w:after="80" w:line="160" w:lineRule="exact"/>
              <w:ind w:left="63" w:right="43"/>
              <w:jc w:val="right"/>
              <w:rPr>
                <w:i/>
                <w:iCs/>
                <w:sz w:val="14"/>
              </w:rPr>
            </w:pPr>
            <w:r w:rsidRPr="00D43575">
              <w:rPr>
                <w:i/>
                <w:iCs/>
                <w:sz w:val="14"/>
              </w:rPr>
              <w:t>Mujeres (%)</w:t>
            </w:r>
          </w:p>
        </w:tc>
      </w:tr>
      <w:tr w:rsidR="008D2F10" w:rsidRPr="00D43575" w14:paraId="291C592E" w14:textId="77777777" w:rsidTr="00384187">
        <w:trPr>
          <w:trHeight w:hRule="exact" w:val="115"/>
          <w:tblHeader/>
        </w:trPr>
        <w:tc>
          <w:tcPr>
            <w:tcW w:w="1620" w:type="dxa"/>
            <w:tcBorders>
              <w:top w:val="single" w:sz="12" w:space="0" w:color="auto"/>
            </w:tcBorders>
            <w:shd w:val="clear" w:color="auto" w:fill="auto"/>
            <w:vAlign w:val="bottom"/>
          </w:tcPr>
          <w:p w14:paraId="11C79822" w14:textId="77777777" w:rsidR="008D2F10" w:rsidRPr="00D43575" w:rsidRDefault="008D2F10" w:rsidP="00FC6BA7">
            <w:pPr>
              <w:keepNext/>
              <w:keepLines/>
              <w:tabs>
                <w:tab w:val="left" w:pos="288"/>
                <w:tab w:val="left" w:pos="576"/>
                <w:tab w:val="left" w:pos="864"/>
                <w:tab w:val="left" w:pos="1152"/>
              </w:tabs>
              <w:spacing w:before="40" w:after="40" w:line="210" w:lineRule="exact"/>
              <w:ind w:right="40"/>
              <w:rPr>
                <w:sz w:val="17"/>
              </w:rPr>
            </w:pPr>
          </w:p>
        </w:tc>
        <w:tc>
          <w:tcPr>
            <w:tcW w:w="728" w:type="dxa"/>
            <w:tcBorders>
              <w:top w:val="single" w:sz="12" w:space="0" w:color="auto"/>
            </w:tcBorders>
            <w:shd w:val="clear" w:color="auto" w:fill="auto"/>
            <w:vAlign w:val="bottom"/>
          </w:tcPr>
          <w:p w14:paraId="312417D6" w14:textId="77777777" w:rsidR="008D2F10" w:rsidRPr="00D43575" w:rsidRDefault="008D2F10" w:rsidP="00FC6BA7">
            <w:pPr>
              <w:keepNext/>
              <w:keepLines/>
              <w:tabs>
                <w:tab w:val="left" w:pos="288"/>
                <w:tab w:val="left" w:pos="576"/>
                <w:tab w:val="left" w:pos="864"/>
                <w:tab w:val="left" w:pos="1152"/>
              </w:tabs>
              <w:spacing w:before="40" w:after="40" w:line="210" w:lineRule="exact"/>
              <w:ind w:left="34" w:right="40"/>
              <w:jc w:val="right"/>
              <w:rPr>
                <w:sz w:val="17"/>
              </w:rPr>
            </w:pPr>
          </w:p>
        </w:tc>
        <w:tc>
          <w:tcPr>
            <w:tcW w:w="728" w:type="dxa"/>
            <w:tcBorders>
              <w:top w:val="single" w:sz="12" w:space="0" w:color="auto"/>
            </w:tcBorders>
            <w:shd w:val="clear" w:color="auto" w:fill="auto"/>
            <w:vAlign w:val="bottom"/>
          </w:tcPr>
          <w:p w14:paraId="50B32B28" w14:textId="77777777" w:rsidR="008D2F10" w:rsidRPr="00D43575" w:rsidRDefault="008D2F10" w:rsidP="00FC6BA7">
            <w:pPr>
              <w:keepNext/>
              <w:keepLines/>
              <w:tabs>
                <w:tab w:val="left" w:pos="288"/>
                <w:tab w:val="left" w:pos="576"/>
                <w:tab w:val="left" w:pos="864"/>
                <w:tab w:val="left" w:pos="1152"/>
              </w:tabs>
              <w:spacing w:before="40" w:after="40" w:line="210" w:lineRule="exact"/>
              <w:ind w:left="34" w:right="40"/>
              <w:jc w:val="right"/>
              <w:rPr>
                <w:sz w:val="17"/>
              </w:rPr>
            </w:pPr>
          </w:p>
        </w:tc>
        <w:tc>
          <w:tcPr>
            <w:tcW w:w="761" w:type="dxa"/>
            <w:gridSpan w:val="2"/>
            <w:tcBorders>
              <w:top w:val="single" w:sz="12" w:space="0" w:color="auto"/>
            </w:tcBorders>
            <w:shd w:val="clear" w:color="auto" w:fill="auto"/>
            <w:vAlign w:val="bottom"/>
          </w:tcPr>
          <w:p w14:paraId="048B8323" w14:textId="77777777" w:rsidR="008D2F10" w:rsidRPr="00D43575" w:rsidRDefault="008D2F10" w:rsidP="00FC6BA7">
            <w:pPr>
              <w:keepNext/>
              <w:keepLines/>
              <w:tabs>
                <w:tab w:val="left" w:pos="288"/>
                <w:tab w:val="left" w:pos="576"/>
                <w:tab w:val="left" w:pos="864"/>
                <w:tab w:val="left" w:pos="1152"/>
              </w:tabs>
              <w:spacing w:before="40" w:after="40" w:line="210" w:lineRule="exact"/>
              <w:ind w:left="34" w:right="40"/>
              <w:jc w:val="right"/>
              <w:rPr>
                <w:sz w:val="17"/>
              </w:rPr>
            </w:pPr>
          </w:p>
        </w:tc>
        <w:tc>
          <w:tcPr>
            <w:tcW w:w="696" w:type="dxa"/>
            <w:tcBorders>
              <w:top w:val="single" w:sz="12" w:space="0" w:color="auto"/>
            </w:tcBorders>
            <w:shd w:val="clear" w:color="auto" w:fill="auto"/>
            <w:vAlign w:val="bottom"/>
          </w:tcPr>
          <w:p w14:paraId="773294E0" w14:textId="77777777" w:rsidR="008D2F10" w:rsidRPr="00D43575" w:rsidRDefault="008D2F10" w:rsidP="00FC6BA7">
            <w:pPr>
              <w:keepNext/>
              <w:keepLines/>
              <w:tabs>
                <w:tab w:val="left" w:pos="288"/>
                <w:tab w:val="left" w:pos="576"/>
                <w:tab w:val="left" w:pos="864"/>
                <w:tab w:val="left" w:pos="1152"/>
              </w:tabs>
              <w:spacing w:before="40" w:after="40" w:line="210" w:lineRule="exact"/>
              <w:ind w:left="34" w:right="40"/>
              <w:jc w:val="right"/>
              <w:rPr>
                <w:sz w:val="17"/>
              </w:rPr>
            </w:pPr>
          </w:p>
        </w:tc>
        <w:tc>
          <w:tcPr>
            <w:tcW w:w="789" w:type="dxa"/>
            <w:gridSpan w:val="2"/>
            <w:tcBorders>
              <w:top w:val="single" w:sz="12" w:space="0" w:color="auto"/>
            </w:tcBorders>
            <w:shd w:val="clear" w:color="auto" w:fill="auto"/>
            <w:vAlign w:val="bottom"/>
          </w:tcPr>
          <w:p w14:paraId="6A865A4C" w14:textId="77777777" w:rsidR="008D2F10" w:rsidRPr="00D43575" w:rsidRDefault="008D2F10" w:rsidP="00FC6BA7">
            <w:pPr>
              <w:keepNext/>
              <w:keepLines/>
              <w:tabs>
                <w:tab w:val="left" w:pos="288"/>
                <w:tab w:val="left" w:pos="576"/>
                <w:tab w:val="left" w:pos="864"/>
                <w:tab w:val="left" w:pos="1152"/>
              </w:tabs>
              <w:spacing w:before="40" w:after="40" w:line="210" w:lineRule="exact"/>
              <w:ind w:left="34" w:right="40"/>
              <w:jc w:val="right"/>
              <w:rPr>
                <w:sz w:val="17"/>
              </w:rPr>
            </w:pPr>
          </w:p>
        </w:tc>
        <w:tc>
          <w:tcPr>
            <w:tcW w:w="668" w:type="dxa"/>
            <w:tcBorders>
              <w:top w:val="single" w:sz="12" w:space="0" w:color="auto"/>
            </w:tcBorders>
            <w:shd w:val="clear" w:color="auto" w:fill="auto"/>
            <w:vAlign w:val="bottom"/>
          </w:tcPr>
          <w:p w14:paraId="3F42F871" w14:textId="77777777" w:rsidR="008D2F10" w:rsidRPr="00D43575" w:rsidRDefault="008D2F10" w:rsidP="00FC6BA7">
            <w:pPr>
              <w:keepNext/>
              <w:keepLines/>
              <w:tabs>
                <w:tab w:val="left" w:pos="288"/>
                <w:tab w:val="left" w:pos="576"/>
                <w:tab w:val="left" w:pos="864"/>
                <w:tab w:val="left" w:pos="1152"/>
              </w:tabs>
              <w:spacing w:before="40" w:after="40" w:line="210" w:lineRule="exact"/>
              <w:ind w:left="34" w:right="40"/>
              <w:jc w:val="right"/>
              <w:rPr>
                <w:sz w:val="17"/>
              </w:rPr>
            </w:pPr>
          </w:p>
        </w:tc>
        <w:tc>
          <w:tcPr>
            <w:tcW w:w="728" w:type="dxa"/>
            <w:gridSpan w:val="2"/>
            <w:tcBorders>
              <w:top w:val="single" w:sz="12" w:space="0" w:color="auto"/>
            </w:tcBorders>
            <w:shd w:val="clear" w:color="auto" w:fill="auto"/>
            <w:vAlign w:val="bottom"/>
          </w:tcPr>
          <w:p w14:paraId="0741D0EF" w14:textId="77777777" w:rsidR="008D2F10" w:rsidRPr="00D43575" w:rsidRDefault="008D2F10" w:rsidP="00FC6BA7">
            <w:pPr>
              <w:keepNext/>
              <w:keepLines/>
              <w:tabs>
                <w:tab w:val="left" w:pos="288"/>
                <w:tab w:val="left" w:pos="576"/>
                <w:tab w:val="left" w:pos="864"/>
                <w:tab w:val="left" w:pos="1152"/>
              </w:tabs>
              <w:spacing w:before="40" w:after="40" w:line="210" w:lineRule="exact"/>
              <w:ind w:left="34" w:right="40"/>
              <w:jc w:val="right"/>
              <w:rPr>
                <w:sz w:val="17"/>
              </w:rPr>
            </w:pPr>
          </w:p>
        </w:tc>
        <w:tc>
          <w:tcPr>
            <w:tcW w:w="729" w:type="dxa"/>
            <w:tcBorders>
              <w:top w:val="single" w:sz="12" w:space="0" w:color="auto"/>
            </w:tcBorders>
            <w:shd w:val="clear" w:color="auto" w:fill="auto"/>
            <w:vAlign w:val="bottom"/>
          </w:tcPr>
          <w:p w14:paraId="02F9180D" w14:textId="77777777" w:rsidR="008D2F10" w:rsidRPr="00D43575" w:rsidRDefault="008D2F10" w:rsidP="00FC6BA7">
            <w:pPr>
              <w:keepNext/>
              <w:keepLines/>
              <w:tabs>
                <w:tab w:val="left" w:pos="288"/>
                <w:tab w:val="left" w:pos="576"/>
                <w:tab w:val="left" w:pos="864"/>
                <w:tab w:val="left" w:pos="1152"/>
              </w:tabs>
              <w:spacing w:before="40" w:after="40" w:line="210" w:lineRule="exact"/>
              <w:ind w:left="34" w:right="40"/>
              <w:jc w:val="right"/>
              <w:rPr>
                <w:sz w:val="17"/>
              </w:rPr>
            </w:pPr>
          </w:p>
        </w:tc>
      </w:tr>
      <w:tr w:rsidR="008D2F10" w:rsidRPr="00D43575" w14:paraId="4755E22F" w14:textId="77777777" w:rsidTr="00384187">
        <w:tc>
          <w:tcPr>
            <w:tcW w:w="1620" w:type="dxa"/>
            <w:shd w:val="clear" w:color="auto" w:fill="auto"/>
            <w:vAlign w:val="bottom"/>
          </w:tcPr>
          <w:p w14:paraId="3F9604DE"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Facultad de Humanidades y Ciencias</w:t>
            </w:r>
          </w:p>
        </w:tc>
        <w:tc>
          <w:tcPr>
            <w:tcW w:w="728" w:type="dxa"/>
            <w:shd w:val="clear" w:color="auto" w:fill="auto"/>
            <w:vAlign w:val="bottom"/>
          </w:tcPr>
          <w:p w14:paraId="79458A3E"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49</w:t>
            </w:r>
          </w:p>
        </w:tc>
        <w:tc>
          <w:tcPr>
            <w:tcW w:w="728" w:type="dxa"/>
            <w:shd w:val="clear" w:color="auto" w:fill="auto"/>
            <w:vAlign w:val="bottom"/>
          </w:tcPr>
          <w:p w14:paraId="7BD5654E"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54</w:t>
            </w:r>
          </w:p>
        </w:tc>
        <w:tc>
          <w:tcPr>
            <w:tcW w:w="761" w:type="dxa"/>
            <w:gridSpan w:val="2"/>
            <w:shd w:val="clear" w:color="auto" w:fill="auto"/>
            <w:vAlign w:val="bottom"/>
          </w:tcPr>
          <w:p w14:paraId="449C5A0C"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48</w:t>
            </w:r>
          </w:p>
        </w:tc>
        <w:tc>
          <w:tcPr>
            <w:tcW w:w="696" w:type="dxa"/>
            <w:shd w:val="clear" w:color="auto" w:fill="auto"/>
            <w:vAlign w:val="bottom"/>
          </w:tcPr>
          <w:p w14:paraId="3D3749D0"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48</w:t>
            </w:r>
          </w:p>
        </w:tc>
        <w:tc>
          <w:tcPr>
            <w:tcW w:w="789" w:type="dxa"/>
            <w:gridSpan w:val="2"/>
            <w:shd w:val="clear" w:color="auto" w:fill="auto"/>
            <w:vAlign w:val="bottom"/>
          </w:tcPr>
          <w:p w14:paraId="0D178708"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66</w:t>
            </w:r>
          </w:p>
        </w:tc>
        <w:tc>
          <w:tcPr>
            <w:tcW w:w="668" w:type="dxa"/>
            <w:shd w:val="clear" w:color="auto" w:fill="auto"/>
            <w:vAlign w:val="bottom"/>
          </w:tcPr>
          <w:p w14:paraId="5AA408E8"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57</w:t>
            </w:r>
          </w:p>
        </w:tc>
        <w:tc>
          <w:tcPr>
            <w:tcW w:w="728" w:type="dxa"/>
            <w:gridSpan w:val="2"/>
            <w:shd w:val="clear" w:color="auto" w:fill="auto"/>
            <w:vAlign w:val="bottom"/>
          </w:tcPr>
          <w:p w14:paraId="61F6A5AA"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75</w:t>
            </w:r>
          </w:p>
        </w:tc>
        <w:tc>
          <w:tcPr>
            <w:tcW w:w="729" w:type="dxa"/>
            <w:shd w:val="clear" w:color="auto" w:fill="auto"/>
            <w:vAlign w:val="bottom"/>
          </w:tcPr>
          <w:p w14:paraId="4E3E4E7D" w14:textId="77777777" w:rsidR="008D2F10" w:rsidRPr="00D43575" w:rsidRDefault="008D2F10" w:rsidP="00FC6BA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69</w:t>
            </w:r>
          </w:p>
        </w:tc>
      </w:tr>
      <w:tr w:rsidR="008D2F10" w:rsidRPr="00D43575" w14:paraId="0090F098" w14:textId="77777777" w:rsidTr="00384187">
        <w:tc>
          <w:tcPr>
            <w:tcW w:w="1620" w:type="dxa"/>
            <w:shd w:val="clear" w:color="auto" w:fill="auto"/>
            <w:vAlign w:val="bottom"/>
          </w:tcPr>
          <w:p w14:paraId="44D2F792"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Facultad de Economía y Empresariales</w:t>
            </w:r>
          </w:p>
        </w:tc>
        <w:tc>
          <w:tcPr>
            <w:tcW w:w="728" w:type="dxa"/>
            <w:shd w:val="clear" w:color="auto" w:fill="auto"/>
            <w:vAlign w:val="bottom"/>
          </w:tcPr>
          <w:p w14:paraId="6C70755A"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46</w:t>
            </w:r>
          </w:p>
        </w:tc>
        <w:tc>
          <w:tcPr>
            <w:tcW w:w="728" w:type="dxa"/>
            <w:shd w:val="clear" w:color="auto" w:fill="auto"/>
            <w:vAlign w:val="bottom"/>
          </w:tcPr>
          <w:p w14:paraId="3152EB51"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61</w:t>
            </w:r>
          </w:p>
        </w:tc>
        <w:tc>
          <w:tcPr>
            <w:tcW w:w="761" w:type="dxa"/>
            <w:gridSpan w:val="2"/>
            <w:shd w:val="clear" w:color="auto" w:fill="auto"/>
            <w:vAlign w:val="bottom"/>
          </w:tcPr>
          <w:p w14:paraId="551A5260"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39</w:t>
            </w:r>
          </w:p>
        </w:tc>
        <w:tc>
          <w:tcPr>
            <w:tcW w:w="696" w:type="dxa"/>
            <w:shd w:val="clear" w:color="auto" w:fill="auto"/>
            <w:vAlign w:val="bottom"/>
          </w:tcPr>
          <w:p w14:paraId="6DD6FF72"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55</w:t>
            </w:r>
          </w:p>
        </w:tc>
        <w:tc>
          <w:tcPr>
            <w:tcW w:w="789" w:type="dxa"/>
            <w:gridSpan w:val="2"/>
            <w:shd w:val="clear" w:color="auto" w:fill="auto"/>
            <w:vAlign w:val="bottom"/>
          </w:tcPr>
          <w:p w14:paraId="6C1298B2"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56</w:t>
            </w:r>
          </w:p>
        </w:tc>
        <w:tc>
          <w:tcPr>
            <w:tcW w:w="668" w:type="dxa"/>
            <w:shd w:val="clear" w:color="auto" w:fill="auto"/>
            <w:vAlign w:val="bottom"/>
          </w:tcPr>
          <w:p w14:paraId="2078CE3E"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57</w:t>
            </w:r>
          </w:p>
        </w:tc>
        <w:tc>
          <w:tcPr>
            <w:tcW w:w="728" w:type="dxa"/>
            <w:gridSpan w:val="2"/>
            <w:shd w:val="clear" w:color="auto" w:fill="auto"/>
            <w:vAlign w:val="bottom"/>
          </w:tcPr>
          <w:p w14:paraId="558CD173"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49</w:t>
            </w:r>
          </w:p>
        </w:tc>
        <w:tc>
          <w:tcPr>
            <w:tcW w:w="729" w:type="dxa"/>
            <w:shd w:val="clear" w:color="auto" w:fill="auto"/>
            <w:vAlign w:val="bottom"/>
          </w:tcPr>
          <w:p w14:paraId="164C1A12"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53</w:t>
            </w:r>
          </w:p>
        </w:tc>
      </w:tr>
      <w:tr w:rsidR="008D2F10" w:rsidRPr="00D43575" w14:paraId="37E67D9E" w14:textId="77777777" w:rsidTr="00384187">
        <w:tc>
          <w:tcPr>
            <w:tcW w:w="1620" w:type="dxa"/>
            <w:shd w:val="clear" w:color="auto" w:fill="auto"/>
            <w:vAlign w:val="bottom"/>
          </w:tcPr>
          <w:p w14:paraId="536AB8B5" w14:textId="77777777" w:rsidR="008D2F10" w:rsidRPr="00D43575" w:rsidRDefault="008D2F10" w:rsidP="00C5170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D43575">
              <w:rPr>
                <w:sz w:val="17"/>
              </w:rPr>
              <w:t>Facultad de Educación</w:t>
            </w:r>
          </w:p>
        </w:tc>
        <w:tc>
          <w:tcPr>
            <w:tcW w:w="728" w:type="dxa"/>
            <w:shd w:val="clear" w:color="auto" w:fill="auto"/>
            <w:vAlign w:val="bottom"/>
          </w:tcPr>
          <w:p w14:paraId="403CC827" w14:textId="77777777" w:rsidR="008D2F10" w:rsidRPr="00D43575" w:rsidRDefault="008D2F10" w:rsidP="00C5170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43575">
              <w:rPr>
                <w:sz w:val="17"/>
              </w:rPr>
              <w:t>22</w:t>
            </w:r>
          </w:p>
        </w:tc>
        <w:tc>
          <w:tcPr>
            <w:tcW w:w="728" w:type="dxa"/>
            <w:shd w:val="clear" w:color="auto" w:fill="auto"/>
            <w:vAlign w:val="bottom"/>
          </w:tcPr>
          <w:p w14:paraId="76D761A6" w14:textId="77777777" w:rsidR="008D2F10" w:rsidRPr="00D43575" w:rsidRDefault="008D2F10" w:rsidP="00C5170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43575">
              <w:rPr>
                <w:sz w:val="17"/>
              </w:rPr>
              <w:t>69</w:t>
            </w:r>
          </w:p>
        </w:tc>
        <w:tc>
          <w:tcPr>
            <w:tcW w:w="761" w:type="dxa"/>
            <w:gridSpan w:val="2"/>
            <w:shd w:val="clear" w:color="auto" w:fill="auto"/>
            <w:vAlign w:val="bottom"/>
          </w:tcPr>
          <w:p w14:paraId="3FCA0335" w14:textId="77777777" w:rsidR="008D2F10" w:rsidRPr="00D43575" w:rsidRDefault="008D2F10" w:rsidP="00C5170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43575">
              <w:rPr>
                <w:sz w:val="17"/>
              </w:rPr>
              <w:t>6</w:t>
            </w:r>
          </w:p>
        </w:tc>
        <w:tc>
          <w:tcPr>
            <w:tcW w:w="696" w:type="dxa"/>
            <w:shd w:val="clear" w:color="auto" w:fill="auto"/>
            <w:vAlign w:val="bottom"/>
          </w:tcPr>
          <w:p w14:paraId="43E9E34B" w14:textId="77777777" w:rsidR="008D2F10" w:rsidRPr="00D43575" w:rsidRDefault="008D2F10" w:rsidP="00C5170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43575">
              <w:rPr>
                <w:sz w:val="17"/>
              </w:rPr>
              <w:t>53</w:t>
            </w:r>
          </w:p>
        </w:tc>
        <w:tc>
          <w:tcPr>
            <w:tcW w:w="789" w:type="dxa"/>
            <w:gridSpan w:val="2"/>
            <w:shd w:val="clear" w:color="auto" w:fill="auto"/>
            <w:vAlign w:val="bottom"/>
          </w:tcPr>
          <w:p w14:paraId="7EC18251" w14:textId="77777777" w:rsidR="008D2F10" w:rsidRPr="00D43575" w:rsidRDefault="008D2F10" w:rsidP="00C5170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43575">
              <w:rPr>
                <w:sz w:val="17"/>
              </w:rPr>
              <w:t>69</w:t>
            </w:r>
          </w:p>
        </w:tc>
        <w:tc>
          <w:tcPr>
            <w:tcW w:w="668" w:type="dxa"/>
            <w:shd w:val="clear" w:color="auto" w:fill="auto"/>
            <w:vAlign w:val="bottom"/>
          </w:tcPr>
          <w:p w14:paraId="60B167F7" w14:textId="77777777" w:rsidR="008D2F10" w:rsidRPr="00D43575" w:rsidRDefault="008D2F10" w:rsidP="00C5170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43575">
              <w:rPr>
                <w:sz w:val="17"/>
              </w:rPr>
              <w:t>68</w:t>
            </w:r>
          </w:p>
        </w:tc>
        <w:tc>
          <w:tcPr>
            <w:tcW w:w="728" w:type="dxa"/>
            <w:gridSpan w:val="2"/>
            <w:shd w:val="clear" w:color="auto" w:fill="auto"/>
            <w:vAlign w:val="bottom"/>
          </w:tcPr>
          <w:p w14:paraId="10EE6964" w14:textId="77777777" w:rsidR="008D2F10" w:rsidRPr="00D43575" w:rsidRDefault="008D2F10" w:rsidP="00C5170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43575">
              <w:rPr>
                <w:sz w:val="17"/>
              </w:rPr>
              <w:t>50</w:t>
            </w:r>
          </w:p>
        </w:tc>
        <w:tc>
          <w:tcPr>
            <w:tcW w:w="729" w:type="dxa"/>
            <w:shd w:val="clear" w:color="auto" w:fill="auto"/>
            <w:vAlign w:val="bottom"/>
          </w:tcPr>
          <w:p w14:paraId="254DE211" w14:textId="77777777" w:rsidR="008D2F10" w:rsidRPr="00D43575" w:rsidRDefault="008D2F10" w:rsidP="00C51702">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rPr>
            </w:pPr>
            <w:r w:rsidRPr="00D43575">
              <w:rPr>
                <w:sz w:val="17"/>
              </w:rPr>
              <w:t>61</w:t>
            </w:r>
          </w:p>
        </w:tc>
      </w:tr>
      <w:tr w:rsidR="008D2F10" w:rsidRPr="00D43575" w14:paraId="0DA67849" w14:textId="77777777" w:rsidTr="00384187">
        <w:tc>
          <w:tcPr>
            <w:tcW w:w="1620" w:type="dxa"/>
            <w:shd w:val="clear" w:color="auto" w:fill="auto"/>
            <w:vAlign w:val="bottom"/>
          </w:tcPr>
          <w:p w14:paraId="206DEF44"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Facultad de Ingeniería</w:t>
            </w:r>
          </w:p>
        </w:tc>
        <w:tc>
          <w:tcPr>
            <w:tcW w:w="728" w:type="dxa"/>
            <w:shd w:val="clear" w:color="auto" w:fill="auto"/>
            <w:vAlign w:val="bottom"/>
          </w:tcPr>
          <w:p w14:paraId="3480C784"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39</w:t>
            </w:r>
          </w:p>
        </w:tc>
        <w:tc>
          <w:tcPr>
            <w:tcW w:w="728" w:type="dxa"/>
            <w:shd w:val="clear" w:color="auto" w:fill="auto"/>
            <w:vAlign w:val="bottom"/>
          </w:tcPr>
          <w:p w14:paraId="4B72D530"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59</w:t>
            </w:r>
          </w:p>
        </w:tc>
        <w:tc>
          <w:tcPr>
            <w:tcW w:w="761" w:type="dxa"/>
            <w:gridSpan w:val="2"/>
            <w:shd w:val="clear" w:color="auto" w:fill="auto"/>
            <w:vAlign w:val="bottom"/>
          </w:tcPr>
          <w:p w14:paraId="0F698229"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39</w:t>
            </w:r>
          </w:p>
        </w:tc>
        <w:tc>
          <w:tcPr>
            <w:tcW w:w="696" w:type="dxa"/>
            <w:shd w:val="clear" w:color="auto" w:fill="auto"/>
            <w:vAlign w:val="bottom"/>
          </w:tcPr>
          <w:p w14:paraId="5DB30BB3"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57</w:t>
            </w:r>
          </w:p>
        </w:tc>
        <w:tc>
          <w:tcPr>
            <w:tcW w:w="789" w:type="dxa"/>
            <w:gridSpan w:val="2"/>
            <w:shd w:val="clear" w:color="auto" w:fill="auto"/>
            <w:vAlign w:val="bottom"/>
          </w:tcPr>
          <w:p w14:paraId="38D4C3B2"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38</w:t>
            </w:r>
          </w:p>
        </w:tc>
        <w:tc>
          <w:tcPr>
            <w:tcW w:w="668" w:type="dxa"/>
            <w:shd w:val="clear" w:color="auto" w:fill="auto"/>
            <w:vAlign w:val="bottom"/>
          </w:tcPr>
          <w:p w14:paraId="55644C32"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50</w:t>
            </w:r>
          </w:p>
        </w:tc>
        <w:tc>
          <w:tcPr>
            <w:tcW w:w="728" w:type="dxa"/>
            <w:gridSpan w:val="2"/>
            <w:shd w:val="clear" w:color="auto" w:fill="auto"/>
            <w:vAlign w:val="bottom"/>
          </w:tcPr>
          <w:p w14:paraId="03CBED6A"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53</w:t>
            </w:r>
          </w:p>
        </w:tc>
        <w:tc>
          <w:tcPr>
            <w:tcW w:w="729" w:type="dxa"/>
            <w:shd w:val="clear" w:color="auto" w:fill="auto"/>
            <w:vAlign w:val="bottom"/>
          </w:tcPr>
          <w:p w14:paraId="415FA76B"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53</w:t>
            </w:r>
          </w:p>
        </w:tc>
      </w:tr>
      <w:tr w:rsidR="008D2F10" w:rsidRPr="00D43575" w14:paraId="63F454DE" w14:textId="77777777" w:rsidTr="00384187">
        <w:tc>
          <w:tcPr>
            <w:tcW w:w="1620" w:type="dxa"/>
            <w:shd w:val="clear" w:color="auto" w:fill="auto"/>
            <w:vAlign w:val="bottom"/>
          </w:tcPr>
          <w:p w14:paraId="466135C7"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Facultad de Ciencias de la Salud</w:t>
            </w:r>
          </w:p>
        </w:tc>
        <w:tc>
          <w:tcPr>
            <w:tcW w:w="728" w:type="dxa"/>
            <w:shd w:val="clear" w:color="auto" w:fill="auto"/>
            <w:vAlign w:val="bottom"/>
          </w:tcPr>
          <w:p w14:paraId="1A58E20C"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728" w:type="dxa"/>
            <w:shd w:val="clear" w:color="auto" w:fill="auto"/>
            <w:vAlign w:val="bottom"/>
          </w:tcPr>
          <w:p w14:paraId="5EE49629"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761" w:type="dxa"/>
            <w:gridSpan w:val="2"/>
            <w:shd w:val="clear" w:color="auto" w:fill="auto"/>
            <w:vAlign w:val="bottom"/>
          </w:tcPr>
          <w:p w14:paraId="02619EC1"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696" w:type="dxa"/>
            <w:shd w:val="clear" w:color="auto" w:fill="auto"/>
            <w:vAlign w:val="bottom"/>
          </w:tcPr>
          <w:p w14:paraId="76140F40"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789" w:type="dxa"/>
            <w:gridSpan w:val="2"/>
            <w:shd w:val="clear" w:color="auto" w:fill="auto"/>
            <w:vAlign w:val="bottom"/>
          </w:tcPr>
          <w:p w14:paraId="7A9A12D8"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668" w:type="dxa"/>
            <w:shd w:val="clear" w:color="auto" w:fill="auto"/>
            <w:vAlign w:val="bottom"/>
          </w:tcPr>
          <w:p w14:paraId="03D1DE56"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43</w:t>
            </w:r>
          </w:p>
        </w:tc>
        <w:tc>
          <w:tcPr>
            <w:tcW w:w="728" w:type="dxa"/>
            <w:gridSpan w:val="2"/>
            <w:shd w:val="clear" w:color="auto" w:fill="auto"/>
            <w:vAlign w:val="bottom"/>
          </w:tcPr>
          <w:p w14:paraId="254B3214"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729" w:type="dxa"/>
            <w:shd w:val="clear" w:color="auto" w:fill="auto"/>
            <w:vAlign w:val="bottom"/>
          </w:tcPr>
          <w:p w14:paraId="50CD02E1"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42</w:t>
            </w:r>
          </w:p>
        </w:tc>
      </w:tr>
      <w:tr w:rsidR="008D2F10" w:rsidRPr="00D43575" w14:paraId="30B92649" w14:textId="77777777" w:rsidTr="00384187">
        <w:tc>
          <w:tcPr>
            <w:tcW w:w="1620" w:type="dxa"/>
            <w:shd w:val="clear" w:color="auto" w:fill="auto"/>
            <w:vAlign w:val="bottom"/>
          </w:tcPr>
          <w:p w14:paraId="2F68AE67"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Facultad de Derecho</w:t>
            </w:r>
          </w:p>
        </w:tc>
        <w:tc>
          <w:tcPr>
            <w:tcW w:w="728" w:type="dxa"/>
            <w:shd w:val="clear" w:color="auto" w:fill="auto"/>
            <w:vAlign w:val="bottom"/>
          </w:tcPr>
          <w:p w14:paraId="5DF77285"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64</w:t>
            </w:r>
          </w:p>
        </w:tc>
        <w:tc>
          <w:tcPr>
            <w:tcW w:w="728" w:type="dxa"/>
            <w:shd w:val="clear" w:color="auto" w:fill="auto"/>
            <w:vAlign w:val="bottom"/>
          </w:tcPr>
          <w:p w14:paraId="78F12EA1"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67</w:t>
            </w:r>
          </w:p>
        </w:tc>
        <w:tc>
          <w:tcPr>
            <w:tcW w:w="761" w:type="dxa"/>
            <w:gridSpan w:val="2"/>
            <w:shd w:val="clear" w:color="auto" w:fill="auto"/>
            <w:vAlign w:val="bottom"/>
          </w:tcPr>
          <w:p w14:paraId="5796E048"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49</w:t>
            </w:r>
          </w:p>
        </w:tc>
        <w:tc>
          <w:tcPr>
            <w:tcW w:w="696" w:type="dxa"/>
            <w:shd w:val="clear" w:color="auto" w:fill="auto"/>
            <w:vAlign w:val="bottom"/>
          </w:tcPr>
          <w:p w14:paraId="5227057E"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56</w:t>
            </w:r>
          </w:p>
        </w:tc>
        <w:tc>
          <w:tcPr>
            <w:tcW w:w="789" w:type="dxa"/>
            <w:gridSpan w:val="2"/>
            <w:shd w:val="clear" w:color="auto" w:fill="auto"/>
            <w:vAlign w:val="bottom"/>
          </w:tcPr>
          <w:p w14:paraId="3E0A9CB9"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66</w:t>
            </w:r>
          </w:p>
        </w:tc>
        <w:tc>
          <w:tcPr>
            <w:tcW w:w="668" w:type="dxa"/>
            <w:shd w:val="clear" w:color="auto" w:fill="auto"/>
            <w:vAlign w:val="bottom"/>
          </w:tcPr>
          <w:p w14:paraId="382B38E7"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54</w:t>
            </w:r>
          </w:p>
        </w:tc>
        <w:tc>
          <w:tcPr>
            <w:tcW w:w="728" w:type="dxa"/>
            <w:gridSpan w:val="2"/>
            <w:shd w:val="clear" w:color="auto" w:fill="auto"/>
            <w:vAlign w:val="bottom"/>
          </w:tcPr>
          <w:p w14:paraId="6D32CBA2"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58</w:t>
            </w:r>
          </w:p>
        </w:tc>
        <w:tc>
          <w:tcPr>
            <w:tcW w:w="729" w:type="dxa"/>
            <w:shd w:val="clear" w:color="auto" w:fill="auto"/>
            <w:vAlign w:val="bottom"/>
          </w:tcPr>
          <w:p w14:paraId="50BAFE43"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58</w:t>
            </w:r>
          </w:p>
        </w:tc>
      </w:tr>
      <w:tr w:rsidR="008D2F10" w:rsidRPr="00D43575" w14:paraId="12812D63" w14:textId="77777777" w:rsidTr="00384187">
        <w:tc>
          <w:tcPr>
            <w:tcW w:w="1620" w:type="dxa"/>
            <w:shd w:val="clear" w:color="auto" w:fill="auto"/>
            <w:vAlign w:val="bottom"/>
          </w:tcPr>
          <w:p w14:paraId="49FE7F1C"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Facultad de Medicina</w:t>
            </w:r>
          </w:p>
        </w:tc>
        <w:tc>
          <w:tcPr>
            <w:tcW w:w="728" w:type="dxa"/>
            <w:shd w:val="clear" w:color="auto" w:fill="auto"/>
            <w:vAlign w:val="bottom"/>
          </w:tcPr>
          <w:p w14:paraId="435F1EAD"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728" w:type="dxa"/>
            <w:shd w:val="clear" w:color="auto" w:fill="auto"/>
            <w:vAlign w:val="bottom"/>
          </w:tcPr>
          <w:p w14:paraId="3328B3F5"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761" w:type="dxa"/>
            <w:gridSpan w:val="2"/>
            <w:shd w:val="clear" w:color="auto" w:fill="auto"/>
            <w:vAlign w:val="bottom"/>
          </w:tcPr>
          <w:p w14:paraId="3B8C8111"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17</w:t>
            </w:r>
          </w:p>
        </w:tc>
        <w:tc>
          <w:tcPr>
            <w:tcW w:w="696" w:type="dxa"/>
            <w:shd w:val="clear" w:color="auto" w:fill="auto"/>
            <w:vAlign w:val="bottom"/>
          </w:tcPr>
          <w:p w14:paraId="18403275"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24</w:t>
            </w:r>
          </w:p>
        </w:tc>
        <w:tc>
          <w:tcPr>
            <w:tcW w:w="789" w:type="dxa"/>
            <w:gridSpan w:val="2"/>
            <w:shd w:val="clear" w:color="auto" w:fill="auto"/>
            <w:vAlign w:val="bottom"/>
          </w:tcPr>
          <w:p w14:paraId="71DC7EB4"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24</w:t>
            </w:r>
          </w:p>
        </w:tc>
        <w:tc>
          <w:tcPr>
            <w:tcW w:w="668" w:type="dxa"/>
            <w:shd w:val="clear" w:color="auto" w:fill="auto"/>
            <w:vAlign w:val="bottom"/>
          </w:tcPr>
          <w:p w14:paraId="32F5B52E"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27</w:t>
            </w:r>
          </w:p>
        </w:tc>
        <w:tc>
          <w:tcPr>
            <w:tcW w:w="728" w:type="dxa"/>
            <w:gridSpan w:val="2"/>
            <w:shd w:val="clear" w:color="auto" w:fill="auto"/>
            <w:vAlign w:val="bottom"/>
          </w:tcPr>
          <w:p w14:paraId="17346DDF"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19</w:t>
            </w:r>
          </w:p>
        </w:tc>
        <w:tc>
          <w:tcPr>
            <w:tcW w:w="729" w:type="dxa"/>
            <w:shd w:val="clear" w:color="auto" w:fill="auto"/>
            <w:vAlign w:val="bottom"/>
          </w:tcPr>
          <w:p w14:paraId="5167B46A"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19</w:t>
            </w:r>
          </w:p>
        </w:tc>
      </w:tr>
      <w:tr w:rsidR="008D2F10" w:rsidRPr="00D43575" w14:paraId="2268DCF5" w14:textId="77777777" w:rsidTr="00384187">
        <w:tc>
          <w:tcPr>
            <w:tcW w:w="1620" w:type="dxa"/>
            <w:shd w:val="clear" w:color="auto" w:fill="auto"/>
            <w:vAlign w:val="bottom"/>
          </w:tcPr>
          <w:p w14:paraId="00B6F181"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Facultad de Farmacia</w:t>
            </w:r>
          </w:p>
        </w:tc>
        <w:tc>
          <w:tcPr>
            <w:tcW w:w="728" w:type="dxa"/>
            <w:shd w:val="clear" w:color="auto" w:fill="auto"/>
            <w:vAlign w:val="bottom"/>
          </w:tcPr>
          <w:p w14:paraId="055BA0BB"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728" w:type="dxa"/>
            <w:shd w:val="clear" w:color="auto" w:fill="auto"/>
            <w:vAlign w:val="bottom"/>
          </w:tcPr>
          <w:p w14:paraId="2731E89F"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22</w:t>
            </w:r>
          </w:p>
        </w:tc>
        <w:tc>
          <w:tcPr>
            <w:tcW w:w="761" w:type="dxa"/>
            <w:gridSpan w:val="2"/>
            <w:shd w:val="clear" w:color="auto" w:fill="auto"/>
            <w:vAlign w:val="bottom"/>
          </w:tcPr>
          <w:p w14:paraId="40B5F40F"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696" w:type="dxa"/>
            <w:shd w:val="clear" w:color="auto" w:fill="auto"/>
            <w:vAlign w:val="bottom"/>
          </w:tcPr>
          <w:p w14:paraId="1F60CB44"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40</w:t>
            </w:r>
          </w:p>
        </w:tc>
        <w:tc>
          <w:tcPr>
            <w:tcW w:w="789" w:type="dxa"/>
            <w:gridSpan w:val="2"/>
            <w:shd w:val="clear" w:color="auto" w:fill="auto"/>
            <w:vAlign w:val="bottom"/>
          </w:tcPr>
          <w:p w14:paraId="5F62A965"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668" w:type="dxa"/>
            <w:shd w:val="clear" w:color="auto" w:fill="auto"/>
            <w:vAlign w:val="bottom"/>
          </w:tcPr>
          <w:p w14:paraId="670982A6"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37</w:t>
            </w:r>
          </w:p>
        </w:tc>
        <w:tc>
          <w:tcPr>
            <w:tcW w:w="728" w:type="dxa"/>
            <w:gridSpan w:val="2"/>
            <w:shd w:val="clear" w:color="auto" w:fill="auto"/>
            <w:vAlign w:val="bottom"/>
          </w:tcPr>
          <w:p w14:paraId="72E5F6EA"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0</w:t>
            </w:r>
          </w:p>
        </w:tc>
        <w:tc>
          <w:tcPr>
            <w:tcW w:w="729" w:type="dxa"/>
            <w:shd w:val="clear" w:color="auto" w:fill="auto"/>
            <w:vAlign w:val="bottom"/>
          </w:tcPr>
          <w:p w14:paraId="7B3E5C53"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48</w:t>
            </w:r>
          </w:p>
        </w:tc>
      </w:tr>
      <w:tr w:rsidR="008D2F10" w:rsidRPr="00D43575" w14:paraId="434EA1AF" w14:textId="77777777" w:rsidTr="00384187">
        <w:tc>
          <w:tcPr>
            <w:tcW w:w="1620" w:type="dxa"/>
            <w:shd w:val="clear" w:color="auto" w:fill="auto"/>
            <w:vAlign w:val="bottom"/>
          </w:tcPr>
          <w:p w14:paraId="2BF15FC6"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 xml:space="preserve">Facultad de la </w:t>
            </w:r>
            <w:r w:rsidRPr="00D43575">
              <w:rPr>
                <w:i/>
                <w:sz w:val="17"/>
              </w:rPr>
              <w:t>Sharia</w:t>
            </w:r>
            <w:r w:rsidRPr="00D43575">
              <w:rPr>
                <w:sz w:val="17"/>
              </w:rPr>
              <w:t xml:space="preserve"> y Estudios Islámicos</w:t>
            </w:r>
          </w:p>
        </w:tc>
        <w:tc>
          <w:tcPr>
            <w:tcW w:w="728" w:type="dxa"/>
            <w:shd w:val="clear" w:color="auto" w:fill="auto"/>
            <w:vAlign w:val="bottom"/>
          </w:tcPr>
          <w:p w14:paraId="65F3EE51"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21</w:t>
            </w:r>
          </w:p>
        </w:tc>
        <w:tc>
          <w:tcPr>
            <w:tcW w:w="728" w:type="dxa"/>
            <w:shd w:val="clear" w:color="auto" w:fill="auto"/>
            <w:vAlign w:val="bottom"/>
          </w:tcPr>
          <w:p w14:paraId="5A0A8CE4"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54</w:t>
            </w:r>
          </w:p>
        </w:tc>
        <w:tc>
          <w:tcPr>
            <w:tcW w:w="761" w:type="dxa"/>
            <w:gridSpan w:val="2"/>
            <w:shd w:val="clear" w:color="auto" w:fill="auto"/>
            <w:vAlign w:val="bottom"/>
          </w:tcPr>
          <w:p w14:paraId="61CBDD25"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22</w:t>
            </w:r>
          </w:p>
        </w:tc>
        <w:tc>
          <w:tcPr>
            <w:tcW w:w="696" w:type="dxa"/>
            <w:shd w:val="clear" w:color="auto" w:fill="auto"/>
            <w:vAlign w:val="bottom"/>
          </w:tcPr>
          <w:p w14:paraId="64EFB7DF"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28</w:t>
            </w:r>
          </w:p>
        </w:tc>
        <w:tc>
          <w:tcPr>
            <w:tcW w:w="789" w:type="dxa"/>
            <w:gridSpan w:val="2"/>
            <w:shd w:val="clear" w:color="auto" w:fill="auto"/>
            <w:vAlign w:val="bottom"/>
          </w:tcPr>
          <w:p w14:paraId="5B6DC146"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32</w:t>
            </w:r>
          </w:p>
        </w:tc>
        <w:tc>
          <w:tcPr>
            <w:tcW w:w="668" w:type="dxa"/>
            <w:shd w:val="clear" w:color="auto" w:fill="auto"/>
            <w:vAlign w:val="bottom"/>
          </w:tcPr>
          <w:p w14:paraId="1C9C7D6A"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62</w:t>
            </w:r>
          </w:p>
        </w:tc>
        <w:tc>
          <w:tcPr>
            <w:tcW w:w="728" w:type="dxa"/>
            <w:gridSpan w:val="2"/>
            <w:shd w:val="clear" w:color="auto" w:fill="auto"/>
            <w:vAlign w:val="bottom"/>
          </w:tcPr>
          <w:p w14:paraId="3A83FCF6"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46</w:t>
            </w:r>
          </w:p>
        </w:tc>
        <w:tc>
          <w:tcPr>
            <w:tcW w:w="729" w:type="dxa"/>
            <w:shd w:val="clear" w:color="auto" w:fill="auto"/>
            <w:vAlign w:val="bottom"/>
          </w:tcPr>
          <w:p w14:paraId="748C3EB5"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66</w:t>
            </w:r>
          </w:p>
        </w:tc>
      </w:tr>
      <w:tr w:rsidR="008D2F10" w:rsidRPr="00D43575" w14:paraId="5FCE8A4B" w14:textId="77777777" w:rsidTr="00384187">
        <w:tc>
          <w:tcPr>
            <w:tcW w:w="1620" w:type="dxa"/>
            <w:tcBorders>
              <w:bottom w:val="single" w:sz="12" w:space="0" w:color="auto"/>
            </w:tcBorders>
            <w:shd w:val="clear" w:color="auto" w:fill="auto"/>
            <w:vAlign w:val="bottom"/>
          </w:tcPr>
          <w:p w14:paraId="3A9DA133" w14:textId="77777777" w:rsidR="008D2F10" w:rsidRPr="00D43575" w:rsidRDefault="008D2F10" w:rsidP="003861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No se especifica</w:t>
            </w:r>
          </w:p>
        </w:tc>
        <w:tc>
          <w:tcPr>
            <w:tcW w:w="728" w:type="dxa"/>
            <w:tcBorders>
              <w:bottom w:val="single" w:sz="12" w:space="0" w:color="auto"/>
            </w:tcBorders>
            <w:shd w:val="clear" w:color="auto" w:fill="auto"/>
            <w:vAlign w:val="bottom"/>
          </w:tcPr>
          <w:p w14:paraId="4C3DE736"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41</w:t>
            </w:r>
          </w:p>
        </w:tc>
        <w:tc>
          <w:tcPr>
            <w:tcW w:w="728" w:type="dxa"/>
            <w:tcBorders>
              <w:bottom w:val="single" w:sz="12" w:space="0" w:color="auto"/>
            </w:tcBorders>
            <w:shd w:val="clear" w:color="auto" w:fill="auto"/>
            <w:vAlign w:val="bottom"/>
          </w:tcPr>
          <w:p w14:paraId="7DDBD99B"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78</w:t>
            </w:r>
          </w:p>
        </w:tc>
        <w:tc>
          <w:tcPr>
            <w:tcW w:w="761" w:type="dxa"/>
            <w:gridSpan w:val="2"/>
            <w:tcBorders>
              <w:bottom w:val="single" w:sz="12" w:space="0" w:color="auto"/>
            </w:tcBorders>
            <w:shd w:val="clear" w:color="auto" w:fill="auto"/>
            <w:vAlign w:val="bottom"/>
          </w:tcPr>
          <w:p w14:paraId="76380B16"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80</w:t>
            </w:r>
          </w:p>
        </w:tc>
        <w:tc>
          <w:tcPr>
            <w:tcW w:w="696" w:type="dxa"/>
            <w:tcBorders>
              <w:bottom w:val="single" w:sz="12" w:space="0" w:color="auto"/>
            </w:tcBorders>
            <w:shd w:val="clear" w:color="auto" w:fill="auto"/>
            <w:vAlign w:val="bottom"/>
          </w:tcPr>
          <w:p w14:paraId="5F0E4DE4"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93</w:t>
            </w:r>
          </w:p>
        </w:tc>
        <w:tc>
          <w:tcPr>
            <w:tcW w:w="789" w:type="dxa"/>
            <w:gridSpan w:val="2"/>
            <w:tcBorders>
              <w:bottom w:val="single" w:sz="12" w:space="0" w:color="auto"/>
            </w:tcBorders>
            <w:shd w:val="clear" w:color="auto" w:fill="auto"/>
            <w:vAlign w:val="bottom"/>
          </w:tcPr>
          <w:p w14:paraId="42CF0A41"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70</w:t>
            </w:r>
          </w:p>
        </w:tc>
        <w:tc>
          <w:tcPr>
            <w:tcW w:w="668" w:type="dxa"/>
            <w:tcBorders>
              <w:bottom w:val="single" w:sz="12" w:space="0" w:color="auto"/>
            </w:tcBorders>
            <w:shd w:val="clear" w:color="auto" w:fill="auto"/>
            <w:vAlign w:val="bottom"/>
          </w:tcPr>
          <w:p w14:paraId="1BC94512"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76</w:t>
            </w:r>
          </w:p>
        </w:tc>
        <w:tc>
          <w:tcPr>
            <w:tcW w:w="728" w:type="dxa"/>
            <w:gridSpan w:val="2"/>
            <w:tcBorders>
              <w:bottom w:val="single" w:sz="12" w:space="0" w:color="auto"/>
            </w:tcBorders>
            <w:shd w:val="clear" w:color="auto" w:fill="auto"/>
            <w:vAlign w:val="bottom"/>
          </w:tcPr>
          <w:p w14:paraId="136B74C5"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59</w:t>
            </w:r>
          </w:p>
        </w:tc>
        <w:tc>
          <w:tcPr>
            <w:tcW w:w="729" w:type="dxa"/>
            <w:tcBorders>
              <w:bottom w:val="single" w:sz="12" w:space="0" w:color="auto"/>
            </w:tcBorders>
            <w:shd w:val="clear" w:color="auto" w:fill="auto"/>
            <w:vAlign w:val="bottom"/>
          </w:tcPr>
          <w:p w14:paraId="1C6B6A02" w14:textId="77777777" w:rsidR="008D2F10" w:rsidRPr="00D43575" w:rsidRDefault="008D2F10" w:rsidP="0096331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47</w:t>
            </w:r>
          </w:p>
        </w:tc>
      </w:tr>
    </w:tbl>
    <w:p w14:paraId="119C4899" w14:textId="77777777" w:rsidR="008D2F10" w:rsidRPr="00D43575" w:rsidRDefault="008D2F10" w:rsidP="008D2F10">
      <w:pPr>
        <w:pStyle w:val="SingleTxt"/>
        <w:spacing w:after="0" w:line="120" w:lineRule="exact"/>
        <w:rPr>
          <w:sz w:val="10"/>
        </w:rPr>
      </w:pPr>
    </w:p>
    <w:p w14:paraId="3399D7E5" w14:textId="2660820D" w:rsidR="008D2F10"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Estado de Qatar, Universidad de Qatar, Departamento de Estrategia y Desarrollo, 2017</w:t>
      </w:r>
      <w:r w:rsidR="00083383" w:rsidRPr="00D43575">
        <w:rPr>
          <w:rFonts w:eastAsiaTheme="minorHAnsi"/>
          <w:iCs/>
          <w:w w:val="103"/>
          <w:kern w:val="14"/>
          <w:szCs w:val="20"/>
        </w:rPr>
        <w:t>.</w:t>
      </w:r>
    </w:p>
    <w:p w14:paraId="2FFC3C84" w14:textId="77777777" w:rsidR="008D2F10" w:rsidRPr="00D43575" w:rsidRDefault="008D2F10" w:rsidP="003B5AA5">
      <w:pPr>
        <w:pStyle w:val="SingleTxt"/>
        <w:spacing w:after="0" w:line="120" w:lineRule="exact"/>
        <w:rPr>
          <w:sz w:val="10"/>
        </w:rPr>
      </w:pPr>
    </w:p>
    <w:p w14:paraId="7AAA6300" w14:textId="77777777" w:rsidR="008D2F10" w:rsidRPr="00D43575" w:rsidRDefault="008D2F10" w:rsidP="003B5AA5">
      <w:pPr>
        <w:pStyle w:val="SingleTxt"/>
        <w:spacing w:after="0" w:line="120" w:lineRule="exact"/>
        <w:rPr>
          <w:sz w:val="10"/>
        </w:rPr>
      </w:pPr>
    </w:p>
    <w:p w14:paraId="75A4E90A" w14:textId="5ADAB80B" w:rsidR="008D2F10" w:rsidRPr="00D43575" w:rsidRDefault="008D2F10" w:rsidP="001D1AD0">
      <w:pPr>
        <w:pStyle w:val="SingleTxt"/>
        <w:numPr>
          <w:ilvl w:val="0"/>
          <w:numId w:val="10"/>
        </w:numPr>
        <w:ind w:left="1267" w:firstLine="0"/>
      </w:pPr>
      <w:r w:rsidRPr="00D43575">
        <w:t>En el marco del compromiso de la Universidad de Qatar de lograr la igualdad de género en todos los ámbitos, las mujeres tienen las mismas oportunidades que los hombres de recibir becas para realizar estudios superiores</w:t>
      </w:r>
      <w:r w:rsidR="00083383" w:rsidRPr="00D43575">
        <w:t>.</w:t>
      </w:r>
      <w:r w:rsidRPr="00D43575">
        <w:t xml:space="preserve"> El cuadro que figura a continuación permite apreciar que las mujeres obtuvieron más becas para cursar estudios de doctorado que los hombres entre 2013 y 2017</w:t>
      </w:r>
      <w:r w:rsidR="00083383" w:rsidRPr="00D43575">
        <w:t>.</w:t>
      </w:r>
    </w:p>
    <w:p w14:paraId="528D1027" w14:textId="77777777" w:rsidR="008D2F10" w:rsidRPr="00D43575" w:rsidRDefault="008D2F10" w:rsidP="008D2F10">
      <w:pPr>
        <w:pStyle w:val="SingleTxt"/>
        <w:spacing w:after="0" w:line="120" w:lineRule="exact"/>
        <w:rPr>
          <w:sz w:val="10"/>
        </w:rPr>
      </w:pPr>
    </w:p>
    <w:p w14:paraId="08B19B30" w14:textId="17146A4D"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lastRenderedPageBreak/>
        <w:tab/>
      </w:r>
      <w:r w:rsidRPr="00D43575">
        <w:rPr>
          <w:bCs w:val="0"/>
          <w:szCs w:val="20"/>
        </w:rPr>
        <w:tab/>
      </w:r>
      <w:r w:rsidR="00D73F71">
        <w:rPr>
          <w:b w:val="0"/>
          <w:bCs w:val="0"/>
          <w:szCs w:val="20"/>
        </w:rPr>
        <w:t>Cuadro 18</w:t>
      </w:r>
      <w:r w:rsidR="006262DC" w:rsidRPr="00D43575">
        <w:rPr>
          <w:b w:val="0"/>
          <w:bCs w:val="0"/>
          <w:szCs w:val="20"/>
        </w:rPr>
        <w:t xml:space="preserve"> </w:t>
      </w:r>
      <w:r w:rsidR="006262DC" w:rsidRPr="00D43575">
        <w:rPr>
          <w:b w:val="0"/>
          <w:bCs w:val="0"/>
          <w:szCs w:val="20"/>
        </w:rPr>
        <w:br/>
      </w:r>
      <w:r w:rsidRPr="00D43575">
        <w:rPr>
          <w:bCs w:val="0"/>
          <w:szCs w:val="20"/>
        </w:rPr>
        <w:t>Estudiantes con becas de estudios superiores en la Universidad de Qatar, desglosados por sexo y programa, de 2013</w:t>
      </w:r>
      <w:r w:rsidR="00083383" w:rsidRPr="00D43575">
        <w:rPr>
          <w:bCs w:val="0"/>
          <w:szCs w:val="20"/>
        </w:rPr>
        <w:noBreakHyphen/>
      </w:r>
      <w:r w:rsidRPr="00D43575">
        <w:rPr>
          <w:bCs w:val="0"/>
          <w:szCs w:val="20"/>
        </w:rPr>
        <w:t>2014 a 2016</w:t>
      </w:r>
      <w:r w:rsidR="00083383" w:rsidRPr="00D43575">
        <w:rPr>
          <w:bCs w:val="0"/>
          <w:szCs w:val="20"/>
        </w:rPr>
        <w:noBreakHyphen/>
      </w:r>
      <w:r w:rsidRPr="00D43575">
        <w:rPr>
          <w:bCs w:val="0"/>
          <w:szCs w:val="20"/>
        </w:rPr>
        <w:t>2017</w:t>
      </w:r>
    </w:p>
    <w:p w14:paraId="209B2CF2" w14:textId="77777777" w:rsidR="008D2F10" w:rsidRPr="00D43575" w:rsidRDefault="008D2F10" w:rsidP="008D2F10">
      <w:pPr>
        <w:pStyle w:val="SingleTxt"/>
        <w:spacing w:after="0" w:line="120" w:lineRule="exact"/>
        <w:rPr>
          <w:sz w:val="10"/>
        </w:rPr>
      </w:pPr>
    </w:p>
    <w:tbl>
      <w:tblPr>
        <w:tblW w:w="0" w:type="auto"/>
        <w:tblInd w:w="129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8D2F10" w:rsidRPr="00D43575" w14:paraId="6D108E56" w14:textId="77777777" w:rsidTr="00BD7BE9">
        <w:trPr>
          <w:tblHeader/>
        </w:trPr>
        <w:tc>
          <w:tcPr>
            <w:tcW w:w="1830" w:type="dxa"/>
            <w:tcBorders>
              <w:top w:val="single" w:sz="4" w:space="0" w:color="auto"/>
              <w:bottom w:val="single" w:sz="12" w:space="0" w:color="auto"/>
            </w:tcBorders>
            <w:shd w:val="clear" w:color="auto" w:fill="auto"/>
            <w:vAlign w:val="bottom"/>
          </w:tcPr>
          <w:p w14:paraId="7C1815B4" w14:textId="77777777" w:rsidR="008D2F10" w:rsidRPr="00D43575" w:rsidRDefault="008D2F10" w:rsidP="00F26032">
            <w:pPr>
              <w:pStyle w:val="SingleTxt"/>
              <w:spacing w:before="80" w:after="80" w:line="160" w:lineRule="exact"/>
              <w:ind w:left="11" w:right="43"/>
              <w:jc w:val="left"/>
              <w:rPr>
                <w:i/>
                <w:iCs/>
                <w:sz w:val="14"/>
              </w:rPr>
            </w:pPr>
            <w:r w:rsidRPr="00D43575">
              <w:rPr>
                <w:i/>
                <w:iCs/>
                <w:sz w:val="14"/>
              </w:rPr>
              <w:t>Año</w:t>
            </w:r>
          </w:p>
        </w:tc>
        <w:tc>
          <w:tcPr>
            <w:tcW w:w="1830" w:type="dxa"/>
            <w:tcBorders>
              <w:top w:val="single" w:sz="4" w:space="0" w:color="auto"/>
              <w:bottom w:val="single" w:sz="12" w:space="0" w:color="auto"/>
            </w:tcBorders>
            <w:shd w:val="clear" w:color="auto" w:fill="auto"/>
            <w:vAlign w:val="bottom"/>
          </w:tcPr>
          <w:p w14:paraId="430599C5" w14:textId="77777777" w:rsidR="008D2F10" w:rsidRPr="00D43575" w:rsidRDefault="008D2F10" w:rsidP="00FD5936">
            <w:pPr>
              <w:pStyle w:val="SingleTxt"/>
              <w:spacing w:before="80" w:after="80" w:line="160" w:lineRule="exact"/>
              <w:ind w:left="11" w:right="43"/>
              <w:jc w:val="left"/>
              <w:rPr>
                <w:i/>
                <w:iCs/>
                <w:sz w:val="14"/>
              </w:rPr>
            </w:pPr>
            <w:r w:rsidRPr="00D43575">
              <w:rPr>
                <w:i/>
                <w:iCs/>
                <w:sz w:val="14"/>
              </w:rPr>
              <w:t>Sexo</w:t>
            </w:r>
          </w:p>
        </w:tc>
        <w:tc>
          <w:tcPr>
            <w:tcW w:w="1830" w:type="dxa"/>
            <w:tcBorders>
              <w:top w:val="single" w:sz="4" w:space="0" w:color="auto"/>
              <w:bottom w:val="single" w:sz="12" w:space="0" w:color="auto"/>
            </w:tcBorders>
            <w:shd w:val="clear" w:color="auto" w:fill="auto"/>
            <w:vAlign w:val="bottom"/>
          </w:tcPr>
          <w:p w14:paraId="48E8EC50" w14:textId="77777777" w:rsidR="008D2F10" w:rsidRPr="00D43575" w:rsidRDefault="008D2F10" w:rsidP="00F26032">
            <w:pPr>
              <w:pStyle w:val="SingleTxt"/>
              <w:spacing w:before="80" w:after="80" w:line="160" w:lineRule="exact"/>
              <w:ind w:left="63" w:right="43"/>
              <w:jc w:val="right"/>
              <w:rPr>
                <w:i/>
                <w:iCs/>
                <w:sz w:val="14"/>
              </w:rPr>
            </w:pPr>
            <w:r w:rsidRPr="00D43575">
              <w:rPr>
                <w:i/>
                <w:iCs/>
                <w:sz w:val="14"/>
              </w:rPr>
              <w:t>Título de máster</w:t>
            </w:r>
          </w:p>
        </w:tc>
        <w:tc>
          <w:tcPr>
            <w:tcW w:w="1830" w:type="dxa"/>
            <w:tcBorders>
              <w:top w:val="single" w:sz="4" w:space="0" w:color="auto"/>
              <w:bottom w:val="single" w:sz="12" w:space="0" w:color="auto"/>
            </w:tcBorders>
            <w:shd w:val="clear" w:color="auto" w:fill="auto"/>
            <w:vAlign w:val="bottom"/>
          </w:tcPr>
          <w:p w14:paraId="2ABE996C" w14:textId="77777777" w:rsidR="008D2F10" w:rsidRPr="00D43575" w:rsidRDefault="008D2F10" w:rsidP="00F26032">
            <w:pPr>
              <w:pStyle w:val="SingleTxt"/>
              <w:spacing w:before="80" w:after="80" w:line="160" w:lineRule="exact"/>
              <w:ind w:left="63" w:right="43"/>
              <w:jc w:val="right"/>
              <w:rPr>
                <w:i/>
                <w:iCs/>
                <w:sz w:val="14"/>
              </w:rPr>
            </w:pPr>
            <w:r w:rsidRPr="00D43575">
              <w:rPr>
                <w:i/>
                <w:iCs/>
                <w:sz w:val="14"/>
              </w:rPr>
              <w:t>Doctorado</w:t>
            </w:r>
          </w:p>
        </w:tc>
      </w:tr>
      <w:tr w:rsidR="008D2F10" w:rsidRPr="00D43575" w14:paraId="69DB5E51" w14:textId="77777777" w:rsidTr="00BD7BE9">
        <w:trPr>
          <w:trHeight w:hRule="exact" w:val="115"/>
          <w:tblHeader/>
        </w:trPr>
        <w:tc>
          <w:tcPr>
            <w:tcW w:w="1830" w:type="dxa"/>
            <w:tcBorders>
              <w:top w:val="single" w:sz="12" w:space="0" w:color="auto"/>
            </w:tcBorders>
            <w:shd w:val="clear" w:color="auto" w:fill="auto"/>
            <w:vAlign w:val="bottom"/>
          </w:tcPr>
          <w:p w14:paraId="2F316BBC" w14:textId="77777777" w:rsidR="008D2F10" w:rsidRPr="00D43575" w:rsidRDefault="008D2F10" w:rsidP="00BD7BE9">
            <w:pPr>
              <w:spacing w:before="40" w:after="40" w:line="210" w:lineRule="exact"/>
              <w:ind w:right="40"/>
              <w:rPr>
                <w:sz w:val="17"/>
              </w:rPr>
            </w:pPr>
          </w:p>
        </w:tc>
        <w:tc>
          <w:tcPr>
            <w:tcW w:w="1830" w:type="dxa"/>
            <w:tcBorders>
              <w:top w:val="single" w:sz="12" w:space="0" w:color="auto"/>
            </w:tcBorders>
            <w:shd w:val="clear" w:color="auto" w:fill="auto"/>
            <w:vAlign w:val="bottom"/>
          </w:tcPr>
          <w:p w14:paraId="15FED3C1" w14:textId="77777777" w:rsidR="008D2F10" w:rsidRPr="00D43575" w:rsidRDefault="008D2F10" w:rsidP="00BD7BE9">
            <w:pPr>
              <w:spacing w:before="40" w:after="40" w:line="210" w:lineRule="exact"/>
              <w:ind w:left="144" w:right="40"/>
              <w:rPr>
                <w:sz w:val="17"/>
              </w:rPr>
            </w:pPr>
          </w:p>
        </w:tc>
        <w:tc>
          <w:tcPr>
            <w:tcW w:w="1830" w:type="dxa"/>
            <w:tcBorders>
              <w:top w:val="single" w:sz="12" w:space="0" w:color="auto"/>
            </w:tcBorders>
            <w:shd w:val="clear" w:color="auto" w:fill="auto"/>
            <w:vAlign w:val="bottom"/>
          </w:tcPr>
          <w:p w14:paraId="6C0E5F63" w14:textId="77777777" w:rsidR="008D2F10" w:rsidRPr="00D43575" w:rsidRDefault="008D2F10" w:rsidP="00BD7BE9">
            <w:pPr>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7E6E55B8" w14:textId="77777777" w:rsidR="008D2F10" w:rsidRPr="00D43575" w:rsidRDefault="008D2F10" w:rsidP="00BD7BE9">
            <w:pPr>
              <w:spacing w:before="40" w:after="40" w:line="210" w:lineRule="exact"/>
              <w:ind w:left="144" w:right="40"/>
              <w:jc w:val="right"/>
              <w:rPr>
                <w:sz w:val="17"/>
              </w:rPr>
            </w:pPr>
          </w:p>
        </w:tc>
      </w:tr>
      <w:tr w:rsidR="008D2F10" w:rsidRPr="00D43575" w14:paraId="75B0409D" w14:textId="77777777" w:rsidTr="00BD7BE9">
        <w:tc>
          <w:tcPr>
            <w:tcW w:w="1830" w:type="dxa"/>
            <w:shd w:val="clear" w:color="auto" w:fill="auto"/>
            <w:vAlign w:val="bottom"/>
          </w:tcPr>
          <w:p w14:paraId="1FBE279D" w14:textId="048171DA"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2013</w:t>
            </w:r>
            <w:r w:rsidR="00083383" w:rsidRPr="00D43575">
              <w:rPr>
                <w:sz w:val="17"/>
              </w:rPr>
              <w:noBreakHyphen/>
            </w:r>
            <w:r w:rsidRPr="00D43575">
              <w:rPr>
                <w:sz w:val="17"/>
              </w:rPr>
              <w:t>2014</w:t>
            </w:r>
          </w:p>
        </w:tc>
        <w:tc>
          <w:tcPr>
            <w:tcW w:w="1830" w:type="dxa"/>
            <w:shd w:val="clear" w:color="auto" w:fill="auto"/>
            <w:vAlign w:val="bottom"/>
          </w:tcPr>
          <w:p w14:paraId="5D0271DF"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Hombres</w:t>
            </w:r>
          </w:p>
        </w:tc>
        <w:tc>
          <w:tcPr>
            <w:tcW w:w="1830" w:type="dxa"/>
            <w:shd w:val="clear" w:color="auto" w:fill="auto"/>
            <w:vAlign w:val="bottom"/>
          </w:tcPr>
          <w:p w14:paraId="41D76EEC"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w:t>
            </w:r>
          </w:p>
        </w:tc>
        <w:tc>
          <w:tcPr>
            <w:tcW w:w="1830" w:type="dxa"/>
            <w:shd w:val="clear" w:color="auto" w:fill="auto"/>
            <w:vAlign w:val="bottom"/>
          </w:tcPr>
          <w:p w14:paraId="00C737B1"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w:t>
            </w:r>
          </w:p>
        </w:tc>
      </w:tr>
      <w:tr w:rsidR="008D2F10" w:rsidRPr="00D43575" w14:paraId="49867FAE" w14:textId="77777777" w:rsidTr="00BD7BE9">
        <w:tc>
          <w:tcPr>
            <w:tcW w:w="1830" w:type="dxa"/>
            <w:shd w:val="clear" w:color="auto" w:fill="auto"/>
            <w:vAlign w:val="bottom"/>
          </w:tcPr>
          <w:p w14:paraId="05ABB389"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830" w:type="dxa"/>
            <w:shd w:val="clear" w:color="auto" w:fill="auto"/>
            <w:vAlign w:val="bottom"/>
          </w:tcPr>
          <w:p w14:paraId="27134E63"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Mujeres</w:t>
            </w:r>
          </w:p>
        </w:tc>
        <w:tc>
          <w:tcPr>
            <w:tcW w:w="1830" w:type="dxa"/>
            <w:shd w:val="clear" w:color="auto" w:fill="auto"/>
            <w:vAlign w:val="bottom"/>
          </w:tcPr>
          <w:p w14:paraId="2AB2E79C"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15</w:t>
            </w:r>
          </w:p>
        </w:tc>
        <w:tc>
          <w:tcPr>
            <w:tcW w:w="1830" w:type="dxa"/>
            <w:shd w:val="clear" w:color="auto" w:fill="auto"/>
            <w:vAlign w:val="bottom"/>
          </w:tcPr>
          <w:p w14:paraId="2C6C15A1"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8</w:t>
            </w:r>
          </w:p>
        </w:tc>
      </w:tr>
      <w:tr w:rsidR="008D2F10" w:rsidRPr="00D43575" w14:paraId="54BD014B" w14:textId="77777777" w:rsidTr="00BD7BE9">
        <w:tc>
          <w:tcPr>
            <w:tcW w:w="1830" w:type="dxa"/>
            <w:shd w:val="clear" w:color="auto" w:fill="auto"/>
            <w:vAlign w:val="bottom"/>
          </w:tcPr>
          <w:p w14:paraId="47DD06E9" w14:textId="1E87E3F6"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2014</w:t>
            </w:r>
            <w:r w:rsidR="00083383" w:rsidRPr="00D43575">
              <w:rPr>
                <w:sz w:val="17"/>
              </w:rPr>
              <w:noBreakHyphen/>
            </w:r>
            <w:r w:rsidRPr="00D43575">
              <w:rPr>
                <w:sz w:val="17"/>
              </w:rPr>
              <w:t>2015</w:t>
            </w:r>
          </w:p>
        </w:tc>
        <w:tc>
          <w:tcPr>
            <w:tcW w:w="1830" w:type="dxa"/>
            <w:shd w:val="clear" w:color="auto" w:fill="auto"/>
            <w:vAlign w:val="bottom"/>
          </w:tcPr>
          <w:p w14:paraId="055EE42D"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Hombres</w:t>
            </w:r>
          </w:p>
        </w:tc>
        <w:tc>
          <w:tcPr>
            <w:tcW w:w="1830" w:type="dxa"/>
            <w:shd w:val="clear" w:color="auto" w:fill="auto"/>
            <w:vAlign w:val="bottom"/>
          </w:tcPr>
          <w:p w14:paraId="2464496C"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w:t>
            </w:r>
          </w:p>
        </w:tc>
        <w:tc>
          <w:tcPr>
            <w:tcW w:w="1830" w:type="dxa"/>
            <w:shd w:val="clear" w:color="auto" w:fill="auto"/>
            <w:vAlign w:val="bottom"/>
          </w:tcPr>
          <w:p w14:paraId="36617B1E"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15</w:t>
            </w:r>
          </w:p>
        </w:tc>
      </w:tr>
      <w:tr w:rsidR="008D2F10" w:rsidRPr="00D43575" w14:paraId="7D6CDAE9" w14:textId="77777777" w:rsidTr="00BD7BE9">
        <w:tc>
          <w:tcPr>
            <w:tcW w:w="1830" w:type="dxa"/>
            <w:shd w:val="clear" w:color="auto" w:fill="auto"/>
            <w:vAlign w:val="bottom"/>
          </w:tcPr>
          <w:p w14:paraId="71E77A74"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830" w:type="dxa"/>
            <w:shd w:val="clear" w:color="auto" w:fill="auto"/>
            <w:vAlign w:val="bottom"/>
          </w:tcPr>
          <w:p w14:paraId="585196AC"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Mujeres</w:t>
            </w:r>
          </w:p>
        </w:tc>
        <w:tc>
          <w:tcPr>
            <w:tcW w:w="1830" w:type="dxa"/>
            <w:shd w:val="clear" w:color="auto" w:fill="auto"/>
            <w:vAlign w:val="bottom"/>
          </w:tcPr>
          <w:p w14:paraId="4D0E18EE"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25</w:t>
            </w:r>
          </w:p>
        </w:tc>
        <w:tc>
          <w:tcPr>
            <w:tcW w:w="1830" w:type="dxa"/>
            <w:shd w:val="clear" w:color="auto" w:fill="auto"/>
            <w:vAlign w:val="bottom"/>
          </w:tcPr>
          <w:p w14:paraId="30DF3123"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13</w:t>
            </w:r>
          </w:p>
        </w:tc>
      </w:tr>
      <w:tr w:rsidR="008D2F10" w:rsidRPr="00D43575" w14:paraId="5F8BA4C0" w14:textId="77777777" w:rsidTr="00BD7BE9">
        <w:tc>
          <w:tcPr>
            <w:tcW w:w="1830" w:type="dxa"/>
            <w:shd w:val="clear" w:color="auto" w:fill="auto"/>
            <w:vAlign w:val="bottom"/>
          </w:tcPr>
          <w:p w14:paraId="54171C9F" w14:textId="036E91C3"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2015</w:t>
            </w:r>
            <w:r w:rsidR="00083383" w:rsidRPr="00D43575">
              <w:rPr>
                <w:sz w:val="17"/>
              </w:rPr>
              <w:noBreakHyphen/>
            </w:r>
            <w:r w:rsidRPr="00D43575">
              <w:rPr>
                <w:sz w:val="17"/>
              </w:rPr>
              <w:t>2016</w:t>
            </w:r>
          </w:p>
        </w:tc>
        <w:tc>
          <w:tcPr>
            <w:tcW w:w="1830" w:type="dxa"/>
            <w:shd w:val="clear" w:color="auto" w:fill="auto"/>
            <w:vAlign w:val="bottom"/>
          </w:tcPr>
          <w:p w14:paraId="15B1E2E5"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Hombres</w:t>
            </w:r>
          </w:p>
        </w:tc>
        <w:tc>
          <w:tcPr>
            <w:tcW w:w="1830" w:type="dxa"/>
            <w:shd w:val="clear" w:color="auto" w:fill="auto"/>
            <w:vAlign w:val="bottom"/>
          </w:tcPr>
          <w:p w14:paraId="645A2A94"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w:t>
            </w:r>
          </w:p>
        </w:tc>
        <w:tc>
          <w:tcPr>
            <w:tcW w:w="1830" w:type="dxa"/>
            <w:shd w:val="clear" w:color="auto" w:fill="auto"/>
            <w:vAlign w:val="bottom"/>
          </w:tcPr>
          <w:p w14:paraId="7220633A"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16</w:t>
            </w:r>
          </w:p>
        </w:tc>
      </w:tr>
      <w:tr w:rsidR="008D2F10" w:rsidRPr="00D43575" w14:paraId="3C07DD35" w14:textId="77777777" w:rsidTr="00BD7BE9">
        <w:tc>
          <w:tcPr>
            <w:tcW w:w="1830" w:type="dxa"/>
            <w:shd w:val="clear" w:color="auto" w:fill="auto"/>
            <w:vAlign w:val="bottom"/>
          </w:tcPr>
          <w:p w14:paraId="0B3C3D2F"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830" w:type="dxa"/>
            <w:shd w:val="clear" w:color="auto" w:fill="auto"/>
            <w:vAlign w:val="bottom"/>
          </w:tcPr>
          <w:p w14:paraId="2103E8FA"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Mujeres</w:t>
            </w:r>
          </w:p>
        </w:tc>
        <w:tc>
          <w:tcPr>
            <w:tcW w:w="1830" w:type="dxa"/>
            <w:shd w:val="clear" w:color="auto" w:fill="auto"/>
            <w:vAlign w:val="bottom"/>
          </w:tcPr>
          <w:p w14:paraId="2E0D7B70"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26</w:t>
            </w:r>
          </w:p>
        </w:tc>
        <w:tc>
          <w:tcPr>
            <w:tcW w:w="1830" w:type="dxa"/>
            <w:shd w:val="clear" w:color="auto" w:fill="auto"/>
            <w:vAlign w:val="bottom"/>
          </w:tcPr>
          <w:p w14:paraId="56454F81"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14</w:t>
            </w:r>
          </w:p>
        </w:tc>
      </w:tr>
      <w:tr w:rsidR="008D2F10" w:rsidRPr="00D43575" w14:paraId="5EC86A42" w14:textId="77777777" w:rsidTr="00BD7BE9">
        <w:tc>
          <w:tcPr>
            <w:tcW w:w="1830" w:type="dxa"/>
            <w:shd w:val="clear" w:color="auto" w:fill="auto"/>
            <w:vAlign w:val="bottom"/>
          </w:tcPr>
          <w:p w14:paraId="14BE0FD3" w14:textId="31FF63B5"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2016</w:t>
            </w:r>
            <w:r w:rsidR="00083383" w:rsidRPr="00D43575">
              <w:rPr>
                <w:sz w:val="17"/>
              </w:rPr>
              <w:noBreakHyphen/>
            </w:r>
            <w:r w:rsidRPr="00D43575">
              <w:rPr>
                <w:sz w:val="17"/>
              </w:rPr>
              <w:t>2017</w:t>
            </w:r>
          </w:p>
        </w:tc>
        <w:tc>
          <w:tcPr>
            <w:tcW w:w="1830" w:type="dxa"/>
            <w:shd w:val="clear" w:color="auto" w:fill="auto"/>
            <w:vAlign w:val="bottom"/>
          </w:tcPr>
          <w:p w14:paraId="5A71D5C3"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Hombres</w:t>
            </w:r>
          </w:p>
        </w:tc>
        <w:tc>
          <w:tcPr>
            <w:tcW w:w="1830" w:type="dxa"/>
            <w:shd w:val="clear" w:color="auto" w:fill="auto"/>
            <w:vAlign w:val="bottom"/>
          </w:tcPr>
          <w:p w14:paraId="5C2277F3"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9</w:t>
            </w:r>
          </w:p>
        </w:tc>
        <w:tc>
          <w:tcPr>
            <w:tcW w:w="1830" w:type="dxa"/>
            <w:shd w:val="clear" w:color="auto" w:fill="auto"/>
            <w:vAlign w:val="bottom"/>
          </w:tcPr>
          <w:p w14:paraId="31608483"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25</w:t>
            </w:r>
          </w:p>
        </w:tc>
      </w:tr>
      <w:tr w:rsidR="008D2F10" w:rsidRPr="00D43575" w14:paraId="75F3DD4B" w14:textId="77777777" w:rsidTr="00BD7BE9">
        <w:tc>
          <w:tcPr>
            <w:tcW w:w="1830" w:type="dxa"/>
            <w:tcBorders>
              <w:bottom w:val="single" w:sz="12" w:space="0" w:color="auto"/>
            </w:tcBorders>
            <w:shd w:val="clear" w:color="auto" w:fill="auto"/>
            <w:vAlign w:val="bottom"/>
          </w:tcPr>
          <w:p w14:paraId="49A1498E"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1830" w:type="dxa"/>
            <w:tcBorders>
              <w:bottom w:val="single" w:sz="12" w:space="0" w:color="auto"/>
            </w:tcBorders>
            <w:shd w:val="clear" w:color="auto" w:fill="auto"/>
            <w:vAlign w:val="bottom"/>
          </w:tcPr>
          <w:p w14:paraId="4B8FB5C9"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Mujeres</w:t>
            </w:r>
          </w:p>
        </w:tc>
        <w:tc>
          <w:tcPr>
            <w:tcW w:w="1830" w:type="dxa"/>
            <w:tcBorders>
              <w:bottom w:val="single" w:sz="12" w:space="0" w:color="auto"/>
            </w:tcBorders>
            <w:shd w:val="clear" w:color="auto" w:fill="auto"/>
            <w:vAlign w:val="bottom"/>
          </w:tcPr>
          <w:p w14:paraId="633DBAC2"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35</w:t>
            </w:r>
          </w:p>
        </w:tc>
        <w:tc>
          <w:tcPr>
            <w:tcW w:w="1830" w:type="dxa"/>
            <w:tcBorders>
              <w:bottom w:val="single" w:sz="12" w:space="0" w:color="auto"/>
            </w:tcBorders>
            <w:shd w:val="clear" w:color="auto" w:fill="auto"/>
            <w:vAlign w:val="bottom"/>
          </w:tcPr>
          <w:p w14:paraId="52327D0B" w14:textId="77777777" w:rsidR="008D2F10" w:rsidRPr="00D43575" w:rsidRDefault="008D2F10" w:rsidP="00F2603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24</w:t>
            </w:r>
          </w:p>
        </w:tc>
      </w:tr>
    </w:tbl>
    <w:p w14:paraId="277D7F55" w14:textId="77777777" w:rsidR="008D2F10" w:rsidRPr="00D43575" w:rsidRDefault="008D2F10" w:rsidP="008D2F10">
      <w:pPr>
        <w:pStyle w:val="SingleTxt"/>
        <w:spacing w:after="0" w:line="120" w:lineRule="exact"/>
        <w:rPr>
          <w:sz w:val="10"/>
        </w:rPr>
      </w:pPr>
    </w:p>
    <w:p w14:paraId="148AA7BD" w14:textId="324CEB55" w:rsidR="008D2F10"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rPr>
      </w:pPr>
      <w:r w:rsidRPr="00D43575">
        <w:rPr>
          <w:rFonts w:eastAsiaTheme="minorHAnsi"/>
          <w:i/>
          <w:iCs/>
          <w:w w:val="103"/>
          <w:kern w:val="14"/>
          <w:szCs w:val="20"/>
        </w:rPr>
        <w:t>Fuente</w:t>
      </w:r>
      <w:r w:rsidRPr="00D43575">
        <w:rPr>
          <w:rFonts w:eastAsiaTheme="minorHAnsi"/>
          <w:iCs/>
          <w:w w:val="103"/>
          <w:kern w:val="14"/>
          <w:szCs w:val="20"/>
        </w:rPr>
        <w:t>: Estado de Qatar, Universidad de Qatar, Departamento de Estrategia y Desarrollo, 2017</w:t>
      </w:r>
      <w:r w:rsidR="00083383" w:rsidRPr="00D43575">
        <w:rPr>
          <w:rFonts w:eastAsiaTheme="minorHAnsi"/>
          <w:iCs/>
          <w:w w:val="103"/>
          <w:kern w:val="14"/>
          <w:szCs w:val="20"/>
        </w:rPr>
        <w:t>.</w:t>
      </w:r>
    </w:p>
    <w:p w14:paraId="2651B88E" w14:textId="77777777" w:rsidR="000446D1" w:rsidRPr="00D43575" w:rsidRDefault="000446D1" w:rsidP="000446D1">
      <w:pPr>
        <w:pStyle w:val="SingleTxt"/>
        <w:spacing w:after="0" w:line="120" w:lineRule="exact"/>
        <w:rPr>
          <w:sz w:val="10"/>
        </w:rPr>
      </w:pPr>
    </w:p>
    <w:p w14:paraId="2821F096" w14:textId="77777777" w:rsidR="008D2F10" w:rsidRPr="00D43575" w:rsidRDefault="008D2F10" w:rsidP="000446D1">
      <w:pPr>
        <w:pStyle w:val="SingleTxt"/>
        <w:spacing w:after="0" w:line="120" w:lineRule="exact"/>
        <w:rPr>
          <w:sz w:val="10"/>
        </w:rPr>
      </w:pPr>
    </w:p>
    <w:p w14:paraId="4A977C67" w14:textId="77777777" w:rsidR="00083383"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Participación equitativa en los deportes</w:t>
      </w:r>
    </w:p>
    <w:p w14:paraId="52850D5B" w14:textId="03756B06" w:rsidR="008D2F10" w:rsidRPr="00D43575" w:rsidRDefault="008D2F10" w:rsidP="008D2F10">
      <w:pPr>
        <w:pStyle w:val="SingleTxt"/>
        <w:spacing w:after="0" w:line="120" w:lineRule="exact"/>
        <w:rPr>
          <w:sz w:val="10"/>
        </w:rPr>
      </w:pPr>
    </w:p>
    <w:p w14:paraId="11EEFF51" w14:textId="34913C96" w:rsidR="00083383" w:rsidRPr="00D43575" w:rsidRDefault="008D2F10" w:rsidP="001D1AD0">
      <w:pPr>
        <w:pStyle w:val="SingleTxt"/>
        <w:numPr>
          <w:ilvl w:val="0"/>
          <w:numId w:val="10"/>
        </w:numPr>
        <w:ind w:left="1267" w:firstLine="0"/>
      </w:pPr>
      <w:r w:rsidRPr="00D43575">
        <w:t>El Estado sigue incorporando la perspectiva de la igualdad de género en las actividades deportivas</w:t>
      </w:r>
      <w:r w:rsidR="00083383" w:rsidRPr="00D43575">
        <w:t>.</w:t>
      </w:r>
      <w:r w:rsidRPr="00D43575">
        <w:t xml:space="preserve"> Las instituciones educativas dedican clases de educación física para ambos sexos sin distinción en todos los niveles de la educación</w:t>
      </w:r>
      <w:r w:rsidR="00083383" w:rsidRPr="00D43575">
        <w:t>.</w:t>
      </w:r>
      <w:r w:rsidRPr="00D43575">
        <w:t xml:space="preserve"> Todos los centros escolares cuentan con gimnasios dotados de los implementos y artefactos deportivos más modernos, a fin de que los estudiantes de ambos sexos puedan tomar parte en las actividades que deseen, sin discriminación alguna</w:t>
      </w:r>
      <w:r w:rsidR="00083383" w:rsidRPr="00D43575">
        <w:t>.</w:t>
      </w:r>
    </w:p>
    <w:p w14:paraId="6BF3784D" w14:textId="72690129" w:rsidR="00083383" w:rsidRPr="00D43575" w:rsidRDefault="008D2F10" w:rsidP="00384212">
      <w:pPr>
        <w:pStyle w:val="SingleTxt"/>
        <w:numPr>
          <w:ilvl w:val="0"/>
          <w:numId w:val="10"/>
        </w:numPr>
        <w:ind w:left="1267" w:firstLine="0"/>
      </w:pPr>
      <w:r w:rsidRPr="00D43575">
        <w:t>El Comité Olímpico de Qatar ha realizado grandes esfuerzos para alentar a las mujeres a que participen en actividades deportivas y respeta el principio de la igualdad entre el hombre y la mujer en todas las actividades que organiza o patrocina en la sociedad de Qatar</w:t>
      </w:r>
      <w:r w:rsidR="00083383" w:rsidRPr="00D43575">
        <w:t>.</w:t>
      </w:r>
      <w:r w:rsidRPr="00D43575">
        <w:t xml:space="preserve"> Para ello, es necesario que en algunos casos se tengan en cuenta las características concretas de las mujeres</w:t>
      </w:r>
      <w:r w:rsidR="00083383" w:rsidRPr="00D43575">
        <w:t>.</w:t>
      </w:r>
      <w:r w:rsidRPr="00D43575">
        <w:t xml:space="preserve"> Hay equipos femeninos de deportes de equipo como el balonmano, el fútbol y el baloncesto</w:t>
      </w:r>
      <w:r w:rsidR="00083383" w:rsidRPr="00D43575">
        <w:t>.</w:t>
      </w:r>
      <w:r w:rsidRPr="00D43575">
        <w:t xml:space="preserve"> El Comité Olímpico organiza una serie de programas para la mujer, entre los que destacan programas de aptitud física y actividades comunitarias dirigidas a mujeres y niñas en igualdad de condiciones que los programas para hombres</w:t>
      </w:r>
      <w:r w:rsidR="00083383" w:rsidRPr="00D43575">
        <w:t>.</w:t>
      </w:r>
      <w:r w:rsidRPr="00D43575">
        <w:t xml:space="preserve"> Además, el Estado envía una delegación femenina a los Juegos Asiáticos</w:t>
      </w:r>
      <w:r w:rsidR="00083383" w:rsidRPr="00D43575">
        <w:t>.</w:t>
      </w:r>
    </w:p>
    <w:p w14:paraId="1FFBD861" w14:textId="435C607D" w:rsidR="00083383" w:rsidRPr="00D43575" w:rsidRDefault="008D2F10" w:rsidP="001D1AD0">
      <w:pPr>
        <w:pStyle w:val="SingleTxt"/>
        <w:numPr>
          <w:ilvl w:val="0"/>
          <w:numId w:val="10"/>
        </w:numPr>
        <w:ind w:left="1267" w:firstLine="0"/>
      </w:pPr>
      <w:r w:rsidRPr="00D43575">
        <w:t>El Estado dedica esfuerzos y presta apoyo de forma activa a la promoción del deporte femenino</w:t>
      </w:r>
      <w:r w:rsidR="00083383" w:rsidRPr="00D43575">
        <w:t>.</w:t>
      </w:r>
      <w:r w:rsidRPr="00D43575">
        <w:t xml:space="preserve"> Para ello, ha sido necesaria la creación de un Comité Deportivo Femenino que, junto a todas las federaciones deportivas nacionales, es miembro de la asamblea general del Comité Olímpico</w:t>
      </w:r>
      <w:r w:rsidR="00083383" w:rsidRPr="00D43575">
        <w:t>.</w:t>
      </w:r>
      <w:r w:rsidRPr="00D43575">
        <w:t xml:space="preserve"> El Comité Olímpico, por su parte, realiza grandes esfuerzos para apoyar las actividades del Comité Deportivo Femenino, que busca promover el deporte femenino en los niveles más altos organizando eventos deportivos regionales e internacionales</w:t>
      </w:r>
      <w:r w:rsidR="00083383" w:rsidRPr="00D43575">
        <w:t>.</w:t>
      </w:r>
      <w:r w:rsidRPr="00D43575">
        <w:t xml:space="preserve"> El evento más reciente fueron los Juegos Femeninos organizados por el Consejo de Cooperación de los Estados Árabes del Golfo, que se celebraron en Doha durante el primer semestre de 2017</w:t>
      </w:r>
      <w:r w:rsidR="00083383" w:rsidRPr="00D43575">
        <w:t>.</w:t>
      </w:r>
      <w:r w:rsidRPr="00D43575">
        <w:t xml:space="preserve"> Asimismo, organiza periódicamente campañas de sensibilización con la ayuda del Comité Deportivo Femenino</w:t>
      </w:r>
      <w:r w:rsidR="00083383" w:rsidRPr="00D43575">
        <w:t>.</w:t>
      </w:r>
      <w:r w:rsidRPr="00D43575">
        <w:t xml:space="preserve"> Además, el Comité Olímpico fortalece las capacidades de la mujer al incluirla en los comités de organización a todos los niveles</w:t>
      </w:r>
      <w:r w:rsidR="00083383" w:rsidRPr="00D43575">
        <w:t>.</w:t>
      </w:r>
      <w:r w:rsidRPr="00D43575">
        <w:t xml:space="preserve"> Recientemente, las mujeres de Qatar han desempeñado un papel importante al ocupar puestos de dirección y apoyo como miembros del personal del Comité Olímpico de Qatar</w:t>
      </w:r>
      <w:r w:rsidR="00083383" w:rsidRPr="00D43575">
        <w:t>.</w:t>
      </w:r>
    </w:p>
    <w:p w14:paraId="67DD61A9" w14:textId="0B02A6AB" w:rsidR="008D2F10" w:rsidRPr="00D43575" w:rsidRDefault="008D2F10" w:rsidP="001D1AD0">
      <w:pPr>
        <w:pStyle w:val="SingleTxt"/>
        <w:numPr>
          <w:ilvl w:val="0"/>
          <w:numId w:val="10"/>
        </w:numPr>
        <w:ind w:left="1267" w:firstLine="0"/>
      </w:pPr>
      <w:r w:rsidRPr="00D43575">
        <w:t>El Comité Deportivo Femenino se ocupa de promover el deporte femenino y mejorar su rendimiento a través de la consecución de varios objetivos</w:t>
      </w:r>
      <w:r w:rsidR="00083383" w:rsidRPr="00D43575">
        <w:t>.</w:t>
      </w:r>
      <w:r w:rsidRPr="00D43575">
        <w:t xml:space="preserve"> Entre ellos destacan prestar apoyo al deporte femenino en Qatar, aumentar la participación de la mujer en actividades deportivas y crear conciencia sobre la importancia de que las </w:t>
      </w:r>
      <w:r w:rsidRPr="00D43575">
        <w:lastRenderedPageBreak/>
        <w:t>mujeres participen en el deporte</w:t>
      </w:r>
      <w:r w:rsidR="00083383" w:rsidRPr="00D43575">
        <w:t>.</w:t>
      </w:r>
      <w:r w:rsidRPr="00D43575">
        <w:t xml:space="preserve"> También trabaja para promover la participación de la mujer qatarí en seminarios, estudios y conferencias deportivas a todos los niveles, tanto en el plano nacional como en el extranjero; elevar el nivel técnico y administrativo de los eventos femeninos en Qatar, en el marco del plan general del Comité Olímpico de Qatar; crear canales de comunicación con entidades y organizaciones deportivas nacionales y extranjeras, a fin de poner en marcha actividades deportivas femeninas en el país; y contribuir a que los organismos nacionales que se ocupan de los asuntos de la mujer relacionados con el deporte desempeñen su misión y eliminen los obstáculos que pudieran entorpecer su labor</w:t>
      </w:r>
      <w:r w:rsidR="00083383" w:rsidRPr="00D43575">
        <w:t>.</w:t>
      </w:r>
    </w:p>
    <w:p w14:paraId="66FD13BA" w14:textId="77777777" w:rsidR="00083383" w:rsidRPr="00D43575" w:rsidRDefault="00083383" w:rsidP="00083383">
      <w:pPr>
        <w:pStyle w:val="SingleTxt"/>
        <w:spacing w:after="0" w:line="120" w:lineRule="exact"/>
        <w:ind w:left="1627"/>
        <w:rPr>
          <w:sz w:val="10"/>
        </w:rPr>
      </w:pPr>
    </w:p>
    <w:p w14:paraId="79EC96CC"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Gasto en educación</w:t>
      </w:r>
    </w:p>
    <w:p w14:paraId="046208D3" w14:textId="77777777" w:rsidR="008D2F10" w:rsidRPr="00D43575" w:rsidRDefault="008D2F10" w:rsidP="008D2F10">
      <w:pPr>
        <w:pStyle w:val="SingleTxt"/>
        <w:spacing w:after="0" w:line="120" w:lineRule="exact"/>
        <w:rPr>
          <w:sz w:val="10"/>
        </w:rPr>
      </w:pPr>
    </w:p>
    <w:p w14:paraId="3FF92BBE" w14:textId="266640B4" w:rsidR="008D2F10" w:rsidRPr="00D43575" w:rsidRDefault="008D2F10" w:rsidP="001D1AD0">
      <w:pPr>
        <w:pStyle w:val="SingleTxt"/>
        <w:numPr>
          <w:ilvl w:val="0"/>
          <w:numId w:val="10"/>
        </w:numPr>
        <w:ind w:left="1267" w:firstLine="0"/>
      </w:pPr>
      <w:r w:rsidRPr="00D43575">
        <w:t>El Estado de Qatar sigue invirtiendo mucho en el ámbito de la educación y la formación, que siempre ha considerado una de las esferas más importantes del gasto público</w:t>
      </w:r>
      <w:r w:rsidR="00083383" w:rsidRPr="00D43575">
        <w:t>.</w:t>
      </w:r>
      <w:r w:rsidRPr="00D43575">
        <w:t xml:space="preserve"> En 2016 y 2017, el gasto en educación representó aproximadamente el 10% del gasto público</w:t>
      </w:r>
      <w:r w:rsidR="00083383" w:rsidRPr="00D43575">
        <w:t>.</w:t>
      </w:r>
      <w:r w:rsidRPr="00D43575">
        <w:t xml:space="preserve"> Se trata de una cifra ligeramente inferior al porcentaje de gasto destinado a la educación en 2015</w:t>
      </w:r>
      <w:r w:rsidR="00083383" w:rsidRPr="00D43575">
        <w:t>.</w:t>
      </w:r>
      <w:r w:rsidRPr="00D43575">
        <w:t xml:space="preserve"> Esta reducción en la inversión se debió a que la mayor parte de los principales proyectos de infraestructura educativa estaban finalizando</w:t>
      </w:r>
      <w:r w:rsidR="00083383" w:rsidRPr="00D43575">
        <w:t>.</w:t>
      </w:r>
      <w:r w:rsidRPr="00D43575">
        <w:t xml:space="preserve"> Aun así, los porcentajes se acercaron relativamente a la media mundial de cerca del 14%, según los datos más recientes publicados por el Banco Mundial</w:t>
      </w:r>
      <w:r w:rsidR="00083383" w:rsidRPr="00D43575">
        <w:t>.</w:t>
      </w:r>
    </w:p>
    <w:p w14:paraId="550FEE7D" w14:textId="77777777" w:rsidR="008D2F10" w:rsidRPr="00D43575" w:rsidRDefault="008D2F10" w:rsidP="008D2F10">
      <w:pPr>
        <w:pStyle w:val="SingleTxt"/>
        <w:spacing w:after="0" w:line="120" w:lineRule="exact"/>
        <w:rPr>
          <w:sz w:val="10"/>
        </w:rPr>
      </w:pPr>
    </w:p>
    <w:p w14:paraId="5F3D22C6" w14:textId="6247248B" w:rsidR="008D2F10" w:rsidRPr="00D73F71" w:rsidRDefault="008D2F10" w:rsidP="00083383">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750"/>
        <w:rPr>
          <w:bCs w:val="0"/>
          <w:szCs w:val="20"/>
          <w:shd w:val="clear" w:color="auto" w:fill="FFFFFF" w:themeFill="background1"/>
        </w:rPr>
      </w:pPr>
      <w:r w:rsidRPr="00D73F71">
        <w:rPr>
          <w:bCs w:val="0"/>
          <w:szCs w:val="20"/>
          <w:shd w:val="clear" w:color="auto" w:fill="FFFFFF" w:themeFill="background1"/>
        </w:rPr>
        <w:tab/>
      </w:r>
      <w:bookmarkStart w:id="4" w:name="Sample_2"/>
      <w:r w:rsidRPr="00D73F71">
        <w:rPr>
          <w:bCs w:val="0"/>
          <w:szCs w:val="20"/>
          <w:shd w:val="clear" w:color="auto" w:fill="FFFFFF" w:themeFill="background1"/>
        </w:rPr>
        <w:tab/>
      </w:r>
      <w:r w:rsidRPr="00D73F71">
        <w:rPr>
          <w:b w:val="0"/>
          <w:bCs w:val="0"/>
          <w:szCs w:val="20"/>
          <w:shd w:val="clear" w:color="auto" w:fill="FFFFFF" w:themeFill="background1"/>
        </w:rPr>
        <w:t>Cuadro 19</w:t>
      </w:r>
      <w:r w:rsidR="006262DC" w:rsidRPr="00D73F71">
        <w:rPr>
          <w:b w:val="0"/>
          <w:bCs w:val="0"/>
          <w:szCs w:val="20"/>
          <w:shd w:val="clear" w:color="auto" w:fill="FFFFFF" w:themeFill="background1"/>
        </w:rPr>
        <w:t xml:space="preserve"> </w:t>
      </w:r>
      <w:r w:rsidR="006262DC" w:rsidRPr="00D73F71">
        <w:rPr>
          <w:b w:val="0"/>
          <w:bCs w:val="0"/>
          <w:szCs w:val="20"/>
          <w:shd w:val="clear" w:color="auto" w:fill="FFFFFF" w:themeFill="background1"/>
        </w:rPr>
        <w:br/>
      </w:r>
      <w:r w:rsidRPr="00D73F71">
        <w:rPr>
          <w:bCs w:val="0"/>
          <w:szCs w:val="20"/>
          <w:shd w:val="clear" w:color="auto" w:fill="FFFFFF" w:themeFill="background1"/>
        </w:rPr>
        <w:t>Porcentaje del gasto público en los distintos niveles educativos en el Estado de Qatar durante el período 2015</w:t>
      </w:r>
      <w:r w:rsidR="00083383" w:rsidRPr="00D73F71">
        <w:rPr>
          <w:bCs w:val="0"/>
          <w:szCs w:val="20"/>
          <w:shd w:val="clear" w:color="auto" w:fill="FFFFFF" w:themeFill="background1"/>
        </w:rPr>
        <w:noBreakHyphen/>
      </w:r>
      <w:r w:rsidRPr="00D73F71">
        <w:rPr>
          <w:bCs w:val="0"/>
          <w:szCs w:val="20"/>
          <w:shd w:val="clear" w:color="auto" w:fill="FFFFFF" w:themeFill="background1"/>
        </w:rPr>
        <w:t>2017</w:t>
      </w:r>
    </w:p>
    <w:p w14:paraId="476BFF50" w14:textId="77777777" w:rsidR="008D2F10" w:rsidRPr="00D73F71" w:rsidRDefault="008D2F10" w:rsidP="008D2F10">
      <w:pPr>
        <w:pStyle w:val="SingleTxt"/>
        <w:spacing w:after="0" w:line="120" w:lineRule="exact"/>
        <w:rPr>
          <w:sz w:val="10"/>
          <w:shd w:val="clear" w:color="auto" w:fill="FFFFFF" w:themeFill="background1"/>
        </w:rPr>
      </w:pPr>
    </w:p>
    <w:tbl>
      <w:tblPr>
        <w:tblW w:w="7289" w:type="dxa"/>
        <w:tblInd w:w="1290" w:type="dxa"/>
        <w:shd w:val="clear" w:color="auto" w:fill="FFFFFF" w:themeFill="background1"/>
        <w:tblLayout w:type="fixed"/>
        <w:tblCellMar>
          <w:left w:w="0" w:type="dxa"/>
          <w:right w:w="0" w:type="dxa"/>
        </w:tblCellMar>
        <w:tblLook w:val="04A0" w:firstRow="1" w:lastRow="0" w:firstColumn="1" w:lastColumn="0" w:noHBand="0" w:noVBand="1"/>
      </w:tblPr>
      <w:tblGrid>
        <w:gridCol w:w="4713"/>
        <w:gridCol w:w="871"/>
        <w:gridCol w:w="839"/>
        <w:gridCol w:w="866"/>
      </w:tblGrid>
      <w:tr w:rsidR="008D2F10" w:rsidRPr="00D73F71" w14:paraId="61A0D1FE" w14:textId="77777777" w:rsidTr="00BD7BE9">
        <w:trPr>
          <w:trHeight w:val="170"/>
          <w:tblHeader/>
        </w:trPr>
        <w:tc>
          <w:tcPr>
            <w:tcW w:w="4713" w:type="dxa"/>
            <w:tcBorders>
              <w:top w:val="single" w:sz="4" w:space="0" w:color="auto"/>
              <w:bottom w:val="single" w:sz="12" w:space="0" w:color="auto"/>
            </w:tcBorders>
            <w:shd w:val="clear" w:color="auto" w:fill="FFFFFF" w:themeFill="background1"/>
            <w:vAlign w:val="bottom"/>
            <w:hideMark/>
          </w:tcPr>
          <w:p w14:paraId="152E83CC" w14:textId="77777777" w:rsidR="008D2F10" w:rsidRPr="00D73F71" w:rsidRDefault="008D2F10" w:rsidP="00553F3F">
            <w:pPr>
              <w:pStyle w:val="SingleTxt"/>
              <w:spacing w:before="80" w:after="80" w:line="160" w:lineRule="exact"/>
              <w:ind w:left="11" w:right="43"/>
              <w:jc w:val="left"/>
              <w:rPr>
                <w:i/>
                <w:iCs/>
                <w:sz w:val="14"/>
                <w:shd w:val="clear" w:color="auto" w:fill="FFFFFF" w:themeFill="background1"/>
              </w:rPr>
            </w:pPr>
            <w:r w:rsidRPr="00D73F71">
              <w:rPr>
                <w:i/>
                <w:iCs/>
                <w:sz w:val="14"/>
                <w:shd w:val="clear" w:color="auto" w:fill="FFFFFF" w:themeFill="background1"/>
              </w:rPr>
              <w:t>Indicador</w:t>
            </w:r>
          </w:p>
        </w:tc>
        <w:tc>
          <w:tcPr>
            <w:tcW w:w="871" w:type="dxa"/>
            <w:tcBorders>
              <w:top w:val="single" w:sz="4" w:space="0" w:color="auto"/>
              <w:bottom w:val="single" w:sz="12" w:space="0" w:color="auto"/>
            </w:tcBorders>
            <w:shd w:val="clear" w:color="auto" w:fill="FFFFFF" w:themeFill="background1"/>
            <w:vAlign w:val="bottom"/>
            <w:hideMark/>
          </w:tcPr>
          <w:p w14:paraId="3482D385" w14:textId="77777777" w:rsidR="008D2F10" w:rsidRPr="00D73F71" w:rsidRDefault="008D2F10" w:rsidP="00553F3F">
            <w:pPr>
              <w:pStyle w:val="SingleTxt"/>
              <w:spacing w:before="80" w:after="80" w:line="160" w:lineRule="exact"/>
              <w:ind w:left="63" w:right="43"/>
              <w:jc w:val="right"/>
              <w:rPr>
                <w:i/>
                <w:iCs/>
                <w:sz w:val="14"/>
                <w:shd w:val="clear" w:color="auto" w:fill="FFFFFF" w:themeFill="background1"/>
              </w:rPr>
            </w:pPr>
            <w:r w:rsidRPr="00D73F71">
              <w:rPr>
                <w:i/>
                <w:iCs/>
                <w:sz w:val="14"/>
                <w:shd w:val="clear" w:color="auto" w:fill="FFFFFF" w:themeFill="background1"/>
              </w:rPr>
              <w:t>2015</w:t>
            </w:r>
          </w:p>
        </w:tc>
        <w:tc>
          <w:tcPr>
            <w:tcW w:w="839" w:type="dxa"/>
            <w:tcBorders>
              <w:top w:val="single" w:sz="4" w:space="0" w:color="auto"/>
              <w:bottom w:val="single" w:sz="12" w:space="0" w:color="auto"/>
            </w:tcBorders>
            <w:shd w:val="clear" w:color="auto" w:fill="FFFFFF" w:themeFill="background1"/>
            <w:vAlign w:val="bottom"/>
            <w:hideMark/>
          </w:tcPr>
          <w:p w14:paraId="19F967D1" w14:textId="77777777" w:rsidR="008D2F10" w:rsidRPr="00D73F71" w:rsidRDefault="008D2F10" w:rsidP="00553F3F">
            <w:pPr>
              <w:pStyle w:val="SingleTxt"/>
              <w:spacing w:before="80" w:after="80" w:line="160" w:lineRule="exact"/>
              <w:ind w:left="63" w:right="43"/>
              <w:jc w:val="right"/>
              <w:rPr>
                <w:i/>
                <w:iCs/>
                <w:sz w:val="14"/>
                <w:shd w:val="clear" w:color="auto" w:fill="FFFFFF" w:themeFill="background1"/>
              </w:rPr>
            </w:pPr>
            <w:r w:rsidRPr="00D73F71">
              <w:rPr>
                <w:i/>
                <w:iCs/>
                <w:sz w:val="14"/>
                <w:shd w:val="clear" w:color="auto" w:fill="FFFFFF" w:themeFill="background1"/>
              </w:rPr>
              <w:t>2016</w:t>
            </w:r>
          </w:p>
        </w:tc>
        <w:tc>
          <w:tcPr>
            <w:tcW w:w="866" w:type="dxa"/>
            <w:tcBorders>
              <w:top w:val="single" w:sz="4" w:space="0" w:color="auto"/>
              <w:bottom w:val="single" w:sz="12" w:space="0" w:color="auto"/>
            </w:tcBorders>
            <w:shd w:val="clear" w:color="auto" w:fill="FFFFFF" w:themeFill="background1"/>
            <w:vAlign w:val="bottom"/>
            <w:hideMark/>
          </w:tcPr>
          <w:p w14:paraId="10106FE1" w14:textId="77777777" w:rsidR="008D2F10" w:rsidRPr="00D73F71" w:rsidRDefault="008D2F10" w:rsidP="00553F3F">
            <w:pPr>
              <w:pStyle w:val="SingleTxt"/>
              <w:spacing w:before="80" w:after="80" w:line="160" w:lineRule="exact"/>
              <w:ind w:left="63" w:right="43"/>
              <w:jc w:val="right"/>
              <w:rPr>
                <w:i/>
                <w:iCs/>
                <w:sz w:val="14"/>
                <w:shd w:val="clear" w:color="auto" w:fill="FFFFFF" w:themeFill="background1"/>
              </w:rPr>
            </w:pPr>
            <w:r w:rsidRPr="00D73F71">
              <w:rPr>
                <w:i/>
                <w:iCs/>
                <w:sz w:val="14"/>
                <w:shd w:val="clear" w:color="auto" w:fill="FFFFFF" w:themeFill="background1"/>
              </w:rPr>
              <w:t>2017</w:t>
            </w:r>
          </w:p>
        </w:tc>
      </w:tr>
      <w:tr w:rsidR="008D2F10" w:rsidRPr="00D73F71" w14:paraId="22F9DB1E" w14:textId="77777777" w:rsidTr="00BD7BE9">
        <w:trPr>
          <w:trHeight w:hRule="exact" w:val="115"/>
          <w:tblHeader/>
        </w:trPr>
        <w:tc>
          <w:tcPr>
            <w:tcW w:w="4713" w:type="dxa"/>
            <w:tcBorders>
              <w:top w:val="single" w:sz="12" w:space="0" w:color="auto"/>
            </w:tcBorders>
            <w:shd w:val="clear" w:color="auto" w:fill="FFFFFF" w:themeFill="background1"/>
            <w:vAlign w:val="bottom"/>
          </w:tcPr>
          <w:p w14:paraId="71A4F382" w14:textId="77777777" w:rsidR="008D2F10" w:rsidRPr="00D73F71" w:rsidRDefault="008D2F10" w:rsidP="00BD7BE9">
            <w:pPr>
              <w:spacing w:before="40" w:after="40" w:line="210" w:lineRule="exact"/>
              <w:ind w:right="40"/>
              <w:rPr>
                <w:sz w:val="17"/>
                <w:shd w:val="clear" w:color="auto" w:fill="FFFFFF" w:themeFill="background1"/>
              </w:rPr>
            </w:pPr>
          </w:p>
        </w:tc>
        <w:tc>
          <w:tcPr>
            <w:tcW w:w="871" w:type="dxa"/>
            <w:tcBorders>
              <w:top w:val="single" w:sz="12" w:space="0" w:color="auto"/>
            </w:tcBorders>
            <w:shd w:val="clear" w:color="auto" w:fill="FFFFFF" w:themeFill="background1"/>
            <w:vAlign w:val="bottom"/>
          </w:tcPr>
          <w:p w14:paraId="601EB431" w14:textId="77777777" w:rsidR="008D2F10" w:rsidRPr="00D73F71" w:rsidRDefault="008D2F10" w:rsidP="00BD7BE9">
            <w:pPr>
              <w:spacing w:before="40" w:after="40" w:line="210" w:lineRule="exact"/>
              <w:ind w:left="144" w:right="40"/>
              <w:jc w:val="right"/>
              <w:rPr>
                <w:sz w:val="17"/>
                <w:shd w:val="clear" w:color="auto" w:fill="FFFFFF" w:themeFill="background1"/>
              </w:rPr>
            </w:pPr>
          </w:p>
        </w:tc>
        <w:tc>
          <w:tcPr>
            <w:tcW w:w="839" w:type="dxa"/>
            <w:tcBorders>
              <w:top w:val="single" w:sz="12" w:space="0" w:color="auto"/>
            </w:tcBorders>
            <w:shd w:val="clear" w:color="auto" w:fill="FFFFFF" w:themeFill="background1"/>
            <w:vAlign w:val="bottom"/>
          </w:tcPr>
          <w:p w14:paraId="14F3A048" w14:textId="77777777" w:rsidR="008D2F10" w:rsidRPr="00D73F71" w:rsidRDefault="008D2F10" w:rsidP="00BD7BE9">
            <w:pPr>
              <w:spacing w:before="40" w:after="40" w:line="210" w:lineRule="exact"/>
              <w:ind w:left="144" w:right="40"/>
              <w:jc w:val="right"/>
              <w:rPr>
                <w:sz w:val="17"/>
                <w:shd w:val="clear" w:color="auto" w:fill="FFFFFF" w:themeFill="background1"/>
              </w:rPr>
            </w:pPr>
          </w:p>
        </w:tc>
        <w:tc>
          <w:tcPr>
            <w:tcW w:w="866" w:type="dxa"/>
            <w:tcBorders>
              <w:top w:val="single" w:sz="12" w:space="0" w:color="auto"/>
            </w:tcBorders>
            <w:shd w:val="clear" w:color="auto" w:fill="FFFFFF" w:themeFill="background1"/>
            <w:vAlign w:val="bottom"/>
          </w:tcPr>
          <w:p w14:paraId="6158B3E2" w14:textId="77777777" w:rsidR="008D2F10" w:rsidRPr="00D73F71" w:rsidRDefault="008D2F10" w:rsidP="00BD7BE9">
            <w:pPr>
              <w:spacing w:before="40" w:after="40" w:line="210" w:lineRule="exact"/>
              <w:ind w:left="144" w:right="40"/>
              <w:jc w:val="right"/>
              <w:rPr>
                <w:sz w:val="17"/>
                <w:shd w:val="clear" w:color="auto" w:fill="FFFFFF" w:themeFill="background1"/>
              </w:rPr>
            </w:pPr>
          </w:p>
        </w:tc>
      </w:tr>
      <w:tr w:rsidR="008D2F10" w:rsidRPr="00D73F71" w14:paraId="75CAFAF0" w14:textId="77777777" w:rsidTr="00BD7BE9">
        <w:trPr>
          <w:trHeight w:val="216"/>
        </w:trPr>
        <w:tc>
          <w:tcPr>
            <w:tcW w:w="4713" w:type="dxa"/>
            <w:shd w:val="clear" w:color="auto" w:fill="FFFFFF" w:themeFill="background1"/>
            <w:vAlign w:val="bottom"/>
            <w:hideMark/>
          </w:tcPr>
          <w:p w14:paraId="6657C498" w14:textId="77777777" w:rsidR="008D2F10" w:rsidRPr="00D73F71" w:rsidRDefault="008D2F10" w:rsidP="00553F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hd w:val="clear" w:color="auto" w:fill="FFFFFF" w:themeFill="background1"/>
              </w:rPr>
            </w:pPr>
            <w:r w:rsidRPr="00D73F71">
              <w:rPr>
                <w:sz w:val="17"/>
                <w:shd w:val="clear" w:color="auto" w:fill="FFFFFF" w:themeFill="background1"/>
              </w:rPr>
              <w:t>Gasto en todos los niveles educativos en porcentaje del total de gasto público (presupuesto general del Estado)</w:t>
            </w:r>
          </w:p>
        </w:tc>
        <w:tc>
          <w:tcPr>
            <w:tcW w:w="871" w:type="dxa"/>
            <w:shd w:val="clear" w:color="auto" w:fill="FFFFFF" w:themeFill="background1"/>
            <w:vAlign w:val="bottom"/>
            <w:hideMark/>
          </w:tcPr>
          <w:p w14:paraId="501DEBFC" w14:textId="77777777" w:rsidR="008D2F10" w:rsidRPr="00D73F71" w:rsidRDefault="008D2F10" w:rsidP="00553F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hd w:val="clear" w:color="auto" w:fill="FFFFFF" w:themeFill="background1"/>
              </w:rPr>
            </w:pPr>
            <w:r w:rsidRPr="00D73F71">
              <w:rPr>
                <w:sz w:val="17"/>
                <w:shd w:val="clear" w:color="auto" w:fill="FFFFFF" w:themeFill="background1"/>
              </w:rPr>
              <w:t>12%</w:t>
            </w:r>
          </w:p>
        </w:tc>
        <w:tc>
          <w:tcPr>
            <w:tcW w:w="839" w:type="dxa"/>
            <w:shd w:val="clear" w:color="auto" w:fill="FFFFFF" w:themeFill="background1"/>
            <w:vAlign w:val="bottom"/>
            <w:hideMark/>
          </w:tcPr>
          <w:p w14:paraId="26F30A8D" w14:textId="77777777" w:rsidR="008D2F10" w:rsidRPr="00D73F71" w:rsidRDefault="008D2F10" w:rsidP="00553F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hd w:val="clear" w:color="auto" w:fill="FFFFFF" w:themeFill="background1"/>
              </w:rPr>
            </w:pPr>
            <w:r w:rsidRPr="00D73F71">
              <w:rPr>
                <w:sz w:val="17"/>
                <w:shd w:val="clear" w:color="auto" w:fill="FFFFFF" w:themeFill="background1"/>
              </w:rPr>
              <w:t>10%</w:t>
            </w:r>
          </w:p>
        </w:tc>
        <w:tc>
          <w:tcPr>
            <w:tcW w:w="866" w:type="dxa"/>
            <w:shd w:val="clear" w:color="auto" w:fill="FFFFFF" w:themeFill="background1"/>
            <w:vAlign w:val="bottom"/>
            <w:hideMark/>
          </w:tcPr>
          <w:p w14:paraId="54E87B31" w14:textId="77777777" w:rsidR="008D2F10" w:rsidRPr="00D73F71" w:rsidRDefault="008D2F10" w:rsidP="00553F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hd w:val="clear" w:color="auto" w:fill="FFFFFF" w:themeFill="background1"/>
              </w:rPr>
            </w:pPr>
            <w:r w:rsidRPr="00D73F71">
              <w:rPr>
                <w:sz w:val="17"/>
                <w:shd w:val="clear" w:color="auto" w:fill="FFFFFF" w:themeFill="background1"/>
              </w:rPr>
              <w:t>10%</w:t>
            </w:r>
          </w:p>
        </w:tc>
      </w:tr>
      <w:tr w:rsidR="008D2F10" w:rsidRPr="00D73F71" w14:paraId="02206946" w14:textId="77777777" w:rsidTr="00BD7BE9">
        <w:trPr>
          <w:trHeight w:val="342"/>
        </w:trPr>
        <w:tc>
          <w:tcPr>
            <w:tcW w:w="4713" w:type="dxa"/>
            <w:tcBorders>
              <w:bottom w:val="single" w:sz="12" w:space="0" w:color="auto"/>
            </w:tcBorders>
            <w:shd w:val="clear" w:color="auto" w:fill="FFFFFF" w:themeFill="background1"/>
            <w:vAlign w:val="bottom"/>
            <w:hideMark/>
          </w:tcPr>
          <w:p w14:paraId="0709B7DC" w14:textId="558354E4" w:rsidR="008D2F10" w:rsidRPr="00D73F71" w:rsidRDefault="008D2F10" w:rsidP="00553F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hd w:val="clear" w:color="auto" w:fill="FFFFFF" w:themeFill="background1"/>
              </w:rPr>
            </w:pPr>
            <w:r w:rsidRPr="00D73F71">
              <w:rPr>
                <w:sz w:val="17"/>
                <w:shd w:val="clear" w:color="auto" w:fill="FFFFFF" w:themeFill="background1"/>
              </w:rPr>
              <w:t>Gastos en todos los niveles educativos en porcentaje del PIB</w:t>
            </w:r>
            <w:r w:rsidR="00083383" w:rsidRPr="00D73F71">
              <w:rPr>
                <w:sz w:val="17"/>
                <w:shd w:val="clear" w:color="auto" w:fill="FFFFFF" w:themeFill="background1"/>
              </w:rPr>
              <w:t xml:space="preserve"> </w:t>
            </w:r>
            <w:r w:rsidRPr="00D73F71">
              <w:rPr>
                <w:sz w:val="17"/>
                <w:shd w:val="clear" w:color="auto" w:fill="FFFFFF" w:themeFill="background1"/>
              </w:rPr>
              <w:t>nominal</w:t>
            </w:r>
          </w:p>
        </w:tc>
        <w:tc>
          <w:tcPr>
            <w:tcW w:w="871" w:type="dxa"/>
            <w:tcBorders>
              <w:bottom w:val="single" w:sz="12" w:space="0" w:color="auto"/>
            </w:tcBorders>
            <w:shd w:val="clear" w:color="auto" w:fill="FFFFFF" w:themeFill="background1"/>
            <w:vAlign w:val="bottom"/>
            <w:hideMark/>
          </w:tcPr>
          <w:p w14:paraId="1ADF3157" w14:textId="77777777" w:rsidR="008D2F10" w:rsidRPr="00D73F71" w:rsidRDefault="008D2F10" w:rsidP="00553F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hd w:val="clear" w:color="auto" w:fill="FFFFFF" w:themeFill="background1"/>
              </w:rPr>
            </w:pPr>
            <w:r w:rsidRPr="00D73F71">
              <w:rPr>
                <w:sz w:val="17"/>
                <w:shd w:val="clear" w:color="auto" w:fill="FFFFFF" w:themeFill="background1"/>
              </w:rPr>
              <w:t>28%</w:t>
            </w:r>
          </w:p>
        </w:tc>
        <w:tc>
          <w:tcPr>
            <w:tcW w:w="839" w:type="dxa"/>
            <w:tcBorders>
              <w:bottom w:val="single" w:sz="12" w:space="0" w:color="auto"/>
            </w:tcBorders>
            <w:shd w:val="clear" w:color="auto" w:fill="FFFFFF" w:themeFill="background1"/>
            <w:vAlign w:val="bottom"/>
            <w:hideMark/>
          </w:tcPr>
          <w:p w14:paraId="7F7495D7" w14:textId="77777777" w:rsidR="008D2F10" w:rsidRPr="00D73F71" w:rsidRDefault="008D2F10" w:rsidP="00553F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hd w:val="clear" w:color="auto" w:fill="FFFFFF" w:themeFill="background1"/>
              </w:rPr>
            </w:pPr>
            <w:r w:rsidRPr="00D73F71">
              <w:rPr>
                <w:sz w:val="17"/>
                <w:shd w:val="clear" w:color="auto" w:fill="FFFFFF" w:themeFill="background1"/>
              </w:rPr>
              <w:t>36%</w:t>
            </w:r>
          </w:p>
        </w:tc>
        <w:tc>
          <w:tcPr>
            <w:tcW w:w="866" w:type="dxa"/>
            <w:tcBorders>
              <w:bottom w:val="single" w:sz="12" w:space="0" w:color="auto"/>
            </w:tcBorders>
            <w:shd w:val="clear" w:color="auto" w:fill="FFFFFF" w:themeFill="background1"/>
            <w:vAlign w:val="bottom"/>
            <w:hideMark/>
          </w:tcPr>
          <w:p w14:paraId="36A564FF" w14:textId="77777777" w:rsidR="008D2F10" w:rsidRPr="00D73F71" w:rsidRDefault="008D2F10" w:rsidP="00553F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shd w:val="clear" w:color="auto" w:fill="FFFFFF" w:themeFill="background1"/>
              </w:rPr>
            </w:pPr>
            <w:r w:rsidRPr="00D73F71">
              <w:rPr>
                <w:sz w:val="17"/>
                <w:shd w:val="clear" w:color="auto" w:fill="FFFFFF" w:themeFill="background1"/>
              </w:rPr>
              <w:t>33%</w:t>
            </w:r>
          </w:p>
        </w:tc>
      </w:tr>
    </w:tbl>
    <w:p w14:paraId="307365B7" w14:textId="77777777" w:rsidR="008D2F10" w:rsidRPr="00D73F71" w:rsidRDefault="008D2F10" w:rsidP="008D2F10">
      <w:pPr>
        <w:pStyle w:val="SingleTxt"/>
        <w:spacing w:after="0" w:line="120" w:lineRule="exact"/>
        <w:rPr>
          <w:sz w:val="10"/>
          <w:shd w:val="clear" w:color="auto" w:fill="FFFFFF" w:themeFill="background1"/>
        </w:rPr>
      </w:pPr>
    </w:p>
    <w:p w14:paraId="5611FBAB" w14:textId="3FD01083" w:rsidR="008D2F10" w:rsidRPr="00D73F71"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shd w:val="clear" w:color="auto" w:fill="FFFFFF" w:themeFill="background1"/>
        </w:rPr>
      </w:pPr>
      <w:r w:rsidRPr="00D73F71">
        <w:rPr>
          <w:rFonts w:eastAsiaTheme="minorHAnsi"/>
          <w:i/>
          <w:iCs/>
          <w:w w:val="103"/>
          <w:kern w:val="14"/>
          <w:szCs w:val="20"/>
          <w:shd w:val="clear" w:color="auto" w:fill="FFFFFF" w:themeFill="background1"/>
        </w:rPr>
        <w:t xml:space="preserve">Fuente: </w:t>
      </w:r>
      <w:r w:rsidRPr="00D73F71">
        <w:rPr>
          <w:rFonts w:eastAsiaTheme="minorHAnsi"/>
          <w:iCs/>
          <w:w w:val="103"/>
          <w:kern w:val="14"/>
          <w:szCs w:val="20"/>
          <w:shd w:val="clear" w:color="auto" w:fill="FFFFFF" w:themeFill="background1"/>
        </w:rPr>
        <w:t>Estado de Qatar, Ministerio de Educación y Enseñanza Superior, Departamento de Investigaciones y Políticas Educativas, División de Estadística, 2017</w:t>
      </w:r>
      <w:r w:rsidR="00083383" w:rsidRPr="00D73F71">
        <w:rPr>
          <w:rFonts w:eastAsiaTheme="minorHAnsi"/>
          <w:iCs/>
          <w:w w:val="103"/>
          <w:kern w:val="14"/>
          <w:szCs w:val="20"/>
          <w:shd w:val="clear" w:color="auto" w:fill="FFFFFF" w:themeFill="background1"/>
        </w:rPr>
        <w:t>.</w:t>
      </w:r>
    </w:p>
    <w:p w14:paraId="0AF0A5F7" w14:textId="77777777" w:rsidR="008D2F10" w:rsidRPr="00D73F71" w:rsidRDefault="008D2F10" w:rsidP="003B5AA5">
      <w:pPr>
        <w:pStyle w:val="SingleTxt"/>
        <w:spacing w:after="0" w:line="120" w:lineRule="exact"/>
        <w:rPr>
          <w:sz w:val="10"/>
          <w:shd w:val="clear" w:color="auto" w:fill="FFFFFF" w:themeFill="background1"/>
        </w:rPr>
      </w:pPr>
    </w:p>
    <w:p w14:paraId="4D1BBC36" w14:textId="77777777" w:rsidR="008D2F10" w:rsidRPr="00D73F71" w:rsidRDefault="008D2F10" w:rsidP="003B5AA5">
      <w:pPr>
        <w:pStyle w:val="SingleTxt"/>
        <w:spacing w:after="0" w:line="120" w:lineRule="exact"/>
        <w:rPr>
          <w:sz w:val="10"/>
          <w:shd w:val="clear" w:color="auto" w:fill="FFFFFF" w:themeFill="background1"/>
        </w:rPr>
      </w:pPr>
    </w:p>
    <w:p w14:paraId="3C104865" w14:textId="77777777" w:rsidR="008D2F10" w:rsidRPr="00D73F71"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shd w:val="clear" w:color="auto" w:fill="FFFFFF" w:themeFill="background1"/>
        </w:rPr>
      </w:pPr>
      <w:r w:rsidRPr="00D73F71">
        <w:rPr>
          <w:bCs w:val="0"/>
          <w:szCs w:val="20"/>
          <w:shd w:val="clear" w:color="auto" w:fill="FFFFFF" w:themeFill="background1"/>
        </w:rPr>
        <w:tab/>
      </w:r>
      <w:r w:rsidRPr="00D73F71">
        <w:rPr>
          <w:bCs w:val="0"/>
          <w:szCs w:val="20"/>
          <w:shd w:val="clear" w:color="auto" w:fill="FFFFFF" w:themeFill="background1"/>
        </w:rPr>
        <w:tab/>
        <w:t>Artículo 11: Empleo</w:t>
      </w:r>
    </w:p>
    <w:p w14:paraId="57B6304B" w14:textId="77777777" w:rsidR="008D2F10" w:rsidRPr="00D73F71" w:rsidRDefault="008D2F10" w:rsidP="008D2F10">
      <w:pPr>
        <w:pStyle w:val="SingleTxt"/>
        <w:spacing w:after="0" w:line="120" w:lineRule="exact"/>
        <w:rPr>
          <w:sz w:val="10"/>
          <w:shd w:val="clear" w:color="auto" w:fill="FFFFFF" w:themeFill="background1"/>
        </w:rPr>
      </w:pPr>
    </w:p>
    <w:p w14:paraId="036792C7" w14:textId="406E5C08" w:rsidR="008D2F10" w:rsidRPr="00D73F71" w:rsidRDefault="008D2F10" w:rsidP="001D1AD0">
      <w:pPr>
        <w:pStyle w:val="SingleTxt"/>
        <w:numPr>
          <w:ilvl w:val="0"/>
          <w:numId w:val="10"/>
        </w:numPr>
        <w:ind w:left="1267" w:firstLine="0"/>
        <w:rPr>
          <w:shd w:val="clear" w:color="auto" w:fill="FFFFFF" w:themeFill="background1"/>
        </w:rPr>
      </w:pPr>
      <w:r w:rsidRPr="00D73F71">
        <w:rPr>
          <w:shd w:val="clear" w:color="auto" w:fill="FFFFFF" w:themeFill="background1"/>
        </w:rPr>
        <w:t>A este respecto, el informe remite a la información recogida en el informe inicial, en los párrafos 259 a 311</w:t>
      </w:r>
      <w:r w:rsidR="00083383" w:rsidRPr="00D73F71">
        <w:rPr>
          <w:shd w:val="clear" w:color="auto" w:fill="FFFFFF" w:themeFill="background1"/>
        </w:rPr>
        <w:t>.</w:t>
      </w:r>
      <w:r w:rsidRPr="00D73F71">
        <w:rPr>
          <w:shd w:val="clear" w:color="auto" w:fill="FFFFFF" w:themeFill="background1"/>
        </w:rPr>
        <w:t xml:space="preserve"> El Estado sigue aprobando legislación que regula el mercado de trabajo en congruencia con el enfoque de la Constitución Permanente, no incluye ninguna discriminación negativa contra la mujer y no establece ninguna distinción entre hombres y mujeres en lo que a sueldos y prestaciones se refiere</w:t>
      </w:r>
      <w:r w:rsidR="00083383" w:rsidRPr="00D73F71">
        <w:rPr>
          <w:shd w:val="clear" w:color="auto" w:fill="FFFFFF" w:themeFill="background1"/>
        </w:rPr>
        <w:t>.</w:t>
      </w:r>
      <w:r w:rsidRPr="00D73F71">
        <w:rPr>
          <w:shd w:val="clear" w:color="auto" w:fill="FFFFFF" w:themeFill="background1"/>
        </w:rPr>
        <w:t xml:space="preserve"> Al contrario, en caso de darse tal discriminación, se trata de una discriminación positiva, tanto en la Ley del Funcionariado Civil (núm</w:t>
      </w:r>
      <w:r w:rsidR="00083383" w:rsidRPr="00D73F71">
        <w:rPr>
          <w:shd w:val="clear" w:color="auto" w:fill="FFFFFF" w:themeFill="background1"/>
        </w:rPr>
        <w:t>.</w:t>
      </w:r>
      <w:r w:rsidRPr="00D73F71">
        <w:rPr>
          <w:shd w:val="clear" w:color="auto" w:fill="FFFFFF" w:themeFill="background1"/>
        </w:rPr>
        <w:t xml:space="preserve"> 15/2016) como en la Ley del Trabajo (núm</w:t>
      </w:r>
      <w:r w:rsidR="00083383" w:rsidRPr="00D73F71">
        <w:rPr>
          <w:shd w:val="clear" w:color="auto" w:fill="FFFFFF" w:themeFill="background1"/>
        </w:rPr>
        <w:t>.</w:t>
      </w:r>
      <w:r w:rsidRPr="00D73F71">
        <w:rPr>
          <w:shd w:val="clear" w:color="auto" w:fill="FFFFFF" w:themeFill="background1"/>
        </w:rPr>
        <w:t xml:space="preserve"> 14/2004), como se ha señalado anteriormente con más detalle al abordar las observaciones sobre el artículo 4, relativo a las medidas especiales</w:t>
      </w:r>
      <w:r w:rsidR="00083383" w:rsidRPr="00D73F71">
        <w:rPr>
          <w:shd w:val="clear" w:color="auto" w:fill="FFFFFF" w:themeFill="background1"/>
        </w:rPr>
        <w:t>.</w:t>
      </w:r>
    </w:p>
    <w:bookmarkEnd w:id="4"/>
    <w:p w14:paraId="3776947D" w14:textId="057EB20C" w:rsidR="008D2F10" w:rsidRPr="00D43575" w:rsidRDefault="008D2F10" w:rsidP="001D1AD0">
      <w:pPr>
        <w:pStyle w:val="SingleTxt"/>
        <w:numPr>
          <w:ilvl w:val="0"/>
          <w:numId w:val="10"/>
        </w:numPr>
        <w:ind w:left="1267" w:firstLine="0"/>
      </w:pPr>
      <w:r w:rsidRPr="00D43575">
        <w:t>La legislación establece el salario mínimo y prevé la paridad entre los salarios de mujeres y hombres</w:t>
      </w:r>
      <w:r w:rsidR="00083383" w:rsidRPr="00D43575">
        <w:t>.</w:t>
      </w:r>
      <w:r w:rsidRPr="00D43575">
        <w:t xml:space="preserve"> El principio de la igualdad en el empleo exige que se dispense un trato igualitario a todos los trabajadores cuando cuentan con la misma formación y experiencia</w:t>
      </w:r>
      <w:r w:rsidR="00083383" w:rsidRPr="00D43575">
        <w:t>.</w:t>
      </w:r>
      <w:r w:rsidRPr="00D43575">
        <w:t xml:space="preserve"> El Estado de Qatar ha ratificado el Convenio núm</w:t>
      </w:r>
      <w:r w:rsidR="00083383" w:rsidRPr="00D43575">
        <w:t>.</w:t>
      </w:r>
      <w:r w:rsidRPr="00D43575">
        <w:t xml:space="preserve"> 100 (1951) de la Organización Internacional del Trabajo relativo a la igualdad de remuneración entre hombres y mujeres por un trabajo de igual valor</w:t>
      </w:r>
      <w:r w:rsidR="00083383" w:rsidRPr="00D43575">
        <w:t>.</w:t>
      </w:r>
      <w:r w:rsidRPr="00D43575">
        <w:t xml:space="preserve"> En 1976 ratificó el Convenio núm</w:t>
      </w:r>
      <w:r w:rsidR="00083383" w:rsidRPr="00D43575">
        <w:t>.</w:t>
      </w:r>
      <w:r w:rsidRPr="00D43575">
        <w:t xml:space="preserve"> 111 (1958) relativo a la discriminación en materia de empleo y ocupación y en 1997, el Convenio núm</w:t>
      </w:r>
      <w:r w:rsidR="00083383" w:rsidRPr="00D43575">
        <w:t>.</w:t>
      </w:r>
      <w:r w:rsidRPr="00D43575">
        <w:t xml:space="preserve"> 105 (1957) relativo a la abolición del trabajo forzoso, que dispone que la legislación laboral deberá prohibir que se fuerce a cualquier persona a realizar un trabajo y que los contratos entre los empleadores y los trabajadores deberán ser </w:t>
      </w:r>
      <w:r w:rsidRPr="00D43575">
        <w:lastRenderedPageBreak/>
        <w:t>claros y libremente concertados</w:t>
      </w:r>
      <w:r w:rsidR="00083383" w:rsidRPr="00D43575">
        <w:t>.</w:t>
      </w:r>
      <w:r w:rsidRPr="00D43575">
        <w:t xml:space="preserve"> La igualdad de oportunidades laborales, el derecho a la licencia de maternidad y a una interrupción del trabajo para la lactancia y la prohibición del despido arbitrario o de la rescisión del contrato de trabajo en caso de matrimonio o por licencia de maternidad guardan relación directa con la protección de la mujer y contribuyen a que las mujeres y sus familias logren la estabilidad emocional y económica</w:t>
      </w:r>
      <w:r w:rsidRPr="007D60C1">
        <w:rPr>
          <w:vertAlign w:val="superscript"/>
        </w:rPr>
        <w:footnoteReference w:id="22"/>
      </w:r>
      <w:r w:rsidR="00083383" w:rsidRPr="007D60C1">
        <w:t>.</w:t>
      </w:r>
      <w:r w:rsidRPr="009D5F93">
        <w:t xml:space="preserve"> El</w:t>
      </w:r>
      <w:r w:rsidR="00083383" w:rsidRPr="00D43575">
        <w:t xml:space="preserve"> </w:t>
      </w:r>
      <w:r w:rsidRPr="00D43575">
        <w:t>artículo 11 de la Ley del Funcionariado Civil, promulgada en noviembre de 2016, establece que el Gobierno puede cubrir determinados puestos con jornada parcial, de</w:t>
      </w:r>
      <w:r w:rsidR="00083383" w:rsidRPr="00D43575">
        <w:t xml:space="preserve"> </w:t>
      </w:r>
      <w:r w:rsidRPr="00D43575">
        <w:t>conformidad con las condiciones y directrices previstas por decisión del Consejo</w:t>
      </w:r>
      <w:r w:rsidR="00083383" w:rsidRPr="00D43575">
        <w:t xml:space="preserve"> </w:t>
      </w:r>
      <w:r w:rsidRPr="00D43575">
        <w:t>de</w:t>
      </w:r>
      <w:r w:rsidR="00083383" w:rsidRPr="00D43575">
        <w:t xml:space="preserve"> </w:t>
      </w:r>
      <w:r w:rsidRPr="00D43575">
        <w:t>Ministros</w:t>
      </w:r>
      <w:r w:rsidR="00083383" w:rsidRPr="00D43575">
        <w:t>.</w:t>
      </w:r>
    </w:p>
    <w:p w14:paraId="5B2B6217" w14:textId="226CD9A9" w:rsidR="008D2F10" w:rsidRPr="00D43575" w:rsidRDefault="008D2F10" w:rsidP="00240FC5">
      <w:pPr>
        <w:pStyle w:val="SingleTxt"/>
        <w:numPr>
          <w:ilvl w:val="0"/>
          <w:numId w:val="10"/>
        </w:numPr>
        <w:ind w:left="1267" w:firstLine="0"/>
      </w:pPr>
      <w:r w:rsidRPr="00D43575">
        <w:t>La Cámara de Comercio e Industria de Qatar es sede permanente de la Qatari Business Women Association, organización creada en 2000 para impulsar el papel de la mujer qatarí en la adopción de decisiones económicas y alentar a las mujeres a que participen activamente en la puesta en marcha de diversos proyectos de inversión</w:t>
      </w:r>
      <w:r w:rsidR="00083383" w:rsidRPr="00D43575">
        <w:t>.</w:t>
      </w:r>
      <w:r w:rsidRPr="00D43575">
        <w:t xml:space="preserve"> Esta organización busca lograr varios objetivos; los más importantes son los siguientes: desarrollar y fortalecer los vínculos de cooperación en las relaciones comerciales entre mujeres empresarias; crear un entorno propicio para el ejercicio de sus funciones en el proceso de desarrollo económico; y reforzar el papel de la mujer qatarí en la adopción de decisiones económicas</w:t>
      </w:r>
      <w:r w:rsidR="00083383" w:rsidRPr="00D43575">
        <w:t>.</w:t>
      </w:r>
      <w:r w:rsidRPr="00D43575">
        <w:t xml:space="preserve"> La organización aspira también a alentar a las mujeres a que contribuyan con la creación de empresas, pequeñas empresas y empresas de producción artesanal, y a fortalecer la contribución que hacen el sector privado y la mujer qatarí a las actividades comerciales y de inversión</w:t>
      </w:r>
      <w:r w:rsidR="00083383" w:rsidRPr="00D43575">
        <w:t>.</w:t>
      </w:r>
      <w:r w:rsidRPr="00D43575">
        <w:t xml:space="preserve"> Por otro lado, trata de orientar el conocimiento de las leyes que regulan las actividades comerciales y económicas mediante la celebración de reuniones y seminarios que contribuyan a la formación de las mujeres para que participen activamente en el proceso general de desarrollo económico</w:t>
      </w:r>
      <w:r w:rsidR="00083383" w:rsidRPr="00D43575">
        <w:t>.</w:t>
      </w:r>
    </w:p>
    <w:p w14:paraId="2A5EEEAA" w14:textId="01AC93E8" w:rsidR="008D2F10" w:rsidRPr="00D43575" w:rsidRDefault="008D2F10" w:rsidP="001D1AD0">
      <w:pPr>
        <w:pStyle w:val="SingleTxt"/>
        <w:numPr>
          <w:ilvl w:val="0"/>
          <w:numId w:val="10"/>
        </w:numPr>
        <w:ind w:left="1267" w:firstLine="0"/>
      </w:pPr>
      <w:r w:rsidRPr="00D43575">
        <w:t>Las mujeres desempeñan un papel fundamental en las organizaciones benéficas prestando diversos tipos de asistencia y socorro, tanto en la comunidad como fuera de ella</w:t>
      </w:r>
      <w:r w:rsidR="00083383" w:rsidRPr="00D43575">
        <w:t>.</w:t>
      </w:r>
      <w:r w:rsidRPr="00D43575">
        <w:t xml:space="preserve"> También participan en actividades tales como la preparación de investigaciones sobre el terreno sobre las familias desfavorecidas y la organización de ventas benéficas y campañas de donación para asistir a las zonas afectadas</w:t>
      </w:r>
      <w:r w:rsidR="00083383" w:rsidRPr="00D43575">
        <w:t>.</w:t>
      </w:r>
      <w:r w:rsidRPr="00D43575">
        <w:t xml:space="preserve"> Las mujeres qataríes trabajan en dichas organizaciones como miembros del personal y voluntarias</w:t>
      </w:r>
      <w:r w:rsidR="00083383" w:rsidRPr="00D43575">
        <w:t>.</w:t>
      </w:r>
      <w:r w:rsidRPr="00D43575">
        <w:t xml:space="preserve"> A finales de 2016, el Ministerio de Economía y Comercio comenzó a conceder licencias para realizar actividades comerciales desde el hogar</w:t>
      </w:r>
      <w:r w:rsidR="00083383" w:rsidRPr="00D43575">
        <w:t>.</w:t>
      </w:r>
      <w:r w:rsidRPr="00D43575">
        <w:t xml:space="preserve"> Se trata, por</w:t>
      </w:r>
      <w:r w:rsidR="00083383" w:rsidRPr="00D43575">
        <w:t xml:space="preserve"> </w:t>
      </w:r>
      <w:r w:rsidRPr="00D43575">
        <w:t>ejemplo, de actividades que no exigen grandes inversiones, dependen fundamentalmente de las aptitudes individuales y no requieren equipos que podrían molestar o generar materiales peligrosos</w:t>
      </w:r>
      <w:r w:rsidR="00083383" w:rsidRPr="00D43575">
        <w:t>.</w:t>
      </w:r>
      <w:r w:rsidRPr="00D43575">
        <w:t xml:space="preserve"> El objetivo es lograr una cantidad suficiente de ingresos para proporcionar medios de subsistencia a las personas con la licencia y a sus familias</w:t>
      </w:r>
      <w:r w:rsidR="00083383" w:rsidRPr="00D43575">
        <w:t>.</w:t>
      </w:r>
    </w:p>
    <w:p w14:paraId="16F6AF3A" w14:textId="58D9C574" w:rsidR="008D2F10" w:rsidRPr="00D43575" w:rsidRDefault="008D2F10" w:rsidP="001D1AD0">
      <w:pPr>
        <w:pStyle w:val="SingleTxt"/>
        <w:numPr>
          <w:ilvl w:val="0"/>
          <w:numId w:val="10"/>
        </w:numPr>
        <w:ind w:left="1267" w:firstLine="0"/>
      </w:pPr>
      <w:r w:rsidRPr="00D43575">
        <w:t>El Qatar Business Incubation Center es una de las mayores incubadoras de empresas de multiplicidad de servicios en la región del Oriente Medio y Norte de África</w:t>
      </w:r>
      <w:r w:rsidR="00083383" w:rsidRPr="00D43575">
        <w:t>.</w:t>
      </w:r>
      <w:r w:rsidRPr="00D43575">
        <w:t xml:space="preserve"> Presta servicios de apoyo a las operaciones comerciales para ayudar a los emprendedores y a las empresas que tienen una idea de negocio o para que las empresas existentes se desarrollen</w:t>
      </w:r>
      <w:r w:rsidR="00083383" w:rsidRPr="00D43575">
        <w:t>.</w:t>
      </w:r>
      <w:r w:rsidRPr="00D43575">
        <w:t xml:space="preserve"> El centro se fundó en 2014 como una iniciativa de las entidades públicas de Qatar que asumen el papel principal de promoción para apoyar a emprendedores ofreciendo apoyo al sector empresarial qatarí a través de financiación, espacios de oficinas, asesoramiento y orientación</w:t>
      </w:r>
      <w:r w:rsidR="00083383" w:rsidRPr="00D43575">
        <w:t>.</w:t>
      </w:r>
      <w:r w:rsidRPr="00D43575">
        <w:t xml:space="preserve"> En tres años, ha realizado numerosos logros, especialmente en lo referente a alentar a las mujeres a que participen en actividades empresariales</w:t>
      </w:r>
      <w:r w:rsidR="00083383" w:rsidRPr="00D43575">
        <w:t>.</w:t>
      </w:r>
      <w:r w:rsidRPr="00D43575">
        <w:t xml:space="preserve"> El porcentaje de mujeres que egresan de los programas de emprendimiento alcanza el 33%, mientras que el porcentaje de mujeres que solicitan matricularse alcanza casi el 33%</w:t>
      </w:r>
      <w:r w:rsidR="00083383" w:rsidRPr="00D43575">
        <w:t>.</w:t>
      </w:r>
      <w:r w:rsidRPr="00D43575">
        <w:t xml:space="preserve"> Cabe señalar que 21 de las 52 empresas que se han creado en </w:t>
      </w:r>
      <w:r w:rsidR="00BC413C" w:rsidRPr="00D43575">
        <w:t>este centro</w:t>
      </w:r>
      <w:r w:rsidRPr="00D43575">
        <w:t xml:space="preserve"> están gestionadas o dirigidas en </w:t>
      </w:r>
      <w:r w:rsidRPr="00D43575">
        <w:lastRenderedPageBreak/>
        <w:t>colaboración con mujeres empresarias</w:t>
      </w:r>
      <w:r w:rsidR="00083383" w:rsidRPr="00D43575">
        <w:t>.</w:t>
      </w:r>
      <w:r w:rsidRPr="00D43575">
        <w:t xml:space="preserve"> El centro ha organizado además una serie de eventos e iniciativas dirigidos por mujeres</w:t>
      </w:r>
      <w:r w:rsidR="00083383" w:rsidRPr="00D43575">
        <w:t>.</w:t>
      </w:r>
    </w:p>
    <w:p w14:paraId="788C2EA6" w14:textId="77777777" w:rsidR="00083383" w:rsidRPr="00D43575" w:rsidRDefault="00083383" w:rsidP="00083383">
      <w:pPr>
        <w:pStyle w:val="SingleTxt"/>
        <w:spacing w:after="0" w:line="120" w:lineRule="exact"/>
        <w:ind w:left="1627"/>
        <w:rPr>
          <w:sz w:val="10"/>
        </w:rPr>
      </w:pPr>
    </w:p>
    <w:p w14:paraId="62AB6C36"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Cumplimiento de las recomendaciones sobre el artículo 11</w:t>
      </w:r>
    </w:p>
    <w:p w14:paraId="656351B8" w14:textId="77777777" w:rsidR="008D2F10" w:rsidRPr="00D43575" w:rsidRDefault="008D2F10" w:rsidP="008D2F10">
      <w:pPr>
        <w:pStyle w:val="SingleTxt"/>
        <w:spacing w:after="0" w:line="120" w:lineRule="exact"/>
        <w:rPr>
          <w:sz w:val="10"/>
        </w:rPr>
      </w:pPr>
    </w:p>
    <w:p w14:paraId="2E42F495"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El empoderamiento de las mujeres que trabajan y la aprobación de una ley sobre los trabajadores domésticos</w:t>
      </w:r>
    </w:p>
    <w:p w14:paraId="59ADD1D1" w14:textId="77777777" w:rsidR="008D2F10" w:rsidRPr="00D43575" w:rsidRDefault="008D2F10" w:rsidP="008D2F10">
      <w:pPr>
        <w:pStyle w:val="SingleTxt"/>
        <w:spacing w:after="0" w:line="120" w:lineRule="exact"/>
        <w:rPr>
          <w:sz w:val="10"/>
        </w:rPr>
      </w:pPr>
    </w:p>
    <w:p w14:paraId="31AB27D8" w14:textId="77777777" w:rsidR="00083383" w:rsidRPr="00D43575" w:rsidRDefault="008D2F10" w:rsidP="001D1AD0">
      <w:pPr>
        <w:pStyle w:val="SingleTxt"/>
        <w:numPr>
          <w:ilvl w:val="0"/>
          <w:numId w:val="10"/>
        </w:numPr>
        <w:ind w:left="1267" w:firstLine="0"/>
      </w:pPr>
      <w:r w:rsidRPr="00D43575">
        <w:t>Además de la información ya proporcionada a este respecto en el presente informe, cabe señalar lo siguiente:</w:t>
      </w:r>
    </w:p>
    <w:p w14:paraId="235EF241" w14:textId="3F115894" w:rsidR="00083383" w:rsidRPr="00D43575" w:rsidRDefault="008D2F10" w:rsidP="008D2F10">
      <w:pPr>
        <w:pStyle w:val="SingleTxt"/>
        <w:tabs>
          <w:tab w:val="right" w:pos="1685"/>
        </w:tabs>
        <w:ind w:left="1742" w:hanging="475"/>
      </w:pPr>
      <w:r w:rsidRPr="00D43575">
        <w:tab/>
        <w:t>•</w:t>
      </w:r>
      <w:r w:rsidRPr="00D43575">
        <w:tab/>
        <w:t>La Ley núm</w:t>
      </w:r>
      <w:r w:rsidR="00083383" w:rsidRPr="00D43575">
        <w:t>.</w:t>
      </w:r>
      <w:r w:rsidRPr="00D43575">
        <w:t xml:space="preserve"> 21/2015, que regula la entrada, salida y residencia de los</w:t>
      </w:r>
      <w:r w:rsidR="00083383" w:rsidRPr="00D43575">
        <w:t xml:space="preserve"> </w:t>
      </w:r>
      <w:r w:rsidRPr="00D43575">
        <w:t>trabajadores migrantes, entró en vigor el 13 de diciembre de 2016</w:t>
      </w:r>
      <w:r w:rsidR="00083383" w:rsidRPr="00D43575">
        <w:t>.</w:t>
      </w:r>
      <w:r w:rsidRPr="00D43575">
        <w:t xml:space="preserve"> A</w:t>
      </w:r>
      <w:r w:rsidR="00083383" w:rsidRPr="00D43575">
        <w:t xml:space="preserve"> </w:t>
      </w:r>
      <w:r w:rsidRPr="00D43575">
        <w:t>continuación figuran sus características principales:</w:t>
      </w:r>
    </w:p>
    <w:p w14:paraId="0B6B751E" w14:textId="3EF6A296" w:rsidR="008D2F10" w:rsidRPr="00D43575" w:rsidRDefault="008D2F10" w:rsidP="008D2F10">
      <w:pPr>
        <w:pStyle w:val="SingleTxt"/>
        <w:tabs>
          <w:tab w:val="clear" w:pos="2218"/>
          <w:tab w:val="right" w:pos="1800"/>
          <w:tab w:val="left" w:pos="1890"/>
        </w:tabs>
        <w:ind w:left="1890" w:hanging="623"/>
      </w:pPr>
      <w:r w:rsidRPr="00D43575">
        <w:tab/>
        <w:t>–</w:t>
      </w:r>
      <w:r w:rsidRPr="00D43575">
        <w:tab/>
        <w:t>Esta ley permite al trabajador cambiar de empleador, ya que elimina las restricciones a su libertad en este sentido</w:t>
      </w:r>
      <w:r w:rsidR="00083383" w:rsidRPr="00D43575">
        <w:t>.</w:t>
      </w:r>
      <w:r w:rsidRPr="00D43575">
        <w:t xml:space="preserve"> Se ha abolido el sistema de </w:t>
      </w:r>
      <w:r w:rsidRPr="00D43575">
        <w:rPr>
          <w:i/>
          <w:iCs/>
        </w:rPr>
        <w:t>kafala</w:t>
      </w:r>
      <w:r w:rsidRPr="00D43575">
        <w:t xml:space="preserve"> (patrocinio)</w:t>
      </w:r>
      <w:r w:rsidR="00083383" w:rsidRPr="00D43575">
        <w:t>.</w:t>
      </w:r>
    </w:p>
    <w:p w14:paraId="3478B34D" w14:textId="183EC936" w:rsidR="008D2F10" w:rsidRPr="00D43575" w:rsidRDefault="008D2F10" w:rsidP="008D2F10">
      <w:pPr>
        <w:pStyle w:val="SingleTxt"/>
        <w:tabs>
          <w:tab w:val="clear" w:pos="2218"/>
          <w:tab w:val="right" w:pos="1800"/>
          <w:tab w:val="left" w:pos="1890"/>
        </w:tabs>
        <w:ind w:left="1890" w:hanging="623"/>
      </w:pPr>
      <w:r w:rsidRPr="00D43575">
        <w:tab/>
        <w:t>–</w:t>
      </w:r>
      <w:r w:rsidRPr="00D43575">
        <w:tab/>
        <w:t>Se ha suprimido el requisito relativo a que el trabajador permanezca fuera del país durante dos años antes de aprovechar una nueva oportunidad de empleo</w:t>
      </w:r>
      <w:r w:rsidR="00083383" w:rsidRPr="00D43575">
        <w:t>.</w:t>
      </w:r>
    </w:p>
    <w:p w14:paraId="15835BAE" w14:textId="5B19DD10" w:rsidR="008D2F10" w:rsidRPr="00D43575" w:rsidRDefault="008D2F10" w:rsidP="008D2F10">
      <w:pPr>
        <w:pStyle w:val="SingleTxt"/>
        <w:tabs>
          <w:tab w:val="clear" w:pos="2218"/>
          <w:tab w:val="right" w:pos="1800"/>
          <w:tab w:val="left" w:pos="1890"/>
        </w:tabs>
        <w:ind w:left="1890" w:hanging="623"/>
      </w:pPr>
      <w:r w:rsidRPr="00D43575">
        <w:tab/>
        <w:t>–</w:t>
      </w:r>
      <w:r w:rsidRPr="00D43575">
        <w:tab/>
        <w:t>Los trabajadores pueden conservar su pasaporte</w:t>
      </w:r>
      <w:r w:rsidR="00083383" w:rsidRPr="00D43575">
        <w:t>.</w:t>
      </w:r>
      <w:r w:rsidRPr="00D43575">
        <w:t xml:space="preserve"> Se ha tipificado como delito que se retengan sus pasaportes y las penas son graves</w:t>
      </w:r>
      <w:r w:rsidR="00083383" w:rsidRPr="00D43575">
        <w:t>.</w:t>
      </w:r>
    </w:p>
    <w:p w14:paraId="6B60D95B" w14:textId="48DDAB11" w:rsidR="008D2F10" w:rsidRPr="00D43575" w:rsidRDefault="008D2F10" w:rsidP="008D2F10">
      <w:pPr>
        <w:pStyle w:val="SingleTxt"/>
        <w:tabs>
          <w:tab w:val="clear" w:pos="2218"/>
          <w:tab w:val="right" w:pos="1800"/>
          <w:tab w:val="left" w:pos="1890"/>
        </w:tabs>
        <w:ind w:left="1890" w:hanging="623"/>
      </w:pPr>
      <w:r w:rsidRPr="00D43575">
        <w:tab/>
        <w:t>–</w:t>
      </w:r>
      <w:r w:rsidRPr="00D43575">
        <w:tab/>
        <w:t>Los trabajadores tienen derecho a abandonar el país</w:t>
      </w:r>
      <w:r w:rsidR="00083383" w:rsidRPr="00D43575">
        <w:t>.</w:t>
      </w:r>
      <w:r w:rsidRPr="00D43575">
        <w:t xml:space="preserve"> Se ha suprimido el requisito de obtener la autorización del empleador para abandonar el Estado</w:t>
      </w:r>
      <w:r w:rsidR="00083383" w:rsidRPr="00D43575">
        <w:t>.</w:t>
      </w:r>
    </w:p>
    <w:p w14:paraId="3710268A" w14:textId="7A0CB365" w:rsidR="00083383" w:rsidRPr="00D43575" w:rsidRDefault="008D2F10" w:rsidP="008D2F10">
      <w:pPr>
        <w:pStyle w:val="SingleTxt"/>
        <w:tabs>
          <w:tab w:val="right" w:pos="1685"/>
        </w:tabs>
        <w:ind w:left="1742" w:hanging="475"/>
      </w:pPr>
      <w:r w:rsidRPr="00D43575">
        <w:tab/>
        <w:t>•</w:t>
      </w:r>
      <w:r w:rsidRPr="00D43575">
        <w:tab/>
        <w:t>La Ley núm</w:t>
      </w:r>
      <w:r w:rsidR="00083383" w:rsidRPr="00D43575">
        <w:t>.</w:t>
      </w:r>
      <w:r w:rsidRPr="00D43575">
        <w:t xml:space="preserve"> 1/2015, por la que se modifican algunas disposiciones de la Ley del Trabajo (núm</w:t>
      </w:r>
      <w:r w:rsidR="00083383" w:rsidRPr="00D43575">
        <w:t>.</w:t>
      </w:r>
      <w:r w:rsidRPr="00D43575">
        <w:t xml:space="preserve"> 14/2004), establece un sistema de protección salarial que exige que el sueldo se ingrese en la cuenta del trabajador en una de las instituciones financieras del Estado</w:t>
      </w:r>
      <w:r w:rsidR="00083383" w:rsidRPr="00D43575">
        <w:t>.</w:t>
      </w:r>
      <w:r w:rsidRPr="00D43575">
        <w:t xml:space="preserve"> Las empresas están obligadas a ingresar los sueldos de todos los trabajadores durante los siete primeros días de cada mes a través de este sistema</w:t>
      </w:r>
      <w:r w:rsidR="00083383" w:rsidRPr="00D43575">
        <w:t>.</w:t>
      </w:r>
      <w:r w:rsidRPr="00D43575">
        <w:t xml:space="preserve"> Se adoptarán medidas jurídicas contra las empresas que se retrasen en el pago o se nieguen a realizarlo</w:t>
      </w:r>
      <w:r w:rsidR="00083383" w:rsidRPr="00D43575">
        <w:t>.</w:t>
      </w:r>
    </w:p>
    <w:p w14:paraId="7259C0CC" w14:textId="524CE185" w:rsidR="00083383" w:rsidRPr="00D43575" w:rsidRDefault="008D2F10" w:rsidP="008D2F10">
      <w:pPr>
        <w:pStyle w:val="SingleTxt"/>
        <w:tabs>
          <w:tab w:val="right" w:pos="1685"/>
        </w:tabs>
        <w:ind w:left="1742" w:hanging="475"/>
      </w:pPr>
      <w:r w:rsidRPr="00D43575">
        <w:tab/>
        <w:t>•</w:t>
      </w:r>
      <w:r w:rsidRPr="00D43575">
        <w:tab/>
        <w:t>La Ley núm</w:t>
      </w:r>
      <w:r w:rsidR="00083383" w:rsidRPr="00D43575">
        <w:t>.</w:t>
      </w:r>
      <w:r w:rsidRPr="00D43575">
        <w:t xml:space="preserve"> 13/2017, por la que se modifican algunas disposiciones de la Ley del Trabajo (núm</w:t>
      </w:r>
      <w:r w:rsidR="00083383" w:rsidRPr="00D43575">
        <w:t>.</w:t>
      </w:r>
      <w:r w:rsidRPr="00D43575">
        <w:t xml:space="preserve"> 14/2004), y la Ley núm</w:t>
      </w:r>
      <w:r w:rsidR="00083383" w:rsidRPr="00D43575">
        <w:t>.</w:t>
      </w:r>
      <w:r w:rsidRPr="00D43575">
        <w:t xml:space="preserve"> 13/1990, que promulga el Código de Procedimiento Civil y Mercantil, prevén que se establezcan una o varias comisiones que diriman las controversias generadas por la Ley del Trabajo o por el contrato de trabajo</w:t>
      </w:r>
      <w:r w:rsidR="00083383" w:rsidRPr="00D43575">
        <w:t>.</w:t>
      </w:r>
      <w:r w:rsidRPr="00D43575">
        <w:t xml:space="preserve"> La decisión de estas comisiones adquiriría carácter ejecutivo</w:t>
      </w:r>
      <w:r w:rsidR="00083383" w:rsidRPr="00D43575">
        <w:t>.</w:t>
      </w:r>
      <w:r w:rsidRPr="00D43575">
        <w:t xml:space="preserve"> Además, estarían presididas por un magistrado del tribunal de primera instancia y estarían facultadas para dirimir sin demora, en un período de no más de tres semanas, las controversias generadas por la Ley del Trabajo o por un contrato de trabajo que le fueran presentadas por la dirección competente del Ministerio cuando los esfuerzos de mediación de dicha dirección no dieren lugar a una solución amistosa de la controversia en cuestión</w:t>
      </w:r>
      <w:r w:rsidR="00083383" w:rsidRPr="00D43575">
        <w:t>.</w:t>
      </w:r>
      <w:r w:rsidRPr="00D43575">
        <w:t xml:space="preserve"> La ley permite a las partes interesadas recurrir las sentencias definitivas dictadas por la comisión ante el tribunal competente</w:t>
      </w:r>
      <w:r w:rsidR="00083383" w:rsidRPr="00D43575">
        <w:t>.</w:t>
      </w:r>
    </w:p>
    <w:p w14:paraId="17B121EC" w14:textId="3C08EE91" w:rsidR="008D2F10" w:rsidRPr="00D43575" w:rsidRDefault="008D2F10" w:rsidP="008D2F10">
      <w:pPr>
        <w:pStyle w:val="SingleTxt"/>
        <w:tabs>
          <w:tab w:val="right" w:pos="1685"/>
        </w:tabs>
        <w:ind w:left="1742" w:hanging="475"/>
      </w:pPr>
      <w:r w:rsidRPr="00D43575">
        <w:tab/>
        <w:t>•</w:t>
      </w:r>
      <w:r w:rsidRPr="00D43575">
        <w:tab/>
        <w:t>La Ley núm</w:t>
      </w:r>
      <w:r w:rsidR="00083383" w:rsidRPr="00D43575">
        <w:t>.</w:t>
      </w:r>
      <w:r w:rsidRPr="00D43575">
        <w:t xml:space="preserve"> 15/2017 sobre los trabajadores domésticos sitúa al trabajador doméstico en un marco jurídico de protección que regula sus relaciones con los empleadores mediante la definición de los derechos y obligaciones de cada parte</w:t>
      </w:r>
      <w:r w:rsidR="00083383" w:rsidRPr="00D43575">
        <w:t>.</w:t>
      </w:r>
      <w:r w:rsidRPr="00D43575">
        <w:t xml:space="preserve"> El proyecto de ley tuvo en cuenta el Convenio de la OIT sobre el trabajo decente para las trabajadoras y los trabajadores domésticos</w:t>
      </w:r>
      <w:r w:rsidR="00083383" w:rsidRPr="00D43575">
        <w:t>.</w:t>
      </w:r>
      <w:r w:rsidRPr="00D43575">
        <w:t xml:space="preserve"> A continuación se exponen algunas de las principales garantías establecidas por esta ley:</w:t>
      </w:r>
    </w:p>
    <w:p w14:paraId="016F163B" w14:textId="62E03876" w:rsidR="008D2F10" w:rsidRPr="00D43575" w:rsidRDefault="008D2F10" w:rsidP="008D2F10">
      <w:pPr>
        <w:pStyle w:val="SingleTxt"/>
        <w:tabs>
          <w:tab w:val="clear" w:pos="2218"/>
          <w:tab w:val="left" w:pos="1926"/>
        </w:tabs>
        <w:ind w:left="1926" w:hanging="659"/>
      </w:pPr>
      <w:r w:rsidRPr="00D43575">
        <w:tab/>
        <w:t>–</w:t>
      </w:r>
      <w:r w:rsidRPr="00D43575">
        <w:tab/>
        <w:t>Se prohíbe la contratación de trabajadores domésticos antes de que hayan obtenido el permiso de trabajo por parte del Gobierno</w:t>
      </w:r>
      <w:r w:rsidR="00083383" w:rsidRPr="00D43575">
        <w:t>.</w:t>
      </w:r>
    </w:p>
    <w:p w14:paraId="1DB49174" w14:textId="763FB2F5" w:rsidR="008D2F10" w:rsidRPr="00D43575" w:rsidRDefault="008D2F10" w:rsidP="008D2F10">
      <w:pPr>
        <w:pStyle w:val="SingleTxt"/>
        <w:tabs>
          <w:tab w:val="clear" w:pos="2218"/>
          <w:tab w:val="left" w:pos="1926"/>
        </w:tabs>
        <w:ind w:left="1926" w:hanging="659"/>
      </w:pPr>
      <w:r w:rsidRPr="00D43575">
        <w:lastRenderedPageBreak/>
        <w:tab/>
        <w:t>–</w:t>
      </w:r>
      <w:r w:rsidRPr="00D43575">
        <w:tab/>
        <w:t>Se prohíbe la contratación de trabajadores domésticos de cualquier sexo menores de 21 años o mayores de 60</w:t>
      </w:r>
      <w:r w:rsidR="00083383" w:rsidRPr="00D43575">
        <w:t>.</w:t>
      </w:r>
    </w:p>
    <w:p w14:paraId="3D2120BA" w14:textId="20CD78A0" w:rsidR="00083383" w:rsidRPr="00D43575" w:rsidRDefault="008D2F10" w:rsidP="008D2F10">
      <w:pPr>
        <w:pStyle w:val="SingleTxt"/>
        <w:tabs>
          <w:tab w:val="clear" w:pos="2218"/>
          <w:tab w:val="left" w:pos="1926"/>
        </w:tabs>
        <w:ind w:left="1926" w:hanging="659"/>
      </w:pPr>
      <w:r w:rsidRPr="00D43575">
        <w:tab/>
        <w:t>–</w:t>
      </w:r>
      <w:r w:rsidRPr="00D43575">
        <w:tab/>
        <w:t>Los contratos de trabajo de los trabajadores domésticos deben ser aprobados por la dirección competente del Ministerio de Desarrollo Administrativo, Trabajo y Asuntos Sociales</w:t>
      </w:r>
      <w:r w:rsidR="00083383" w:rsidRPr="00D43575">
        <w:t>.</w:t>
      </w:r>
      <w:r w:rsidRPr="00D43575">
        <w:t xml:space="preserve"> Los contratos se extenderán por triplicado</w:t>
      </w:r>
      <w:r w:rsidR="00083383" w:rsidRPr="00D43575">
        <w:t>.</w:t>
      </w:r>
      <w:r w:rsidRPr="00D43575">
        <w:t xml:space="preserve"> Cada parte recibirá una copia</w:t>
      </w:r>
      <w:r w:rsidR="00083383" w:rsidRPr="00D43575">
        <w:t>.</w:t>
      </w:r>
      <w:r w:rsidRPr="00D43575">
        <w:t xml:space="preserve"> La tercera copia quedará depositada en la dirección competente</w:t>
      </w:r>
      <w:r w:rsidR="00083383" w:rsidRPr="00D43575">
        <w:t>.</w:t>
      </w:r>
      <w:r w:rsidRPr="00D43575">
        <w:t xml:space="preserve"> El contrato de trabajo regula de forma precisa la relación laboral entre las partes, y en él figurará toda la información exigida</w:t>
      </w:r>
      <w:r w:rsidR="00083383" w:rsidRPr="00D43575">
        <w:t>.</w:t>
      </w:r>
    </w:p>
    <w:p w14:paraId="3FDA43DA" w14:textId="07048330" w:rsidR="008D2F10" w:rsidRPr="00D43575" w:rsidRDefault="008D2F10" w:rsidP="008D2F10">
      <w:pPr>
        <w:pStyle w:val="SingleTxt"/>
        <w:tabs>
          <w:tab w:val="clear" w:pos="2218"/>
          <w:tab w:val="left" w:pos="1926"/>
        </w:tabs>
        <w:ind w:left="1926" w:hanging="659"/>
      </w:pPr>
      <w:r w:rsidRPr="00D43575">
        <w:tab/>
        <w:t>–</w:t>
      </w:r>
      <w:r w:rsidRPr="00D43575">
        <w:tab/>
        <w:t>El empleador debe proporcionar al trabajador alimentos y alojamiento decente, atención de la salud adecuada, medicación y, en caso de enfermedad o lesión producida durante o con motivo del trabajo, suministros médicos, y lo hará sin cost</w:t>
      </w:r>
      <w:r w:rsidR="00170894" w:rsidRPr="00D43575">
        <w:t>o</w:t>
      </w:r>
      <w:r w:rsidRPr="00D43575">
        <w:t xml:space="preserve"> alguno para el trabajador</w:t>
      </w:r>
      <w:r w:rsidR="00083383" w:rsidRPr="00D43575">
        <w:t>.</w:t>
      </w:r>
      <w:r w:rsidRPr="00D43575">
        <w:t xml:space="preserve"> También lo obliga a dispensar al trabajador doméstico un trato adecuado y que preserve su dignidad y su integridad física, a no poner en riesgo su vida y su salud, a no infligirle maltrato físico o psicológico alguno, y a no hacerle trabajar durante la licencia de enfermedad, el receso diario y la licencia semanal, a menos que las partes hayan acordado lo contrario</w:t>
      </w:r>
      <w:r w:rsidR="00083383" w:rsidRPr="00D43575">
        <w:t>.</w:t>
      </w:r>
    </w:p>
    <w:p w14:paraId="3369E36A" w14:textId="7A5E07D9" w:rsidR="008D2F10" w:rsidRPr="00D43575" w:rsidRDefault="008D2F10" w:rsidP="008D2F10">
      <w:pPr>
        <w:pStyle w:val="SingleTxt"/>
        <w:tabs>
          <w:tab w:val="clear" w:pos="2218"/>
          <w:tab w:val="left" w:pos="1926"/>
        </w:tabs>
        <w:ind w:left="1926" w:hanging="659"/>
      </w:pPr>
      <w:r w:rsidRPr="00D43575">
        <w:tab/>
        <w:t>–</w:t>
      </w:r>
      <w:r w:rsidRPr="00D43575">
        <w:tab/>
        <w:t>El empleador debe pagar al trabajador doméstico un sueldo mensual acordado en moneda nacional al final de cada mes del calendario gregoriano, a más tardar el tercer día del mes siguiente</w:t>
      </w:r>
      <w:r w:rsidR="00083383" w:rsidRPr="00D43575">
        <w:t>.</w:t>
      </w:r>
    </w:p>
    <w:p w14:paraId="00463A2B" w14:textId="735146A7" w:rsidR="008D2F10" w:rsidRPr="00D43575" w:rsidRDefault="008D2F10" w:rsidP="008D2F10">
      <w:pPr>
        <w:pStyle w:val="SingleTxt"/>
        <w:tabs>
          <w:tab w:val="clear" w:pos="2218"/>
          <w:tab w:val="left" w:pos="1926"/>
        </w:tabs>
        <w:ind w:left="1926" w:hanging="659"/>
      </w:pPr>
      <w:r w:rsidRPr="00D43575">
        <w:tab/>
        <w:t>–</w:t>
      </w:r>
      <w:r w:rsidRPr="00D43575">
        <w:tab/>
        <w:t>Se regulan las cuestiones relativas a las vacaciones anuales y la bonificación por terminación del servicio</w:t>
      </w:r>
      <w:r w:rsidR="00083383" w:rsidRPr="00D43575">
        <w:t>.</w:t>
      </w:r>
    </w:p>
    <w:p w14:paraId="2132433D" w14:textId="6171CB6A" w:rsidR="008D2F10" w:rsidRPr="00D43575" w:rsidRDefault="008D2F10" w:rsidP="008D2F10">
      <w:pPr>
        <w:pStyle w:val="SingleTxt"/>
        <w:tabs>
          <w:tab w:val="clear" w:pos="2218"/>
          <w:tab w:val="left" w:pos="1926"/>
        </w:tabs>
        <w:ind w:left="1926" w:hanging="659"/>
      </w:pPr>
      <w:r w:rsidRPr="00D43575">
        <w:tab/>
        <w:t>–</w:t>
      </w:r>
      <w:r w:rsidRPr="00D43575">
        <w:tab/>
        <w:t>Se especifican las condiciones de rescisión del contrato laboral antes de su vencimiento</w:t>
      </w:r>
      <w:r w:rsidR="00083383" w:rsidRPr="00D43575">
        <w:t>.</w:t>
      </w:r>
    </w:p>
    <w:p w14:paraId="204A36CF" w14:textId="67D63A38" w:rsidR="008D2F10" w:rsidRPr="00D43575" w:rsidRDefault="008D2F10" w:rsidP="008D2F10">
      <w:pPr>
        <w:pStyle w:val="SingleTxt"/>
        <w:tabs>
          <w:tab w:val="clear" w:pos="2218"/>
          <w:tab w:val="left" w:pos="1926"/>
        </w:tabs>
        <w:ind w:left="1926" w:hanging="659"/>
      </w:pPr>
      <w:r w:rsidRPr="00D43575">
        <w:tab/>
        <w:t>–</w:t>
      </w:r>
      <w:r w:rsidRPr="00D43575">
        <w:tab/>
        <w:t>Las controversias que surjan entre los empleadores y los trabajadores domésticos están sujetas a la Ley del Trabajo (núm</w:t>
      </w:r>
      <w:r w:rsidR="00083383" w:rsidRPr="00D43575">
        <w:t>.</w:t>
      </w:r>
      <w:r w:rsidRPr="00D43575">
        <w:t xml:space="preserve"> 14/2004) y sus modificaciones</w:t>
      </w:r>
      <w:r w:rsidR="00083383" w:rsidRPr="00D43575">
        <w:t>.</w:t>
      </w:r>
    </w:p>
    <w:p w14:paraId="5A25552D" w14:textId="0FC58416" w:rsidR="008D2F10" w:rsidRPr="00D43575" w:rsidRDefault="008D2F10" w:rsidP="008D2F10">
      <w:pPr>
        <w:pStyle w:val="SingleTxt"/>
        <w:tabs>
          <w:tab w:val="clear" w:pos="2218"/>
          <w:tab w:val="left" w:pos="1926"/>
        </w:tabs>
        <w:ind w:left="1926" w:hanging="659"/>
      </w:pPr>
      <w:r w:rsidRPr="00D43575">
        <w:tab/>
        <w:t>–</w:t>
      </w:r>
      <w:r w:rsidRPr="00D43575">
        <w:tab/>
        <w:t>Los trabajadores domésticos recibirán una indemnización por accidentes laborales de conformidad con lo dispuesto en la Ley del Trabajo</w:t>
      </w:r>
      <w:r w:rsidR="00083383" w:rsidRPr="00D43575">
        <w:t>.</w:t>
      </w:r>
    </w:p>
    <w:p w14:paraId="65417F1B" w14:textId="04723767" w:rsidR="008D2F10" w:rsidRPr="00D43575" w:rsidRDefault="008D2F10" w:rsidP="008D2F10">
      <w:pPr>
        <w:pStyle w:val="SingleTxt"/>
        <w:tabs>
          <w:tab w:val="clear" w:pos="2218"/>
          <w:tab w:val="left" w:pos="1926"/>
        </w:tabs>
        <w:ind w:left="1926" w:hanging="659"/>
      </w:pPr>
      <w:r w:rsidRPr="00D43575">
        <w:tab/>
        <w:t>–</w:t>
      </w:r>
      <w:r w:rsidRPr="00D43575">
        <w:tab/>
        <w:t>Las penas para quienes incumplan las disposiciones de la Ley del Trabajo pueden ser de hasta 10</w:t>
      </w:r>
      <w:r w:rsidR="00083383" w:rsidRPr="00D43575">
        <w:t>.</w:t>
      </w:r>
      <w:r w:rsidRPr="00D43575">
        <w:t>000 riales qataríes</w:t>
      </w:r>
      <w:r w:rsidR="00083383" w:rsidRPr="00D43575">
        <w:t>.</w:t>
      </w:r>
    </w:p>
    <w:p w14:paraId="1CB60DE5" w14:textId="77777777" w:rsidR="008D2F10" w:rsidRPr="00D43575" w:rsidRDefault="008D2F10" w:rsidP="00911F53">
      <w:pPr>
        <w:pStyle w:val="SingleTxt"/>
        <w:spacing w:after="0" w:line="120" w:lineRule="exact"/>
        <w:rPr>
          <w:sz w:val="10"/>
        </w:rPr>
      </w:pPr>
    </w:p>
    <w:p w14:paraId="0F3FD0ED"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Derogación de las disposiciones que establecen sanciones penales en casos de fuga</w:t>
      </w:r>
    </w:p>
    <w:p w14:paraId="1E3ED98F" w14:textId="77777777" w:rsidR="008D2F10" w:rsidRPr="00D43575" w:rsidRDefault="008D2F10" w:rsidP="008D2F10">
      <w:pPr>
        <w:pStyle w:val="SingleTxt"/>
        <w:spacing w:after="0" w:line="120" w:lineRule="exact"/>
        <w:rPr>
          <w:sz w:val="10"/>
        </w:rPr>
      </w:pPr>
    </w:p>
    <w:p w14:paraId="6C2D0509" w14:textId="60998E3C" w:rsidR="008D2F10" w:rsidRPr="00D43575" w:rsidRDefault="008D2F10" w:rsidP="001D1AD0">
      <w:pPr>
        <w:pStyle w:val="SingleTxt"/>
        <w:numPr>
          <w:ilvl w:val="0"/>
          <w:numId w:val="10"/>
        </w:numPr>
        <w:ind w:left="1267" w:firstLine="0"/>
      </w:pPr>
      <w:r w:rsidRPr="00D43575">
        <w:t xml:space="preserve">El término </w:t>
      </w:r>
      <w:r w:rsidR="00F652D5" w:rsidRPr="00D43575">
        <w:t>“</w:t>
      </w:r>
      <w:r w:rsidRPr="00D43575">
        <w:t>fuga</w:t>
      </w:r>
      <w:r w:rsidR="00F652D5" w:rsidRPr="00D43575">
        <w:t>”</w:t>
      </w:r>
      <w:r w:rsidRPr="00D43575">
        <w:t xml:space="preserve"> no se utiliza en ninguna de las disposiciones de la Ley núm</w:t>
      </w:r>
      <w:r w:rsidR="00083383" w:rsidRPr="00D43575">
        <w:t xml:space="preserve">. </w:t>
      </w:r>
      <w:r w:rsidRPr="00D43575">
        <w:t>21/2015 relativa a la entrada, salida y residencia de los trabajadores migrantes</w:t>
      </w:r>
      <w:r w:rsidR="00083383" w:rsidRPr="00D43575">
        <w:t>.</w:t>
      </w:r>
      <w:r w:rsidRPr="00D43575">
        <w:t xml:space="preserve"> El párrafo 1 del artículo 16 de la mencionada ley establece lo siguiente: </w:t>
      </w:r>
      <w:r w:rsidR="00F652D5" w:rsidRPr="00D43575">
        <w:t>“</w:t>
      </w:r>
      <w:r w:rsidRPr="00D43575">
        <w:t>Cualquier trabajador migrante que obtenga el permiso de entrada, residencia o trabajo en el país con unos fines específicos o para una parte interesada concreta no podrá contravenir dichos fines para los que el permiso fue concedido</w:t>
      </w:r>
      <w:r w:rsidR="00083383" w:rsidRPr="00D43575">
        <w:t>.</w:t>
      </w:r>
      <w:r w:rsidRPr="00D43575">
        <w:t xml:space="preserve"> Tampoco podrá abandonar su trabajo o trabajar para una parte distinta de aquella para la que estuviese autorizado</w:t>
      </w:r>
      <w:r w:rsidR="00F652D5" w:rsidRPr="00D43575">
        <w:t>”</w:t>
      </w:r>
      <w:r w:rsidR="00083383" w:rsidRPr="00D43575">
        <w:t>.</w:t>
      </w:r>
      <w:r w:rsidRPr="00D43575">
        <w:t xml:space="preserve"> Por otra parte, las personas que infrinjan lo dispuesto en el párrafo anterior, ya fuera abandonando su trabajo o contraviniendo los fines para los que se concedió el permiso de residencia, podrán entablar un procedimiento de conciliación de dicho incumplimiento</w:t>
      </w:r>
      <w:r w:rsidR="00083383" w:rsidRPr="00D43575">
        <w:t>.</w:t>
      </w:r>
      <w:r w:rsidRPr="00D43575">
        <w:t xml:space="preserve"> Además, la realidad que revelan las sentencias dictadas por la autoridad judicial encargada de los asuntos relativos a la residencia es que no se imponen penas que restrinjan la libertad</w:t>
      </w:r>
      <w:r w:rsidR="00083383" w:rsidRPr="00D43575">
        <w:t>.</w:t>
      </w:r>
    </w:p>
    <w:p w14:paraId="16270C0E" w14:textId="77777777" w:rsidR="008D2F10" w:rsidRPr="00D43575" w:rsidRDefault="008D2F10" w:rsidP="008D2F10">
      <w:pPr>
        <w:pStyle w:val="SingleTxt"/>
        <w:spacing w:after="0" w:line="120" w:lineRule="exact"/>
        <w:rPr>
          <w:sz w:val="10"/>
        </w:rPr>
      </w:pPr>
    </w:p>
    <w:p w14:paraId="4E8E2B23"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Retención del pasaporte de los trabajadores migrantes sin justificación</w:t>
      </w:r>
    </w:p>
    <w:p w14:paraId="3F19CF88" w14:textId="77777777" w:rsidR="008D2F10" w:rsidRPr="00D43575" w:rsidRDefault="008D2F10" w:rsidP="008D2F10">
      <w:pPr>
        <w:pStyle w:val="SingleTxt"/>
        <w:spacing w:after="0" w:line="120" w:lineRule="exact"/>
        <w:rPr>
          <w:sz w:val="10"/>
        </w:rPr>
      </w:pPr>
    </w:p>
    <w:p w14:paraId="5C3B6ADF" w14:textId="133FC296" w:rsidR="008D2F10" w:rsidRPr="00D43575" w:rsidRDefault="008D2F10" w:rsidP="001D1AD0">
      <w:pPr>
        <w:pStyle w:val="SingleTxt"/>
        <w:numPr>
          <w:ilvl w:val="0"/>
          <w:numId w:val="10"/>
        </w:numPr>
        <w:ind w:left="1267" w:firstLine="0"/>
      </w:pPr>
      <w:r w:rsidRPr="00D43575">
        <w:t>Esta medida infringe lo dispuesto en la Ley núm</w:t>
      </w:r>
      <w:r w:rsidR="00083383" w:rsidRPr="00D43575">
        <w:t>.</w:t>
      </w:r>
      <w:r w:rsidRPr="00D43575">
        <w:t xml:space="preserve"> 21/2015 relativa a la entrada, salida y residencia de los trabajadores migrantes</w:t>
      </w:r>
      <w:r w:rsidR="00083383" w:rsidRPr="00D43575">
        <w:t>.</w:t>
      </w:r>
      <w:r w:rsidRPr="00D43575">
        <w:t xml:space="preserve"> El párrafo 3 del artículo 8 de esta </w:t>
      </w:r>
      <w:r w:rsidRPr="00D43575">
        <w:lastRenderedPageBreak/>
        <w:t>ley tipifica como delito la retención del pasaporte de los trabajadores migrantes sin</w:t>
      </w:r>
      <w:r w:rsidR="00083383" w:rsidRPr="00D43575">
        <w:t xml:space="preserve"> </w:t>
      </w:r>
      <w:r w:rsidRPr="00D43575">
        <w:t>justificación</w:t>
      </w:r>
      <w:r w:rsidR="00083383" w:rsidRPr="00D43575">
        <w:t>.</w:t>
      </w:r>
      <w:r w:rsidRPr="00D43575">
        <w:t xml:space="preserve"> Dispone lo siguiente: </w:t>
      </w:r>
      <w:r w:rsidR="00F652D5" w:rsidRPr="00D43575">
        <w:t>“</w:t>
      </w:r>
      <w:r w:rsidRPr="00D43575">
        <w:t>Cualquier empleador deberá entregar al trabajador migrante su pasaporte o cualquier otro documento de viaje tras el vencimiento del permiso o el proceso de renovación previa solicitud, a menos que el trabajador migrante le solicite por escrito que retenga dicho pasaporte o documento</w:t>
      </w:r>
      <w:r w:rsidR="00F652D5" w:rsidRPr="00D43575">
        <w:t>”</w:t>
      </w:r>
      <w:r w:rsidR="00083383" w:rsidRPr="00D43575">
        <w:t>.</w:t>
      </w:r>
      <w:r w:rsidRPr="00D43575">
        <w:t xml:space="preserve"> En este supuesto, la ley prevé una sanción disuasoria, que consiste en una multa de 25</w:t>
      </w:r>
      <w:r w:rsidR="00083383" w:rsidRPr="00D43575">
        <w:t>.</w:t>
      </w:r>
      <w:r w:rsidRPr="00D43575">
        <w:t>000 riales qataríes de cuantía máxima</w:t>
      </w:r>
      <w:r w:rsidR="00083383" w:rsidRPr="00D43575">
        <w:t>.</w:t>
      </w:r>
    </w:p>
    <w:p w14:paraId="6E7FDE60" w14:textId="77777777" w:rsidR="008D2F10" w:rsidRPr="00D43575" w:rsidRDefault="008D2F10" w:rsidP="008D2F10">
      <w:pPr>
        <w:pStyle w:val="SingleTxt"/>
        <w:spacing w:after="0" w:line="120" w:lineRule="exact"/>
        <w:rPr>
          <w:sz w:val="10"/>
        </w:rPr>
      </w:pPr>
    </w:p>
    <w:p w14:paraId="3A830242"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La reducción de la desigualdad salarial por razón de género</w:t>
      </w:r>
    </w:p>
    <w:p w14:paraId="4EFA81B5" w14:textId="77777777" w:rsidR="008D2F10" w:rsidRPr="00D43575" w:rsidRDefault="008D2F10" w:rsidP="008D2F10">
      <w:pPr>
        <w:pStyle w:val="SingleTxt"/>
        <w:spacing w:after="0" w:line="120" w:lineRule="exact"/>
        <w:rPr>
          <w:sz w:val="10"/>
        </w:rPr>
      </w:pPr>
    </w:p>
    <w:p w14:paraId="58C919C3" w14:textId="79132A64" w:rsidR="00083383" w:rsidRPr="00D43575" w:rsidRDefault="008D2F10" w:rsidP="001D1AD0">
      <w:pPr>
        <w:pStyle w:val="SingleTxt"/>
        <w:numPr>
          <w:ilvl w:val="0"/>
          <w:numId w:val="10"/>
        </w:numPr>
        <w:ind w:left="1267" w:firstLine="0"/>
      </w:pPr>
      <w:r w:rsidRPr="00D43575">
        <w:t>La figura 6 muestra que la diferencia cualitativa entre el salario medio de ambos géneros se ha reducido considerablemente</w:t>
      </w:r>
      <w:r w:rsidR="00083383" w:rsidRPr="00D43575">
        <w:t>.</w:t>
      </w:r>
      <w:r w:rsidRPr="00D43575">
        <w:t xml:space="preserve"> El salario mensual medio de los hombres fue superior al de las mujeres en porcentajes de entre el 29% y el 38% en el período de 2011 a 2015</w:t>
      </w:r>
      <w:r w:rsidR="00083383" w:rsidRPr="00D43575">
        <w:t>.</w:t>
      </w:r>
    </w:p>
    <w:p w14:paraId="192F868B" w14:textId="3AF15EA8" w:rsidR="00BC5175" w:rsidRPr="00D43575" w:rsidRDefault="00BC5175" w:rsidP="00BC5175">
      <w:pPr>
        <w:pStyle w:val="SingleTxt"/>
        <w:spacing w:after="0" w:line="120" w:lineRule="exact"/>
        <w:rPr>
          <w:sz w:val="10"/>
        </w:rPr>
      </w:pPr>
    </w:p>
    <w:p w14:paraId="4F493586" w14:textId="6BF5D853" w:rsidR="008D2F10" w:rsidRPr="00190056" w:rsidRDefault="008D2F10" w:rsidP="00FC6BA7">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lang w:val="es-419"/>
        </w:rPr>
      </w:pPr>
      <w:r w:rsidRPr="00D43575">
        <w:rPr>
          <w:bCs w:val="0"/>
          <w:szCs w:val="20"/>
        </w:rPr>
        <w:tab/>
      </w:r>
      <w:r w:rsidRPr="00D43575">
        <w:rPr>
          <w:bCs w:val="0"/>
          <w:szCs w:val="20"/>
        </w:rPr>
        <w:tab/>
      </w:r>
      <w:r w:rsidR="00D73F71">
        <w:rPr>
          <w:b w:val="0"/>
          <w:bCs w:val="0"/>
          <w:szCs w:val="20"/>
        </w:rPr>
        <w:t>Figura 6</w:t>
      </w:r>
      <w:r w:rsidR="006262DC" w:rsidRPr="00D43575">
        <w:rPr>
          <w:b w:val="0"/>
          <w:bCs w:val="0"/>
          <w:szCs w:val="20"/>
        </w:rPr>
        <w:t xml:space="preserve"> </w:t>
      </w:r>
      <w:r w:rsidR="006262DC" w:rsidRPr="00D43575">
        <w:rPr>
          <w:b w:val="0"/>
          <w:bCs w:val="0"/>
          <w:szCs w:val="20"/>
        </w:rPr>
        <w:br/>
      </w:r>
      <w:r w:rsidRPr="00D43575">
        <w:rPr>
          <w:bCs w:val="0"/>
          <w:szCs w:val="20"/>
        </w:rPr>
        <w:t>Diferencia entre el salario medio de los hombres y de las mujeres en los sectores público y privado durante el período 2011</w:t>
      </w:r>
      <w:r w:rsidR="00083383" w:rsidRPr="00D43575">
        <w:rPr>
          <w:bCs w:val="0"/>
          <w:szCs w:val="20"/>
        </w:rPr>
        <w:noBreakHyphen/>
      </w:r>
      <w:r w:rsidRPr="00D43575">
        <w:rPr>
          <w:bCs w:val="0"/>
          <w:szCs w:val="20"/>
        </w:rPr>
        <w:t>2015</w:t>
      </w:r>
    </w:p>
    <w:p w14:paraId="469723E8" w14:textId="77777777" w:rsidR="008D2F10" w:rsidRPr="00D43575" w:rsidRDefault="008D2F10" w:rsidP="00FC6BA7">
      <w:pPr>
        <w:pStyle w:val="SingleTxt"/>
        <w:keepNext/>
        <w:keepLines/>
        <w:spacing w:after="0" w:line="120" w:lineRule="exact"/>
        <w:rPr>
          <w:sz w:val="10"/>
        </w:rPr>
      </w:pPr>
    </w:p>
    <w:p w14:paraId="2F494709" w14:textId="0EBD5F10" w:rsidR="008D2F10" w:rsidRPr="007D60C1" w:rsidRDefault="00D57AF0" w:rsidP="00FC6BA7">
      <w:pPr>
        <w:pStyle w:val="SingleTxt"/>
        <w:keepNext/>
        <w:keepLines/>
        <w:spacing w:line="240" w:lineRule="atLeast"/>
        <w:rPr>
          <w:lang w:eastAsia="es-ES"/>
        </w:rPr>
      </w:pPr>
      <w:r w:rsidRPr="003859BA">
        <w:rPr>
          <w:rFonts w:eastAsiaTheme="minorHAnsi"/>
          <w:iCs/>
          <w:noProof/>
          <w:szCs w:val="20"/>
        </w:rPr>
        <mc:AlternateContent>
          <mc:Choice Requires="wps">
            <w:drawing>
              <wp:anchor distT="0" distB="0" distL="114300" distR="114300" simplePos="0" relativeHeight="251676672" behindDoc="0" locked="0" layoutInCell="1" allowOverlap="1" wp14:anchorId="71EDBDDD" wp14:editId="336FE8D7">
                <wp:simplePos x="0" y="0"/>
                <wp:positionH relativeFrom="column">
                  <wp:posOffset>3742837</wp:posOffset>
                </wp:positionH>
                <wp:positionV relativeFrom="paragraph">
                  <wp:posOffset>1969477</wp:posOffset>
                </wp:positionV>
                <wp:extent cx="394977" cy="142240"/>
                <wp:effectExtent l="0" t="0" r="5080" b="0"/>
                <wp:wrapNone/>
                <wp:docPr id="20" name="Text Box 20"/>
                <wp:cNvGraphicFramePr/>
                <a:graphic xmlns:a="http://schemas.openxmlformats.org/drawingml/2006/main">
                  <a:graphicData uri="http://schemas.microsoft.com/office/word/2010/wordprocessingShape">
                    <wps:wsp>
                      <wps:cNvSpPr txBox="1"/>
                      <wps:spPr>
                        <a:xfrm>
                          <a:off x="0" y="0"/>
                          <a:ext cx="394977" cy="142240"/>
                        </a:xfrm>
                        <a:prstGeom prst="rect">
                          <a:avLst/>
                        </a:prstGeom>
                        <a:solidFill>
                          <a:schemeClr val="lt1"/>
                        </a:solidFill>
                        <a:ln w="6350">
                          <a:noFill/>
                        </a:ln>
                      </wps:spPr>
                      <wps:txbx>
                        <w:txbxContent>
                          <w:p w14:paraId="09057748" w14:textId="77777777" w:rsidR="003859BA" w:rsidRPr="00384EB6" w:rsidRDefault="003859BA" w:rsidP="003859BA">
                            <w:pPr>
                              <w:spacing w:line="240" w:lineRule="auto"/>
                              <w:rPr>
                                <w:sz w:val="14"/>
                                <w:szCs w:val="14"/>
                                <w:lang w:val="en-US"/>
                              </w:rPr>
                            </w:pPr>
                            <w:r w:rsidRPr="00384EB6">
                              <w:rPr>
                                <w:sz w:val="14"/>
                                <w:szCs w:val="14"/>
                                <w:lang w:val="en-US"/>
                              </w:rPr>
                              <w:t>Hombres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EDBDDD" id="_x0000_t202" coordsize="21600,21600" o:spt="202" path="m,l,21600r21600,l21600,xe">
                <v:stroke joinstyle="miter"/>
                <v:path gradientshapeok="t" o:connecttype="rect"/>
              </v:shapetype>
              <v:shape id="Text Box 20" o:spid="_x0000_s1026" type="#_x0000_t202" style="position:absolute;left:0;text-align:left;margin-left:294.7pt;margin-top:155.1pt;width:31.1pt;height:11.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" fillcolor="white [3201]" stroked="f" strokeweight=".5pt">
                <v:textbox inset="0,0,0,0">
                  <w:txbxContent>
                    <w:p w14:paraId="09057748" w14:textId="77777777" w:rsidR="003859BA" w:rsidRPr="00384EB6" w:rsidRDefault="003859BA" w:rsidP="003859BA">
                      <w:pPr>
                        <w:spacing w:line="240" w:lineRule="auto"/>
                        <w:rPr>
                          <w:sz w:val="14"/>
                          <w:szCs w:val="14"/>
                          <w:lang w:val="en-US"/>
                        </w:rPr>
                      </w:pPr>
                      <w:r w:rsidRPr="00384EB6">
                        <w:rPr>
                          <w:sz w:val="14"/>
                          <w:szCs w:val="14"/>
                          <w:lang w:val="en-US"/>
                        </w:rPr>
                        <w:t>Hombres</w:t>
                      </w:r>
                    </w:p>
                  </w:txbxContent>
                </v:textbox>
              </v:shape>
            </w:pict>
          </mc:Fallback>
        </mc:AlternateContent>
      </w:r>
      <w:r w:rsidRPr="003859BA">
        <w:rPr>
          <w:rFonts w:eastAsiaTheme="minorHAnsi"/>
          <w:iCs/>
          <w:noProof/>
          <w:szCs w:val="20"/>
        </w:rPr>
        <mc:AlternateContent>
          <mc:Choice Requires="wps">
            <w:drawing>
              <wp:anchor distT="0" distB="0" distL="114300" distR="114300" simplePos="0" relativeHeight="251677696" behindDoc="0" locked="0" layoutInCell="1" allowOverlap="1" wp14:anchorId="4B875A9D" wp14:editId="543C247B">
                <wp:simplePos x="0" y="0"/>
                <wp:positionH relativeFrom="column">
                  <wp:posOffset>4325924</wp:posOffset>
                </wp:positionH>
                <wp:positionV relativeFrom="paragraph">
                  <wp:posOffset>1979295</wp:posOffset>
                </wp:positionV>
                <wp:extent cx="330772" cy="108213"/>
                <wp:effectExtent l="0" t="0" r="0" b="6350"/>
                <wp:wrapNone/>
                <wp:docPr id="21" name="Text Box 21"/>
                <wp:cNvGraphicFramePr/>
                <a:graphic xmlns:a="http://schemas.openxmlformats.org/drawingml/2006/main">
                  <a:graphicData uri="http://schemas.microsoft.com/office/word/2010/wordprocessingShape">
                    <wps:wsp>
                      <wps:cNvSpPr txBox="1"/>
                      <wps:spPr>
                        <a:xfrm>
                          <a:off x="0" y="0"/>
                          <a:ext cx="330772" cy="108213"/>
                        </a:xfrm>
                        <a:prstGeom prst="rect">
                          <a:avLst/>
                        </a:prstGeom>
                        <a:solidFill>
                          <a:schemeClr val="lt1"/>
                        </a:solidFill>
                        <a:ln w="6350">
                          <a:noFill/>
                        </a:ln>
                      </wps:spPr>
                      <wps:txbx>
                        <w:txbxContent>
                          <w:p w14:paraId="576684C1" w14:textId="77777777" w:rsidR="003859BA" w:rsidRPr="00384EB6" w:rsidRDefault="003859BA" w:rsidP="003859BA">
                            <w:pPr>
                              <w:spacing w:line="240" w:lineRule="auto"/>
                              <w:rPr>
                                <w:sz w:val="14"/>
                                <w:szCs w:val="14"/>
                                <w:lang w:val="en-US"/>
                              </w:rPr>
                            </w:pPr>
                            <w:r w:rsidRPr="00384EB6">
                              <w:rPr>
                                <w:sz w:val="14"/>
                                <w:szCs w:val="14"/>
                                <w:lang w:val="en-US"/>
                              </w:rPr>
                              <w:t>Mujeres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875A9D" id="Text Box 21" o:spid="_x0000_s1027" type="#_x0000_t202" style="position:absolute;left:0;text-align:left;margin-left:340.6pt;margin-top:155.85pt;width:26.05pt;height: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" fillcolor="white [3201]" stroked="f" strokeweight=".5pt">
                <v:textbox inset="0,0,0,0">
                  <w:txbxContent>
                    <w:p w14:paraId="576684C1" w14:textId="77777777" w:rsidR="003859BA" w:rsidRPr="00384EB6" w:rsidRDefault="003859BA" w:rsidP="003859BA">
                      <w:pPr>
                        <w:spacing w:line="240" w:lineRule="auto"/>
                        <w:rPr>
                          <w:sz w:val="14"/>
                          <w:szCs w:val="14"/>
                          <w:lang w:val="en-US"/>
                        </w:rPr>
                      </w:pPr>
                      <w:r w:rsidRPr="00384EB6">
                        <w:rPr>
                          <w:sz w:val="14"/>
                          <w:szCs w:val="14"/>
                          <w:lang w:val="en-US"/>
                        </w:rPr>
                        <w:t>Mujeres</w:t>
                      </w:r>
                    </w:p>
                  </w:txbxContent>
                </v:textbox>
              </v:shape>
            </w:pict>
          </mc:Fallback>
        </mc:AlternateContent>
      </w:r>
      <w:r w:rsidR="003859BA" w:rsidRPr="003859BA">
        <w:rPr>
          <w:rFonts w:eastAsiaTheme="minorHAnsi"/>
          <w:iCs/>
          <w:noProof/>
          <w:szCs w:val="20"/>
        </w:rPr>
        <mc:AlternateContent>
          <mc:Choice Requires="wps">
            <w:drawing>
              <wp:anchor distT="0" distB="0" distL="114300" distR="114300" simplePos="0" relativeHeight="251678720" behindDoc="0" locked="0" layoutInCell="1" allowOverlap="1" wp14:anchorId="3C7722E7" wp14:editId="4E130F45">
                <wp:simplePos x="0" y="0"/>
                <wp:positionH relativeFrom="column">
                  <wp:posOffset>4868322</wp:posOffset>
                </wp:positionH>
                <wp:positionV relativeFrom="paragraph">
                  <wp:posOffset>1970405</wp:posOffset>
                </wp:positionV>
                <wp:extent cx="498475" cy="201295"/>
                <wp:effectExtent l="0" t="0" r="0" b="8255"/>
                <wp:wrapNone/>
                <wp:docPr id="22" name="Text Box 22"/>
                <wp:cNvGraphicFramePr/>
                <a:graphic xmlns:a="http://schemas.openxmlformats.org/drawingml/2006/main">
                  <a:graphicData uri="http://schemas.microsoft.com/office/word/2010/wordprocessingShape">
                    <wps:wsp>
                      <wps:cNvSpPr txBox="1"/>
                      <wps:spPr>
                        <a:xfrm>
                          <a:off x="0" y="0"/>
                          <a:ext cx="498475" cy="201295"/>
                        </a:xfrm>
                        <a:prstGeom prst="rect">
                          <a:avLst/>
                        </a:prstGeom>
                        <a:solidFill>
                          <a:schemeClr val="lt1"/>
                        </a:solidFill>
                        <a:ln w="6350">
                          <a:noFill/>
                        </a:ln>
                      </wps:spPr>
                      <wps:txbx>
                        <w:txbxContent>
                          <w:p w14:paraId="78C6E936" w14:textId="77777777" w:rsidR="003859BA" w:rsidRPr="00384EB6" w:rsidRDefault="003859BA" w:rsidP="003859BA">
                            <w:pPr>
                              <w:spacing w:line="240" w:lineRule="auto"/>
                              <w:rPr>
                                <w:sz w:val="14"/>
                                <w:szCs w:val="14"/>
                                <w:lang w:val="en-US"/>
                              </w:rPr>
                            </w:pPr>
                            <w:r w:rsidRPr="00384EB6">
                              <w:rPr>
                                <w:sz w:val="14"/>
                                <w:szCs w:val="14"/>
                                <w:lang w:val="en-US"/>
                              </w:rPr>
                              <w:t>Proporción salarial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7722E7" id="Text Box 22" o:spid="_x0000_s1028" type="#_x0000_t202" style="position:absolute;left:0;text-align:left;margin-left:383.35pt;margin-top:155.15pt;width:39.25pt;height:15.8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" fillcolor="white [3201]" stroked="f" strokeweight=".5pt">
                <v:textbox inset="0,0,0,0">
                  <w:txbxContent>
                    <w:p w14:paraId="78C6E936" w14:textId="77777777" w:rsidR="003859BA" w:rsidRPr="00384EB6" w:rsidRDefault="003859BA" w:rsidP="003859BA">
                      <w:pPr>
                        <w:spacing w:line="240" w:lineRule="auto"/>
                        <w:rPr>
                          <w:sz w:val="14"/>
                          <w:szCs w:val="14"/>
                          <w:lang w:val="en-US"/>
                        </w:rPr>
                      </w:pPr>
                      <w:r w:rsidRPr="00384EB6">
                        <w:rPr>
                          <w:sz w:val="14"/>
                          <w:szCs w:val="14"/>
                          <w:lang w:val="en-US"/>
                        </w:rPr>
                        <w:t>Proporción salarial</w:t>
                      </w:r>
                    </w:p>
                  </w:txbxContent>
                </v:textbox>
              </v:shape>
            </w:pict>
          </mc:Fallback>
        </mc:AlternateContent>
      </w:r>
      <w:r w:rsidR="00384EB6">
        <w:rPr>
          <w:noProof/>
          <w:w w:val="100"/>
          <w:lang w:eastAsia="es-ES"/>
        </w:rPr>
        <mc:AlternateContent>
          <mc:Choice Requires="wps">
            <w:drawing>
              <wp:anchor distT="0" distB="0" distL="114300" distR="114300" simplePos="0" relativeHeight="251674624" behindDoc="0" locked="0" layoutInCell="1" allowOverlap="1" wp14:anchorId="399F92FA" wp14:editId="3EFC83D3">
                <wp:simplePos x="0" y="0"/>
                <wp:positionH relativeFrom="column">
                  <wp:posOffset>2501677</wp:posOffset>
                </wp:positionH>
                <wp:positionV relativeFrom="paragraph">
                  <wp:posOffset>2000885</wp:posOffset>
                </wp:positionV>
                <wp:extent cx="498764" cy="201881"/>
                <wp:effectExtent l="0" t="0" r="0" b="8255"/>
                <wp:wrapNone/>
                <wp:docPr id="19" name="Text Box 19"/>
                <wp:cNvGraphicFramePr/>
                <a:graphic xmlns:a="http://schemas.openxmlformats.org/drawingml/2006/main">
                  <a:graphicData uri="http://schemas.microsoft.com/office/word/2010/wordprocessingShape">
                    <wps:wsp>
                      <wps:cNvSpPr txBox="1"/>
                      <wps:spPr>
                        <a:xfrm>
                          <a:off x="0" y="0"/>
                          <a:ext cx="498764" cy="201881"/>
                        </a:xfrm>
                        <a:prstGeom prst="rect">
                          <a:avLst/>
                        </a:prstGeom>
                        <a:solidFill>
                          <a:schemeClr val="lt1"/>
                        </a:solidFill>
                        <a:ln w="6350">
                          <a:noFill/>
                        </a:ln>
                      </wps:spPr>
                      <wps:txbx>
                        <w:txbxContent>
                          <w:p w14:paraId="2800EA60" w14:textId="198708EA" w:rsidR="00384EB6" w:rsidRPr="00384EB6" w:rsidRDefault="00384EB6" w:rsidP="00384EB6">
                            <w:pPr>
                              <w:spacing w:line="240" w:lineRule="auto"/>
                              <w:rPr>
                                <w:sz w:val="14"/>
                                <w:szCs w:val="14"/>
                                <w:lang w:val="en-US"/>
                              </w:rPr>
                            </w:pPr>
                            <w:r w:rsidRPr="00384EB6">
                              <w:rPr>
                                <w:sz w:val="14"/>
                                <w:szCs w:val="14"/>
                                <w:lang w:val="en-US"/>
                              </w:rPr>
                              <w:t>Proporción salarial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F92FA" id="Text Box 19" o:spid="_x0000_s1029" type="#_x0000_t202" style="position:absolute;left:0;text-align:left;margin-left:197pt;margin-top:157.55pt;width:39.25pt;height:15.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" fillcolor="white [3201]" stroked="f" strokeweight=".5pt">
                <v:textbox inset="0,0,0,0">
                  <w:txbxContent>
                    <w:p w14:paraId="2800EA60" w14:textId="198708EA" w:rsidR="00384EB6" w:rsidRPr="00384EB6" w:rsidRDefault="00384EB6" w:rsidP="00384EB6">
                      <w:pPr>
                        <w:spacing w:line="240" w:lineRule="auto"/>
                        <w:rPr>
                          <w:sz w:val="14"/>
                          <w:szCs w:val="14"/>
                          <w:lang w:val="en-US"/>
                        </w:rPr>
                      </w:pPr>
                      <w:r w:rsidRPr="00384EB6">
                        <w:rPr>
                          <w:sz w:val="14"/>
                          <w:szCs w:val="14"/>
                          <w:lang w:val="en-US"/>
                        </w:rPr>
                        <w:t>Proporción salarial</w:t>
                      </w:r>
                    </w:p>
                  </w:txbxContent>
                </v:textbox>
              </v:shape>
            </w:pict>
          </mc:Fallback>
        </mc:AlternateContent>
      </w:r>
      <w:r w:rsidR="00384EB6">
        <w:rPr>
          <w:noProof/>
          <w:w w:val="100"/>
          <w:lang w:eastAsia="es-ES"/>
        </w:rPr>
        <mc:AlternateContent>
          <mc:Choice Requires="wps">
            <w:drawing>
              <wp:anchor distT="0" distB="0" distL="114300" distR="114300" simplePos="0" relativeHeight="251670528" behindDoc="0" locked="0" layoutInCell="1" allowOverlap="1" wp14:anchorId="488A431F" wp14:editId="785A03B9">
                <wp:simplePos x="0" y="0"/>
                <wp:positionH relativeFrom="column">
                  <wp:posOffset>1265918</wp:posOffset>
                </wp:positionH>
                <wp:positionV relativeFrom="paragraph">
                  <wp:posOffset>2000992</wp:posOffset>
                </wp:positionV>
                <wp:extent cx="433449" cy="142504"/>
                <wp:effectExtent l="0" t="0" r="5080" b="0"/>
                <wp:wrapNone/>
                <wp:docPr id="17" name="Text Box 17"/>
                <wp:cNvGraphicFramePr/>
                <a:graphic xmlns:a="http://schemas.openxmlformats.org/drawingml/2006/main">
                  <a:graphicData uri="http://schemas.microsoft.com/office/word/2010/wordprocessingShape">
                    <wps:wsp>
                      <wps:cNvSpPr txBox="1"/>
                      <wps:spPr>
                        <a:xfrm>
                          <a:off x="0" y="0"/>
                          <a:ext cx="433449" cy="142504"/>
                        </a:xfrm>
                        <a:prstGeom prst="rect">
                          <a:avLst/>
                        </a:prstGeom>
                        <a:solidFill>
                          <a:schemeClr val="lt1"/>
                        </a:solidFill>
                        <a:ln w="6350">
                          <a:noFill/>
                        </a:ln>
                      </wps:spPr>
                      <wps:txbx>
                        <w:txbxContent>
                          <w:p w14:paraId="7564E679" w14:textId="06B49228" w:rsidR="00C777EE" w:rsidRPr="00384EB6" w:rsidRDefault="00C777EE" w:rsidP="00C777EE">
                            <w:pPr>
                              <w:spacing w:line="240" w:lineRule="auto"/>
                              <w:rPr>
                                <w:sz w:val="14"/>
                                <w:szCs w:val="14"/>
                                <w:lang w:val="en-US"/>
                              </w:rPr>
                            </w:pPr>
                            <w:r w:rsidRPr="00384EB6">
                              <w:rPr>
                                <w:sz w:val="14"/>
                                <w:szCs w:val="14"/>
                                <w:lang w:val="en-US"/>
                              </w:rPr>
                              <w:t>Hombres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8A431F" id="Text Box 17" o:spid="_x0000_s1030" type="#_x0000_t202" style="position:absolute;left:0;text-align:left;margin-left:99.7pt;margin-top:157.55pt;width:34.15pt;height:11.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" fillcolor="white [3201]" stroked="f" strokeweight=".5pt">
                <v:textbox inset="0,0,0,0">
                  <w:txbxContent>
                    <w:p w14:paraId="7564E679" w14:textId="06B49228" w:rsidR="00C777EE" w:rsidRPr="00384EB6" w:rsidRDefault="00C777EE" w:rsidP="00C777EE">
                      <w:pPr>
                        <w:spacing w:line="240" w:lineRule="auto"/>
                        <w:rPr>
                          <w:sz w:val="14"/>
                          <w:szCs w:val="14"/>
                          <w:lang w:val="en-US"/>
                        </w:rPr>
                      </w:pPr>
                      <w:r w:rsidRPr="00384EB6">
                        <w:rPr>
                          <w:sz w:val="14"/>
                          <w:szCs w:val="14"/>
                          <w:lang w:val="en-US"/>
                        </w:rPr>
                        <w:t>Hombres</w:t>
                      </w:r>
                    </w:p>
                  </w:txbxContent>
                </v:textbox>
              </v:shape>
            </w:pict>
          </mc:Fallback>
        </mc:AlternateContent>
      </w:r>
      <w:r w:rsidR="00384EB6">
        <w:rPr>
          <w:noProof/>
          <w:w w:val="100"/>
          <w:lang w:eastAsia="es-ES"/>
        </w:rPr>
        <mc:AlternateContent>
          <mc:Choice Requires="wps">
            <w:drawing>
              <wp:anchor distT="0" distB="0" distL="114300" distR="114300" simplePos="0" relativeHeight="251672576" behindDoc="0" locked="0" layoutInCell="1" allowOverlap="1" wp14:anchorId="273C44BB" wp14:editId="304DDAC0">
                <wp:simplePos x="0" y="0"/>
                <wp:positionH relativeFrom="column">
                  <wp:posOffset>1871559</wp:posOffset>
                </wp:positionH>
                <wp:positionV relativeFrom="paragraph">
                  <wp:posOffset>2006931</wp:posOffset>
                </wp:positionV>
                <wp:extent cx="344385" cy="10094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344385" cy="100940"/>
                        </a:xfrm>
                        <a:prstGeom prst="rect">
                          <a:avLst/>
                        </a:prstGeom>
                        <a:solidFill>
                          <a:schemeClr val="lt1"/>
                        </a:solidFill>
                        <a:ln w="6350">
                          <a:noFill/>
                        </a:ln>
                      </wps:spPr>
                      <wps:txbx>
                        <w:txbxContent>
                          <w:p w14:paraId="72C2F698" w14:textId="24761560" w:rsidR="00384EB6" w:rsidRPr="00384EB6" w:rsidRDefault="00384EB6" w:rsidP="00384EB6">
                            <w:pPr>
                              <w:spacing w:line="240" w:lineRule="auto"/>
                              <w:rPr>
                                <w:sz w:val="14"/>
                                <w:szCs w:val="14"/>
                                <w:lang w:val="en-US"/>
                              </w:rPr>
                            </w:pPr>
                            <w:r w:rsidRPr="00384EB6">
                              <w:rPr>
                                <w:sz w:val="14"/>
                                <w:szCs w:val="14"/>
                                <w:lang w:val="en-US"/>
                              </w:rPr>
                              <w:t>Mujeres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C44BB" id="Text Box 18" o:spid="_x0000_s1031" type="#_x0000_t202" style="position:absolute;left:0;text-align:left;margin-left:147.35pt;margin-top:158.05pt;width:27.1pt;height:7.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" fillcolor="white [3201]" stroked="f" strokeweight=".5pt">
                <v:textbox inset="0,0,0,0">
                  <w:txbxContent>
                    <w:p w14:paraId="72C2F698" w14:textId="24761560" w:rsidR="00384EB6" w:rsidRPr="00384EB6" w:rsidRDefault="00384EB6" w:rsidP="00384EB6">
                      <w:pPr>
                        <w:spacing w:line="240" w:lineRule="auto"/>
                        <w:rPr>
                          <w:sz w:val="14"/>
                          <w:szCs w:val="14"/>
                          <w:lang w:val="en-US"/>
                        </w:rPr>
                      </w:pPr>
                      <w:r w:rsidRPr="00384EB6">
                        <w:rPr>
                          <w:sz w:val="14"/>
                          <w:szCs w:val="14"/>
                          <w:lang w:val="en-US"/>
                        </w:rPr>
                        <w:t>Mujeres</w:t>
                      </w:r>
                    </w:p>
                  </w:txbxContent>
                </v:textbox>
              </v:shape>
            </w:pict>
          </mc:Fallback>
        </mc:AlternateContent>
      </w:r>
      <w:r w:rsidR="008D2F10" w:rsidRPr="000F625D">
        <w:rPr>
          <w:noProof/>
          <w:lang w:eastAsia="es-ES"/>
        </w:rPr>
        <w:drawing>
          <wp:inline distT="0" distB="0" distL="0" distR="0" wp14:anchorId="291D2CFE" wp14:editId="057B6637">
            <wp:extent cx="4934514" cy="2209097"/>
            <wp:effectExtent l="57150" t="0" r="57150" b="11557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4939711" cy="2211424"/>
                    </a:xfrm>
                    <a:prstGeom prst="rect">
                      <a:avLst/>
                    </a:prstGeom>
                    <a:noFill/>
                    <a:effectLst>
                      <a:outerShdw blurRad="50800" dist="50800" dir="5400000" algn="ctr" rotWithShape="0">
                        <a:schemeClr val="bg1"/>
                      </a:outerShdw>
                    </a:effectLst>
                  </pic:spPr>
                </pic:pic>
              </a:graphicData>
            </a:graphic>
          </wp:inline>
        </w:drawing>
      </w:r>
    </w:p>
    <w:p w14:paraId="3BAB81C5" w14:textId="5BC695A9" w:rsidR="008D2F10" w:rsidRPr="00D43575" w:rsidRDefault="008D2F10" w:rsidP="00FC6BA7">
      <w:pPr>
        <w:pStyle w:val="FootnoteText"/>
        <w:keepNext/>
        <w:keepLines/>
        <w:tabs>
          <w:tab w:val="clear" w:pos="418"/>
          <w:tab w:val="right" w:pos="1476"/>
          <w:tab w:val="left" w:pos="1548"/>
          <w:tab w:val="right" w:pos="1836"/>
          <w:tab w:val="left" w:pos="1908"/>
        </w:tabs>
        <w:ind w:left="1548" w:right="1267" w:hanging="288"/>
        <w:rPr>
          <w:rFonts w:eastAsiaTheme="minorHAns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Ministerio de Planificación del Desarrollo y Estadísticas</w:t>
      </w:r>
      <w:r w:rsidR="00083383" w:rsidRPr="00D43575">
        <w:rPr>
          <w:rFonts w:eastAsiaTheme="minorHAnsi"/>
          <w:iCs/>
          <w:w w:val="103"/>
          <w:kern w:val="14"/>
          <w:szCs w:val="20"/>
        </w:rPr>
        <w:t>.</w:t>
      </w:r>
      <w:r w:rsidR="003859BA" w:rsidRPr="003859BA">
        <w:rPr>
          <w:noProof/>
          <w:w w:val="100"/>
          <w:lang w:eastAsia="es-ES"/>
        </w:rPr>
        <w:t xml:space="preserve"> </w:t>
      </w:r>
    </w:p>
    <w:p w14:paraId="3D9E3716" w14:textId="77B96444" w:rsidR="008D2F10" w:rsidRPr="00D43575" w:rsidRDefault="008D2F10" w:rsidP="00BC5175">
      <w:pPr>
        <w:pStyle w:val="SingleTxt"/>
        <w:spacing w:after="0" w:line="120" w:lineRule="exact"/>
        <w:rPr>
          <w:sz w:val="10"/>
        </w:rPr>
      </w:pPr>
    </w:p>
    <w:p w14:paraId="79B41CA2" w14:textId="21636B56" w:rsidR="008D2F10" w:rsidRPr="00D43575" w:rsidRDefault="008D2F10" w:rsidP="00BC5175">
      <w:pPr>
        <w:pStyle w:val="SingleTxt"/>
        <w:spacing w:after="0" w:line="120" w:lineRule="exact"/>
        <w:rPr>
          <w:sz w:val="10"/>
        </w:rPr>
      </w:pPr>
    </w:p>
    <w:p w14:paraId="0DBB644C" w14:textId="1D289306"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Artículo 12: Salud</w:t>
      </w:r>
    </w:p>
    <w:p w14:paraId="69036B62" w14:textId="77777777" w:rsidR="008D2F10" w:rsidRPr="00D43575" w:rsidRDefault="008D2F10" w:rsidP="008D2F10">
      <w:pPr>
        <w:pStyle w:val="SingleTxt"/>
        <w:spacing w:after="0" w:line="120" w:lineRule="exact"/>
        <w:rPr>
          <w:sz w:val="10"/>
        </w:rPr>
      </w:pPr>
    </w:p>
    <w:p w14:paraId="433B7C26" w14:textId="6B116378" w:rsidR="008D2F10" w:rsidRPr="00D43575" w:rsidRDefault="008D2F10" w:rsidP="001D1AD0">
      <w:pPr>
        <w:pStyle w:val="SingleTxt"/>
        <w:numPr>
          <w:ilvl w:val="0"/>
          <w:numId w:val="10"/>
        </w:numPr>
        <w:ind w:left="1267" w:firstLine="0"/>
      </w:pPr>
      <w:r w:rsidRPr="00D43575">
        <w:t xml:space="preserve">El artículo 23 de la Constitución de Qatar dispone lo siguiente: </w:t>
      </w:r>
      <w:r w:rsidR="00F652D5" w:rsidRPr="00D43575">
        <w:t>“</w:t>
      </w:r>
      <w:r w:rsidRPr="00D43575">
        <w:t>El Estado promoverá la salud pública y ofrecerá los medios de prevención y tratamiento de las enfermedades y epidemias de conformidad con la legislación</w:t>
      </w:r>
      <w:r w:rsidR="00F652D5" w:rsidRPr="00D43575">
        <w:t>”</w:t>
      </w:r>
      <w:r w:rsidR="00083383" w:rsidRPr="00D43575">
        <w:t>.</w:t>
      </w:r>
      <w:r w:rsidRPr="00D43575">
        <w:t xml:space="preserve"> La Ley núm</w:t>
      </w:r>
      <w:r w:rsidR="00083383" w:rsidRPr="00D43575">
        <w:t>.</w:t>
      </w:r>
      <w:r w:rsidRPr="00D43575">
        <w:t xml:space="preserve"> 7/1996 sobre la regulación del tratamiento médico que se presta en el país contempla medidas para eliminar la discriminación contra la mujer en la asistencia sanitaria</w:t>
      </w:r>
      <w:r w:rsidR="00083383" w:rsidRPr="00D43575">
        <w:t>.</w:t>
      </w:r>
      <w:r w:rsidRPr="00D43575">
        <w:t xml:space="preserve"> En concreto, el artículo 4 establece que los servicios de emergencia y de hospitalización por accidente, los servicios de obstetricia o pediatría preventivos, los servicios de prevención prestados a los estudiantes y los servicios relacionados con las enfermedades infecciosas y la v</w:t>
      </w:r>
      <w:r w:rsidR="00170894" w:rsidRPr="00D43575">
        <w:t>ac</w:t>
      </w:r>
      <w:bookmarkStart w:id="5" w:name="_GoBack"/>
      <w:bookmarkEnd w:id="5"/>
      <w:r w:rsidR="00170894" w:rsidRPr="00D43575">
        <w:t>unación se prestarán sin costo</w:t>
      </w:r>
      <w:r w:rsidRPr="00D43575">
        <w:t xml:space="preserve"> alguno</w:t>
      </w:r>
      <w:r w:rsidR="00083383" w:rsidRPr="00D43575">
        <w:t>.</w:t>
      </w:r>
    </w:p>
    <w:p w14:paraId="5C1686B5" w14:textId="43996A3B" w:rsidR="008D2F10" w:rsidRPr="00D43575" w:rsidRDefault="008D2F10" w:rsidP="00740A4A">
      <w:pPr>
        <w:pStyle w:val="SingleTxt"/>
        <w:keepLines/>
        <w:numPr>
          <w:ilvl w:val="0"/>
          <w:numId w:val="10"/>
        </w:numPr>
        <w:ind w:left="1267" w:firstLine="0"/>
      </w:pPr>
      <w:r w:rsidRPr="00D43575">
        <w:lastRenderedPageBreak/>
        <w:t>La Estrategia Nacional de Atención Primaria de la Salud para el período 2013</w:t>
      </w:r>
      <w:r w:rsidR="00083383" w:rsidRPr="00D43575">
        <w:noBreakHyphen/>
      </w:r>
      <w:r w:rsidRPr="00D43575">
        <w:t>2018 está en consonancia con los principios de la Visión Nacional de Qatar 2030 y la Estrategia Nacional de Salud para el período 2011</w:t>
      </w:r>
      <w:r w:rsidR="00083383" w:rsidRPr="00D43575">
        <w:noBreakHyphen/>
      </w:r>
      <w:r w:rsidRPr="00D43575">
        <w:t>2016 y su objetivo es dar respuesta y hacer frente a los retos sanitarios futuros, situando la atención primaria en el centro del sistema de salud</w:t>
      </w:r>
      <w:r w:rsidR="00083383" w:rsidRPr="00D43575">
        <w:t>.</w:t>
      </w:r>
      <w:r w:rsidRPr="00D43575">
        <w:t xml:space="preserve"> El Ministerio de Salud Pública, en colaboración con la Fundación Médica Hamad, el Organismo de Atención Primaria de la Salud y otras partes interesadas, se encarga de la puesta en marcha de la Estrategia Nacional de Salud</w:t>
      </w:r>
      <w:r w:rsidR="00083383" w:rsidRPr="00D43575">
        <w:t>.</w:t>
      </w:r>
      <w:r w:rsidRPr="00D43575">
        <w:t xml:space="preserve"> En el marco de esta estrategia, se han logrado importantes avances en la consecución de sus objetivos a través de la ejecución de numerosos proyectos</w:t>
      </w:r>
      <w:r w:rsidR="00083383" w:rsidRPr="00D43575">
        <w:t>.</w:t>
      </w:r>
      <w:r w:rsidRPr="00D43575">
        <w:t xml:space="preserve"> Se</w:t>
      </w:r>
      <w:r w:rsidR="00083383" w:rsidRPr="00D43575">
        <w:t xml:space="preserve"> </w:t>
      </w:r>
      <w:r w:rsidRPr="00D43575">
        <w:t>estima que, desde su puesta en marcha, la estrategia ha alcanzado en torno al 71% de sus objetivos</w:t>
      </w:r>
      <w:r w:rsidR="00083383" w:rsidRPr="00D43575">
        <w:t>.</w:t>
      </w:r>
      <w:r w:rsidRPr="00D43575">
        <w:t xml:space="preserve"> A continuación se describen algunos de ellos:</w:t>
      </w:r>
    </w:p>
    <w:p w14:paraId="673AC3D7" w14:textId="15B8A455" w:rsidR="008D2F10" w:rsidRPr="00D43575" w:rsidRDefault="008D2F10" w:rsidP="008D2F10">
      <w:pPr>
        <w:pStyle w:val="SingleTxt"/>
        <w:tabs>
          <w:tab w:val="right" w:pos="1685"/>
        </w:tabs>
        <w:ind w:left="1742" w:hanging="475"/>
      </w:pPr>
      <w:r w:rsidRPr="00D43575">
        <w:tab/>
        <w:t>•</w:t>
      </w:r>
      <w:r w:rsidRPr="00D43575">
        <w:tab/>
        <w:t>Se ha puesto en marcha un sistema de seguro social para la atención de la salud que garantiza el acceso a tratamientos, tanto en el sector público como en el privado</w:t>
      </w:r>
      <w:r w:rsidR="00083383" w:rsidRPr="00D43575">
        <w:t>.</w:t>
      </w:r>
    </w:p>
    <w:p w14:paraId="5477F322" w14:textId="585F152D" w:rsidR="008D2F10" w:rsidRPr="00D43575" w:rsidRDefault="008D2F10" w:rsidP="008D2F10">
      <w:pPr>
        <w:pStyle w:val="SingleTxt"/>
        <w:tabs>
          <w:tab w:val="right" w:pos="1685"/>
        </w:tabs>
        <w:ind w:left="1742" w:hanging="475"/>
      </w:pPr>
      <w:r w:rsidRPr="00D43575">
        <w:tab/>
        <w:t>•</w:t>
      </w:r>
      <w:r w:rsidRPr="00D43575">
        <w:tab/>
        <w:t>Se ha elaborado un plan de infraestructuras que, desde noviembre de 2013, ha permitido al Ministerio de Salud Pública hacer efectivo el Plan Rector para los Establecimientos de Atención de la Salud de Qatar</w:t>
      </w:r>
      <w:r w:rsidR="00083383" w:rsidRPr="00D43575">
        <w:t>.</w:t>
      </w:r>
      <w:r w:rsidRPr="00D43575">
        <w:t xml:space="preserve"> Está previsto que hasta 2022 se inauguren 25 centros sanitarios y 11 hospitales y se abran o renueven 82 dependencias, lo cual se ajusta al nuevo modelo de atención de la salud</w:t>
      </w:r>
      <w:r w:rsidR="00083383" w:rsidRPr="00D43575">
        <w:t>.</w:t>
      </w:r>
    </w:p>
    <w:p w14:paraId="18B74C00" w14:textId="19E21880" w:rsidR="008D2F10" w:rsidRPr="00D43575" w:rsidRDefault="008D2F10" w:rsidP="008D2F10">
      <w:pPr>
        <w:pStyle w:val="SingleTxt"/>
        <w:tabs>
          <w:tab w:val="right" w:pos="1685"/>
        </w:tabs>
        <w:ind w:left="1742" w:hanging="475"/>
      </w:pPr>
      <w:r w:rsidRPr="00D43575">
        <w:tab/>
        <w:t>•</w:t>
      </w:r>
      <w:r w:rsidRPr="00D43575">
        <w:tab/>
        <w:t>Se ha creado el Consejo Nacional de Especialidades Sanitarias que supervisa la labor de todos los profesionales de la salud y apoya al personal del ámbito clínico mediante programas de fomento de la capacidad</w:t>
      </w:r>
      <w:r w:rsidR="00083383" w:rsidRPr="00D43575">
        <w:t>.</w:t>
      </w:r>
    </w:p>
    <w:p w14:paraId="4AEB5E03" w14:textId="65095DB9" w:rsidR="008D2F10" w:rsidRPr="00D43575" w:rsidRDefault="008D2F10" w:rsidP="008D2F10">
      <w:pPr>
        <w:pStyle w:val="SingleTxt"/>
        <w:tabs>
          <w:tab w:val="right" w:pos="1685"/>
        </w:tabs>
        <w:ind w:left="1742" w:hanging="475"/>
      </w:pPr>
      <w:r w:rsidRPr="00D43575">
        <w:tab/>
        <w:t>•</w:t>
      </w:r>
      <w:r w:rsidRPr="00D43575">
        <w:tab/>
        <w:t>Conviene señalar que la Estrategia Nacional de Salud ha proporcionado el enfoque necesario para el desarrollo de los planes de acción en las esferas prioritarias</w:t>
      </w:r>
      <w:r w:rsidR="00083383" w:rsidRPr="00D43575">
        <w:t>.</w:t>
      </w:r>
      <w:r w:rsidRPr="00D43575">
        <w:t xml:space="preserve"> Se han puesto en marcha, además, las siguientes estrategias: la Estrategia Nacional contra el Cáncer (2011</w:t>
      </w:r>
      <w:r w:rsidR="00083383" w:rsidRPr="00D43575">
        <w:noBreakHyphen/>
      </w:r>
      <w:r w:rsidRPr="00D43575">
        <w:t>2016), la Estrategia Nacional para la Investigación sobre el Cáncer, la Estrategia Nacional para la Integración de los Servicios de Laboratorio y la Unificación de sus Criterios (2013</w:t>
      </w:r>
      <w:r w:rsidR="00083383" w:rsidRPr="00D43575">
        <w:noBreakHyphen/>
      </w:r>
      <w:r w:rsidRPr="00D43575">
        <w:t>2018), la Estrategia Nacional de Atención Primaria de la Salud (2013</w:t>
      </w:r>
      <w:r w:rsidR="00083383" w:rsidRPr="00D43575">
        <w:noBreakHyphen/>
      </w:r>
      <w:r w:rsidRPr="00D43575">
        <w:t>2018) y la Estrategia Nacional de Salud Mental (2013</w:t>
      </w:r>
      <w:r w:rsidR="00083383" w:rsidRPr="00D43575">
        <w:noBreakHyphen/>
      </w:r>
      <w:r w:rsidRPr="00D43575">
        <w:t>2018)</w:t>
      </w:r>
      <w:r w:rsidR="00083383" w:rsidRPr="00D43575">
        <w:t>.</w:t>
      </w:r>
    </w:p>
    <w:p w14:paraId="428273E7" w14:textId="73775BAF" w:rsidR="008D2F10" w:rsidRPr="00D43575" w:rsidRDefault="008D2F10" w:rsidP="008D2F10">
      <w:pPr>
        <w:pStyle w:val="SingleTxt"/>
        <w:tabs>
          <w:tab w:val="right" w:pos="1685"/>
        </w:tabs>
        <w:ind w:left="1742" w:hanging="475"/>
      </w:pPr>
      <w:r w:rsidRPr="00D43575">
        <w:tab/>
        <w:t>•</w:t>
      </w:r>
      <w:r w:rsidRPr="00D43575">
        <w:tab/>
        <w:t>En junio de 2014, la organización Accreditation Canada concedió su acreditación de platino al Organismo de Atención Primaria de la Salud</w:t>
      </w:r>
      <w:r w:rsidR="00083383" w:rsidRPr="00D43575">
        <w:t>.</w:t>
      </w:r>
      <w:r w:rsidRPr="00D43575">
        <w:t xml:space="preserve"> Esta certificación evalúa la calidad, la seguridad y la compatibilidad con los estándares internacionales de los servicios prestados por el Organismo de Atención Primaria de la Salud</w:t>
      </w:r>
      <w:r w:rsidR="00083383" w:rsidRPr="00D43575">
        <w:t>.</w:t>
      </w:r>
    </w:p>
    <w:p w14:paraId="21A54474" w14:textId="6DFE1616" w:rsidR="008D2F10" w:rsidRPr="00190056" w:rsidRDefault="008D2F10" w:rsidP="001D1AD0">
      <w:pPr>
        <w:pStyle w:val="SingleTxt"/>
        <w:numPr>
          <w:ilvl w:val="0"/>
          <w:numId w:val="10"/>
        </w:numPr>
        <w:ind w:left="1267" w:firstLine="0"/>
        <w:rPr>
          <w:shd w:val="clear" w:color="auto" w:fill="FFFFFF" w:themeFill="background1"/>
        </w:rPr>
      </w:pPr>
      <w:bookmarkStart w:id="6" w:name="Sample_3"/>
      <w:r w:rsidRPr="00190056">
        <w:rPr>
          <w:shd w:val="clear" w:color="auto" w:fill="FFFFFF" w:themeFill="background1"/>
        </w:rPr>
        <w:t>Las leyes qataríes garantizan el derecho de acceso a los servicios de atención de la salud sin discriminación</w:t>
      </w:r>
      <w:r w:rsidR="00083383" w:rsidRPr="00190056">
        <w:rPr>
          <w:shd w:val="clear" w:color="auto" w:fill="FFFFFF" w:themeFill="background1"/>
        </w:rPr>
        <w:t>.</w:t>
      </w:r>
      <w:r w:rsidRPr="00190056">
        <w:rPr>
          <w:shd w:val="clear" w:color="auto" w:fill="FFFFFF" w:themeFill="background1"/>
        </w:rPr>
        <w:t xml:space="preserve"> La Fundación Médica Hamad ha publicado el Pacto de los Derechos y de las Responsabilidades del Paciente y de sus Familiares y ha puesto carteles al respecto en los pasillos de todas las dependencias sanitarias</w:t>
      </w:r>
      <w:r w:rsidR="00083383" w:rsidRPr="00190056">
        <w:rPr>
          <w:shd w:val="clear" w:color="auto" w:fill="FFFFFF" w:themeFill="background1"/>
        </w:rPr>
        <w:t>.</w:t>
      </w:r>
      <w:r w:rsidRPr="00190056">
        <w:rPr>
          <w:shd w:val="clear" w:color="auto" w:fill="FFFFFF" w:themeFill="background1"/>
        </w:rPr>
        <w:t xml:space="preserve"> El pacto establece los principios fundamentales en materia de salvaguardia del derecho a la salud, entre ellos el derecho de acceso a los servicios de atención primaria de la salud, con independencia del origen étnico, la religión, el lugar de origen, las creencias, los valores, la lengua, la edad y la discapacidad; el acceso sin demora excesiva a los servicios de atención de la salud y el acceso constante, adecuado y respetuoso a los cuidados necesarios y a la preservación de la dignidad del paciente; el acceso a un mecanismo de apoyo apropiado y eficaz a disposición del paciente en</w:t>
      </w:r>
      <w:r w:rsidR="00083383" w:rsidRPr="00190056">
        <w:rPr>
          <w:shd w:val="clear" w:color="auto" w:fill="FFFFFF" w:themeFill="background1"/>
        </w:rPr>
        <w:t xml:space="preserve"> </w:t>
      </w:r>
      <w:r w:rsidRPr="00190056">
        <w:rPr>
          <w:shd w:val="clear" w:color="auto" w:fill="FFFFFF" w:themeFill="background1"/>
        </w:rPr>
        <w:t>caso de queja o denuncia, así como a la preservación de la intimidad y de la</w:t>
      </w:r>
      <w:r w:rsidR="00083383" w:rsidRPr="00190056">
        <w:rPr>
          <w:shd w:val="clear" w:color="auto" w:fill="FFFFFF" w:themeFill="background1"/>
        </w:rPr>
        <w:t xml:space="preserve"> </w:t>
      </w:r>
      <w:r w:rsidRPr="00190056">
        <w:rPr>
          <w:shd w:val="clear" w:color="auto" w:fill="FFFFFF" w:themeFill="background1"/>
        </w:rPr>
        <w:t>confidencialidad</w:t>
      </w:r>
      <w:r w:rsidR="00083383" w:rsidRPr="00190056">
        <w:rPr>
          <w:shd w:val="clear" w:color="auto" w:fill="FFFFFF" w:themeFill="background1"/>
        </w:rPr>
        <w:t>.</w:t>
      </w:r>
    </w:p>
    <w:p w14:paraId="5C3FE051" w14:textId="77777777" w:rsidR="008D2F10" w:rsidRPr="00190056" w:rsidRDefault="008D2F10" w:rsidP="008D2F10">
      <w:pPr>
        <w:pStyle w:val="SingleTxt"/>
        <w:spacing w:after="0" w:line="120" w:lineRule="exact"/>
        <w:rPr>
          <w:sz w:val="10"/>
          <w:shd w:val="clear" w:color="auto" w:fill="FFFFFF" w:themeFill="background1"/>
        </w:rPr>
      </w:pPr>
    </w:p>
    <w:p w14:paraId="000AA70A" w14:textId="77777777" w:rsidR="0086396A" w:rsidRDefault="0086396A">
      <w:pPr>
        <w:suppressAutoHyphens w:val="0"/>
        <w:spacing w:line="240" w:lineRule="auto"/>
        <w:rPr>
          <w:b/>
          <w:spacing w:val="2"/>
          <w:kern w:val="14"/>
          <w:szCs w:val="20"/>
          <w:shd w:val="clear" w:color="auto" w:fill="FFFFFF" w:themeFill="background1"/>
        </w:rPr>
      </w:pPr>
      <w:r>
        <w:rPr>
          <w:bCs/>
          <w:szCs w:val="20"/>
          <w:shd w:val="clear" w:color="auto" w:fill="FFFFFF" w:themeFill="background1"/>
        </w:rPr>
        <w:br w:type="page"/>
      </w:r>
    </w:p>
    <w:p w14:paraId="63FCD4CC" w14:textId="7F481832" w:rsidR="008D2F10" w:rsidRPr="00190056"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shd w:val="clear" w:color="auto" w:fill="FFFFFF" w:themeFill="background1"/>
        </w:rPr>
      </w:pPr>
      <w:r w:rsidRPr="00190056">
        <w:rPr>
          <w:bCs w:val="0"/>
          <w:szCs w:val="20"/>
          <w:shd w:val="clear" w:color="auto" w:fill="FFFFFF" w:themeFill="background1"/>
        </w:rPr>
        <w:lastRenderedPageBreak/>
        <w:tab/>
      </w:r>
      <w:r w:rsidRPr="00190056">
        <w:rPr>
          <w:bCs w:val="0"/>
          <w:szCs w:val="20"/>
          <w:shd w:val="clear" w:color="auto" w:fill="FFFFFF" w:themeFill="background1"/>
        </w:rPr>
        <w:tab/>
        <w:t>Gasto en salud</w:t>
      </w:r>
    </w:p>
    <w:p w14:paraId="757C891F" w14:textId="133B4040" w:rsidR="008D2F10" w:rsidRPr="00190056" w:rsidRDefault="008D2F10" w:rsidP="008D2F10">
      <w:pPr>
        <w:pStyle w:val="SingleTxt"/>
        <w:spacing w:after="0" w:line="120" w:lineRule="exact"/>
        <w:rPr>
          <w:sz w:val="10"/>
          <w:shd w:val="clear" w:color="auto" w:fill="FFFFFF" w:themeFill="background1"/>
        </w:rPr>
      </w:pPr>
    </w:p>
    <w:p w14:paraId="0F26F0D9" w14:textId="27BDFB13" w:rsidR="00083383" w:rsidRPr="00190056"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shd w:val="clear" w:color="auto" w:fill="FFFFFF" w:themeFill="background1"/>
        </w:rPr>
      </w:pPr>
      <w:r w:rsidRPr="00190056">
        <w:rPr>
          <w:bCs w:val="0"/>
          <w:szCs w:val="20"/>
          <w:shd w:val="clear" w:color="auto" w:fill="FFFFFF" w:themeFill="background1"/>
        </w:rPr>
        <w:tab/>
      </w:r>
      <w:r w:rsidRPr="00190056">
        <w:rPr>
          <w:bCs w:val="0"/>
          <w:szCs w:val="20"/>
          <w:shd w:val="clear" w:color="auto" w:fill="FFFFFF" w:themeFill="background1"/>
        </w:rPr>
        <w:tab/>
      </w:r>
      <w:r w:rsidRPr="00190056">
        <w:rPr>
          <w:b w:val="0"/>
          <w:bCs w:val="0"/>
          <w:szCs w:val="20"/>
          <w:shd w:val="clear" w:color="auto" w:fill="FFFFFF" w:themeFill="background1"/>
        </w:rPr>
        <w:t>Figura 7</w:t>
      </w:r>
      <w:r w:rsidR="007B3084" w:rsidRPr="00190056">
        <w:rPr>
          <w:b w:val="0"/>
          <w:bCs w:val="0"/>
          <w:szCs w:val="20"/>
          <w:shd w:val="clear" w:color="auto" w:fill="FFFFFF" w:themeFill="background1"/>
        </w:rPr>
        <w:t xml:space="preserve"> </w:t>
      </w:r>
      <w:r w:rsidR="007B3084" w:rsidRPr="00190056">
        <w:rPr>
          <w:b w:val="0"/>
          <w:bCs w:val="0"/>
          <w:szCs w:val="20"/>
          <w:shd w:val="clear" w:color="auto" w:fill="FFFFFF" w:themeFill="background1"/>
        </w:rPr>
        <w:br/>
      </w:r>
      <w:r w:rsidRPr="00190056">
        <w:rPr>
          <w:bCs w:val="0"/>
          <w:szCs w:val="20"/>
          <w:shd w:val="clear" w:color="auto" w:fill="FFFFFF" w:themeFill="background1"/>
        </w:rPr>
        <w:t>Porcentaje del gasto público asignado a la asistencia sanitaria durante el</w:t>
      </w:r>
      <w:r w:rsidR="00083383" w:rsidRPr="00190056">
        <w:rPr>
          <w:bCs w:val="0"/>
          <w:szCs w:val="20"/>
          <w:shd w:val="clear" w:color="auto" w:fill="FFFFFF" w:themeFill="background1"/>
        </w:rPr>
        <w:t xml:space="preserve"> </w:t>
      </w:r>
      <w:r w:rsidRPr="00190056">
        <w:rPr>
          <w:bCs w:val="0"/>
          <w:szCs w:val="20"/>
          <w:shd w:val="clear" w:color="auto" w:fill="FFFFFF" w:themeFill="background1"/>
        </w:rPr>
        <w:t>período</w:t>
      </w:r>
      <w:r w:rsidR="00083383" w:rsidRPr="00190056">
        <w:rPr>
          <w:bCs w:val="0"/>
          <w:szCs w:val="20"/>
          <w:shd w:val="clear" w:color="auto" w:fill="FFFFFF" w:themeFill="background1"/>
        </w:rPr>
        <w:t xml:space="preserve"> </w:t>
      </w:r>
      <w:r w:rsidRPr="00190056">
        <w:rPr>
          <w:bCs w:val="0"/>
          <w:szCs w:val="20"/>
          <w:shd w:val="clear" w:color="auto" w:fill="FFFFFF" w:themeFill="background1"/>
        </w:rPr>
        <w:t>2010</w:t>
      </w:r>
      <w:r w:rsidR="00083383" w:rsidRPr="00190056">
        <w:rPr>
          <w:bCs w:val="0"/>
          <w:szCs w:val="20"/>
          <w:shd w:val="clear" w:color="auto" w:fill="FFFFFF" w:themeFill="background1"/>
        </w:rPr>
        <w:noBreakHyphen/>
      </w:r>
      <w:r w:rsidRPr="00190056">
        <w:rPr>
          <w:bCs w:val="0"/>
          <w:szCs w:val="20"/>
          <w:shd w:val="clear" w:color="auto" w:fill="FFFFFF" w:themeFill="background1"/>
        </w:rPr>
        <w:t>2014</w:t>
      </w:r>
    </w:p>
    <w:p w14:paraId="74E6D514" w14:textId="178F5AEC" w:rsidR="008D2F10" w:rsidRPr="007D60C1" w:rsidRDefault="008D2F10" w:rsidP="008D2F10">
      <w:pPr>
        <w:pStyle w:val="SingleTxt"/>
        <w:spacing w:after="0" w:line="120" w:lineRule="exact"/>
        <w:rPr>
          <w:sz w:val="10"/>
          <w:shd w:val="clear" w:color="auto" w:fill="DAEEF3" w:themeFill="accent5" w:themeFillTint="33"/>
        </w:rPr>
      </w:pPr>
    </w:p>
    <w:p w14:paraId="56894737" w14:textId="1277046C" w:rsidR="008D2F10" w:rsidRPr="007D60C1" w:rsidRDefault="003415E2" w:rsidP="007676BD">
      <w:pPr>
        <w:pStyle w:val="SingleTxt"/>
        <w:spacing w:line="240" w:lineRule="atLeast"/>
        <w:rPr>
          <w:shd w:val="clear" w:color="auto" w:fill="DAEEF3" w:themeFill="accent5" w:themeFillTint="33"/>
          <w:lang w:eastAsia="es-ES"/>
        </w:rPr>
      </w:pPr>
      <w:r>
        <w:rPr>
          <w:noProof/>
          <w:w w:val="100"/>
          <w:lang w:eastAsia="es-ES"/>
        </w:rPr>
        <mc:AlternateContent>
          <mc:Choice Requires="wps">
            <w:drawing>
              <wp:anchor distT="0" distB="0" distL="114300" distR="114300" simplePos="0" relativeHeight="251669504" behindDoc="0" locked="0" layoutInCell="1" allowOverlap="1" wp14:anchorId="31E0EEB4" wp14:editId="6CF04866">
                <wp:simplePos x="0" y="0"/>
                <wp:positionH relativeFrom="margin">
                  <wp:posOffset>4921910</wp:posOffset>
                </wp:positionH>
                <wp:positionV relativeFrom="paragraph">
                  <wp:posOffset>1102741</wp:posOffset>
                </wp:positionV>
                <wp:extent cx="394946" cy="116586"/>
                <wp:effectExtent l="0" t="0" r="5715" b="0"/>
                <wp:wrapNone/>
                <wp:docPr id="14" name="Text Box 14"/>
                <wp:cNvGraphicFramePr/>
                <a:graphic xmlns:a="http://schemas.openxmlformats.org/drawingml/2006/main">
                  <a:graphicData uri="http://schemas.microsoft.com/office/word/2010/wordprocessingShape">
                    <wps:wsp>
                      <wps:cNvSpPr txBox="1"/>
                      <wps:spPr>
                        <a:xfrm>
                          <a:off x="0" y="0"/>
                          <a:ext cx="394946" cy="116586"/>
                        </a:xfrm>
                        <a:prstGeom prst="rect">
                          <a:avLst/>
                        </a:prstGeom>
                        <a:solidFill>
                          <a:schemeClr val="lt1"/>
                        </a:solidFill>
                        <a:ln w="6350">
                          <a:noFill/>
                        </a:ln>
                      </wps:spPr>
                      <wps:txbx>
                        <w:txbxContent>
                          <w:p w14:paraId="5DE7D048" w14:textId="6FE34A2A" w:rsidR="00C777EE" w:rsidRPr="003415E2" w:rsidRDefault="00C777EE" w:rsidP="003415E2">
                            <w:pPr>
                              <w:spacing w:line="240" w:lineRule="auto"/>
                              <w:rPr>
                                <w:rFonts w:ascii="Tahoma" w:hAnsi="Tahoma" w:cs="Tahoma"/>
                                <w:b/>
                                <w:bCs/>
                                <w:sz w:val="14"/>
                                <w:szCs w:val="14"/>
                              </w:rPr>
                            </w:pPr>
                            <w:r>
                              <w:rPr>
                                <w:rFonts w:ascii="Tahoma" w:hAnsi="Tahoma" w:cs="Tahoma"/>
                                <w:b/>
                                <w:bCs/>
                                <w:sz w:val="14"/>
                                <w:szCs w:val="14"/>
                              </w:rPr>
                              <w:t>72,629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E0EEB4" id="Text Box 14" o:spid="_x0000_s1032" type="#_x0000_t202" style="position:absolute;left:0;text-align:left;margin-left:387.55pt;margin-top:86.85pt;width:31.1pt;height:9.2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" fillcolor="white [3201]" stroked="f" strokeweight=".5pt">
                <v:textbox inset="0,0,0,0">
                  <w:txbxContent>
                    <w:p w14:paraId="5DE7D048" w14:textId="6FE34A2A" w:rsidR="00C777EE" w:rsidRPr="003415E2" w:rsidRDefault="00C777EE" w:rsidP="003415E2">
                      <w:pPr>
                        <w:spacing w:line="240" w:lineRule="auto"/>
                        <w:rPr>
                          <w:rFonts w:ascii="Tahoma" w:hAnsi="Tahoma" w:cs="Tahoma"/>
                          <w:b/>
                          <w:bCs/>
                          <w:sz w:val="14"/>
                          <w:szCs w:val="14"/>
                        </w:rPr>
                      </w:pPr>
                      <w:r>
                        <w:rPr>
                          <w:rFonts w:ascii="Tahoma" w:hAnsi="Tahoma" w:cs="Tahoma"/>
                          <w:b/>
                          <w:bCs/>
                          <w:sz w:val="14"/>
                          <w:szCs w:val="14"/>
                        </w:rPr>
                        <w:t>72,629</w:t>
                      </w:r>
                    </w:p>
                  </w:txbxContent>
                </v:textbox>
                <w10:wrap anchorx="margin"/>
              </v:shape>
            </w:pict>
          </mc:Fallback>
        </mc:AlternateContent>
      </w:r>
      <w:r>
        <w:rPr>
          <w:noProof/>
          <w:w w:val="100"/>
          <w:lang w:eastAsia="es-ES"/>
        </w:rPr>
        <mc:AlternateContent>
          <mc:Choice Requires="wps">
            <w:drawing>
              <wp:anchor distT="0" distB="0" distL="114300" distR="114300" simplePos="0" relativeHeight="251667456" behindDoc="0" locked="0" layoutInCell="1" allowOverlap="1" wp14:anchorId="09D6ABBC" wp14:editId="79EB7854">
                <wp:simplePos x="0" y="0"/>
                <wp:positionH relativeFrom="margin">
                  <wp:posOffset>4162349</wp:posOffset>
                </wp:positionH>
                <wp:positionV relativeFrom="paragraph">
                  <wp:posOffset>1089330</wp:posOffset>
                </wp:positionV>
                <wp:extent cx="394946" cy="116586"/>
                <wp:effectExtent l="0" t="0" r="5715" b="0"/>
                <wp:wrapNone/>
                <wp:docPr id="13" name="Text Box 13"/>
                <wp:cNvGraphicFramePr/>
                <a:graphic xmlns:a="http://schemas.openxmlformats.org/drawingml/2006/main">
                  <a:graphicData uri="http://schemas.microsoft.com/office/word/2010/wordprocessingShape">
                    <wps:wsp>
                      <wps:cNvSpPr txBox="1"/>
                      <wps:spPr>
                        <a:xfrm>
                          <a:off x="0" y="0"/>
                          <a:ext cx="394946" cy="116586"/>
                        </a:xfrm>
                        <a:prstGeom prst="rect">
                          <a:avLst/>
                        </a:prstGeom>
                        <a:solidFill>
                          <a:schemeClr val="lt1"/>
                        </a:solidFill>
                        <a:ln w="6350">
                          <a:noFill/>
                        </a:ln>
                      </wps:spPr>
                      <wps:txbx>
                        <w:txbxContent>
                          <w:p w14:paraId="54129909" w14:textId="63E2D632" w:rsidR="00C777EE" w:rsidRPr="003415E2" w:rsidRDefault="00C777EE" w:rsidP="003415E2">
                            <w:pPr>
                              <w:spacing w:line="240" w:lineRule="auto"/>
                              <w:rPr>
                                <w:rFonts w:ascii="Tahoma" w:hAnsi="Tahoma" w:cs="Tahoma"/>
                                <w:b/>
                                <w:bCs/>
                                <w:sz w:val="14"/>
                                <w:szCs w:val="14"/>
                              </w:rPr>
                            </w:pPr>
                            <w:r>
                              <w:rPr>
                                <w:rFonts w:ascii="Tahoma" w:hAnsi="Tahoma" w:cs="Tahoma"/>
                                <w:b/>
                                <w:bCs/>
                                <w:sz w:val="14"/>
                                <w:szCs w:val="14"/>
                              </w:rPr>
                              <w:t>72,700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D6ABBC" id="Text Box 13" o:spid="_x0000_s1033" type="#_x0000_t202" style="position:absolute;left:0;text-align:left;margin-left:327.75pt;margin-top:85.75pt;width:31.1pt;height:9.2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" fillcolor="white [3201]" stroked="f" strokeweight=".5pt">
                <v:textbox inset="0,0,0,0">
                  <w:txbxContent>
                    <w:p w14:paraId="54129909" w14:textId="63E2D632" w:rsidR="00C777EE" w:rsidRPr="003415E2" w:rsidRDefault="00C777EE" w:rsidP="003415E2">
                      <w:pPr>
                        <w:spacing w:line="240" w:lineRule="auto"/>
                        <w:rPr>
                          <w:rFonts w:ascii="Tahoma" w:hAnsi="Tahoma" w:cs="Tahoma"/>
                          <w:b/>
                          <w:bCs/>
                          <w:sz w:val="14"/>
                          <w:szCs w:val="14"/>
                        </w:rPr>
                      </w:pPr>
                      <w:r>
                        <w:rPr>
                          <w:rFonts w:ascii="Tahoma" w:hAnsi="Tahoma" w:cs="Tahoma"/>
                          <w:b/>
                          <w:bCs/>
                          <w:sz w:val="14"/>
                          <w:szCs w:val="14"/>
                        </w:rPr>
                        <w:t>72,700</w:t>
                      </w:r>
                    </w:p>
                  </w:txbxContent>
                </v:textbox>
                <w10:wrap anchorx="margin"/>
              </v:shape>
            </w:pict>
          </mc:Fallback>
        </mc:AlternateContent>
      </w:r>
      <w:r>
        <w:rPr>
          <w:noProof/>
          <w:w w:val="100"/>
          <w:lang w:eastAsia="es-ES"/>
        </w:rPr>
        <mc:AlternateContent>
          <mc:Choice Requires="wps">
            <w:drawing>
              <wp:anchor distT="0" distB="0" distL="114300" distR="114300" simplePos="0" relativeHeight="251665408" behindDoc="0" locked="0" layoutInCell="1" allowOverlap="1" wp14:anchorId="0CA4C6D5" wp14:editId="5EF7114F">
                <wp:simplePos x="0" y="0"/>
                <wp:positionH relativeFrom="margin">
                  <wp:posOffset>3394253</wp:posOffset>
                </wp:positionH>
                <wp:positionV relativeFrom="paragraph">
                  <wp:posOffset>1096061</wp:posOffset>
                </wp:positionV>
                <wp:extent cx="394946" cy="116586"/>
                <wp:effectExtent l="0" t="0" r="5715" b="0"/>
                <wp:wrapNone/>
                <wp:docPr id="12" name="Text Box 12"/>
                <wp:cNvGraphicFramePr/>
                <a:graphic xmlns:a="http://schemas.openxmlformats.org/drawingml/2006/main">
                  <a:graphicData uri="http://schemas.microsoft.com/office/word/2010/wordprocessingShape">
                    <wps:wsp>
                      <wps:cNvSpPr txBox="1"/>
                      <wps:spPr>
                        <a:xfrm>
                          <a:off x="0" y="0"/>
                          <a:ext cx="394946" cy="116586"/>
                        </a:xfrm>
                        <a:prstGeom prst="rect">
                          <a:avLst/>
                        </a:prstGeom>
                        <a:solidFill>
                          <a:schemeClr val="lt1"/>
                        </a:solidFill>
                        <a:ln w="6350">
                          <a:noFill/>
                        </a:ln>
                      </wps:spPr>
                      <wps:txbx>
                        <w:txbxContent>
                          <w:p w14:paraId="5B8424CC" w14:textId="090E6247" w:rsidR="00C777EE" w:rsidRPr="003415E2" w:rsidRDefault="00C777EE" w:rsidP="003415E2">
                            <w:pPr>
                              <w:spacing w:line="240" w:lineRule="auto"/>
                              <w:rPr>
                                <w:rFonts w:ascii="Tahoma" w:hAnsi="Tahoma" w:cs="Tahoma"/>
                                <w:b/>
                                <w:bCs/>
                                <w:sz w:val="14"/>
                                <w:szCs w:val="14"/>
                              </w:rPr>
                            </w:pPr>
                            <w:r>
                              <w:rPr>
                                <w:rFonts w:ascii="Tahoma" w:hAnsi="Tahoma" w:cs="Tahoma"/>
                                <w:b/>
                                <w:bCs/>
                                <w:sz w:val="14"/>
                                <w:szCs w:val="14"/>
                              </w:rPr>
                              <w:t>72,586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A4C6D5" id="Text Box 12" o:spid="_x0000_s1034" type="#_x0000_t202" style="position:absolute;left:0;text-align:left;margin-left:267.25pt;margin-top:86.3pt;width:31.1pt;height:9.2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" fillcolor="white [3201]" stroked="f" strokeweight=".5pt">
                <v:textbox inset="0,0,0,0">
                  <w:txbxContent>
                    <w:p w14:paraId="5B8424CC" w14:textId="090E6247" w:rsidR="00C777EE" w:rsidRPr="003415E2" w:rsidRDefault="00C777EE" w:rsidP="003415E2">
                      <w:pPr>
                        <w:spacing w:line="240" w:lineRule="auto"/>
                        <w:rPr>
                          <w:rFonts w:ascii="Tahoma" w:hAnsi="Tahoma" w:cs="Tahoma"/>
                          <w:b/>
                          <w:bCs/>
                          <w:sz w:val="14"/>
                          <w:szCs w:val="14"/>
                        </w:rPr>
                      </w:pPr>
                      <w:r>
                        <w:rPr>
                          <w:rFonts w:ascii="Tahoma" w:hAnsi="Tahoma" w:cs="Tahoma"/>
                          <w:b/>
                          <w:bCs/>
                          <w:sz w:val="14"/>
                          <w:szCs w:val="14"/>
                        </w:rPr>
                        <w:t>72,586</w:t>
                      </w:r>
                    </w:p>
                  </w:txbxContent>
                </v:textbox>
                <w10:wrap anchorx="margin"/>
              </v:shape>
            </w:pict>
          </mc:Fallback>
        </mc:AlternateContent>
      </w:r>
      <w:r>
        <w:rPr>
          <w:noProof/>
          <w:w w:val="100"/>
          <w:lang w:eastAsia="es-ES"/>
        </w:rPr>
        <mc:AlternateContent>
          <mc:Choice Requires="wps">
            <w:drawing>
              <wp:anchor distT="0" distB="0" distL="114300" distR="114300" simplePos="0" relativeHeight="251661312" behindDoc="0" locked="0" layoutInCell="1" allowOverlap="1" wp14:anchorId="1A16066D" wp14:editId="7F588542">
                <wp:simplePos x="0" y="0"/>
                <wp:positionH relativeFrom="margin">
                  <wp:posOffset>1845310</wp:posOffset>
                </wp:positionH>
                <wp:positionV relativeFrom="paragraph">
                  <wp:posOffset>1102055</wp:posOffset>
                </wp:positionV>
                <wp:extent cx="394946" cy="116586"/>
                <wp:effectExtent l="0" t="0" r="5715" b="0"/>
                <wp:wrapNone/>
                <wp:docPr id="4" name="Text Box 4"/>
                <wp:cNvGraphicFramePr/>
                <a:graphic xmlns:a="http://schemas.openxmlformats.org/drawingml/2006/main">
                  <a:graphicData uri="http://schemas.microsoft.com/office/word/2010/wordprocessingShape">
                    <wps:wsp>
                      <wps:cNvSpPr txBox="1"/>
                      <wps:spPr>
                        <a:xfrm>
                          <a:off x="0" y="0"/>
                          <a:ext cx="394946" cy="116586"/>
                        </a:xfrm>
                        <a:prstGeom prst="rect">
                          <a:avLst/>
                        </a:prstGeom>
                        <a:solidFill>
                          <a:schemeClr val="lt1"/>
                        </a:solidFill>
                        <a:ln w="6350">
                          <a:noFill/>
                        </a:ln>
                      </wps:spPr>
                      <wps:txbx>
                        <w:txbxContent>
                          <w:p w14:paraId="0AE2DA2A" w14:textId="297D1AC6" w:rsidR="00C777EE" w:rsidRPr="003415E2" w:rsidRDefault="00C777EE" w:rsidP="00AA41DA">
                            <w:pPr>
                              <w:spacing w:line="240" w:lineRule="auto"/>
                              <w:rPr>
                                <w:rFonts w:ascii="Tahoma" w:hAnsi="Tahoma" w:cs="Tahoma"/>
                                <w:b/>
                                <w:bCs/>
                                <w:sz w:val="14"/>
                                <w:szCs w:val="14"/>
                              </w:rPr>
                            </w:pPr>
                            <w:r w:rsidRPr="003415E2">
                              <w:rPr>
                                <w:rFonts w:ascii="Tahoma" w:hAnsi="Tahoma" w:cs="Tahoma"/>
                                <w:b/>
                                <w:bCs/>
                                <w:sz w:val="14"/>
                                <w:szCs w:val="14"/>
                              </w:rPr>
                              <w:t>73,059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6066D" id="Text Box 4" o:spid="_x0000_s1035" type="#_x0000_t202" style="position:absolute;left:0;text-align:left;margin-left:145.3pt;margin-top:86.8pt;width:31.1pt;height:9.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" fillcolor="white [3201]" stroked="f" strokeweight=".5pt">
                <v:textbox inset="0,0,0,0">
                  <w:txbxContent>
                    <w:p w14:paraId="0AE2DA2A" w14:textId="297D1AC6" w:rsidR="00C777EE" w:rsidRPr="003415E2" w:rsidRDefault="00C777EE" w:rsidP="00AA41DA">
                      <w:pPr>
                        <w:spacing w:line="240" w:lineRule="auto"/>
                        <w:rPr>
                          <w:rFonts w:ascii="Tahoma" w:hAnsi="Tahoma" w:cs="Tahoma"/>
                          <w:b/>
                          <w:bCs/>
                          <w:sz w:val="14"/>
                          <w:szCs w:val="14"/>
                        </w:rPr>
                      </w:pPr>
                      <w:r w:rsidRPr="003415E2">
                        <w:rPr>
                          <w:rFonts w:ascii="Tahoma" w:hAnsi="Tahoma" w:cs="Tahoma"/>
                          <w:b/>
                          <w:bCs/>
                          <w:sz w:val="14"/>
                          <w:szCs w:val="14"/>
                        </w:rPr>
                        <w:t>73,059</w:t>
                      </w:r>
                    </w:p>
                  </w:txbxContent>
                </v:textbox>
                <w10:wrap anchorx="margin"/>
              </v:shape>
            </w:pict>
          </mc:Fallback>
        </mc:AlternateContent>
      </w:r>
      <w:r w:rsidR="00AA41DA">
        <w:rPr>
          <w:noProof/>
          <w:w w:val="100"/>
          <w:lang w:eastAsia="es-ES"/>
        </w:rPr>
        <mc:AlternateContent>
          <mc:Choice Requires="wps">
            <w:drawing>
              <wp:anchor distT="0" distB="0" distL="114300" distR="114300" simplePos="0" relativeHeight="251663360" behindDoc="0" locked="0" layoutInCell="1" allowOverlap="1" wp14:anchorId="3298DB83" wp14:editId="31EE3CEE">
                <wp:simplePos x="0" y="0"/>
                <wp:positionH relativeFrom="margin">
                  <wp:posOffset>2598852</wp:posOffset>
                </wp:positionH>
                <wp:positionV relativeFrom="paragraph">
                  <wp:posOffset>1088746</wp:posOffset>
                </wp:positionV>
                <wp:extent cx="438912" cy="145719"/>
                <wp:effectExtent l="0" t="0" r="0" b="6985"/>
                <wp:wrapNone/>
                <wp:docPr id="5" name="Text Box 5"/>
                <wp:cNvGraphicFramePr/>
                <a:graphic xmlns:a="http://schemas.openxmlformats.org/drawingml/2006/main">
                  <a:graphicData uri="http://schemas.microsoft.com/office/word/2010/wordprocessingShape">
                    <wps:wsp>
                      <wps:cNvSpPr txBox="1"/>
                      <wps:spPr>
                        <a:xfrm>
                          <a:off x="0" y="0"/>
                          <a:ext cx="438912" cy="145719"/>
                        </a:xfrm>
                        <a:prstGeom prst="rect">
                          <a:avLst/>
                        </a:prstGeom>
                        <a:solidFill>
                          <a:schemeClr val="lt1"/>
                        </a:solidFill>
                        <a:ln w="6350">
                          <a:noFill/>
                        </a:ln>
                      </wps:spPr>
                      <wps:txbx>
                        <w:txbxContent>
                          <w:p w14:paraId="2C988178" w14:textId="75681BCA" w:rsidR="00C777EE" w:rsidRPr="003415E2" w:rsidRDefault="00C777EE" w:rsidP="00AA41DA">
                            <w:pPr>
                              <w:spacing w:line="240" w:lineRule="auto"/>
                              <w:rPr>
                                <w:rFonts w:ascii="Tahoma" w:hAnsi="Tahoma" w:cs="Tahoma"/>
                                <w:b/>
                                <w:bCs/>
                                <w:sz w:val="14"/>
                                <w:szCs w:val="14"/>
                              </w:rPr>
                            </w:pPr>
                            <w:r w:rsidRPr="003415E2">
                              <w:rPr>
                                <w:rFonts w:ascii="Tahoma" w:hAnsi="Tahoma" w:cs="Tahoma"/>
                                <w:b/>
                                <w:bCs/>
                                <w:sz w:val="14"/>
                                <w:szCs w:val="14"/>
                              </w:rPr>
                              <w:t>73,130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8DB83" id="Text Box 5" o:spid="_x0000_s1036" type="#_x0000_t202" style="position:absolute;left:0;text-align:left;margin-left:204.65pt;margin-top:85.75pt;width:34.55pt;height:11.4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" fillcolor="white [3201]" stroked="f" strokeweight=".5pt">
                <v:textbox inset="0,0,0,0">
                  <w:txbxContent>
                    <w:p w14:paraId="2C988178" w14:textId="75681BCA" w:rsidR="00C777EE" w:rsidRPr="003415E2" w:rsidRDefault="00C777EE" w:rsidP="00AA41DA">
                      <w:pPr>
                        <w:spacing w:line="240" w:lineRule="auto"/>
                        <w:rPr>
                          <w:rFonts w:ascii="Tahoma" w:hAnsi="Tahoma" w:cs="Tahoma"/>
                          <w:b/>
                          <w:bCs/>
                          <w:sz w:val="14"/>
                          <w:szCs w:val="14"/>
                        </w:rPr>
                      </w:pPr>
                      <w:r w:rsidRPr="003415E2">
                        <w:rPr>
                          <w:rFonts w:ascii="Tahoma" w:hAnsi="Tahoma" w:cs="Tahoma"/>
                          <w:b/>
                          <w:bCs/>
                          <w:sz w:val="14"/>
                          <w:szCs w:val="14"/>
                        </w:rPr>
                        <w:t>73,130</w:t>
                      </w:r>
                    </w:p>
                  </w:txbxContent>
                </v:textbox>
                <w10:wrap anchorx="margin"/>
              </v:shape>
            </w:pict>
          </mc:Fallback>
        </mc:AlternateContent>
      </w:r>
      <w:r w:rsidR="00AC42E1" w:rsidRPr="000F625D">
        <w:rPr>
          <w:noProof/>
          <w:shd w:val="clear" w:color="auto" w:fill="DAEEF3" w:themeFill="accent5" w:themeFillTint="33"/>
          <w:lang w:eastAsia="es-ES"/>
        </w:rPr>
        <w:drawing>
          <wp:inline distT="0" distB="0" distL="0" distR="0" wp14:anchorId="2FDB01C7" wp14:editId="7FE006BB">
            <wp:extent cx="4663440" cy="2069174"/>
            <wp:effectExtent l="0" t="0" r="3810" b="762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663440" cy="2069174"/>
                    </a:xfrm>
                    <a:prstGeom prst="rect">
                      <a:avLst/>
                    </a:prstGeom>
                    <a:noFill/>
                  </pic:spPr>
                </pic:pic>
              </a:graphicData>
            </a:graphic>
          </wp:inline>
        </w:drawing>
      </w:r>
    </w:p>
    <w:p w14:paraId="6B7DF8FF" w14:textId="77777777" w:rsidR="00AC42E1" w:rsidRPr="009D5F93" w:rsidRDefault="00AC42E1" w:rsidP="00AC42E1">
      <w:pPr>
        <w:pStyle w:val="SingleTxt"/>
        <w:spacing w:after="0" w:line="120" w:lineRule="exact"/>
        <w:rPr>
          <w:sz w:val="10"/>
          <w:shd w:val="clear" w:color="auto" w:fill="DAEEF3" w:themeFill="accent5" w:themeFillTint="33"/>
        </w:rPr>
      </w:pPr>
    </w:p>
    <w:p w14:paraId="5AC63DAE" w14:textId="34423D29" w:rsidR="008D2F10" w:rsidRPr="0066008C"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shd w:val="clear" w:color="auto" w:fill="FFFFFF" w:themeFill="background1"/>
        </w:rPr>
      </w:pPr>
      <w:r w:rsidRPr="0066008C">
        <w:rPr>
          <w:rFonts w:eastAsiaTheme="minorHAnsi"/>
          <w:i/>
          <w:iCs/>
          <w:w w:val="103"/>
          <w:kern w:val="14"/>
          <w:szCs w:val="20"/>
          <w:shd w:val="clear" w:color="auto" w:fill="FFFFFF" w:themeFill="background1"/>
        </w:rPr>
        <w:t xml:space="preserve">Fuente: </w:t>
      </w:r>
      <w:r w:rsidRPr="0066008C">
        <w:rPr>
          <w:rFonts w:eastAsiaTheme="minorHAnsi"/>
          <w:iCs/>
          <w:w w:val="103"/>
          <w:kern w:val="14"/>
          <w:szCs w:val="20"/>
          <w:shd w:val="clear" w:color="auto" w:fill="FFFFFF" w:themeFill="background1"/>
        </w:rPr>
        <w:t>Ministerio de Salud Pública, cuentas nacionales de salud 2016; Estadísticas de la OCDE sobre la salud, 2016</w:t>
      </w:r>
      <w:r w:rsidR="00083383" w:rsidRPr="0066008C">
        <w:rPr>
          <w:rFonts w:eastAsiaTheme="minorHAnsi"/>
          <w:iCs/>
          <w:w w:val="103"/>
          <w:kern w:val="14"/>
          <w:szCs w:val="20"/>
          <w:shd w:val="clear" w:color="auto" w:fill="FFFFFF" w:themeFill="background1"/>
        </w:rPr>
        <w:t>.</w:t>
      </w:r>
    </w:p>
    <w:p w14:paraId="02391D8C" w14:textId="77777777" w:rsidR="008D2F10" w:rsidRPr="0066008C" w:rsidRDefault="008D2F10" w:rsidP="008A61A8">
      <w:pPr>
        <w:pStyle w:val="SingleTxt"/>
        <w:spacing w:after="0" w:line="120" w:lineRule="exact"/>
        <w:rPr>
          <w:sz w:val="10"/>
          <w:shd w:val="clear" w:color="auto" w:fill="FFFFFF" w:themeFill="background1"/>
        </w:rPr>
      </w:pPr>
    </w:p>
    <w:p w14:paraId="642F3576" w14:textId="77777777" w:rsidR="008D2F10" w:rsidRPr="0066008C" w:rsidRDefault="008D2F10" w:rsidP="008A61A8">
      <w:pPr>
        <w:pStyle w:val="SingleTxt"/>
        <w:spacing w:after="0" w:line="120" w:lineRule="exact"/>
        <w:rPr>
          <w:sz w:val="10"/>
          <w:shd w:val="clear" w:color="auto" w:fill="FFFFFF" w:themeFill="background1"/>
        </w:rPr>
      </w:pPr>
    </w:p>
    <w:p w14:paraId="0222D327" w14:textId="6A68F921" w:rsidR="008D2F10" w:rsidRPr="0066008C" w:rsidRDefault="008D2F10" w:rsidP="001D1AD0">
      <w:pPr>
        <w:pStyle w:val="SingleTxt"/>
        <w:numPr>
          <w:ilvl w:val="0"/>
          <w:numId w:val="10"/>
        </w:numPr>
        <w:ind w:left="1267" w:firstLine="0"/>
        <w:rPr>
          <w:shd w:val="clear" w:color="auto" w:fill="FFFFFF" w:themeFill="background1"/>
        </w:rPr>
      </w:pPr>
      <w:r w:rsidRPr="0066008C">
        <w:rPr>
          <w:shd w:val="clear" w:color="auto" w:fill="FFFFFF" w:themeFill="background1"/>
        </w:rPr>
        <w:t>El gasto público en salud alcanzó el 10,8% del gasto público total en 2016</w:t>
      </w:r>
      <w:r w:rsidR="00083383" w:rsidRPr="0066008C">
        <w:rPr>
          <w:shd w:val="clear" w:color="auto" w:fill="FFFFFF" w:themeFill="background1"/>
        </w:rPr>
        <w:t>.</w:t>
      </w:r>
      <w:r w:rsidRPr="0066008C">
        <w:rPr>
          <w:shd w:val="clear" w:color="auto" w:fill="FFFFFF" w:themeFill="background1"/>
        </w:rPr>
        <w:t xml:space="preserve"> La figura 7 muestra el porcentaje de gasto público asignado a la asistencia sanitaria durante</w:t>
      </w:r>
      <w:r w:rsidR="00170894" w:rsidRPr="0066008C">
        <w:rPr>
          <w:shd w:val="clear" w:color="auto" w:fill="FFFFFF" w:themeFill="background1"/>
        </w:rPr>
        <w:t xml:space="preserve"> el período 2010</w:t>
      </w:r>
      <w:r w:rsidR="00083383" w:rsidRPr="0066008C">
        <w:rPr>
          <w:shd w:val="clear" w:color="auto" w:fill="FFFFFF" w:themeFill="background1"/>
        </w:rPr>
        <w:noBreakHyphen/>
      </w:r>
      <w:r w:rsidR="00170894" w:rsidRPr="0066008C">
        <w:rPr>
          <w:shd w:val="clear" w:color="auto" w:fill="FFFFFF" w:themeFill="background1"/>
        </w:rPr>
        <w:t>2014</w:t>
      </w:r>
      <w:r w:rsidR="00083383" w:rsidRPr="0066008C">
        <w:rPr>
          <w:shd w:val="clear" w:color="auto" w:fill="FFFFFF" w:themeFill="background1"/>
        </w:rPr>
        <w:t>.</w:t>
      </w:r>
      <w:r w:rsidR="00170894" w:rsidRPr="0066008C">
        <w:rPr>
          <w:shd w:val="clear" w:color="auto" w:fill="FFFFFF" w:themeFill="background1"/>
        </w:rPr>
        <w:t xml:space="preserve"> En 2014 </w:t>
      </w:r>
      <w:r w:rsidRPr="0066008C">
        <w:rPr>
          <w:shd w:val="clear" w:color="auto" w:fill="FFFFFF" w:themeFill="background1"/>
        </w:rPr>
        <w:t>fue del 89,2%, cifra que superó el promedio de la Organización de Cooperación y Desarrollo Económicos en 17 puntos</w:t>
      </w:r>
      <w:r w:rsidR="00083383" w:rsidRPr="0066008C">
        <w:rPr>
          <w:shd w:val="clear" w:color="auto" w:fill="FFFFFF" w:themeFill="background1"/>
        </w:rPr>
        <w:t>.</w:t>
      </w:r>
    </w:p>
    <w:p w14:paraId="0D0B3D23" w14:textId="77777777" w:rsidR="008D2F10" w:rsidRPr="0066008C" w:rsidRDefault="008D2F10" w:rsidP="008D2F10">
      <w:pPr>
        <w:pStyle w:val="SingleTxt"/>
        <w:spacing w:after="0" w:line="120" w:lineRule="exact"/>
        <w:rPr>
          <w:sz w:val="10"/>
          <w:shd w:val="clear" w:color="auto" w:fill="FFFFFF" w:themeFill="background1"/>
        </w:rPr>
      </w:pPr>
    </w:p>
    <w:p w14:paraId="03352384" w14:textId="2EC284F6" w:rsidR="008D2F10" w:rsidRPr="0066008C"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shd w:val="clear" w:color="auto" w:fill="FFFFFF" w:themeFill="background1"/>
        </w:rPr>
      </w:pPr>
      <w:r w:rsidRPr="0066008C">
        <w:rPr>
          <w:bCs w:val="0"/>
          <w:szCs w:val="20"/>
          <w:shd w:val="clear" w:color="auto" w:fill="FFFFFF" w:themeFill="background1"/>
        </w:rPr>
        <w:tab/>
      </w:r>
      <w:r w:rsidRPr="0066008C">
        <w:rPr>
          <w:bCs w:val="0"/>
          <w:szCs w:val="20"/>
          <w:shd w:val="clear" w:color="auto" w:fill="FFFFFF" w:themeFill="background1"/>
        </w:rPr>
        <w:tab/>
        <w:t xml:space="preserve">Cumplimiento de las recomendaciones </w:t>
      </w:r>
      <w:r w:rsidR="00705618" w:rsidRPr="0066008C">
        <w:rPr>
          <w:bCs w:val="0"/>
          <w:szCs w:val="20"/>
          <w:shd w:val="clear" w:color="auto" w:fill="FFFFFF" w:themeFill="background1"/>
        </w:rPr>
        <w:t>relativas a la salud</w:t>
      </w:r>
    </w:p>
    <w:p w14:paraId="28A0211D" w14:textId="77777777" w:rsidR="008D2F10" w:rsidRPr="0066008C" w:rsidRDefault="008D2F10" w:rsidP="008D2F10">
      <w:pPr>
        <w:pStyle w:val="SingleTxt"/>
        <w:spacing w:after="0" w:line="120" w:lineRule="exact"/>
        <w:rPr>
          <w:sz w:val="10"/>
          <w:shd w:val="clear" w:color="auto" w:fill="FFFFFF" w:themeFill="background1"/>
        </w:rPr>
      </w:pPr>
    </w:p>
    <w:p w14:paraId="22231987" w14:textId="37F405A3" w:rsidR="008D2F10" w:rsidRPr="0066008C" w:rsidRDefault="008D2F10" w:rsidP="001D1AD0">
      <w:pPr>
        <w:pStyle w:val="SingleTxt"/>
        <w:numPr>
          <w:ilvl w:val="0"/>
          <w:numId w:val="10"/>
        </w:numPr>
        <w:ind w:left="1267" w:firstLine="0"/>
        <w:rPr>
          <w:shd w:val="clear" w:color="auto" w:fill="FFFFFF" w:themeFill="background1"/>
        </w:rPr>
      </w:pPr>
      <w:r w:rsidRPr="0066008C">
        <w:rPr>
          <w:shd w:val="clear" w:color="auto" w:fill="FFFFFF" w:themeFill="background1"/>
        </w:rPr>
        <w:t>El Hospital de Mujeres, que desempeña un papel importante en la promoción de la salud de la mujer en Qatar, ofrece una amplia gama de servicios de obstetricia</w:t>
      </w:r>
      <w:r w:rsidR="00083383" w:rsidRPr="0066008C">
        <w:rPr>
          <w:shd w:val="clear" w:color="auto" w:fill="FFFFFF" w:themeFill="background1"/>
        </w:rPr>
        <w:t>.</w:t>
      </w:r>
      <w:r w:rsidRPr="0066008C">
        <w:rPr>
          <w:shd w:val="clear" w:color="auto" w:fill="FFFFFF" w:themeFill="background1"/>
        </w:rPr>
        <w:t xml:space="preserve"> La gran mayoría de los niños alumbrados en el Estado de Qatar han nacido allí</w:t>
      </w:r>
      <w:r w:rsidR="00083383" w:rsidRPr="0066008C">
        <w:rPr>
          <w:shd w:val="clear" w:color="auto" w:fill="FFFFFF" w:themeFill="background1"/>
        </w:rPr>
        <w:t>.</w:t>
      </w:r>
      <w:r w:rsidRPr="0066008C">
        <w:rPr>
          <w:shd w:val="clear" w:color="auto" w:fill="FFFFFF" w:themeFill="background1"/>
        </w:rPr>
        <w:t xml:space="preserve"> Cada año nacen más de 17</w:t>
      </w:r>
      <w:r w:rsidR="00083383" w:rsidRPr="0066008C">
        <w:rPr>
          <w:shd w:val="clear" w:color="auto" w:fill="FFFFFF" w:themeFill="background1"/>
        </w:rPr>
        <w:t>.</w:t>
      </w:r>
      <w:r w:rsidRPr="0066008C">
        <w:rPr>
          <w:shd w:val="clear" w:color="auto" w:fill="FFFFFF" w:themeFill="background1"/>
        </w:rPr>
        <w:t>000 niños, lo que hace de este hospital uno de los más concurridos de los ocho que dependen de la Fundación Médica Hamad</w:t>
      </w:r>
      <w:r w:rsidR="00083383" w:rsidRPr="0066008C">
        <w:rPr>
          <w:shd w:val="clear" w:color="auto" w:fill="FFFFFF" w:themeFill="background1"/>
        </w:rPr>
        <w:t>.</w:t>
      </w:r>
      <w:r w:rsidRPr="0066008C">
        <w:rPr>
          <w:shd w:val="clear" w:color="auto" w:fill="FFFFFF" w:themeFill="background1"/>
        </w:rPr>
        <w:t xml:space="preserve"> Entre las mejoras realizadas recientemente en el Hospital de Mujeres cabe destacar la creación de nuevas unidades de observación y la ampliación de la unidad maternoinfantil, que presta servicios a las mujeres con embarazos de alto riesgo</w:t>
      </w:r>
      <w:r w:rsidR="00083383" w:rsidRPr="0066008C">
        <w:rPr>
          <w:shd w:val="clear" w:color="auto" w:fill="FFFFFF" w:themeFill="background1"/>
        </w:rPr>
        <w:t>.</w:t>
      </w:r>
      <w:r w:rsidRPr="0066008C">
        <w:rPr>
          <w:shd w:val="clear" w:color="auto" w:fill="FFFFFF" w:themeFill="background1"/>
        </w:rPr>
        <w:t xml:space="preserve"> Además de la atención de la salud de la mujer, este centro tiene una unidad neonatal que proporciona servicios de cuidados intensivos para los recién nacidos</w:t>
      </w:r>
      <w:r w:rsidR="00083383" w:rsidRPr="0066008C">
        <w:rPr>
          <w:shd w:val="clear" w:color="auto" w:fill="FFFFFF" w:themeFill="background1"/>
        </w:rPr>
        <w:t>.</w:t>
      </w:r>
    </w:p>
    <w:p w14:paraId="37971846" w14:textId="7773903B" w:rsidR="008D2F10" w:rsidRPr="0066008C" w:rsidRDefault="008D2F10" w:rsidP="00705618">
      <w:pPr>
        <w:pStyle w:val="SingleTxt"/>
        <w:numPr>
          <w:ilvl w:val="0"/>
          <w:numId w:val="10"/>
        </w:numPr>
        <w:ind w:left="1267" w:firstLine="0"/>
        <w:rPr>
          <w:shd w:val="clear" w:color="auto" w:fill="FFFFFF" w:themeFill="background1"/>
        </w:rPr>
      </w:pPr>
      <w:r w:rsidRPr="0066008C">
        <w:rPr>
          <w:shd w:val="clear" w:color="auto" w:fill="FFFFFF" w:themeFill="background1"/>
        </w:rPr>
        <w:t>La Ley núm</w:t>
      </w:r>
      <w:r w:rsidR="00083383" w:rsidRPr="0066008C">
        <w:rPr>
          <w:shd w:val="clear" w:color="auto" w:fill="FFFFFF" w:themeFill="background1"/>
        </w:rPr>
        <w:t>.</w:t>
      </w:r>
      <w:r w:rsidRPr="0066008C">
        <w:rPr>
          <w:shd w:val="clear" w:color="auto" w:fill="FFFFFF" w:themeFill="background1"/>
        </w:rPr>
        <w:t xml:space="preserve"> 2/1983 regula la práctica de la medicina, la odontología y la cirugía</w:t>
      </w:r>
      <w:r w:rsidR="00083383" w:rsidRPr="0066008C">
        <w:rPr>
          <w:shd w:val="clear" w:color="auto" w:fill="FFFFFF" w:themeFill="background1"/>
        </w:rPr>
        <w:t>.</w:t>
      </w:r>
      <w:r w:rsidRPr="0066008C">
        <w:rPr>
          <w:shd w:val="clear" w:color="auto" w:fill="FFFFFF" w:themeFill="background1"/>
        </w:rPr>
        <w:t xml:space="preserve"> Su artículo 15 establece que </w:t>
      </w:r>
      <w:r w:rsidR="00F652D5" w:rsidRPr="0066008C">
        <w:rPr>
          <w:shd w:val="clear" w:color="auto" w:fill="FFFFFF" w:themeFill="background1"/>
        </w:rPr>
        <w:t>“</w:t>
      </w:r>
      <w:r w:rsidRPr="0066008C">
        <w:rPr>
          <w:shd w:val="clear" w:color="auto" w:fill="FFFFFF" w:themeFill="background1"/>
        </w:rPr>
        <w:t>si un médico sospecha que un paciente puede estar afectado por cualquiera de las enfermedades infecciosas que figuran en el cuadro anexo al Decreto Ley núm</w:t>
      </w:r>
      <w:r w:rsidR="00083383" w:rsidRPr="0066008C">
        <w:rPr>
          <w:shd w:val="clear" w:color="auto" w:fill="FFFFFF" w:themeFill="background1"/>
        </w:rPr>
        <w:t>.</w:t>
      </w:r>
      <w:r w:rsidRPr="0066008C">
        <w:rPr>
          <w:shd w:val="clear" w:color="auto" w:fill="FFFFFF" w:themeFill="background1"/>
        </w:rPr>
        <w:t xml:space="preserve"> 11/1968 al que se hace referencia más arriba, tiene la obligación de informar en un plazo máximo de 24 horas utilizando el formulario para los casos de enfermedades transmisibles elaborado por el organismo competente a tal efecto</w:t>
      </w:r>
      <w:r w:rsidR="00083383" w:rsidRPr="0066008C">
        <w:rPr>
          <w:shd w:val="clear" w:color="auto" w:fill="FFFFFF" w:themeFill="background1"/>
        </w:rPr>
        <w:t>.</w:t>
      </w:r>
      <w:r w:rsidRPr="0066008C">
        <w:rPr>
          <w:shd w:val="clear" w:color="auto" w:fill="FFFFFF" w:themeFill="background1"/>
        </w:rPr>
        <w:t xml:space="preserve"> Si el médico sospecha que un paciente puede estar afectado por una de las enfermedades que requieren cuarentena según el Ministerio, está obligado a verificar el tipo de enfermedad y comunicar la información por teléfono en cuanto se </w:t>
      </w:r>
      <w:r w:rsidR="00705618" w:rsidRPr="0066008C">
        <w:rPr>
          <w:shd w:val="clear" w:color="auto" w:fill="FFFFFF" w:themeFill="background1"/>
        </w:rPr>
        <w:t xml:space="preserve">detecte </w:t>
      </w:r>
      <w:r w:rsidRPr="0066008C">
        <w:rPr>
          <w:shd w:val="clear" w:color="auto" w:fill="FFFFFF" w:themeFill="background1"/>
        </w:rPr>
        <w:t>cualquier caso cuya atención entrañaría dificultades en el dispensario</w:t>
      </w:r>
      <w:r w:rsidR="00F652D5" w:rsidRPr="0066008C">
        <w:rPr>
          <w:shd w:val="clear" w:color="auto" w:fill="FFFFFF" w:themeFill="background1"/>
        </w:rPr>
        <w:t>”</w:t>
      </w:r>
      <w:r w:rsidR="00083383" w:rsidRPr="0066008C">
        <w:rPr>
          <w:shd w:val="clear" w:color="auto" w:fill="FFFFFF" w:themeFill="background1"/>
        </w:rPr>
        <w:t>.</w:t>
      </w:r>
      <w:r w:rsidRPr="0066008C">
        <w:rPr>
          <w:shd w:val="clear" w:color="auto" w:fill="FFFFFF" w:themeFill="background1"/>
        </w:rPr>
        <w:t xml:space="preserve"> El objetivo es garantizar que se dispense tratamiento al paciente durante su estancia en el Estado</w:t>
      </w:r>
      <w:r w:rsidR="00083383" w:rsidRPr="0066008C">
        <w:rPr>
          <w:shd w:val="clear" w:color="auto" w:fill="FFFFFF" w:themeFill="background1"/>
        </w:rPr>
        <w:t>.</w:t>
      </w:r>
    </w:p>
    <w:p w14:paraId="3A8B132A" w14:textId="7B0D6B87" w:rsidR="008D2F10" w:rsidRPr="0066008C" w:rsidRDefault="008D2F10" w:rsidP="007D1C37">
      <w:pPr>
        <w:pStyle w:val="SingleTxt"/>
        <w:keepLines/>
        <w:numPr>
          <w:ilvl w:val="0"/>
          <w:numId w:val="10"/>
        </w:numPr>
        <w:ind w:left="1267" w:firstLine="0"/>
        <w:rPr>
          <w:shd w:val="clear" w:color="auto" w:fill="FFFFFF" w:themeFill="background1"/>
        </w:rPr>
      </w:pPr>
      <w:r w:rsidRPr="0066008C">
        <w:rPr>
          <w:shd w:val="clear" w:color="auto" w:fill="FFFFFF" w:themeFill="background1"/>
        </w:rPr>
        <w:lastRenderedPageBreak/>
        <w:t>Con respecto a la recomendación de abordar los obstáculos a los que se enfrentan las mujeres trabajadoras en el acceso a la asistencia sanitaria, cabe señalar que el sistema de salud de Qatar —que está compuesto por la Fundación Médica Hamad, el Centro de Vigilancia de las Enfermedades Transmisibles, el Centro de Rehabilitación y Protección Social, el Centro de Atención Especializada (cuidados intensivos), los dispensarios de servicios de emergencia pediátricos y el Organismo de Atención Primaria de la Salud— proporciona servicios a todos los miembros de la sociedad sin discriminación, lo cual incluye a las trabajadoras</w:t>
      </w:r>
      <w:r w:rsidR="00083383" w:rsidRPr="0066008C">
        <w:rPr>
          <w:shd w:val="clear" w:color="auto" w:fill="FFFFFF" w:themeFill="background1"/>
        </w:rPr>
        <w:t>.</w:t>
      </w:r>
      <w:r w:rsidRPr="0066008C">
        <w:rPr>
          <w:shd w:val="clear" w:color="auto" w:fill="FFFFFF" w:themeFill="background1"/>
        </w:rPr>
        <w:t xml:space="preserve"> El Ministerio de Salud Pública proporciona servicios sanitarios electrónicos que se caracterizan por su eficacia, la rapidez en la respuesta y la efectividad de sus resultados</w:t>
      </w:r>
      <w:r w:rsidR="00083383" w:rsidRPr="0066008C">
        <w:rPr>
          <w:shd w:val="clear" w:color="auto" w:fill="FFFFFF" w:themeFill="background1"/>
        </w:rPr>
        <w:t>.</w:t>
      </w:r>
      <w:r w:rsidRPr="0066008C">
        <w:rPr>
          <w:shd w:val="clear" w:color="auto" w:fill="FFFFFF" w:themeFill="background1"/>
        </w:rPr>
        <w:t xml:space="preserve"> Además, avanzan al ritmo de las reformas políticas, económicas y sociales y garantizan que las ciudadanas y las trabajadoras de todas las edades puedan disfrutar de una vida saludable sin ninguna dificultad para acceder a los servicios</w:t>
      </w:r>
      <w:r w:rsidR="00083383" w:rsidRPr="0066008C">
        <w:rPr>
          <w:shd w:val="clear" w:color="auto" w:fill="FFFFFF" w:themeFill="background1"/>
        </w:rPr>
        <w:t>.</w:t>
      </w:r>
    </w:p>
    <w:p w14:paraId="046B1504" w14:textId="4DEA0120" w:rsidR="008D2F10" w:rsidRPr="0066008C" w:rsidRDefault="008D2F10" w:rsidP="001D1AD0">
      <w:pPr>
        <w:pStyle w:val="SingleTxt"/>
        <w:numPr>
          <w:ilvl w:val="0"/>
          <w:numId w:val="10"/>
        </w:numPr>
        <w:ind w:left="1267" w:firstLine="0"/>
        <w:rPr>
          <w:shd w:val="clear" w:color="auto" w:fill="FFFFFF" w:themeFill="background1"/>
        </w:rPr>
      </w:pPr>
      <w:r w:rsidRPr="0066008C">
        <w:rPr>
          <w:shd w:val="clear" w:color="auto" w:fill="FFFFFF" w:themeFill="background1"/>
        </w:rPr>
        <w:t>La Comisión Médica depende del Ministerio de Salud Pública</w:t>
      </w:r>
      <w:r w:rsidR="00083383" w:rsidRPr="0066008C">
        <w:rPr>
          <w:shd w:val="clear" w:color="auto" w:fill="FFFFFF" w:themeFill="background1"/>
        </w:rPr>
        <w:t>.</w:t>
      </w:r>
      <w:r w:rsidRPr="0066008C">
        <w:rPr>
          <w:shd w:val="clear" w:color="auto" w:fill="FFFFFF" w:themeFill="background1"/>
        </w:rPr>
        <w:t xml:space="preserve"> La función de este departamento es examinar a los recién llegados que desean residir y trabajar en el Estado de Qatar, a fin de cerciorarse de que no padezcan ninguna enfermedad transmisible, en particular VIH/SIDA, hepatitis B, hepatitis C, sífilis o tuberculosis</w:t>
      </w:r>
      <w:r w:rsidR="00083383" w:rsidRPr="0066008C">
        <w:rPr>
          <w:shd w:val="clear" w:color="auto" w:fill="FFFFFF" w:themeFill="background1"/>
        </w:rPr>
        <w:t>.</w:t>
      </w:r>
    </w:p>
    <w:p w14:paraId="1B11FD5E" w14:textId="0058D71A" w:rsidR="008D2F10" w:rsidRPr="0066008C" w:rsidRDefault="008D2F10" w:rsidP="001D1AD0">
      <w:pPr>
        <w:pStyle w:val="SingleTxt"/>
        <w:numPr>
          <w:ilvl w:val="0"/>
          <w:numId w:val="10"/>
        </w:numPr>
        <w:ind w:left="1267" w:firstLine="0"/>
        <w:rPr>
          <w:shd w:val="clear" w:color="auto" w:fill="FFFFFF" w:themeFill="background1"/>
        </w:rPr>
      </w:pPr>
      <w:r w:rsidRPr="0066008C">
        <w:rPr>
          <w:shd w:val="clear" w:color="auto" w:fill="FFFFFF" w:themeFill="background1"/>
        </w:rPr>
        <w:t>La primera vez que entran en el Estado, los trabajadores migrantes, antes de obtener el permiso de residencia, son sometidos a un análisis clínico</w:t>
      </w:r>
      <w:r w:rsidR="00083383" w:rsidRPr="0066008C">
        <w:rPr>
          <w:shd w:val="clear" w:color="auto" w:fill="FFFFFF" w:themeFill="background1"/>
        </w:rPr>
        <w:t>.</w:t>
      </w:r>
      <w:r w:rsidRPr="0066008C">
        <w:rPr>
          <w:shd w:val="clear" w:color="auto" w:fill="FFFFFF" w:themeFill="background1"/>
        </w:rPr>
        <w:t xml:space="preserve"> Si se obtienen resultados positivos, son devueltos a sus países</w:t>
      </w:r>
      <w:r w:rsidR="00083383" w:rsidRPr="0066008C">
        <w:rPr>
          <w:shd w:val="clear" w:color="auto" w:fill="FFFFFF" w:themeFill="background1"/>
        </w:rPr>
        <w:t>.</w:t>
      </w:r>
      <w:r w:rsidRPr="0066008C">
        <w:rPr>
          <w:shd w:val="clear" w:color="auto" w:fill="FFFFFF" w:themeFill="background1"/>
        </w:rPr>
        <w:t xml:space="preserve"> Si se detecta una enfermedad transmisible tras haber otorgado el permiso de residencia en el Estado, se dispensa el tratamiento adecuado, según lo indicado en el cuadro anexo al Decreto Ley núm</w:t>
      </w:r>
      <w:r w:rsidR="00083383" w:rsidRPr="0066008C">
        <w:rPr>
          <w:shd w:val="clear" w:color="auto" w:fill="FFFFFF" w:themeFill="background1"/>
        </w:rPr>
        <w:t xml:space="preserve">. </w:t>
      </w:r>
      <w:r w:rsidRPr="0066008C">
        <w:rPr>
          <w:shd w:val="clear" w:color="auto" w:fill="FFFFFF" w:themeFill="background1"/>
        </w:rPr>
        <w:t>11/1968</w:t>
      </w:r>
      <w:r w:rsidR="00083383" w:rsidRPr="0066008C">
        <w:rPr>
          <w:shd w:val="clear" w:color="auto" w:fill="FFFFFF" w:themeFill="background1"/>
        </w:rPr>
        <w:t>.</w:t>
      </w:r>
    </w:p>
    <w:p w14:paraId="66C922A9" w14:textId="659FDFD5" w:rsidR="00083383" w:rsidRPr="0066008C" w:rsidRDefault="008D2F10" w:rsidP="001D1AD0">
      <w:pPr>
        <w:pStyle w:val="SingleTxt"/>
        <w:numPr>
          <w:ilvl w:val="0"/>
          <w:numId w:val="10"/>
        </w:numPr>
        <w:ind w:left="1267" w:firstLine="0"/>
        <w:rPr>
          <w:shd w:val="clear" w:color="auto" w:fill="FFFFFF" w:themeFill="background1"/>
        </w:rPr>
      </w:pPr>
      <w:r w:rsidRPr="0066008C">
        <w:rPr>
          <w:shd w:val="clear" w:color="auto" w:fill="FFFFFF" w:themeFill="background1"/>
        </w:rPr>
        <w:t>En lo que respecta a la garantía de que los trabajadores migrantes tengan acceso a la asistencia sanitaria en casos de emergencia, ya hemos mencionado la Ley</w:t>
      </w:r>
      <w:r w:rsidR="00FC6BA7" w:rsidRPr="0066008C">
        <w:rPr>
          <w:shd w:val="clear" w:color="auto" w:fill="FFFFFF" w:themeFill="background1"/>
        </w:rPr>
        <w:t> </w:t>
      </w:r>
      <w:r w:rsidRPr="0066008C">
        <w:rPr>
          <w:shd w:val="clear" w:color="auto" w:fill="FFFFFF" w:themeFill="background1"/>
        </w:rPr>
        <w:t>núm</w:t>
      </w:r>
      <w:r w:rsidR="00083383" w:rsidRPr="0066008C">
        <w:rPr>
          <w:shd w:val="clear" w:color="auto" w:fill="FFFFFF" w:themeFill="background1"/>
        </w:rPr>
        <w:t>.</w:t>
      </w:r>
      <w:r w:rsidR="00FC6BA7" w:rsidRPr="0066008C">
        <w:rPr>
          <w:shd w:val="clear" w:color="auto" w:fill="FFFFFF" w:themeFill="background1"/>
        </w:rPr>
        <w:t> </w:t>
      </w:r>
      <w:r w:rsidRPr="0066008C">
        <w:rPr>
          <w:shd w:val="clear" w:color="auto" w:fill="FFFFFF" w:themeFill="background1"/>
        </w:rPr>
        <w:t>7/1996 que regula el tratamiento médico que se presta en el país</w:t>
      </w:r>
      <w:r w:rsidR="00083383" w:rsidRPr="0066008C">
        <w:rPr>
          <w:shd w:val="clear" w:color="auto" w:fill="FFFFFF" w:themeFill="background1"/>
        </w:rPr>
        <w:t>.</w:t>
      </w:r>
      <w:r w:rsidRPr="0066008C">
        <w:rPr>
          <w:shd w:val="clear" w:color="auto" w:fill="FFFFFF" w:themeFill="background1"/>
        </w:rPr>
        <w:t xml:space="preserve"> En particular, su artículo 4 dispone que los siguientes </w:t>
      </w:r>
      <w:r w:rsidR="00170894" w:rsidRPr="0066008C">
        <w:rPr>
          <w:shd w:val="clear" w:color="auto" w:fill="FFFFFF" w:themeFill="background1"/>
        </w:rPr>
        <w:t>servicios se prestarán sin costo</w:t>
      </w:r>
      <w:r w:rsidR="00083383" w:rsidRPr="0066008C">
        <w:rPr>
          <w:shd w:val="clear" w:color="auto" w:fill="FFFFFF" w:themeFill="background1"/>
        </w:rPr>
        <w:t xml:space="preserve"> </w:t>
      </w:r>
      <w:r w:rsidRPr="0066008C">
        <w:rPr>
          <w:shd w:val="clear" w:color="auto" w:fill="FFFFFF" w:themeFill="background1"/>
        </w:rPr>
        <w:t>alguno para el trabajador: servicios de emergencia, accidentes que requieran hospitalización, etc</w:t>
      </w:r>
      <w:r w:rsidR="00083383" w:rsidRPr="0066008C">
        <w:rPr>
          <w:shd w:val="clear" w:color="auto" w:fill="FFFFFF" w:themeFill="background1"/>
        </w:rPr>
        <w:t>.</w:t>
      </w:r>
    </w:p>
    <w:p w14:paraId="3ACC4838" w14:textId="2771107C" w:rsidR="008D2F10" w:rsidRPr="0066008C" w:rsidRDefault="008D2F10" w:rsidP="001D1AD0">
      <w:pPr>
        <w:pStyle w:val="SingleTxt"/>
        <w:numPr>
          <w:ilvl w:val="0"/>
          <w:numId w:val="10"/>
        </w:numPr>
        <w:ind w:left="1267" w:firstLine="0"/>
        <w:rPr>
          <w:shd w:val="clear" w:color="auto" w:fill="FFFFFF" w:themeFill="background1"/>
        </w:rPr>
      </w:pPr>
      <w:r w:rsidRPr="0066008C">
        <w:rPr>
          <w:shd w:val="clear" w:color="auto" w:fill="FFFFFF" w:themeFill="background1"/>
        </w:rPr>
        <w:t>El aborto está regulado por la Ley núm</w:t>
      </w:r>
      <w:r w:rsidR="00083383" w:rsidRPr="0066008C">
        <w:rPr>
          <w:shd w:val="clear" w:color="auto" w:fill="FFFFFF" w:themeFill="background1"/>
        </w:rPr>
        <w:t>.</w:t>
      </w:r>
      <w:r w:rsidRPr="0066008C">
        <w:rPr>
          <w:shd w:val="clear" w:color="auto" w:fill="FFFFFF" w:themeFill="background1"/>
        </w:rPr>
        <w:t xml:space="preserve"> 2/1983 relativa a la práctica de la medicina, la odontología y la cirugía</w:t>
      </w:r>
      <w:r w:rsidR="00083383" w:rsidRPr="0066008C">
        <w:rPr>
          <w:shd w:val="clear" w:color="auto" w:fill="FFFFFF" w:themeFill="background1"/>
        </w:rPr>
        <w:t>.</w:t>
      </w:r>
      <w:r w:rsidRPr="0066008C">
        <w:rPr>
          <w:shd w:val="clear" w:color="auto" w:fill="FFFFFF" w:themeFill="background1"/>
        </w:rPr>
        <w:t xml:space="preserve"> De conformidad con el artículo 17 de esta ley, el aborto es ilegal y solo se puede realizar para salvar la vida de la madre</w:t>
      </w:r>
      <w:r w:rsidR="00083383" w:rsidRPr="0066008C">
        <w:rPr>
          <w:shd w:val="clear" w:color="auto" w:fill="FFFFFF" w:themeFill="background1"/>
        </w:rPr>
        <w:t>.</w:t>
      </w:r>
      <w:r w:rsidRPr="0066008C">
        <w:rPr>
          <w:shd w:val="clear" w:color="auto" w:fill="FFFFFF" w:themeFill="background1"/>
        </w:rPr>
        <w:t xml:space="preserve"> Sin embargo, en el caso de embarazos de menos de cuatro meses de gestación, el aborto está permitido en los dos supuestos siguientes: a) si la continuación del embarazo causara un daño sustancial e irreversible a la salud de la madre; b) si el feto habrá de nacer con graves taras físicas o psíquicas que no tienen cura definitiva y siempre que ambos progenitores estén de acuerdo en que se practique el aborto</w:t>
      </w:r>
      <w:r w:rsidR="00083383" w:rsidRPr="0066008C">
        <w:rPr>
          <w:shd w:val="clear" w:color="auto" w:fill="FFFFFF" w:themeFill="background1"/>
        </w:rPr>
        <w:t>.</w:t>
      </w:r>
      <w:r w:rsidRPr="0066008C">
        <w:rPr>
          <w:shd w:val="clear" w:color="auto" w:fill="FFFFFF" w:themeFill="background1"/>
        </w:rPr>
        <w:t xml:space="preserve"> El aborto ha de realizarse en un hospital público </w:t>
      </w:r>
      <w:r w:rsidR="00502F15" w:rsidRPr="0066008C">
        <w:rPr>
          <w:shd w:val="clear" w:color="auto" w:fill="FFFFFF" w:themeFill="background1"/>
        </w:rPr>
        <w:t>por</w:t>
      </w:r>
      <w:r w:rsidRPr="0066008C">
        <w:rPr>
          <w:shd w:val="clear" w:color="auto" w:fill="FFFFFF" w:themeFill="background1"/>
        </w:rPr>
        <w:t xml:space="preserve"> decisión de una comisión médica integrada por tres médicos especialistas, al menos uno de los cuales debe estar especializado en ginecología y obstetricia</w:t>
      </w:r>
      <w:r w:rsidR="00083383" w:rsidRPr="0066008C">
        <w:rPr>
          <w:shd w:val="clear" w:color="auto" w:fill="FFFFFF" w:themeFill="background1"/>
        </w:rPr>
        <w:t>.</w:t>
      </w:r>
    </w:p>
    <w:p w14:paraId="49FB5B05" w14:textId="7F7DF343" w:rsidR="008D2F10" w:rsidRPr="0066008C" w:rsidRDefault="008D2F10" w:rsidP="001D1AD0">
      <w:pPr>
        <w:pStyle w:val="SingleTxt"/>
        <w:numPr>
          <w:ilvl w:val="0"/>
          <w:numId w:val="10"/>
        </w:numPr>
        <w:ind w:left="1267" w:firstLine="0"/>
        <w:rPr>
          <w:shd w:val="clear" w:color="auto" w:fill="FFFFFF" w:themeFill="background1"/>
        </w:rPr>
      </w:pPr>
      <w:r w:rsidRPr="0066008C">
        <w:rPr>
          <w:shd w:val="clear" w:color="auto" w:fill="FFFFFF" w:themeFill="background1"/>
        </w:rPr>
        <w:t>La Ley núm</w:t>
      </w:r>
      <w:r w:rsidR="00083383" w:rsidRPr="0066008C">
        <w:rPr>
          <w:shd w:val="clear" w:color="auto" w:fill="FFFFFF" w:themeFill="background1"/>
        </w:rPr>
        <w:t>.</w:t>
      </w:r>
      <w:r w:rsidRPr="0066008C">
        <w:rPr>
          <w:shd w:val="clear" w:color="auto" w:fill="FFFFFF" w:themeFill="background1"/>
        </w:rPr>
        <w:t xml:space="preserve"> 7/2013 sobre el seguro social de salud establece la igualdad de trato, la no discriminación y el ejercicio de todos los derechos y libertades entre nacionales y ciertos segmentos de la población, incluidas las mujeres no qataríes casadas con nacionales, los hijos de mujeres qataríes casadas con extranjeros y otros grupos determinados por decisión del Ministro</w:t>
      </w:r>
      <w:r w:rsidR="00083383" w:rsidRPr="0066008C">
        <w:rPr>
          <w:shd w:val="clear" w:color="auto" w:fill="FFFFFF" w:themeFill="background1"/>
        </w:rPr>
        <w:t>.</w:t>
      </w:r>
      <w:r w:rsidRPr="0066008C">
        <w:rPr>
          <w:shd w:val="clear" w:color="auto" w:fill="FFFFFF" w:themeFill="background1"/>
        </w:rPr>
        <w:t xml:space="preserve"> La Ley del Seguro Médico y su reglamento de ejecución incluyen una serie de planes, políticas, procedimientos, sistemas y normas para acceder a una amplia gama de tratamientos y a la cobertura obligatoria del seguro médico por servicios de prevención, tratamiento, diagnóstico y examen médico</w:t>
      </w:r>
      <w:r w:rsidR="00083383" w:rsidRPr="0066008C">
        <w:rPr>
          <w:shd w:val="clear" w:color="auto" w:fill="FFFFFF" w:themeFill="background1"/>
        </w:rPr>
        <w:t>.</w:t>
      </w:r>
    </w:p>
    <w:p w14:paraId="4ADF9E04" w14:textId="32362F47" w:rsidR="008D2F10" w:rsidRPr="0066008C" w:rsidRDefault="008D2F10" w:rsidP="007D1C37">
      <w:pPr>
        <w:pStyle w:val="SingleTxt"/>
        <w:keepLines/>
        <w:numPr>
          <w:ilvl w:val="0"/>
          <w:numId w:val="10"/>
        </w:numPr>
        <w:ind w:left="1267" w:firstLine="0"/>
        <w:rPr>
          <w:shd w:val="clear" w:color="auto" w:fill="FFFFFF" w:themeFill="background1"/>
        </w:rPr>
      </w:pPr>
      <w:r w:rsidRPr="0066008C">
        <w:rPr>
          <w:shd w:val="clear" w:color="auto" w:fill="FFFFFF" w:themeFill="background1"/>
        </w:rPr>
        <w:lastRenderedPageBreak/>
        <w:t>El Estado de Qatar se asegura de organizar numerosos actos de sensibilización gratuitos, en particular sobre las enfermedades que afectan a las mujeres, entre las que destaca el cáncer de mama, una de las enfermedades con mayor incidencia en el Estado de Qatar, que representa el 31% de los cánceres que padecen las mujeres</w:t>
      </w:r>
      <w:r w:rsidR="00083383" w:rsidRPr="0066008C">
        <w:rPr>
          <w:shd w:val="clear" w:color="auto" w:fill="FFFFFF" w:themeFill="background1"/>
        </w:rPr>
        <w:t>.</w:t>
      </w:r>
      <w:r w:rsidRPr="0066008C">
        <w:rPr>
          <w:shd w:val="clear" w:color="auto" w:fill="FFFFFF" w:themeFill="background1"/>
        </w:rPr>
        <w:t xml:space="preserve"> El riesgo de padecer cáncer de mama es de 56 casos por cada 100</w:t>
      </w:r>
      <w:r w:rsidR="00083383" w:rsidRPr="0066008C">
        <w:rPr>
          <w:shd w:val="clear" w:color="auto" w:fill="FFFFFF" w:themeFill="background1"/>
        </w:rPr>
        <w:t>.</w:t>
      </w:r>
      <w:r w:rsidRPr="0066008C">
        <w:rPr>
          <w:shd w:val="clear" w:color="auto" w:fill="FFFFFF" w:themeFill="background1"/>
        </w:rPr>
        <w:t>000 mujeres</w:t>
      </w:r>
      <w:r w:rsidRPr="0066008C">
        <w:rPr>
          <w:shd w:val="clear" w:color="auto" w:fill="FFFFFF" w:themeFill="background1"/>
          <w:vertAlign w:val="superscript"/>
        </w:rPr>
        <w:footnoteReference w:id="23"/>
      </w:r>
      <w:r w:rsidR="00083383" w:rsidRPr="0066008C">
        <w:rPr>
          <w:shd w:val="clear" w:color="auto" w:fill="FFFFFF" w:themeFill="background1"/>
        </w:rPr>
        <w:t>.</w:t>
      </w:r>
      <w:r w:rsidRPr="0066008C">
        <w:rPr>
          <w:shd w:val="clear" w:color="auto" w:fill="FFFFFF" w:themeFill="background1"/>
        </w:rPr>
        <w:t xml:space="preserve"> La concienciación es un factor importante y eficaz para aumentar las probabilidades de que una paciente con cáncer reciba tratamiento y se cure, siempre que la enfermedad se detecte, diagnostique y trate de manera temprana</w:t>
      </w:r>
      <w:r w:rsidR="00083383" w:rsidRPr="0066008C">
        <w:rPr>
          <w:shd w:val="clear" w:color="auto" w:fill="FFFFFF" w:themeFill="background1"/>
        </w:rPr>
        <w:t>.</w:t>
      </w:r>
    </w:p>
    <w:p w14:paraId="7FBDD910" w14:textId="77777777" w:rsidR="008D2F10" w:rsidRPr="0066008C" w:rsidRDefault="008D2F10" w:rsidP="008D2F10">
      <w:pPr>
        <w:pStyle w:val="SingleTxt"/>
        <w:spacing w:after="0" w:line="120" w:lineRule="exact"/>
        <w:rPr>
          <w:sz w:val="10"/>
          <w:shd w:val="clear" w:color="auto" w:fill="FFFFFF" w:themeFill="background1"/>
        </w:rPr>
      </w:pPr>
    </w:p>
    <w:p w14:paraId="313D444F" w14:textId="77777777" w:rsidR="008D2F10" w:rsidRPr="0066008C"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shd w:val="clear" w:color="auto" w:fill="FFFFFF" w:themeFill="background1"/>
        </w:rPr>
      </w:pPr>
      <w:r w:rsidRPr="0066008C">
        <w:rPr>
          <w:bCs w:val="0"/>
          <w:szCs w:val="20"/>
          <w:shd w:val="clear" w:color="auto" w:fill="FFFFFF" w:themeFill="background1"/>
        </w:rPr>
        <w:tab/>
      </w:r>
      <w:r w:rsidRPr="0066008C">
        <w:rPr>
          <w:bCs w:val="0"/>
          <w:szCs w:val="20"/>
          <w:shd w:val="clear" w:color="auto" w:fill="FFFFFF" w:themeFill="background1"/>
        </w:rPr>
        <w:tab/>
        <w:t>Artículo 13: Prestaciones económicas y sociales</w:t>
      </w:r>
    </w:p>
    <w:p w14:paraId="16724A2B" w14:textId="77777777" w:rsidR="008D2F10" w:rsidRPr="0066008C" w:rsidRDefault="008D2F10" w:rsidP="008D2F10">
      <w:pPr>
        <w:pStyle w:val="SingleTxt"/>
        <w:spacing w:after="0" w:line="120" w:lineRule="exact"/>
        <w:rPr>
          <w:sz w:val="10"/>
          <w:shd w:val="clear" w:color="auto" w:fill="FFFFFF" w:themeFill="background1"/>
        </w:rPr>
      </w:pPr>
    </w:p>
    <w:p w14:paraId="39940154" w14:textId="74012EDF" w:rsidR="008D2F10" w:rsidRPr="0066008C" w:rsidRDefault="008D2F10" w:rsidP="001D1AD0">
      <w:pPr>
        <w:pStyle w:val="SingleTxt"/>
        <w:numPr>
          <w:ilvl w:val="0"/>
          <w:numId w:val="10"/>
        </w:numPr>
        <w:ind w:left="1267" w:firstLine="0"/>
        <w:rPr>
          <w:shd w:val="clear" w:color="auto" w:fill="FFFFFF" w:themeFill="background1"/>
        </w:rPr>
      </w:pPr>
      <w:r w:rsidRPr="0066008C">
        <w:rPr>
          <w:shd w:val="clear" w:color="auto" w:fill="FFFFFF" w:themeFill="background1"/>
        </w:rPr>
        <w:t>La segunda parte de la Constitución de Qatar, que abarca los principios rectores de la sociedad del país, dispone que la sociedad qatarí se basa en la justicia, la benevolencia, la libertad, la igualdad y en elevados valores morales</w:t>
      </w:r>
      <w:r w:rsidR="00083383" w:rsidRPr="0066008C">
        <w:rPr>
          <w:shd w:val="clear" w:color="auto" w:fill="FFFFFF" w:themeFill="background1"/>
        </w:rPr>
        <w:t>.</w:t>
      </w:r>
      <w:r w:rsidRPr="0066008C">
        <w:rPr>
          <w:shd w:val="clear" w:color="auto" w:fill="FFFFFF" w:themeFill="background1"/>
        </w:rPr>
        <w:t xml:space="preserve"> La Constitución establece que el Estado es responsable de la defensa de esos principios y la salvaguarda de la seguridad, la estabilidad, la igualdad de oportunidades, la solidaridad y la fraternidad entre los ciudadanos; pone de relieve, además, que la familia es la base de la sociedad y está basada en la religión, la moralidad y el patriotismo</w:t>
      </w:r>
      <w:r w:rsidR="00083383" w:rsidRPr="0066008C">
        <w:rPr>
          <w:shd w:val="clear" w:color="auto" w:fill="FFFFFF" w:themeFill="background1"/>
        </w:rPr>
        <w:t>.</w:t>
      </w:r>
    </w:p>
    <w:p w14:paraId="7E03C5B5" w14:textId="39944E7A" w:rsidR="008D2F10" w:rsidRPr="0066008C" w:rsidRDefault="008D2F10" w:rsidP="001D1AD0">
      <w:pPr>
        <w:pStyle w:val="SingleTxt"/>
        <w:numPr>
          <w:ilvl w:val="0"/>
          <w:numId w:val="10"/>
        </w:numPr>
        <w:ind w:left="1267" w:firstLine="0"/>
        <w:rPr>
          <w:shd w:val="clear" w:color="auto" w:fill="FFFFFF" w:themeFill="background1"/>
        </w:rPr>
      </w:pPr>
      <w:r w:rsidRPr="0066008C">
        <w:rPr>
          <w:shd w:val="clear" w:color="auto" w:fill="FFFFFF" w:themeFill="background1"/>
        </w:rPr>
        <w:t>Los derechos y libertades fundamentales garantizados por la Constitución se ven reforzados por un conjunto de leyes nacionales sobre los derechos del niño y las personas con discapacidad</w:t>
      </w:r>
      <w:r w:rsidR="00083383" w:rsidRPr="0066008C">
        <w:rPr>
          <w:shd w:val="clear" w:color="auto" w:fill="FFFFFF" w:themeFill="background1"/>
        </w:rPr>
        <w:t>.</w:t>
      </w:r>
      <w:r w:rsidRPr="0066008C">
        <w:rPr>
          <w:shd w:val="clear" w:color="auto" w:fill="FFFFFF" w:themeFill="background1"/>
        </w:rPr>
        <w:t xml:space="preserve"> Por ejemplo, los artículos 165 a 188 de la Ley de Familia (núm</w:t>
      </w:r>
      <w:r w:rsidR="00083383" w:rsidRPr="0066008C">
        <w:rPr>
          <w:shd w:val="clear" w:color="auto" w:fill="FFFFFF" w:themeFill="background1"/>
        </w:rPr>
        <w:t>.</w:t>
      </w:r>
      <w:r w:rsidRPr="0066008C">
        <w:rPr>
          <w:shd w:val="clear" w:color="auto" w:fill="FFFFFF" w:themeFill="background1"/>
        </w:rPr>
        <w:t xml:space="preserve"> 22/2006) regulan la custodia de los hijos y confieren la prioridad en su guarda a la madre</w:t>
      </w:r>
      <w:r w:rsidR="00083383" w:rsidRPr="0066008C">
        <w:rPr>
          <w:shd w:val="clear" w:color="auto" w:fill="FFFFFF" w:themeFill="background1"/>
        </w:rPr>
        <w:t>.</w:t>
      </w:r>
      <w:r w:rsidRPr="0066008C">
        <w:rPr>
          <w:shd w:val="clear" w:color="auto" w:fill="FFFFFF" w:themeFill="background1"/>
        </w:rPr>
        <w:t xml:space="preserve"> En virtud de la legislación, la custodia finaliza cuando el niño alcanza la edad de 13 años en el caso de los varones o de 15 en el de las mujeres, a menos que la autoridad judicial decida en interés del niño que prosiga la custodia</w:t>
      </w:r>
      <w:r w:rsidR="00083383" w:rsidRPr="0066008C">
        <w:rPr>
          <w:shd w:val="clear" w:color="auto" w:fill="FFFFFF" w:themeFill="background1"/>
        </w:rPr>
        <w:t>.</w:t>
      </w:r>
      <w:r w:rsidRPr="0066008C">
        <w:rPr>
          <w:shd w:val="clear" w:color="auto" w:fill="FFFFFF" w:themeFill="background1"/>
        </w:rPr>
        <w:t xml:space="preserve"> La autoridad judicial también puede permitir al niño elegir una de las dos partes en el litigio después de haber determinado su idoneidad</w:t>
      </w:r>
      <w:r w:rsidR="00083383" w:rsidRPr="0066008C">
        <w:rPr>
          <w:shd w:val="clear" w:color="auto" w:fill="FFFFFF" w:themeFill="background1"/>
        </w:rPr>
        <w:t>.</w:t>
      </w:r>
      <w:r w:rsidRPr="0066008C">
        <w:rPr>
          <w:shd w:val="clear" w:color="auto" w:fill="FFFFFF" w:themeFill="background1"/>
        </w:rPr>
        <w:t xml:space="preserve"> Dada la situación de los niños con necesidades especiales, la ley permite que estos permanezcan más tiempo bajo la custodia de mujeres</w:t>
      </w:r>
      <w:r w:rsidR="00083383" w:rsidRPr="0066008C">
        <w:rPr>
          <w:shd w:val="clear" w:color="auto" w:fill="FFFFFF" w:themeFill="background1"/>
        </w:rPr>
        <w:t>.</w:t>
      </w:r>
      <w:r w:rsidRPr="0066008C">
        <w:rPr>
          <w:shd w:val="clear" w:color="auto" w:fill="FFFFFF" w:themeFill="background1"/>
        </w:rPr>
        <w:t xml:space="preserve"> La Ley de Familia se fundamenta en lo dispuesto en el derecho islámico y contribuye a que los jueces se pronuncien de forma coherente en diversos asuntos relativos al derecho de la familia</w:t>
      </w:r>
      <w:r w:rsidR="00083383" w:rsidRPr="0066008C">
        <w:rPr>
          <w:shd w:val="clear" w:color="auto" w:fill="FFFFFF" w:themeFill="background1"/>
        </w:rPr>
        <w:t>.</w:t>
      </w:r>
      <w:r w:rsidRPr="0066008C">
        <w:rPr>
          <w:shd w:val="clear" w:color="auto" w:fill="FFFFFF" w:themeFill="background1"/>
        </w:rPr>
        <w:t xml:space="preserve"> Una de las características más destacadas de esa ley es la igualdad de derechos y obligaciones de ambos cónyuges</w:t>
      </w:r>
      <w:r w:rsidR="00083383" w:rsidRPr="0066008C">
        <w:rPr>
          <w:shd w:val="clear" w:color="auto" w:fill="FFFFFF" w:themeFill="background1"/>
        </w:rPr>
        <w:t>.</w:t>
      </w:r>
    </w:p>
    <w:bookmarkEnd w:id="6"/>
    <w:p w14:paraId="71C4BAEB" w14:textId="08CCF3AF" w:rsidR="008D2F10" w:rsidRPr="00D43575" w:rsidRDefault="008D2F10" w:rsidP="001D1AD0">
      <w:pPr>
        <w:pStyle w:val="SingleTxt"/>
        <w:numPr>
          <w:ilvl w:val="0"/>
          <w:numId w:val="10"/>
        </w:numPr>
        <w:ind w:left="1267" w:firstLine="0"/>
      </w:pPr>
      <w:r w:rsidRPr="00D43575">
        <w:t>Según la Ley sobre el Seguro Social (núm</w:t>
      </w:r>
      <w:r w:rsidR="00083383" w:rsidRPr="00D43575">
        <w:t>.</w:t>
      </w:r>
      <w:r w:rsidRPr="00D43575">
        <w:t xml:space="preserve"> 38/1995) y sus modificaciones, tendrán derecho al disfrute de las pensiones de seguridad social la persona de filiación desconocida, el huérfano, la persona con discapacidad para trabajar, la persona de edad, la viuda, la divorciada, la esposa abandonada, la familia del recluido en prisión, la familia del declarado en paradero desconocido y la familia necesitada</w:t>
      </w:r>
      <w:r w:rsidR="00083383" w:rsidRPr="00D43575">
        <w:t>.</w:t>
      </w:r>
      <w:r w:rsidRPr="00D43575">
        <w:t xml:space="preserve"> Los datos del Ministerio de Desarrollo Administrativo, Trabajo y Asuntos Sociales muestran que se concedió un 200% más de prestaciones de seguridad social en 2014 con respecto a 2013, y que el número de beneficiarios se duplicó entre 2007 y 2015</w:t>
      </w:r>
      <w:r w:rsidR="00083383" w:rsidRPr="00D43575">
        <w:t>.</w:t>
      </w:r>
    </w:p>
    <w:p w14:paraId="361D32A3" w14:textId="219134DA" w:rsidR="00083383" w:rsidRPr="00D43575" w:rsidRDefault="008D2F10" w:rsidP="001D1AD0">
      <w:pPr>
        <w:pStyle w:val="SingleTxt"/>
        <w:numPr>
          <w:ilvl w:val="0"/>
          <w:numId w:val="10"/>
        </w:numPr>
        <w:ind w:left="1267" w:firstLine="0"/>
      </w:pPr>
      <w:r w:rsidRPr="00D43575">
        <w:t>En lo que respecta a los procedimientos, en 2016 y 2017, el Departamento de Asuntos de la Familia del Ministerio puso en marcha numerosas iniciativas y actividades para promover el disfrute de derechos en pie de igualdad entre hombres y mujeres en las esferas económica y social</w:t>
      </w:r>
      <w:r w:rsidR="00083383" w:rsidRPr="00D43575">
        <w:t>.</w:t>
      </w:r>
      <w:r w:rsidRPr="00D43575">
        <w:t xml:space="preserve"> Dichos esfuerzos ya se han descrito anteriormente, en el párrafo 44 del presente informe</w:t>
      </w:r>
      <w:r w:rsidR="00083383" w:rsidRPr="00D43575">
        <w:t>.</w:t>
      </w:r>
    </w:p>
    <w:p w14:paraId="7A4861C4" w14:textId="61AEAF01" w:rsidR="008D2F10" w:rsidRPr="00D43575" w:rsidRDefault="008D2F10" w:rsidP="007D1C37">
      <w:pPr>
        <w:pStyle w:val="SingleTxt"/>
        <w:keepLines/>
        <w:numPr>
          <w:ilvl w:val="0"/>
          <w:numId w:val="10"/>
        </w:numPr>
        <w:ind w:left="1267" w:firstLine="0"/>
      </w:pPr>
      <w:r w:rsidRPr="00D43575">
        <w:lastRenderedPageBreak/>
        <w:t>Con respecto a las medidas adoptadas para eliminar la discriminación contra la mujer en el acceso a los préstamos bancarios, la microfinanciación, etc</w:t>
      </w:r>
      <w:r w:rsidR="00083383" w:rsidRPr="00D43575">
        <w:t>.</w:t>
      </w:r>
      <w:r w:rsidRPr="00D43575">
        <w:t>, en general no hay normas que restrinjan el acceso de las mujeres a este tipo de financiación y a las oportunidades comerciales</w:t>
      </w:r>
      <w:r w:rsidR="00083383" w:rsidRPr="00D43575">
        <w:t>.</w:t>
      </w:r>
      <w:r w:rsidRPr="00D43575">
        <w:t xml:space="preserve"> Al contrario, el Estado alienta a las mujeres a que ejerzan profesiones liberales y pongan en marcha empresas; los indicadores internacionales así lo confirman</w:t>
      </w:r>
      <w:r w:rsidR="00083383" w:rsidRPr="00D43575">
        <w:t>.</w:t>
      </w:r>
    </w:p>
    <w:p w14:paraId="45DBA339" w14:textId="1DFFB95E" w:rsidR="008D2F10" w:rsidRPr="00D43575" w:rsidRDefault="008D2F10" w:rsidP="001D1AD0">
      <w:pPr>
        <w:pStyle w:val="SingleTxt"/>
        <w:numPr>
          <w:ilvl w:val="0"/>
          <w:numId w:val="10"/>
        </w:numPr>
        <w:ind w:left="1267" w:firstLine="0"/>
      </w:pPr>
      <w:r w:rsidRPr="00D43575">
        <w:t>Algunos bancos, como el Banco Internacional de Qatar, ofrecen servicios bancarios dirigidos a la mujer</w:t>
      </w:r>
      <w:r w:rsidR="00083383" w:rsidRPr="00D43575">
        <w:t>.</w:t>
      </w:r>
      <w:r w:rsidRPr="00D43575">
        <w:t xml:space="preserve"> El Qatar Development Bank no contempla normas o procedimientos que discriminen por motivos de género en ninguno de los servicios financieros o de otra índole que presta</w:t>
      </w:r>
      <w:r w:rsidR="00083383" w:rsidRPr="00D43575">
        <w:t>.</w:t>
      </w:r>
      <w:r w:rsidRPr="00D43575">
        <w:t xml:space="preserve"> Esta entidad se ha ofrecido a impartir sesiones de capacitación para asegurar que los arreglos institucionales se ajusten a la tradición cultural de la sociedad, lo que permite una mayor participación de la mujer</w:t>
      </w:r>
      <w:r w:rsidR="00083383" w:rsidRPr="00D43575">
        <w:t>.</w:t>
      </w:r>
      <w:r w:rsidRPr="00D43575">
        <w:t xml:space="preserve"> En colaboración con otras instituciones, presta servicios especiales a los propietarios de negocios autorizados en el hogar, que son, en gran parte, mujeres: representan el 80%</w:t>
      </w:r>
      <w:r w:rsidR="00083383" w:rsidRPr="00D43575">
        <w:t>.</w:t>
      </w:r>
      <w:r w:rsidRPr="00D43575">
        <w:t xml:space="preserve"> Asimismo, organiza ferias especiales con sus productos, como la exposición </w:t>
      </w:r>
      <w:r w:rsidR="00F652D5" w:rsidRPr="00D43575">
        <w:t>“</w:t>
      </w:r>
      <w:r w:rsidRPr="00D43575">
        <w:t>El producto de nuestro hogar</w:t>
      </w:r>
      <w:r w:rsidR="00F652D5" w:rsidRPr="00D43575">
        <w:t>”</w:t>
      </w:r>
      <w:r w:rsidRPr="00D43575">
        <w:t xml:space="preserve"> celebrada en septiembre de 2017</w:t>
      </w:r>
      <w:r w:rsidR="00083383" w:rsidRPr="00D43575">
        <w:t>.</w:t>
      </w:r>
    </w:p>
    <w:p w14:paraId="1611A7D6" w14:textId="25ACE12B" w:rsidR="008D2F10" w:rsidRPr="00D43575" w:rsidRDefault="008D2F10" w:rsidP="001D1AD0">
      <w:pPr>
        <w:pStyle w:val="SingleTxt"/>
        <w:numPr>
          <w:ilvl w:val="0"/>
          <w:numId w:val="10"/>
        </w:numPr>
        <w:ind w:left="1267" w:firstLine="0"/>
      </w:pPr>
      <w:r w:rsidRPr="00D43575">
        <w:t>Los resultados de la encuesta por muestreo en el lugar de trabajo realizada por el Ministerio de Planificación del Desarrollo y Estadísticas en el segundo trimestre de 2017 indican que el número de personas que integran la fuerza de trabajo se redujo de 2</w:t>
      </w:r>
      <w:r w:rsidR="00083383" w:rsidRPr="00D43575">
        <w:t>.</w:t>
      </w:r>
      <w:r w:rsidRPr="00D43575">
        <w:t>108</w:t>
      </w:r>
      <w:r w:rsidR="00083383" w:rsidRPr="00D43575">
        <w:t>.</w:t>
      </w:r>
      <w:r w:rsidRPr="00D43575">
        <w:t>881 en el primer trimestre a 1</w:t>
      </w:r>
      <w:r w:rsidR="00083383" w:rsidRPr="00D43575">
        <w:t>.</w:t>
      </w:r>
      <w:r w:rsidRPr="00D43575">
        <w:t>985</w:t>
      </w:r>
      <w:r w:rsidR="00083383" w:rsidRPr="00D43575">
        <w:t>.</w:t>
      </w:r>
      <w:r w:rsidRPr="00D43575">
        <w:t>264 en el segundo trimestre</w:t>
      </w:r>
      <w:r w:rsidR="00083383" w:rsidRPr="00D43575">
        <w:t>.</w:t>
      </w:r>
      <w:r w:rsidRPr="00D43575">
        <w:t xml:space="preserve"> De ellas, el 86,6% fueron hombres y el 13,4%, mujeres</w:t>
      </w:r>
      <w:r w:rsidR="00083383" w:rsidRPr="00D43575">
        <w:t>.</w:t>
      </w:r>
      <w:r w:rsidRPr="00D43575">
        <w:t xml:space="preserve"> Los datos apuntan a que la tasa de participación económica de las personas de 15 años de edad en adelante fue del 88,6%, que se desglosa en un 96,2% de hombres, en comparación con un 58,7% de mujeres</w:t>
      </w:r>
      <w:r w:rsidR="00083383" w:rsidRPr="00D43575">
        <w:t>.</w:t>
      </w:r>
      <w:r w:rsidRPr="00D43575">
        <w:t xml:space="preserve"> La tasa de participación del grupo de edades comprendidas entre los 25 y 34 años fue la más alta, con un 94,6% según esos datos</w:t>
      </w:r>
      <w:r w:rsidR="00083383" w:rsidRPr="00D43575">
        <w:t>.</w:t>
      </w:r>
      <w:r w:rsidRPr="00D43575">
        <w:t xml:space="preserve"> La dependencia económica fue del 29,8% durante ese mismo trimestre</w:t>
      </w:r>
      <w:r w:rsidR="00083383" w:rsidRPr="00D43575">
        <w:t>.</w:t>
      </w:r>
      <w:r w:rsidRPr="00D43575">
        <w:t xml:space="preserve"> Los resultados muestran que la tasa de participación económica de los qataríes se situó en el 52,0% del total de la población de 15 años de edad en adelante</w:t>
      </w:r>
      <w:r w:rsidR="00083383" w:rsidRPr="00D43575">
        <w:t>.</w:t>
      </w:r>
      <w:r w:rsidRPr="00D43575">
        <w:t xml:space="preserve"> Los hombres qataríes representaron el 68,1% del total de la fuerza de trabajo del Estado y las mujeres qataríes, el 36,8%</w:t>
      </w:r>
      <w:r w:rsidR="00083383" w:rsidRPr="00D43575">
        <w:t>.</w:t>
      </w:r>
      <w:r w:rsidRPr="00D43575">
        <w:t xml:space="preserve"> A</w:t>
      </w:r>
      <w:r w:rsidR="00083383" w:rsidRPr="00D43575">
        <w:t xml:space="preserve"> </w:t>
      </w:r>
      <w:r w:rsidRPr="00D43575">
        <w:t>pesar de la reducción de la brecha entre los géneros, persiste la desigualdad, que puede deberse al gran número de mujeres qataríes que están en situación de inactividad y se quedan en el hogar ejerciendo de amas de casa</w:t>
      </w:r>
      <w:r w:rsidR="00083383" w:rsidRPr="00D43575">
        <w:t>.</w:t>
      </w:r>
    </w:p>
    <w:p w14:paraId="3E608652" w14:textId="77777777" w:rsidR="008D2F10" w:rsidRPr="00D43575" w:rsidRDefault="008D2F10" w:rsidP="008D2F10">
      <w:pPr>
        <w:pStyle w:val="SingleTxt"/>
        <w:spacing w:after="0" w:line="120" w:lineRule="exact"/>
        <w:rPr>
          <w:sz w:val="10"/>
        </w:rPr>
      </w:pPr>
    </w:p>
    <w:p w14:paraId="180DDFDE" w14:textId="7DD902D6"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r>
      <w:r w:rsidR="009A1D77">
        <w:rPr>
          <w:b w:val="0"/>
          <w:bCs w:val="0"/>
          <w:szCs w:val="20"/>
        </w:rPr>
        <w:t>Cuadro 20</w:t>
      </w:r>
      <w:r w:rsidR="004C037A" w:rsidRPr="00D43575">
        <w:rPr>
          <w:b w:val="0"/>
          <w:bCs w:val="0"/>
          <w:szCs w:val="20"/>
        </w:rPr>
        <w:t xml:space="preserve"> </w:t>
      </w:r>
      <w:r w:rsidR="004C037A" w:rsidRPr="00D43575">
        <w:rPr>
          <w:b w:val="0"/>
          <w:bCs w:val="0"/>
          <w:szCs w:val="20"/>
        </w:rPr>
        <w:br/>
      </w:r>
      <w:r w:rsidRPr="00D43575">
        <w:rPr>
          <w:bCs w:val="0"/>
          <w:szCs w:val="20"/>
        </w:rPr>
        <w:t>Tasa de participación económica (de la población de 15 años de edad en adelante) en el segundo trimestre de 2017, por sexo</w:t>
      </w:r>
    </w:p>
    <w:p w14:paraId="67520696" w14:textId="77777777" w:rsidR="008D2F10" w:rsidRPr="00D43575" w:rsidRDefault="008D2F10" w:rsidP="008D2F10">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328"/>
        <w:gridCol w:w="1220"/>
        <w:gridCol w:w="1220"/>
        <w:gridCol w:w="1220"/>
        <w:gridCol w:w="1220"/>
        <w:gridCol w:w="1220"/>
      </w:tblGrid>
      <w:tr w:rsidR="008D2F10" w:rsidRPr="00D43575" w14:paraId="2C870044" w14:textId="77777777" w:rsidTr="00802A72">
        <w:trPr>
          <w:tblHeader/>
        </w:trPr>
        <w:tc>
          <w:tcPr>
            <w:tcW w:w="1328" w:type="dxa"/>
            <w:tcBorders>
              <w:top w:val="single" w:sz="4" w:space="0" w:color="auto"/>
              <w:bottom w:val="single" w:sz="12" w:space="0" w:color="auto"/>
            </w:tcBorders>
            <w:shd w:val="clear" w:color="auto" w:fill="auto"/>
            <w:vAlign w:val="bottom"/>
          </w:tcPr>
          <w:p w14:paraId="50D39882" w14:textId="77777777" w:rsidR="008D2F10" w:rsidRPr="00D43575" w:rsidRDefault="008D2F10" w:rsidP="00802A72">
            <w:pPr>
              <w:pStyle w:val="SingleTxt"/>
              <w:spacing w:before="80" w:after="80" w:line="160" w:lineRule="exact"/>
              <w:ind w:left="63" w:right="43"/>
              <w:jc w:val="right"/>
              <w:rPr>
                <w:i/>
                <w:iCs/>
                <w:sz w:val="14"/>
              </w:rPr>
            </w:pPr>
            <w:r w:rsidRPr="00D43575">
              <w:rPr>
                <w:i/>
                <w:iCs/>
                <w:sz w:val="14"/>
              </w:rPr>
              <w:t>En situación de inactividad</w:t>
            </w:r>
          </w:p>
        </w:tc>
        <w:tc>
          <w:tcPr>
            <w:tcW w:w="1220" w:type="dxa"/>
            <w:tcBorders>
              <w:top w:val="single" w:sz="4" w:space="0" w:color="auto"/>
              <w:bottom w:val="single" w:sz="12" w:space="0" w:color="auto"/>
            </w:tcBorders>
            <w:shd w:val="clear" w:color="auto" w:fill="auto"/>
            <w:vAlign w:val="bottom"/>
          </w:tcPr>
          <w:p w14:paraId="608EA245" w14:textId="77777777" w:rsidR="008D2F10" w:rsidRPr="00D43575" w:rsidRDefault="008D2F10" w:rsidP="00802A72">
            <w:pPr>
              <w:pStyle w:val="SingleTxt"/>
              <w:spacing w:before="80" w:after="80" w:line="160" w:lineRule="exact"/>
              <w:ind w:left="63" w:right="43"/>
              <w:jc w:val="right"/>
              <w:rPr>
                <w:i/>
                <w:iCs/>
                <w:sz w:val="14"/>
              </w:rPr>
            </w:pPr>
            <w:r w:rsidRPr="00D43575">
              <w:rPr>
                <w:i/>
                <w:iCs/>
                <w:sz w:val="14"/>
              </w:rPr>
              <w:t>Con empleo</w:t>
            </w:r>
          </w:p>
        </w:tc>
        <w:tc>
          <w:tcPr>
            <w:tcW w:w="1220" w:type="dxa"/>
            <w:tcBorders>
              <w:top w:val="single" w:sz="4" w:space="0" w:color="auto"/>
              <w:bottom w:val="single" w:sz="12" w:space="0" w:color="auto"/>
            </w:tcBorders>
            <w:shd w:val="clear" w:color="auto" w:fill="auto"/>
            <w:vAlign w:val="bottom"/>
          </w:tcPr>
          <w:p w14:paraId="5AF4123F" w14:textId="77777777" w:rsidR="008D2F10" w:rsidRPr="00D43575" w:rsidRDefault="008D2F10" w:rsidP="00802A72">
            <w:pPr>
              <w:pStyle w:val="SingleTxt"/>
              <w:spacing w:before="80" w:after="80" w:line="160" w:lineRule="exact"/>
              <w:ind w:left="63" w:right="43"/>
              <w:jc w:val="right"/>
              <w:rPr>
                <w:i/>
                <w:iCs/>
                <w:sz w:val="14"/>
              </w:rPr>
            </w:pPr>
            <w:r w:rsidRPr="00D43575">
              <w:rPr>
                <w:i/>
                <w:iCs/>
                <w:sz w:val="14"/>
              </w:rPr>
              <w:t>Económicamente activa</w:t>
            </w:r>
          </w:p>
        </w:tc>
        <w:tc>
          <w:tcPr>
            <w:tcW w:w="1220" w:type="dxa"/>
            <w:tcBorders>
              <w:top w:val="single" w:sz="4" w:space="0" w:color="auto"/>
              <w:bottom w:val="single" w:sz="12" w:space="0" w:color="auto"/>
            </w:tcBorders>
            <w:shd w:val="clear" w:color="auto" w:fill="auto"/>
            <w:vAlign w:val="bottom"/>
          </w:tcPr>
          <w:p w14:paraId="606CEB47" w14:textId="77777777" w:rsidR="008D2F10" w:rsidRPr="00D43575" w:rsidRDefault="008D2F10" w:rsidP="00802A72">
            <w:pPr>
              <w:pStyle w:val="SingleTxt"/>
              <w:spacing w:before="80" w:after="80" w:line="160" w:lineRule="exact"/>
              <w:ind w:left="63" w:right="43"/>
              <w:jc w:val="right"/>
              <w:rPr>
                <w:i/>
                <w:iCs/>
                <w:sz w:val="14"/>
              </w:rPr>
            </w:pPr>
            <w:r w:rsidRPr="00D43575">
              <w:rPr>
                <w:i/>
                <w:iCs/>
                <w:sz w:val="14"/>
              </w:rPr>
              <w:t xml:space="preserve">Población </w:t>
            </w:r>
            <w:r w:rsidR="00802A72" w:rsidRPr="00D43575">
              <w:rPr>
                <w:i/>
                <w:iCs/>
                <w:sz w:val="14"/>
              </w:rPr>
              <w:br/>
            </w:r>
            <w:r w:rsidRPr="00D43575">
              <w:rPr>
                <w:i/>
                <w:iCs/>
                <w:sz w:val="14"/>
              </w:rPr>
              <w:t>(de 15 años de edad en adelante)</w:t>
            </w:r>
          </w:p>
        </w:tc>
        <w:tc>
          <w:tcPr>
            <w:tcW w:w="1220" w:type="dxa"/>
            <w:tcBorders>
              <w:top w:val="single" w:sz="4" w:space="0" w:color="auto"/>
              <w:bottom w:val="single" w:sz="12" w:space="0" w:color="auto"/>
            </w:tcBorders>
            <w:shd w:val="clear" w:color="auto" w:fill="auto"/>
            <w:vAlign w:val="bottom"/>
          </w:tcPr>
          <w:p w14:paraId="4D8AEE51" w14:textId="77777777" w:rsidR="008D2F10" w:rsidRPr="00D43575" w:rsidRDefault="008D2F10" w:rsidP="00802A72">
            <w:pPr>
              <w:pStyle w:val="SingleTxt"/>
              <w:spacing w:before="80" w:after="80" w:line="160" w:lineRule="exact"/>
              <w:ind w:left="63" w:right="43"/>
              <w:jc w:val="right"/>
              <w:rPr>
                <w:i/>
                <w:iCs/>
                <w:sz w:val="14"/>
              </w:rPr>
            </w:pPr>
            <w:r w:rsidRPr="00D43575">
              <w:rPr>
                <w:i/>
                <w:iCs/>
                <w:sz w:val="14"/>
              </w:rPr>
              <w:t>Población</w:t>
            </w:r>
          </w:p>
        </w:tc>
        <w:tc>
          <w:tcPr>
            <w:tcW w:w="1220" w:type="dxa"/>
            <w:tcBorders>
              <w:top w:val="single" w:sz="4" w:space="0" w:color="auto"/>
              <w:bottom w:val="single" w:sz="12" w:space="0" w:color="auto"/>
            </w:tcBorders>
            <w:shd w:val="clear" w:color="auto" w:fill="auto"/>
            <w:tcMar>
              <w:left w:w="115" w:type="dxa"/>
            </w:tcMar>
            <w:vAlign w:val="bottom"/>
          </w:tcPr>
          <w:p w14:paraId="65E56600" w14:textId="77777777" w:rsidR="008D2F10" w:rsidRPr="00D43575" w:rsidRDefault="008D2F10" w:rsidP="00AC42E1">
            <w:pPr>
              <w:pStyle w:val="SingleTxt"/>
              <w:spacing w:before="80" w:after="80" w:line="160" w:lineRule="exact"/>
              <w:ind w:left="11" w:right="43"/>
              <w:jc w:val="left"/>
              <w:rPr>
                <w:i/>
                <w:iCs/>
                <w:sz w:val="14"/>
              </w:rPr>
            </w:pPr>
            <w:r w:rsidRPr="00D43575">
              <w:rPr>
                <w:i/>
                <w:iCs/>
                <w:sz w:val="14"/>
              </w:rPr>
              <w:t xml:space="preserve">En relación </w:t>
            </w:r>
            <w:r w:rsidR="00802A72" w:rsidRPr="00D43575">
              <w:rPr>
                <w:i/>
                <w:iCs/>
                <w:sz w:val="14"/>
              </w:rPr>
              <w:br/>
            </w:r>
            <w:r w:rsidRPr="00D43575">
              <w:rPr>
                <w:i/>
                <w:iCs/>
                <w:sz w:val="14"/>
              </w:rPr>
              <w:t>con la fuerza</w:t>
            </w:r>
            <w:r w:rsidR="00AC42E1" w:rsidRPr="00D43575">
              <w:rPr>
                <w:i/>
                <w:iCs/>
                <w:sz w:val="14"/>
              </w:rPr>
              <w:t xml:space="preserve"> </w:t>
            </w:r>
            <w:r w:rsidR="00802A72" w:rsidRPr="00D43575">
              <w:rPr>
                <w:i/>
                <w:iCs/>
                <w:sz w:val="14"/>
              </w:rPr>
              <w:br/>
            </w:r>
            <w:r w:rsidRPr="00D43575">
              <w:rPr>
                <w:i/>
                <w:iCs/>
                <w:sz w:val="14"/>
              </w:rPr>
              <w:t>de trabajo</w:t>
            </w:r>
          </w:p>
        </w:tc>
      </w:tr>
      <w:tr w:rsidR="008D2F10" w:rsidRPr="00D43575" w14:paraId="07E1CA46" w14:textId="77777777" w:rsidTr="00802A72">
        <w:trPr>
          <w:trHeight w:hRule="exact" w:val="115"/>
          <w:tblHeader/>
        </w:trPr>
        <w:tc>
          <w:tcPr>
            <w:tcW w:w="1328" w:type="dxa"/>
            <w:tcBorders>
              <w:top w:val="single" w:sz="12" w:space="0" w:color="auto"/>
            </w:tcBorders>
            <w:shd w:val="clear" w:color="auto" w:fill="auto"/>
            <w:vAlign w:val="bottom"/>
          </w:tcPr>
          <w:p w14:paraId="52220A9E" w14:textId="77777777" w:rsidR="008D2F10" w:rsidRPr="00D43575" w:rsidRDefault="008D2F10" w:rsidP="00BD7BE9">
            <w:pPr>
              <w:spacing w:before="40" w:after="40" w:line="210" w:lineRule="exact"/>
              <w:ind w:right="40"/>
              <w:jc w:val="right"/>
              <w:rPr>
                <w:sz w:val="17"/>
              </w:rPr>
            </w:pPr>
          </w:p>
        </w:tc>
        <w:tc>
          <w:tcPr>
            <w:tcW w:w="1220" w:type="dxa"/>
            <w:tcBorders>
              <w:top w:val="single" w:sz="12" w:space="0" w:color="auto"/>
            </w:tcBorders>
            <w:shd w:val="clear" w:color="auto" w:fill="auto"/>
            <w:vAlign w:val="bottom"/>
          </w:tcPr>
          <w:p w14:paraId="7EFE2809" w14:textId="77777777" w:rsidR="008D2F10" w:rsidRPr="00D43575" w:rsidRDefault="008D2F10" w:rsidP="00BD7BE9">
            <w:pPr>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7752DCE6" w14:textId="77777777" w:rsidR="008D2F10" w:rsidRPr="00D43575" w:rsidRDefault="008D2F10" w:rsidP="00BD7BE9">
            <w:pPr>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40F158AB" w14:textId="77777777" w:rsidR="008D2F10" w:rsidRPr="00D43575" w:rsidRDefault="008D2F10" w:rsidP="00BD7BE9">
            <w:pPr>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05E36E5E" w14:textId="77777777" w:rsidR="008D2F10" w:rsidRPr="00D43575" w:rsidRDefault="008D2F10" w:rsidP="00BD7BE9">
            <w:pPr>
              <w:spacing w:before="40" w:after="40" w:line="210" w:lineRule="exact"/>
              <w:ind w:left="144" w:right="40"/>
              <w:jc w:val="right"/>
              <w:rPr>
                <w:sz w:val="17"/>
              </w:rPr>
            </w:pPr>
          </w:p>
        </w:tc>
        <w:tc>
          <w:tcPr>
            <w:tcW w:w="1220" w:type="dxa"/>
            <w:tcBorders>
              <w:top w:val="single" w:sz="12" w:space="0" w:color="auto"/>
            </w:tcBorders>
            <w:shd w:val="clear" w:color="auto" w:fill="auto"/>
            <w:tcMar>
              <w:left w:w="115" w:type="dxa"/>
            </w:tcMar>
            <w:vAlign w:val="bottom"/>
          </w:tcPr>
          <w:p w14:paraId="010DC240" w14:textId="77777777" w:rsidR="008D2F10" w:rsidRPr="00D43575" w:rsidRDefault="008D2F10" w:rsidP="00BD7BE9">
            <w:pPr>
              <w:spacing w:before="40" w:after="40" w:line="210" w:lineRule="exact"/>
              <w:ind w:left="144" w:right="40"/>
              <w:rPr>
                <w:sz w:val="17"/>
              </w:rPr>
            </w:pPr>
          </w:p>
        </w:tc>
      </w:tr>
      <w:tr w:rsidR="008D2F10" w:rsidRPr="00D43575" w14:paraId="7B41645D" w14:textId="77777777" w:rsidTr="00802A72">
        <w:tc>
          <w:tcPr>
            <w:tcW w:w="1328" w:type="dxa"/>
            <w:shd w:val="clear" w:color="auto" w:fill="auto"/>
            <w:vAlign w:val="bottom"/>
          </w:tcPr>
          <w:p w14:paraId="7C199BAB" w14:textId="77777777" w:rsidR="008D2F10" w:rsidRPr="00D43575" w:rsidRDefault="008D2F10" w:rsidP="00802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67 793</w:t>
            </w:r>
          </w:p>
        </w:tc>
        <w:tc>
          <w:tcPr>
            <w:tcW w:w="1220" w:type="dxa"/>
            <w:shd w:val="clear" w:color="auto" w:fill="auto"/>
            <w:vAlign w:val="bottom"/>
          </w:tcPr>
          <w:p w14:paraId="7D75FC52" w14:textId="77777777" w:rsidR="008D2F10" w:rsidRPr="00D43575" w:rsidRDefault="008D2F10" w:rsidP="00802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1 718 238</w:t>
            </w:r>
          </w:p>
        </w:tc>
        <w:tc>
          <w:tcPr>
            <w:tcW w:w="1220" w:type="dxa"/>
            <w:shd w:val="clear" w:color="auto" w:fill="auto"/>
            <w:vAlign w:val="bottom"/>
          </w:tcPr>
          <w:p w14:paraId="325DCE80" w14:textId="77777777" w:rsidR="008D2F10" w:rsidRPr="00D43575" w:rsidRDefault="008D2F10" w:rsidP="00802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1 719 343</w:t>
            </w:r>
          </w:p>
        </w:tc>
        <w:tc>
          <w:tcPr>
            <w:tcW w:w="1220" w:type="dxa"/>
            <w:shd w:val="clear" w:color="auto" w:fill="auto"/>
            <w:vAlign w:val="bottom"/>
          </w:tcPr>
          <w:p w14:paraId="53C7CFF4" w14:textId="77777777" w:rsidR="008D2F10" w:rsidRPr="00D43575" w:rsidRDefault="008D2F10" w:rsidP="00802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1 787 136</w:t>
            </w:r>
          </w:p>
        </w:tc>
        <w:tc>
          <w:tcPr>
            <w:tcW w:w="1220" w:type="dxa"/>
            <w:shd w:val="clear" w:color="auto" w:fill="auto"/>
            <w:vAlign w:val="bottom"/>
          </w:tcPr>
          <w:p w14:paraId="33819A1C" w14:textId="77777777" w:rsidR="008D2F10" w:rsidRPr="00D43575" w:rsidRDefault="008D2F10" w:rsidP="00802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1 957 096</w:t>
            </w:r>
          </w:p>
        </w:tc>
        <w:tc>
          <w:tcPr>
            <w:tcW w:w="1220" w:type="dxa"/>
            <w:shd w:val="clear" w:color="auto" w:fill="auto"/>
            <w:tcMar>
              <w:left w:w="115" w:type="dxa"/>
            </w:tcMar>
            <w:vAlign w:val="bottom"/>
          </w:tcPr>
          <w:p w14:paraId="0E01EF2E" w14:textId="77777777" w:rsidR="008D2F10" w:rsidRPr="00D43575" w:rsidRDefault="008D2F10" w:rsidP="00802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Hombres</w:t>
            </w:r>
          </w:p>
        </w:tc>
      </w:tr>
      <w:tr w:rsidR="008D2F10" w:rsidRPr="00D43575" w14:paraId="08359340" w14:textId="77777777" w:rsidTr="00802A72">
        <w:tc>
          <w:tcPr>
            <w:tcW w:w="1328" w:type="dxa"/>
            <w:shd w:val="clear" w:color="auto" w:fill="auto"/>
            <w:vAlign w:val="bottom"/>
          </w:tcPr>
          <w:p w14:paraId="16B44DE1" w14:textId="77777777" w:rsidR="008D2F10" w:rsidRPr="00D43575" w:rsidRDefault="008D2F10" w:rsidP="00802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187 026</w:t>
            </w:r>
          </w:p>
        </w:tc>
        <w:tc>
          <w:tcPr>
            <w:tcW w:w="1220" w:type="dxa"/>
            <w:shd w:val="clear" w:color="auto" w:fill="auto"/>
            <w:vAlign w:val="bottom"/>
          </w:tcPr>
          <w:p w14:paraId="1E1C8197" w14:textId="77777777" w:rsidR="008D2F10" w:rsidRPr="00D43575" w:rsidRDefault="008D2F10" w:rsidP="00802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264 153</w:t>
            </w:r>
          </w:p>
        </w:tc>
        <w:tc>
          <w:tcPr>
            <w:tcW w:w="1220" w:type="dxa"/>
            <w:shd w:val="clear" w:color="auto" w:fill="auto"/>
            <w:vAlign w:val="bottom"/>
          </w:tcPr>
          <w:p w14:paraId="46A430F5" w14:textId="77777777" w:rsidR="008D2F10" w:rsidRPr="00D43575" w:rsidRDefault="008D2F10" w:rsidP="00802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265 921</w:t>
            </w:r>
          </w:p>
        </w:tc>
        <w:tc>
          <w:tcPr>
            <w:tcW w:w="1220" w:type="dxa"/>
            <w:shd w:val="clear" w:color="auto" w:fill="auto"/>
            <w:vAlign w:val="bottom"/>
          </w:tcPr>
          <w:p w14:paraId="23F6FC33" w14:textId="77777777" w:rsidR="008D2F10" w:rsidRPr="00D43575" w:rsidRDefault="008D2F10" w:rsidP="00802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452 947</w:t>
            </w:r>
          </w:p>
        </w:tc>
        <w:tc>
          <w:tcPr>
            <w:tcW w:w="1220" w:type="dxa"/>
            <w:shd w:val="clear" w:color="auto" w:fill="auto"/>
            <w:vAlign w:val="bottom"/>
          </w:tcPr>
          <w:p w14:paraId="5535F828" w14:textId="77777777" w:rsidR="008D2F10" w:rsidRPr="00D43575" w:rsidRDefault="008D2F10" w:rsidP="00802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609 148</w:t>
            </w:r>
          </w:p>
        </w:tc>
        <w:tc>
          <w:tcPr>
            <w:tcW w:w="1220" w:type="dxa"/>
            <w:shd w:val="clear" w:color="auto" w:fill="auto"/>
            <w:tcMar>
              <w:left w:w="115" w:type="dxa"/>
            </w:tcMar>
            <w:vAlign w:val="bottom"/>
          </w:tcPr>
          <w:p w14:paraId="127E0940" w14:textId="77777777" w:rsidR="008D2F10" w:rsidRPr="00D43575" w:rsidRDefault="008D2F10" w:rsidP="00802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Mujeres</w:t>
            </w:r>
          </w:p>
        </w:tc>
      </w:tr>
      <w:tr w:rsidR="008D2F10" w:rsidRPr="00D43575" w14:paraId="7FDC6D40" w14:textId="77777777" w:rsidTr="00802A72">
        <w:tc>
          <w:tcPr>
            <w:tcW w:w="1328" w:type="dxa"/>
            <w:tcBorders>
              <w:bottom w:val="single" w:sz="12" w:space="0" w:color="auto"/>
            </w:tcBorders>
            <w:shd w:val="clear" w:color="auto" w:fill="auto"/>
            <w:vAlign w:val="bottom"/>
          </w:tcPr>
          <w:p w14:paraId="0A5EBE2B" w14:textId="77777777" w:rsidR="008D2F10" w:rsidRPr="00D43575" w:rsidRDefault="008D2F10" w:rsidP="00802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254 819</w:t>
            </w:r>
          </w:p>
        </w:tc>
        <w:tc>
          <w:tcPr>
            <w:tcW w:w="1220" w:type="dxa"/>
            <w:tcBorders>
              <w:bottom w:val="single" w:sz="12" w:space="0" w:color="auto"/>
            </w:tcBorders>
            <w:shd w:val="clear" w:color="auto" w:fill="auto"/>
            <w:vAlign w:val="bottom"/>
          </w:tcPr>
          <w:p w14:paraId="6FB228C5" w14:textId="77777777" w:rsidR="008D2F10" w:rsidRPr="00D43575" w:rsidRDefault="008D2F10" w:rsidP="00802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1 982 391</w:t>
            </w:r>
          </w:p>
        </w:tc>
        <w:tc>
          <w:tcPr>
            <w:tcW w:w="1220" w:type="dxa"/>
            <w:tcBorders>
              <w:bottom w:val="single" w:sz="12" w:space="0" w:color="auto"/>
            </w:tcBorders>
            <w:shd w:val="clear" w:color="auto" w:fill="auto"/>
            <w:vAlign w:val="bottom"/>
          </w:tcPr>
          <w:p w14:paraId="20D313C4" w14:textId="77777777" w:rsidR="008D2F10" w:rsidRPr="00D43575" w:rsidRDefault="008D2F10" w:rsidP="00802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1 985 264</w:t>
            </w:r>
          </w:p>
        </w:tc>
        <w:tc>
          <w:tcPr>
            <w:tcW w:w="1220" w:type="dxa"/>
            <w:tcBorders>
              <w:bottom w:val="single" w:sz="12" w:space="0" w:color="auto"/>
            </w:tcBorders>
            <w:shd w:val="clear" w:color="auto" w:fill="auto"/>
            <w:vAlign w:val="bottom"/>
          </w:tcPr>
          <w:p w14:paraId="5CAA05F7" w14:textId="77777777" w:rsidR="008D2F10" w:rsidRPr="00D43575" w:rsidRDefault="008D2F10" w:rsidP="00802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2 240 083</w:t>
            </w:r>
          </w:p>
        </w:tc>
        <w:tc>
          <w:tcPr>
            <w:tcW w:w="1220" w:type="dxa"/>
            <w:tcBorders>
              <w:bottom w:val="single" w:sz="12" w:space="0" w:color="auto"/>
            </w:tcBorders>
            <w:shd w:val="clear" w:color="auto" w:fill="auto"/>
            <w:vAlign w:val="bottom"/>
          </w:tcPr>
          <w:p w14:paraId="01B3C4AD" w14:textId="77777777" w:rsidR="008D2F10" w:rsidRPr="00D43575" w:rsidRDefault="008D2F10" w:rsidP="00802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D43575">
              <w:rPr>
                <w:sz w:val="17"/>
              </w:rPr>
              <w:t>2 566 244</w:t>
            </w:r>
          </w:p>
        </w:tc>
        <w:tc>
          <w:tcPr>
            <w:tcW w:w="1220" w:type="dxa"/>
            <w:tcBorders>
              <w:bottom w:val="single" w:sz="12" w:space="0" w:color="auto"/>
            </w:tcBorders>
            <w:shd w:val="clear" w:color="auto" w:fill="auto"/>
            <w:tcMar>
              <w:left w:w="115" w:type="dxa"/>
            </w:tcMar>
            <w:vAlign w:val="bottom"/>
          </w:tcPr>
          <w:p w14:paraId="688CE28F" w14:textId="77777777" w:rsidR="008D2F10" w:rsidRPr="00D43575" w:rsidRDefault="008D2F10" w:rsidP="00802A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D43575">
              <w:rPr>
                <w:sz w:val="17"/>
              </w:rPr>
              <w:t>Total</w:t>
            </w:r>
          </w:p>
        </w:tc>
      </w:tr>
    </w:tbl>
    <w:p w14:paraId="46583745" w14:textId="77777777" w:rsidR="008D2F10" w:rsidRPr="00D43575" w:rsidRDefault="008D2F10" w:rsidP="008D2F10">
      <w:pPr>
        <w:pStyle w:val="SingleTxt"/>
        <w:spacing w:after="0" w:line="120" w:lineRule="exact"/>
        <w:rPr>
          <w:sz w:val="10"/>
        </w:rPr>
      </w:pPr>
    </w:p>
    <w:p w14:paraId="414D3832" w14:textId="5EE6A48B" w:rsidR="008D2F10"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Ministerio de Planificación del Desarrollo y Estadísticas</w:t>
      </w:r>
      <w:r w:rsidR="00083383" w:rsidRPr="00D43575">
        <w:rPr>
          <w:rFonts w:eastAsiaTheme="minorHAnsi"/>
          <w:iCs/>
          <w:w w:val="103"/>
          <w:kern w:val="14"/>
          <w:szCs w:val="20"/>
        </w:rPr>
        <w:t>.</w:t>
      </w:r>
    </w:p>
    <w:p w14:paraId="4A719FBE" w14:textId="77777777" w:rsidR="008D2F10" w:rsidRPr="00D43575" w:rsidRDefault="008D2F10" w:rsidP="006820D1">
      <w:pPr>
        <w:pStyle w:val="SingleTxt"/>
        <w:spacing w:after="0" w:line="120" w:lineRule="exact"/>
        <w:rPr>
          <w:sz w:val="10"/>
        </w:rPr>
      </w:pPr>
    </w:p>
    <w:p w14:paraId="040A241A" w14:textId="77777777" w:rsidR="008D2F10" w:rsidRPr="00D43575" w:rsidRDefault="008D2F10" w:rsidP="006820D1">
      <w:pPr>
        <w:pStyle w:val="SingleTxt"/>
        <w:spacing w:after="0" w:line="120" w:lineRule="exact"/>
        <w:rPr>
          <w:sz w:val="10"/>
        </w:rPr>
      </w:pPr>
    </w:p>
    <w:p w14:paraId="1417B863" w14:textId="74C36293" w:rsidR="008D2F10" w:rsidRPr="00D43575" w:rsidRDefault="008D2F10" w:rsidP="001D1AD0">
      <w:pPr>
        <w:pStyle w:val="SingleTxt"/>
        <w:numPr>
          <w:ilvl w:val="0"/>
          <w:numId w:val="10"/>
        </w:numPr>
        <w:ind w:left="1267" w:firstLine="0"/>
      </w:pPr>
      <w:r w:rsidRPr="00D43575">
        <w:t>Es importante señalar que el Estado de Qatar hace mucho hincapié en realizar encuestas sobre la fuerza de trabajo de forma periódica</w:t>
      </w:r>
      <w:r w:rsidR="00083383" w:rsidRPr="00D43575">
        <w:t>.</w:t>
      </w:r>
      <w:r w:rsidRPr="00D43575">
        <w:t xml:space="preserve"> Destina partidas presupuestarias para ello y dedica esfuerzos para generar estadísticas completas sobre la población económicamente activa que sirvan de base para realizar el seguimiento de las tendencias y los cambios en el mercado de trabajo</w:t>
      </w:r>
      <w:r w:rsidR="00083383" w:rsidRPr="00D43575">
        <w:t>.</w:t>
      </w:r>
      <w:r w:rsidRPr="00D43575">
        <w:t xml:space="preserve"> Las estadísticas también constituyen la base para formular la política macroeconómica y facilitan indicadores sobre el empleo y el desempleo que pueden servir como indicadores del rendimiento económico</w:t>
      </w:r>
      <w:r w:rsidR="00083383" w:rsidRPr="00D43575">
        <w:t>.</w:t>
      </w:r>
    </w:p>
    <w:p w14:paraId="6D09779E" w14:textId="34D916E3" w:rsidR="008D2F10" w:rsidRPr="00D43575" w:rsidRDefault="008D2F10" w:rsidP="001D1AD0">
      <w:pPr>
        <w:pStyle w:val="SingleTxt"/>
        <w:numPr>
          <w:ilvl w:val="0"/>
          <w:numId w:val="10"/>
        </w:numPr>
        <w:ind w:left="1267" w:firstLine="0"/>
      </w:pPr>
      <w:r w:rsidRPr="00D43575">
        <w:lastRenderedPageBreak/>
        <w:t xml:space="preserve">En lo que al ámbito de la cultura se refiere, la Constitución dispone que </w:t>
      </w:r>
      <w:r w:rsidR="00F652D5" w:rsidRPr="00D43575">
        <w:t>“</w:t>
      </w:r>
      <w:r w:rsidRPr="00D43575">
        <w:t>el</w:t>
      </w:r>
      <w:r w:rsidR="00083383" w:rsidRPr="00D43575">
        <w:t xml:space="preserve"> </w:t>
      </w:r>
      <w:r w:rsidRPr="00D43575">
        <w:t>Estado promoverá y preservará la ciencia, la literatura, las artes y el patrimonio cultural nacional, contribuirá a su divulgación y fomentará la investigación científica</w:t>
      </w:r>
      <w:r w:rsidR="00F652D5" w:rsidRPr="00D43575">
        <w:t>”</w:t>
      </w:r>
      <w:r w:rsidR="00083383" w:rsidRPr="00D43575">
        <w:t>.</w:t>
      </w:r>
      <w:r w:rsidRPr="00D43575">
        <w:t xml:space="preserve"> En las actividades de promoción que pone en marcha incluye a todos los ciudadanos, hombres y mujeres</w:t>
      </w:r>
      <w:r w:rsidR="00083383" w:rsidRPr="00D43575">
        <w:t>.</w:t>
      </w:r>
      <w:r w:rsidRPr="00D43575">
        <w:t xml:space="preserve"> En los centros culturales y juveniles del Ministerio de Cultura y Deportes se han celebrado varios simposios y mesas redondas sobre los derechos de la mujer</w:t>
      </w:r>
      <w:r w:rsidR="00083383" w:rsidRPr="00D43575">
        <w:t>.</w:t>
      </w:r>
    </w:p>
    <w:p w14:paraId="1F3ED772" w14:textId="2B70BBE6" w:rsidR="008D2F10" w:rsidRPr="00D43575" w:rsidRDefault="008D2F10" w:rsidP="001D1AD0">
      <w:pPr>
        <w:pStyle w:val="SingleTxt"/>
        <w:numPr>
          <w:ilvl w:val="0"/>
          <w:numId w:val="10"/>
        </w:numPr>
        <w:ind w:left="1267" w:firstLine="0"/>
      </w:pPr>
      <w:r w:rsidRPr="00D43575">
        <w:t xml:space="preserve">Varias ediciones del </w:t>
      </w:r>
      <w:r w:rsidRPr="00D43575">
        <w:rPr>
          <w:i/>
        </w:rPr>
        <w:t>Doha Magazine</w:t>
      </w:r>
      <w:r w:rsidRPr="00D43575">
        <w:t>, una publicación del Ministerio de Cultura y Deportes, han abordado este tema</w:t>
      </w:r>
      <w:r w:rsidR="00083383" w:rsidRPr="00D43575">
        <w:t>.</w:t>
      </w:r>
      <w:r w:rsidRPr="00D43575">
        <w:t xml:space="preserve"> Otras de sus publicaciones han tratado la situación de la mujer qatarí desde diferentes ángulos</w:t>
      </w:r>
      <w:r w:rsidR="00083383" w:rsidRPr="00D43575">
        <w:t>.</w:t>
      </w:r>
      <w:r w:rsidRPr="00D43575">
        <w:t xml:space="preserve"> El Estado de Qatar no impone ninguna restricción a la práctica de las diversas formas de arte por personas de ambos sexos ni, en general, a la vida cultural</w:t>
      </w:r>
      <w:r w:rsidR="00083383" w:rsidRPr="00D43575">
        <w:t>.</w:t>
      </w:r>
      <w:r w:rsidRPr="00D43575">
        <w:t xml:space="preserve"> Al contrario, promueve dichas actividades apoyando a artistas y a grupos dedicados al arte, organiza festivales de cine y teatro, una feria internacional del libro y mucho otros eventos</w:t>
      </w:r>
      <w:r w:rsidR="00083383" w:rsidRPr="00D43575">
        <w:t>.</w:t>
      </w:r>
      <w:r w:rsidRPr="00D43575">
        <w:t xml:space="preserve"> Una mujer qatarí ocupó la presidencia ejecutiva del Instituto Cinematográfico de Doha</w:t>
      </w:r>
      <w:r w:rsidR="00083383" w:rsidRPr="00D43575">
        <w:t>.</w:t>
      </w:r>
      <w:r w:rsidRPr="00D43575">
        <w:t xml:space="preserve"> También hay varias mujeres qataríes que son directoras de cine muy destacadas</w:t>
      </w:r>
      <w:r w:rsidR="00083383" w:rsidRPr="00D43575">
        <w:t>.</w:t>
      </w:r>
    </w:p>
    <w:p w14:paraId="48DBEB62" w14:textId="77777777" w:rsidR="008D2F10" w:rsidRPr="00D43575" w:rsidRDefault="008D2F10" w:rsidP="008D2F10">
      <w:pPr>
        <w:pStyle w:val="SingleTxt"/>
        <w:spacing w:after="0" w:line="120" w:lineRule="exact"/>
        <w:rPr>
          <w:sz w:val="10"/>
        </w:rPr>
      </w:pPr>
    </w:p>
    <w:p w14:paraId="37E1E691"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Artículo 14: La mujer de las zonas rurales</w:t>
      </w:r>
    </w:p>
    <w:p w14:paraId="70572BF4" w14:textId="77777777" w:rsidR="008D2F10" w:rsidRPr="00D43575" w:rsidRDefault="008D2F10" w:rsidP="008D2F10">
      <w:pPr>
        <w:pStyle w:val="SingleTxt"/>
        <w:spacing w:after="0" w:line="120" w:lineRule="exact"/>
        <w:rPr>
          <w:sz w:val="10"/>
        </w:rPr>
      </w:pPr>
    </w:p>
    <w:p w14:paraId="5B3E2354" w14:textId="5CC3EC34" w:rsidR="008D2F10" w:rsidRPr="00D43575" w:rsidRDefault="008D2F10" w:rsidP="001D1AD0">
      <w:pPr>
        <w:pStyle w:val="SingleTxt"/>
        <w:numPr>
          <w:ilvl w:val="0"/>
          <w:numId w:val="10"/>
        </w:numPr>
        <w:ind w:left="1267" w:firstLine="0"/>
      </w:pPr>
      <w:r w:rsidRPr="00D43575">
        <w:t>En el Estado de Qatar no hay zonas rurales</w:t>
      </w:r>
      <w:r w:rsidR="00083383" w:rsidRPr="00D43575">
        <w:t>.</w:t>
      </w:r>
      <w:r w:rsidRPr="00D43575">
        <w:t xml:space="preserve"> La población se concentra en zonas urbanas</w:t>
      </w:r>
      <w:r w:rsidR="00083383" w:rsidRPr="00D43575">
        <w:t>.</w:t>
      </w:r>
      <w:r w:rsidRPr="00D43575">
        <w:t xml:space="preserve"> Aproximadamente el 100% de la población del Estado vive en ciudades</w:t>
      </w:r>
      <w:r w:rsidR="00083383" w:rsidRPr="00D43575">
        <w:t>.</w:t>
      </w:r>
      <w:r w:rsidRPr="00D43575">
        <w:t xml:space="preserve"> Debido a los altos ingresos per cápita y al nivel de vida, se han abordado muchos problemas y desafíos urbanos a los que se orienta la Nueva Agenda Urbana de las Naciones Unidas (Hábitat III), incluidos los barrios marginales, la delincuencia y la pobreza extrema, que son casi inexistentes en Qatar</w:t>
      </w:r>
      <w:r w:rsidR="00083383" w:rsidRPr="00D43575">
        <w:t>.</w:t>
      </w:r>
      <w:r w:rsidRPr="00D43575">
        <w:t xml:space="preserve"> Las políticas de desarrollo sostenible del Estado, que integran las cuatro dimensiones de la Visión Nacional de Qatar 2030, dan respuesta a los problemas de desarrollo del país</w:t>
      </w:r>
      <w:r w:rsidR="00083383" w:rsidRPr="00D43575">
        <w:t>.</w:t>
      </w:r>
      <w:r w:rsidRPr="00D43575">
        <w:t xml:space="preserve"> Basta un rápido vistazo a la I y la II Estrategia Nacional de Desarrollo, de 2011</w:t>
      </w:r>
      <w:r w:rsidR="00083383" w:rsidRPr="00D43575">
        <w:noBreakHyphen/>
      </w:r>
      <w:r w:rsidRPr="00D43575">
        <w:t>2016 y 2017</w:t>
      </w:r>
      <w:r w:rsidR="00083383" w:rsidRPr="00D43575">
        <w:noBreakHyphen/>
      </w:r>
      <w:r w:rsidRPr="00D43575">
        <w:t>2022, respectivamente, para apreciar que incorporan un conjunto de metas y objetivos fundamentales de la Nueva Agenda Urbana de las Naciones Unidas</w:t>
      </w:r>
      <w:r w:rsidR="00083383" w:rsidRPr="00D43575">
        <w:t>.</w:t>
      </w:r>
      <w:r w:rsidRPr="00D43575">
        <w:t xml:space="preserve"> El Estado de Qatar ha promulgado con firmeza leyes que regulan la ejecución de una serie de gigantescos proyectos urbanos de infraestructura, cultura, patrimonio, deportes, vivienda, parques públicos y edificios ecológicos</w:t>
      </w:r>
      <w:r w:rsidR="00083383" w:rsidRPr="00D43575">
        <w:t>.</w:t>
      </w:r>
      <w:r w:rsidRPr="00D43575">
        <w:t xml:space="preserve"> Los ministerios e instituciones públicos pertinentes prestan servicios educativos, de salud, cultura y deporte a los habitantes de ambos sexos de todas las regiones</w:t>
      </w:r>
      <w:r w:rsidR="00083383" w:rsidRPr="00D43575">
        <w:t>.</w:t>
      </w:r>
    </w:p>
    <w:p w14:paraId="79DE38BC" w14:textId="77777777" w:rsidR="008D2F10" w:rsidRPr="00D43575" w:rsidRDefault="008D2F10" w:rsidP="008D2F10">
      <w:pPr>
        <w:pStyle w:val="SingleTxt"/>
        <w:spacing w:after="0" w:line="120" w:lineRule="exact"/>
        <w:rPr>
          <w:sz w:val="10"/>
        </w:rPr>
      </w:pPr>
    </w:p>
    <w:p w14:paraId="5D3381BA"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Artículo 15: Derechos civiles</w:t>
      </w:r>
    </w:p>
    <w:p w14:paraId="1C04991C" w14:textId="77777777" w:rsidR="008D2F10" w:rsidRPr="00D43575" w:rsidRDefault="008D2F10" w:rsidP="008D2F10">
      <w:pPr>
        <w:pStyle w:val="SingleTxt"/>
        <w:spacing w:after="0" w:line="120" w:lineRule="exact"/>
        <w:rPr>
          <w:sz w:val="10"/>
        </w:rPr>
      </w:pPr>
    </w:p>
    <w:p w14:paraId="77728728" w14:textId="1261087A" w:rsidR="008D2F10" w:rsidRPr="00D43575" w:rsidRDefault="008D2F10" w:rsidP="001D1AD0">
      <w:pPr>
        <w:pStyle w:val="SingleTxt"/>
        <w:numPr>
          <w:ilvl w:val="0"/>
          <w:numId w:val="10"/>
        </w:numPr>
        <w:ind w:left="1267" w:firstLine="0"/>
      </w:pPr>
      <w:r w:rsidRPr="00D43575">
        <w:t>A este respecto, remitimos a la información proporcionada en el informe</w:t>
      </w:r>
      <w:r w:rsidR="00083383" w:rsidRPr="00D43575">
        <w:t xml:space="preserve"> </w:t>
      </w:r>
      <w:r w:rsidRPr="00D43575">
        <w:t>inicial del Estado parte, en la sección relativa a los derechos civiles (párrafos 390 a 410)</w:t>
      </w:r>
      <w:r w:rsidR="00083383" w:rsidRPr="00D43575">
        <w:t>.</w:t>
      </w:r>
    </w:p>
    <w:p w14:paraId="7FB80E60" w14:textId="77777777" w:rsidR="008D2F10" w:rsidRPr="00D43575" w:rsidRDefault="008D2F10" w:rsidP="008D2F10">
      <w:pPr>
        <w:pStyle w:val="SingleTxt"/>
        <w:spacing w:after="0" w:line="120" w:lineRule="exact"/>
        <w:rPr>
          <w:sz w:val="10"/>
        </w:rPr>
      </w:pPr>
    </w:p>
    <w:p w14:paraId="530C7B06"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Artículo 16: Matrimonio y relaciones familiares</w:t>
      </w:r>
    </w:p>
    <w:p w14:paraId="20D882A7" w14:textId="77777777" w:rsidR="008D2F10" w:rsidRPr="00D43575" w:rsidRDefault="008D2F10" w:rsidP="008D2F10">
      <w:pPr>
        <w:pStyle w:val="SingleTxt"/>
        <w:spacing w:after="0" w:line="120" w:lineRule="exact"/>
        <w:rPr>
          <w:sz w:val="10"/>
        </w:rPr>
      </w:pPr>
    </w:p>
    <w:p w14:paraId="2D19029B" w14:textId="1A2FDEFB" w:rsidR="008D2F10" w:rsidRPr="00D43575" w:rsidRDefault="008D2F10" w:rsidP="001D1AD0">
      <w:pPr>
        <w:pStyle w:val="SingleTxt"/>
        <w:numPr>
          <w:ilvl w:val="0"/>
          <w:numId w:val="10"/>
        </w:numPr>
        <w:ind w:left="1267" w:firstLine="0"/>
      </w:pPr>
      <w:r w:rsidRPr="00D43575">
        <w:t>Remitimos a la información proporcionada en el informe inicial del Estado parte, en la sección referente a este artículo (párrafos 411 a 456)</w:t>
      </w:r>
      <w:r w:rsidR="00083383" w:rsidRPr="00D43575">
        <w:t>.</w:t>
      </w:r>
    </w:p>
    <w:p w14:paraId="3385C828" w14:textId="77777777" w:rsidR="008949CC" w:rsidRPr="00D43575" w:rsidRDefault="008949CC" w:rsidP="008949CC">
      <w:pPr>
        <w:pStyle w:val="SingleTxt"/>
        <w:spacing w:after="0" w:line="120" w:lineRule="exact"/>
        <w:rPr>
          <w:sz w:val="10"/>
        </w:rPr>
      </w:pPr>
    </w:p>
    <w:p w14:paraId="2E5C63D3"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Cumplimiento de las recomendaciones sobre el artículo 15</w:t>
      </w:r>
    </w:p>
    <w:p w14:paraId="296E5F75" w14:textId="77777777" w:rsidR="008D2F10" w:rsidRPr="00D43575" w:rsidRDefault="008D2F10" w:rsidP="008D2F10">
      <w:pPr>
        <w:pStyle w:val="SingleTxt"/>
        <w:spacing w:after="0" w:line="120" w:lineRule="exact"/>
        <w:rPr>
          <w:sz w:val="10"/>
        </w:rPr>
      </w:pPr>
    </w:p>
    <w:p w14:paraId="0A50E220" w14:textId="77777777"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Concienciar a la mujer acerca de sus derechos</w:t>
      </w:r>
    </w:p>
    <w:p w14:paraId="5BFF9833" w14:textId="77777777" w:rsidR="008D2F10" w:rsidRPr="00D43575" w:rsidRDefault="008D2F10" w:rsidP="008D2F10">
      <w:pPr>
        <w:pStyle w:val="SingleTxt"/>
        <w:spacing w:after="0" w:line="120" w:lineRule="exact"/>
        <w:rPr>
          <w:sz w:val="10"/>
        </w:rPr>
      </w:pPr>
    </w:p>
    <w:p w14:paraId="777ECDAA" w14:textId="77777777" w:rsidR="008D2F10" w:rsidRPr="00D43575" w:rsidRDefault="008D2F10" w:rsidP="001D1AD0">
      <w:pPr>
        <w:pStyle w:val="SingleTxt"/>
        <w:numPr>
          <w:ilvl w:val="0"/>
          <w:numId w:val="10"/>
        </w:numPr>
        <w:ind w:left="1267" w:firstLine="0"/>
      </w:pPr>
      <w:r w:rsidRPr="00D43575">
        <w:t>El Departamento de Asuntos de la Familia del Ministerio de Desarrollo Administrativo, Trabajo y Asuntos Sociales ha llevado a cabo los siguientes cursos y talleres de formación para el empoderamiento de la mujer:</w:t>
      </w:r>
    </w:p>
    <w:p w14:paraId="56A4FD99" w14:textId="77777777" w:rsidR="008D2F10" w:rsidRPr="00D43575" w:rsidRDefault="008D2F10" w:rsidP="008D2F10">
      <w:pPr>
        <w:pStyle w:val="SingleTxt"/>
        <w:tabs>
          <w:tab w:val="right" w:pos="1685"/>
        </w:tabs>
        <w:ind w:left="1742" w:hanging="475"/>
      </w:pPr>
      <w:r w:rsidRPr="00D43575">
        <w:tab/>
        <w:t>•</w:t>
      </w:r>
      <w:r w:rsidRPr="00D43575">
        <w:tab/>
        <w:t>Un programa sobre el desarrollo de la familia;</w:t>
      </w:r>
    </w:p>
    <w:p w14:paraId="12A1C6C1" w14:textId="016CC2B2" w:rsidR="008D2F10" w:rsidRPr="00D43575" w:rsidRDefault="008D2F10" w:rsidP="008D2F10">
      <w:pPr>
        <w:pStyle w:val="SingleTxt"/>
        <w:tabs>
          <w:tab w:val="right" w:pos="1685"/>
        </w:tabs>
        <w:ind w:left="1742" w:hanging="475"/>
      </w:pPr>
      <w:r w:rsidRPr="00D43575">
        <w:tab/>
        <w:t>•</w:t>
      </w:r>
      <w:r w:rsidRPr="00D43575">
        <w:tab/>
        <w:t xml:space="preserve">Un programa de sensibilización denominado Mujeres Líderes, que sirve de base para el desarrollo social en el marco de la Visión Nacional de Qatar 2030, la </w:t>
      </w:r>
      <w:r w:rsidRPr="00D43575">
        <w:lastRenderedPageBreak/>
        <w:t>cohesión de la familia y el empoderamiento de la mujer; entre sus objetivos</w:t>
      </w:r>
      <w:r w:rsidR="00083383" w:rsidRPr="00D43575">
        <w:t xml:space="preserve"> </w:t>
      </w:r>
      <w:r w:rsidRPr="00D43575">
        <w:t>cabe destacar la presencia de un 30% de mujeres en puestos directivos y decisorios;</w:t>
      </w:r>
    </w:p>
    <w:p w14:paraId="63528A5E" w14:textId="4278D9E6" w:rsidR="008D2F10" w:rsidRPr="00D43575" w:rsidRDefault="008D2F10" w:rsidP="008D2F10">
      <w:pPr>
        <w:pStyle w:val="SingleTxt"/>
        <w:tabs>
          <w:tab w:val="right" w:pos="1685"/>
        </w:tabs>
        <w:ind w:left="1742" w:hanging="475"/>
      </w:pPr>
      <w:r w:rsidRPr="00D43575">
        <w:tab/>
        <w:t>•</w:t>
      </w:r>
      <w:r w:rsidRPr="00D43575">
        <w:tab/>
        <w:t>Un programa de sensibilización titulado Igualdad: Cómo, Cuándo y Dónde, que se hizo coincidir con el Día de los Derechos Humanos, en diciembre de 2015</w:t>
      </w:r>
      <w:r w:rsidR="00083383" w:rsidRPr="00D43575">
        <w:t>.</w:t>
      </w:r>
      <w:r w:rsidRPr="00D43575">
        <w:t xml:space="preserve"> Incluía un taller en el que se procuró explicar la perspectiva de la igualdad entre el hombre y la mujer y el cómo, cuándo y dónde, y se hizo hincapié en la integración de ambos en la sociedad y las funciones y responsabilidades del hombre y la mujer en diversos ámbitos de la vida</w:t>
      </w:r>
      <w:r w:rsidR="00083383" w:rsidRPr="00D43575">
        <w:t>.</w:t>
      </w:r>
    </w:p>
    <w:p w14:paraId="70931116" w14:textId="363414AC" w:rsidR="008D2F10" w:rsidRPr="00D43575" w:rsidRDefault="008D2F10" w:rsidP="008D2F10">
      <w:pPr>
        <w:pStyle w:val="SingleTxt"/>
        <w:tabs>
          <w:tab w:val="right" w:pos="1685"/>
        </w:tabs>
        <w:ind w:left="1742" w:hanging="475"/>
      </w:pPr>
      <w:r w:rsidRPr="00D43575">
        <w:tab/>
        <w:t>•</w:t>
      </w:r>
      <w:r w:rsidRPr="00D43575">
        <w:tab/>
        <w:t>Otro programa de sensibilización, titulado Amabilidad hacia las Mujeres, que se hizo coincidir con el Día Internacional de la Eliminación de la Violencia contra la Mujer</w:t>
      </w:r>
      <w:r w:rsidR="00083383" w:rsidRPr="00D43575">
        <w:t>.</w:t>
      </w:r>
      <w:r w:rsidRPr="00D43575">
        <w:t xml:space="preserve"> El programa forma parte del plan estratégico nacional, la Visión Nacional de Qatar 2030 y la Estrategia para la Cohesión de la Familia y el Empoderamiento de la Mujer</w:t>
      </w:r>
      <w:r w:rsidR="00083383" w:rsidRPr="00D43575">
        <w:t>.</w:t>
      </w:r>
    </w:p>
    <w:p w14:paraId="55036A22" w14:textId="77777777" w:rsidR="008D2F10" w:rsidRPr="00D43575" w:rsidRDefault="008D2F10" w:rsidP="00911F53">
      <w:pPr>
        <w:pStyle w:val="SingleTxt"/>
        <w:spacing w:after="0" w:line="120" w:lineRule="exact"/>
        <w:rPr>
          <w:sz w:val="10"/>
        </w:rPr>
      </w:pPr>
    </w:p>
    <w:p w14:paraId="586A3E39" w14:textId="77777777" w:rsidR="00083383"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Matrimonio</w:t>
      </w:r>
    </w:p>
    <w:p w14:paraId="77133AD9" w14:textId="192C6D4F" w:rsidR="008D2F10" w:rsidRPr="00D43575" w:rsidRDefault="008D2F10" w:rsidP="008D2F10">
      <w:pPr>
        <w:pStyle w:val="SingleTxt"/>
        <w:spacing w:after="0" w:line="120" w:lineRule="exact"/>
        <w:rPr>
          <w:sz w:val="10"/>
        </w:rPr>
      </w:pPr>
    </w:p>
    <w:p w14:paraId="3E00B6BC" w14:textId="2356BEA3" w:rsidR="00083383" w:rsidRPr="00D43575" w:rsidRDefault="008D2F10" w:rsidP="001D1AD0">
      <w:pPr>
        <w:pStyle w:val="SingleTxt"/>
        <w:numPr>
          <w:ilvl w:val="0"/>
          <w:numId w:val="10"/>
        </w:numPr>
        <w:ind w:left="1267" w:firstLine="0"/>
      </w:pPr>
      <w:r w:rsidRPr="00D43575">
        <w:t xml:space="preserve">La Ley de Familia de Qatar, en su artículo 17, establece que el matrimonio </w:t>
      </w:r>
      <w:r w:rsidR="00F652D5" w:rsidRPr="00D43575">
        <w:t>“</w:t>
      </w:r>
      <w:r w:rsidRPr="00D43575">
        <w:t>de un joven menor de 18 años en el caso de los varones o de 16 en el de las mujeres solo se formalizará con el beneplácito de su padre o tutor legal, una vez se haya corroborado el consentimiento de los contrayentes y con la autorización del juez competente</w:t>
      </w:r>
      <w:r w:rsidR="00F652D5" w:rsidRPr="00D43575">
        <w:t>”</w:t>
      </w:r>
      <w:r w:rsidR="00083383" w:rsidRPr="00D43575">
        <w:t>.</w:t>
      </w:r>
      <w:r w:rsidRPr="00D43575">
        <w:t xml:space="preserve"> Incluso cuando se cumplan las garantías para que una mujer que no ha cumplido los 18 años contraiga matrimonio —lo cual solo se formalizará con el beneplácito de su padre o tutor legal, una vez se haya corroborado el consentimiento de los contrayentes y con la autorización del juez competente—, debe tenerse en cuenta la actitud de la menor para determinar si el matrimonio es o no en su beneficio</w:t>
      </w:r>
      <w:r w:rsidR="00083383" w:rsidRPr="00D43575">
        <w:t>.</w:t>
      </w:r>
      <w:r w:rsidRPr="00D43575">
        <w:t xml:space="preserve"> De lo contrario, si se considera perjudicial para sí misma, resultará nulo y sin efecto</w:t>
      </w:r>
      <w:r w:rsidR="00083383" w:rsidRPr="00D43575">
        <w:t>.</w:t>
      </w:r>
      <w:r w:rsidRPr="00D43575">
        <w:t xml:space="preserve"> En el supuesto de que se produzca un cambio en la consideración de la actitud, de beneficiosa a perjudicial, el matrimonio resultaría nulo y sin efecto dado que lo contrario no redundaría en interés de la menor</w:t>
      </w:r>
      <w:r w:rsidR="00083383" w:rsidRPr="00D43575">
        <w:t>.</w:t>
      </w:r>
      <w:r w:rsidRPr="00D43575">
        <w:t xml:space="preserve"> El matrimonio forzado es ilegal y la celebración de este tipo de contrato matrimonial está prohibida según lo previsto en la legislación de Qatar</w:t>
      </w:r>
      <w:r w:rsidR="00083383" w:rsidRPr="00D43575">
        <w:t>.</w:t>
      </w:r>
      <w:r w:rsidRPr="00D43575">
        <w:t xml:space="preserve"> El artículo 11 de la Ley de Familia enumera las condiciones para contraer matrimonio, a saber: que ambas partes cumplan las condiciones pertinentes para su celebración y que exista proposición y aceptación de matrimonio</w:t>
      </w:r>
      <w:r w:rsidR="00083383" w:rsidRPr="00D43575">
        <w:t>.</w:t>
      </w:r>
      <w:r w:rsidRPr="00D43575">
        <w:t xml:space="preserve"> Con arreglo a lo dispuesto en el artículo 12, para la validez del matrimonio se exige que los cónyuges tengan capacidad, no incurran en ninguno de los impedimentos legales, exista proposición y aceptación de matrimonio y se cumplan otras condiciones</w:t>
      </w:r>
      <w:r w:rsidR="00083383" w:rsidRPr="00D43575">
        <w:t>.</w:t>
      </w:r>
    </w:p>
    <w:p w14:paraId="10179563" w14:textId="02EF07ED" w:rsidR="00083383" w:rsidRPr="00D43575" w:rsidRDefault="008D2F10" w:rsidP="001D1AD0">
      <w:pPr>
        <w:pStyle w:val="SingleTxt"/>
        <w:numPr>
          <w:ilvl w:val="0"/>
          <w:numId w:val="10"/>
        </w:numPr>
        <w:ind w:left="1267" w:firstLine="0"/>
      </w:pPr>
      <w:r w:rsidRPr="00D43575">
        <w:t xml:space="preserve">Si cualquier requisito o condición para la validez del matrimonio previsto en la </w:t>
      </w:r>
      <w:r w:rsidRPr="00D43575">
        <w:rPr>
          <w:i/>
        </w:rPr>
        <w:t>sharia</w:t>
      </w:r>
      <w:r w:rsidRPr="00D43575">
        <w:t xml:space="preserve"> y la legislación relativa al matrimonio no se cumple —como en el supuesto de que uno de los contrayentes obligue al otro, se vea forzado a actuar en contra de su voluntad o sea objeto de cualquier forma de coacción material o psicológica por parte del otro cónyuge o del padre o tutor legal—, la parte que actúe coaccionada o sea víctima de un matrimonio forzado podrá pedir la anulación del matrimonio</w:t>
      </w:r>
      <w:r w:rsidR="00083383" w:rsidRPr="00D43575">
        <w:t>.</w:t>
      </w:r>
      <w:r w:rsidRPr="00D43575">
        <w:t xml:space="preserve"> La existencia de coacción en la celebración del matrimonio hace que el consentimiento válido del cónyuge que actuó bajo coacción no exista</w:t>
      </w:r>
      <w:r w:rsidR="00083383" w:rsidRPr="00D43575">
        <w:t>.</w:t>
      </w:r>
      <w:r w:rsidRPr="00D43575">
        <w:t xml:space="preserve"> Existirá consentimiento válido si el cónyuge, pese a poder elegir entre no celebrar el matrimonio o ceder ante las presiones, decide celebrarlo</w:t>
      </w:r>
      <w:r w:rsidR="00083383" w:rsidRPr="00D43575">
        <w:t>.</w:t>
      </w:r>
    </w:p>
    <w:p w14:paraId="4216BA7D" w14:textId="378BB4DA" w:rsidR="008D2F10" w:rsidRPr="00D43575" w:rsidRDefault="008D2F10" w:rsidP="009A1D77">
      <w:pPr>
        <w:pStyle w:val="SingleTxt"/>
        <w:numPr>
          <w:ilvl w:val="0"/>
          <w:numId w:val="10"/>
        </w:numPr>
        <w:ind w:left="1267" w:firstLine="0"/>
      </w:pPr>
      <w:r w:rsidRPr="00D43575">
        <w:t>Según el Informe Nacional sobre Matrimonios y Divorcios de 2016, publicado por el Ministerio de Planificación del Desarrollo y Estadísticas, la tasa de nupcialidad experimentó una disminución notable de forma constante entre 2010 y 2016</w:t>
      </w:r>
      <w:r w:rsidR="00083383" w:rsidRPr="00D43575">
        <w:t>.</w:t>
      </w:r>
      <w:r w:rsidRPr="00D43575">
        <w:t xml:space="preserve"> En el caso de los hombres, la cifra se redujo de 24,2 por cada 1</w:t>
      </w:r>
      <w:r w:rsidR="00083383" w:rsidRPr="00D43575">
        <w:t>.</w:t>
      </w:r>
      <w:r w:rsidRPr="00D43575">
        <w:t>000 habitantes de 15 años de edad en adelante en 2010 a 23,8 en 2016</w:t>
      </w:r>
      <w:r w:rsidR="00083383" w:rsidRPr="00D43575">
        <w:t>.</w:t>
      </w:r>
      <w:r w:rsidRPr="00D43575">
        <w:t xml:space="preserve"> Esta disminución puede atribuirse al aumento del nivel educativo de las mujeres y a su ingreso en el mercado de trabajo</w:t>
      </w:r>
      <w:r w:rsidR="00083383" w:rsidRPr="00D43575">
        <w:t>.</w:t>
      </w:r>
      <w:r w:rsidRPr="00D43575">
        <w:t xml:space="preserve"> </w:t>
      </w:r>
      <w:r w:rsidRPr="00D43575">
        <w:lastRenderedPageBreak/>
        <w:t>El indicador de la edad media al contraer el primer matrimonio revela un leve descenso en los hombres, acompañado de un aumento en el caso de las mujeres durant</w:t>
      </w:r>
      <w:r w:rsidR="00170894" w:rsidRPr="00D43575">
        <w:t>e el período 2010</w:t>
      </w:r>
      <w:r w:rsidR="00083383" w:rsidRPr="00D43575">
        <w:noBreakHyphen/>
      </w:r>
      <w:r w:rsidR="00170894" w:rsidRPr="00D43575">
        <w:t>2016</w:t>
      </w:r>
      <w:r w:rsidR="00083383" w:rsidRPr="00D43575">
        <w:t>.</w:t>
      </w:r>
      <w:r w:rsidR="00170894" w:rsidRPr="00D43575">
        <w:t xml:space="preserve"> En 2010</w:t>
      </w:r>
      <w:r w:rsidRPr="00D43575">
        <w:t xml:space="preserve"> fue de 26,5 en el caso de</w:t>
      </w:r>
      <w:r w:rsidR="00083383" w:rsidRPr="00D43575">
        <w:t xml:space="preserve"> </w:t>
      </w:r>
      <w:r w:rsidRPr="00D43575">
        <w:t>los</w:t>
      </w:r>
      <w:r w:rsidR="00083383" w:rsidRPr="00D43575">
        <w:t xml:space="preserve"> </w:t>
      </w:r>
      <w:r w:rsidRPr="00D43575">
        <w:t>hombres y de 23,9 en el de las mujeres, y en 2016 fue de 26,3 y 24,1, respectivamente</w:t>
      </w:r>
      <w:r w:rsidR="00083383" w:rsidRPr="00D43575">
        <w:t>.</w:t>
      </w:r>
    </w:p>
    <w:p w14:paraId="7CFD2F30" w14:textId="7F5C4E1A" w:rsidR="008D2F10" w:rsidRPr="00D43575" w:rsidRDefault="008D2F10" w:rsidP="001D1AD0">
      <w:pPr>
        <w:pStyle w:val="SingleTxt"/>
        <w:numPr>
          <w:ilvl w:val="0"/>
          <w:numId w:val="10"/>
        </w:numPr>
        <w:ind w:left="1267" w:firstLine="0"/>
      </w:pPr>
      <w:r w:rsidRPr="00D43575">
        <w:t>En cuanto a los grupos de edad de los cónyuges, se produjo un aumento evidente entre los cónyuges varones no qataríes de 20 a 29 años, en comparación con la de los qataríes</w:t>
      </w:r>
      <w:r w:rsidR="00083383" w:rsidRPr="00D43575">
        <w:t>.</w:t>
      </w:r>
      <w:r w:rsidRPr="00D43575">
        <w:t xml:space="preserve"> El porcentaje de cónyuges varones de este grupo de edad fue del 66,1% del total de cónyuges varones qataríes, frente al 51,8% del total de cónyuges varones no qataríes</w:t>
      </w:r>
      <w:r w:rsidR="00083383" w:rsidRPr="00D43575">
        <w:t>.</w:t>
      </w:r>
      <w:r w:rsidRPr="00D43575">
        <w:t xml:space="preserve"> Del mismo modo, el porcentaje de cónyuges varones de 30 a 39 años aumentó entre los no qataríes: alcanzó el 36,8% del total, mientras que los cónyuges varones de ese mismo grupo de edad representaron solo el 22,2% entre los qataríes</w:t>
      </w:r>
      <w:r w:rsidR="00083383" w:rsidRPr="00D43575">
        <w:t>.</w:t>
      </w:r>
    </w:p>
    <w:p w14:paraId="18084637" w14:textId="7F7629CB" w:rsidR="008D2F10" w:rsidRPr="00D43575" w:rsidRDefault="008D2F10" w:rsidP="001D1AD0">
      <w:pPr>
        <w:pStyle w:val="SingleTxt"/>
        <w:numPr>
          <w:ilvl w:val="0"/>
          <w:numId w:val="10"/>
        </w:numPr>
        <w:ind w:left="1267" w:firstLine="0"/>
      </w:pPr>
      <w:r w:rsidRPr="00D43575">
        <w:t>También se produjo un aumento notable de las edades de las cónyuges no qataríes con respecto a las qataríes</w:t>
      </w:r>
      <w:r w:rsidR="00083383" w:rsidRPr="00D43575">
        <w:t>.</w:t>
      </w:r>
      <w:r w:rsidRPr="00D43575">
        <w:t xml:space="preserve"> El porcentaje de esposas qataríes de 20 a 29</w:t>
      </w:r>
      <w:r w:rsidR="00083383" w:rsidRPr="00D43575">
        <w:t xml:space="preserve"> </w:t>
      </w:r>
      <w:r w:rsidRPr="00D43575">
        <w:t>años fue mayor que el porcentaje de las no qataríes de ese mismo grupo de edad:</w:t>
      </w:r>
      <w:r w:rsidR="00083383" w:rsidRPr="00D43575">
        <w:t xml:space="preserve"> </w:t>
      </w:r>
      <w:r w:rsidRPr="00D43575">
        <w:t>alcanzó el 65,5% del total, mientras que las cónyuges no qataríes representaron el 61,3%</w:t>
      </w:r>
      <w:r w:rsidR="00083383" w:rsidRPr="00D43575">
        <w:t>.</w:t>
      </w:r>
    </w:p>
    <w:p w14:paraId="107A768A" w14:textId="518EDE8C" w:rsidR="008D2F10" w:rsidRPr="00D43575" w:rsidRDefault="008D2F10" w:rsidP="001D1AD0">
      <w:pPr>
        <w:pStyle w:val="SingleTxt"/>
        <w:numPr>
          <w:ilvl w:val="0"/>
          <w:numId w:val="10"/>
        </w:numPr>
        <w:ind w:left="1267" w:firstLine="0"/>
      </w:pPr>
      <w:r w:rsidRPr="00D43575">
        <w:t>Asimismo, se puede apreciar un aumento en el porcentaje de cónyuges mujeres no qataríes de 30 a 39 años, que fue del 22,4%, en comparación con las cónyuges qataríes de ese mismo grupo de edad, que representaron el 14,9% del total de cónyuges qataríes</w:t>
      </w:r>
      <w:r w:rsidR="00083383" w:rsidRPr="00D43575">
        <w:t>.</w:t>
      </w:r>
      <w:r w:rsidRPr="00D43575">
        <w:t xml:space="preserve"> Observamos, además, una ligera disparidad en los porcentajes correspondientes al grupo de edad de 40 a 49 años entre los qataríes y no qataríes</w:t>
      </w:r>
      <w:r w:rsidR="00083383" w:rsidRPr="00D43575">
        <w:t>.</w:t>
      </w:r>
      <w:r w:rsidRPr="00D43575">
        <w:t xml:space="preserve"> Dichos porcentajes fueron del 4,4% y el 6%, respectivamente</w:t>
      </w:r>
      <w:r w:rsidR="00083383" w:rsidRPr="00D43575">
        <w:t>.</w:t>
      </w:r>
    </w:p>
    <w:p w14:paraId="45223558" w14:textId="77777777" w:rsidR="008949CC" w:rsidRPr="00D43575" w:rsidRDefault="008949CC" w:rsidP="008949CC">
      <w:pPr>
        <w:pStyle w:val="SingleTxt"/>
        <w:spacing w:after="0" w:line="120" w:lineRule="exact"/>
        <w:rPr>
          <w:sz w:val="10"/>
        </w:rPr>
      </w:pPr>
    </w:p>
    <w:p w14:paraId="4C654710" w14:textId="5CBD31F5" w:rsidR="008D2F10" w:rsidRPr="00D43575" w:rsidRDefault="008D2F10" w:rsidP="008D2F10">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r>
      <w:r w:rsidR="009A1D77">
        <w:rPr>
          <w:b w:val="0"/>
          <w:bCs w:val="0"/>
          <w:szCs w:val="20"/>
        </w:rPr>
        <w:t>Figura 8</w:t>
      </w:r>
      <w:r w:rsidR="004C037A" w:rsidRPr="00D43575">
        <w:rPr>
          <w:b w:val="0"/>
          <w:bCs w:val="0"/>
          <w:szCs w:val="20"/>
        </w:rPr>
        <w:t xml:space="preserve"> </w:t>
      </w:r>
      <w:r w:rsidR="004C037A" w:rsidRPr="00D43575">
        <w:rPr>
          <w:b w:val="0"/>
          <w:bCs w:val="0"/>
          <w:szCs w:val="20"/>
        </w:rPr>
        <w:br/>
      </w:r>
      <w:r w:rsidRPr="00D43575">
        <w:rPr>
          <w:bCs w:val="0"/>
          <w:szCs w:val="20"/>
        </w:rPr>
        <w:t>Edad media al contraer el primer matrimonio, por nacionalidad y sexo, de</w:t>
      </w:r>
      <w:r w:rsidR="00083383" w:rsidRPr="00D43575">
        <w:rPr>
          <w:bCs w:val="0"/>
          <w:szCs w:val="20"/>
        </w:rPr>
        <w:t xml:space="preserve"> </w:t>
      </w:r>
      <w:r w:rsidRPr="00D43575">
        <w:rPr>
          <w:bCs w:val="0"/>
          <w:szCs w:val="20"/>
        </w:rPr>
        <w:t>2009</w:t>
      </w:r>
      <w:r w:rsidR="00083383" w:rsidRPr="00D43575">
        <w:rPr>
          <w:bCs w:val="0"/>
          <w:szCs w:val="20"/>
        </w:rPr>
        <w:t xml:space="preserve"> </w:t>
      </w:r>
      <w:r w:rsidRPr="00D43575">
        <w:rPr>
          <w:bCs w:val="0"/>
          <w:szCs w:val="20"/>
        </w:rPr>
        <w:t>a</w:t>
      </w:r>
      <w:r w:rsidR="00083383" w:rsidRPr="00D43575">
        <w:rPr>
          <w:bCs w:val="0"/>
          <w:szCs w:val="20"/>
        </w:rPr>
        <w:t xml:space="preserve"> </w:t>
      </w:r>
      <w:r w:rsidRPr="00D43575">
        <w:rPr>
          <w:bCs w:val="0"/>
          <w:szCs w:val="20"/>
        </w:rPr>
        <w:t>2016</w:t>
      </w:r>
    </w:p>
    <w:p w14:paraId="6463FF56" w14:textId="77777777" w:rsidR="00911F53" w:rsidRPr="00D43575" w:rsidRDefault="00911F53" w:rsidP="00911F53">
      <w:pPr>
        <w:pStyle w:val="SingleTxt"/>
        <w:spacing w:after="0" w:line="120" w:lineRule="exact"/>
        <w:rPr>
          <w:sz w:val="10"/>
        </w:rPr>
      </w:pPr>
    </w:p>
    <w:p w14:paraId="6B476DDE" w14:textId="77777777" w:rsidR="008D2F10" w:rsidRPr="007D60C1" w:rsidRDefault="00511E13" w:rsidP="00911F53">
      <w:pPr>
        <w:pStyle w:val="SingleTxt"/>
        <w:spacing w:line="240" w:lineRule="atLeast"/>
        <w:rPr>
          <w:lang w:eastAsia="es-ES"/>
        </w:rPr>
      </w:pPr>
      <w:r w:rsidRPr="000F625D">
        <w:rPr>
          <w:noProof/>
          <w:lang w:eastAsia="es-ES"/>
        </w:rPr>
        <w:drawing>
          <wp:inline distT="0" distB="0" distL="0" distR="0" wp14:anchorId="506F3329" wp14:editId="550A9638">
            <wp:extent cx="4663440" cy="2398341"/>
            <wp:effectExtent l="0" t="0" r="3810" b="254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4663440" cy="2398341"/>
                    </a:xfrm>
                    <a:prstGeom prst="rect">
                      <a:avLst/>
                    </a:prstGeom>
                    <a:noFill/>
                    <a:ln>
                      <a:noFill/>
                    </a:ln>
                    <a:extLst>
                      <a:ext uri="{53640926-AAD7-44D8-BBD7-CCE9431645EC}">
                        <a14:shadowObscured xmlns:a14="http://schemas.microsoft.com/office/drawing/2010/main"/>
                      </a:ext>
                    </a:extLst>
                  </pic:spPr>
                </pic:pic>
              </a:graphicData>
            </a:graphic>
          </wp:inline>
        </w:drawing>
      </w:r>
    </w:p>
    <w:p w14:paraId="2E4EBF82" w14:textId="77777777" w:rsidR="00511E13" w:rsidRPr="009D5F93" w:rsidRDefault="00511E13" w:rsidP="00511E13">
      <w:pPr>
        <w:pStyle w:val="SingleTxt"/>
        <w:spacing w:after="0" w:line="120" w:lineRule="exact"/>
        <w:rPr>
          <w:sz w:val="10"/>
        </w:rPr>
      </w:pPr>
    </w:p>
    <w:p w14:paraId="1E159A65" w14:textId="21A86EF1" w:rsidR="008D2F10" w:rsidRPr="00D43575" w:rsidRDefault="008D2F10" w:rsidP="001052F1">
      <w:pPr>
        <w:pStyle w:val="FootnoteText"/>
        <w:widowControl w:val="0"/>
        <w:tabs>
          <w:tab w:val="clear" w:pos="418"/>
          <w:tab w:val="right" w:pos="1476"/>
          <w:tab w:val="left" w:pos="1548"/>
          <w:tab w:val="right" w:pos="1836"/>
          <w:tab w:val="left" w:pos="1908"/>
        </w:tabs>
        <w:ind w:left="1548" w:right="1267" w:hanging="288"/>
        <w:rPr>
          <w:rFonts w:eastAsiaTheme="minorHAnsi"/>
          <w:iCs/>
          <w:w w:val="103"/>
          <w:kern w:val="14"/>
          <w:szCs w:val="20"/>
        </w:rPr>
      </w:pPr>
      <w:r w:rsidRPr="00D43575">
        <w:rPr>
          <w:rFonts w:eastAsiaTheme="minorHAnsi"/>
          <w:i/>
          <w:iCs/>
          <w:w w:val="103"/>
          <w:kern w:val="14"/>
          <w:szCs w:val="20"/>
        </w:rPr>
        <w:t xml:space="preserve">Fuente: </w:t>
      </w:r>
      <w:r w:rsidRPr="00D43575">
        <w:rPr>
          <w:rFonts w:eastAsiaTheme="minorHAnsi"/>
          <w:iCs/>
          <w:w w:val="103"/>
          <w:kern w:val="14"/>
          <w:szCs w:val="20"/>
        </w:rPr>
        <w:t>Informe Nacional sobre Matrimonios y Divorcios de 2016, Ministerio de Planificación del Desarrollo y Estadísticas</w:t>
      </w:r>
      <w:r w:rsidR="00083383" w:rsidRPr="00D43575">
        <w:rPr>
          <w:rFonts w:eastAsiaTheme="minorHAnsi"/>
          <w:iCs/>
          <w:w w:val="103"/>
          <w:kern w:val="14"/>
          <w:szCs w:val="20"/>
        </w:rPr>
        <w:t>.</w:t>
      </w:r>
    </w:p>
    <w:p w14:paraId="3DD0E910" w14:textId="77777777" w:rsidR="008D2F10" w:rsidRPr="00D43575" w:rsidRDefault="008D2F10" w:rsidP="006820D1">
      <w:pPr>
        <w:pStyle w:val="SingleTxt"/>
        <w:spacing w:after="0" w:line="120" w:lineRule="exact"/>
        <w:rPr>
          <w:sz w:val="10"/>
        </w:rPr>
      </w:pPr>
    </w:p>
    <w:p w14:paraId="1289D286" w14:textId="2D7FF92A" w:rsidR="008D2F10" w:rsidRPr="00D43575" w:rsidRDefault="008D2F10" w:rsidP="001D1AD0">
      <w:pPr>
        <w:pStyle w:val="SingleTxt"/>
        <w:numPr>
          <w:ilvl w:val="0"/>
          <w:numId w:val="10"/>
        </w:numPr>
        <w:ind w:left="1267" w:firstLine="0"/>
      </w:pPr>
      <w:r w:rsidRPr="00D43575">
        <w:t>El modelo del Estado orientado hacia el desarrollo, que se basa en las alianzas y la colaboración de diversos sectores, ha registrado avances notables</w:t>
      </w:r>
      <w:r w:rsidR="00083383" w:rsidRPr="00D43575">
        <w:t>.</w:t>
      </w:r>
      <w:r w:rsidRPr="00D43575">
        <w:t xml:space="preserve"> En los últimos años se ha reforzado y mejorado gracias a un concepto de aplicación más inclusivo, con la creación de instituciones y organizaciones de la sociedad civil independientes</w:t>
      </w:r>
      <w:r w:rsidR="00083383" w:rsidRPr="00D43575">
        <w:t>.</w:t>
      </w:r>
      <w:r w:rsidRPr="00D43575">
        <w:t xml:space="preserve"> En este sentido, la Qatar Social Work Foundation ha seguido de cerca las iniciativas de las organizaciones de la sociedad civil orientadas a aplicar los convenios internacionales relacionados con sus objetivos</w:t>
      </w:r>
      <w:r w:rsidR="00083383" w:rsidRPr="00D43575">
        <w:t>.</w:t>
      </w:r>
      <w:r w:rsidRPr="00D43575">
        <w:t xml:space="preserve"> Se ocupa, además, de cooperar con los centros que contribuyen al cumplimiento de las obligaciones derivadas de dichos convenios</w:t>
      </w:r>
      <w:r w:rsidR="00083383" w:rsidRPr="00D43575">
        <w:t>.</w:t>
      </w:r>
      <w:r w:rsidRPr="00D43575">
        <w:t xml:space="preserve"> El Centro de Información Familiar, de conformidad con los objetivos para </w:t>
      </w:r>
      <w:r w:rsidRPr="00D43575">
        <w:lastRenderedPageBreak/>
        <w:t>los que fue creado, se compromete a contribuir al fortalecimiento del matrimonio y los vínculos familiares y a reducir las rupturas familiares</w:t>
      </w:r>
      <w:r w:rsidR="00083383" w:rsidRPr="00D43575">
        <w:t>.</w:t>
      </w:r>
      <w:r w:rsidRPr="00D43575">
        <w:t xml:space="preserve"> Su labor consiste en respaldar y fomentar un matrimonio positivo e igualitario contraído libremente y sin deficiencias jurídicas en lo que al requisito de consentimiento o plena capacidad jurídica de los cónyuges se refiere, de conformidad con lo dispuesto en la Ley de Familia y las normas sociales aceptadas, y en hacer frente a los diversos aspectos de la disolución de la familia y a los factores que la desvirtúan y debilitan</w:t>
      </w:r>
      <w:r w:rsidR="00083383" w:rsidRPr="00D43575">
        <w:t>.</w:t>
      </w:r>
      <w:r w:rsidRPr="00D43575">
        <w:t xml:space="preserve"> Este centro ha realizado avances en la eliminación de la práctica del matrimonio forzado y la reducción de los riesgos del matrimonio precoz</w:t>
      </w:r>
      <w:r w:rsidR="00083383" w:rsidRPr="00D43575">
        <w:t>.</w:t>
      </w:r>
    </w:p>
    <w:p w14:paraId="4C5E0BA3" w14:textId="2B07EEBE" w:rsidR="008D2F10" w:rsidRPr="00D43575" w:rsidRDefault="008D2F10" w:rsidP="001D1AD0">
      <w:pPr>
        <w:pStyle w:val="SingleTxt"/>
        <w:numPr>
          <w:ilvl w:val="0"/>
          <w:numId w:val="10"/>
        </w:numPr>
        <w:ind w:left="1267" w:firstLine="0"/>
      </w:pPr>
      <w:r w:rsidRPr="00D43575">
        <w:t>Hace años, como parte de sus planes de desarrollo, el Centro de Información Familiar aprobó un proyecto de formación dirigido a las personas que tuvieran intención de casarse</w:t>
      </w:r>
      <w:r w:rsidR="00083383" w:rsidRPr="00D43575">
        <w:t>.</w:t>
      </w:r>
      <w:r w:rsidRPr="00D43575">
        <w:t xml:space="preserve"> Se pusieron en marcha varias de las actividades previstas en relación con ese proyecto</w:t>
      </w:r>
      <w:r w:rsidR="00083383" w:rsidRPr="00D43575">
        <w:t>.</w:t>
      </w:r>
      <w:r w:rsidRPr="00D43575">
        <w:t xml:space="preserve"> Entre ellas cabe destacar conferencias de sensibilización dirigidas a los jóvenes de ambos sexos en edad para contraer matrimonio; talleres de capacitación para animar a los jóvenes a contraer matrimonio; y cursos preparatorios para las personas que tuvieran la intención de casarse, en cooperación con el Ministerio de Desarrollo Administrativo, Trabajo y Asuntos Sociales</w:t>
      </w:r>
      <w:r w:rsidR="00083383" w:rsidRPr="00D43575">
        <w:t>.</w:t>
      </w:r>
    </w:p>
    <w:p w14:paraId="4EF14574" w14:textId="36B15EA5" w:rsidR="008D2F10" w:rsidRPr="00D43575" w:rsidRDefault="008D2F10" w:rsidP="001D1AD0">
      <w:pPr>
        <w:pStyle w:val="SingleTxt"/>
        <w:numPr>
          <w:ilvl w:val="0"/>
          <w:numId w:val="10"/>
        </w:numPr>
        <w:ind w:left="1267" w:firstLine="0"/>
      </w:pPr>
      <w:r w:rsidRPr="00D43575">
        <w:t>Las estadísticas recientes sobre las tasas de divorcio en la población qatarí apuntan a una disminución de 10,9 divorcios por cada 1</w:t>
      </w:r>
      <w:r w:rsidR="00083383" w:rsidRPr="00D43575">
        <w:t>.</w:t>
      </w:r>
      <w:r w:rsidRPr="00D43575">
        <w:t>000 matrimonios en 2008 a 8,3 divorcios por cada 1</w:t>
      </w:r>
      <w:r w:rsidR="00083383" w:rsidRPr="00D43575">
        <w:t>.</w:t>
      </w:r>
      <w:r w:rsidRPr="00D43575">
        <w:t>000 matrimonios en 2016 en el caso de los hombres, y de 9,3 a 6,8 en el caso de las mujeres durante ese mismo período</w:t>
      </w:r>
      <w:r w:rsidR="00083383" w:rsidRPr="00D43575">
        <w:t>.</w:t>
      </w:r>
    </w:p>
    <w:p w14:paraId="190259CC" w14:textId="77777777" w:rsidR="00911F53" w:rsidRPr="00D43575" w:rsidRDefault="00911F53" w:rsidP="00911F53">
      <w:pPr>
        <w:pStyle w:val="SingleTxt"/>
        <w:spacing w:after="0" w:line="120" w:lineRule="exact"/>
        <w:rPr>
          <w:sz w:val="10"/>
        </w:rPr>
      </w:pPr>
    </w:p>
    <w:p w14:paraId="0A3B94BF" w14:textId="77777777" w:rsidR="008D2F10" w:rsidRPr="00D43575" w:rsidRDefault="008D2F10" w:rsidP="00F86CDA">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Parte III</w:t>
      </w:r>
      <w:r w:rsidR="008D2A50" w:rsidRPr="00D43575">
        <w:rPr>
          <w:bCs w:val="0"/>
          <w:szCs w:val="20"/>
        </w:rPr>
        <w:t xml:space="preserve"> </w:t>
      </w:r>
      <w:r w:rsidR="008D2A50" w:rsidRPr="00D43575">
        <w:rPr>
          <w:bCs w:val="0"/>
          <w:szCs w:val="20"/>
        </w:rPr>
        <w:br/>
      </w:r>
      <w:r w:rsidRPr="00D43575">
        <w:rPr>
          <w:bCs w:val="0"/>
          <w:szCs w:val="20"/>
        </w:rPr>
        <w:t>Retos y orientaciones futuras</w:t>
      </w:r>
    </w:p>
    <w:p w14:paraId="2AC60841" w14:textId="77777777" w:rsidR="005B7E35" w:rsidRPr="00D43575" w:rsidRDefault="005B7E35" w:rsidP="00911F53">
      <w:pPr>
        <w:pStyle w:val="SingleTxt"/>
        <w:spacing w:after="0" w:line="120" w:lineRule="exact"/>
        <w:rPr>
          <w:sz w:val="10"/>
        </w:rPr>
      </w:pPr>
    </w:p>
    <w:p w14:paraId="0A37672E" w14:textId="0DF9259D" w:rsidR="008D2F10" w:rsidRPr="00D43575" w:rsidRDefault="008D2F10" w:rsidP="001D1AD0">
      <w:pPr>
        <w:pStyle w:val="SingleTxt"/>
        <w:numPr>
          <w:ilvl w:val="0"/>
          <w:numId w:val="10"/>
        </w:numPr>
        <w:ind w:left="1267" w:firstLine="0"/>
      </w:pPr>
      <w:r w:rsidRPr="00D43575">
        <w:t>Esta sección estudia los retos a que se ha de hacer frente al aplicar ciertas disposiciones de la Convención, cumplir las recomendaciones formuladas al respecto y elaborar propuestas futuras en favor del adelanto de la mujer en todos los ámbitos</w:t>
      </w:r>
      <w:r w:rsidR="00083383" w:rsidRPr="00D43575">
        <w:t>.</w:t>
      </w:r>
    </w:p>
    <w:p w14:paraId="0A7E00B8" w14:textId="77777777" w:rsidR="008D2F10" w:rsidRPr="00D43575" w:rsidRDefault="008D2F10" w:rsidP="00911F53">
      <w:pPr>
        <w:pStyle w:val="SingleTxt"/>
        <w:spacing w:after="0" w:line="120" w:lineRule="exact"/>
        <w:rPr>
          <w:sz w:val="10"/>
        </w:rPr>
      </w:pPr>
    </w:p>
    <w:p w14:paraId="1EEE3E61" w14:textId="77777777" w:rsidR="008D2F10" w:rsidRPr="00D43575" w:rsidRDefault="008D2F10" w:rsidP="00882D62">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El injusto bloqueo impuesto actualmente a Qatar</w:t>
      </w:r>
    </w:p>
    <w:p w14:paraId="34DBD72C" w14:textId="77777777" w:rsidR="008D2F10" w:rsidRPr="00D43575" w:rsidRDefault="008D2F10" w:rsidP="00911F53">
      <w:pPr>
        <w:pStyle w:val="SingleTxt"/>
        <w:spacing w:after="0" w:line="120" w:lineRule="exact"/>
        <w:rPr>
          <w:sz w:val="10"/>
        </w:rPr>
      </w:pPr>
    </w:p>
    <w:p w14:paraId="70DA74D8" w14:textId="0CF38B63" w:rsidR="008D2F10" w:rsidRPr="00D43575" w:rsidRDefault="008D2F10" w:rsidP="001D1AD0">
      <w:pPr>
        <w:pStyle w:val="SingleTxt"/>
        <w:numPr>
          <w:ilvl w:val="0"/>
          <w:numId w:val="10"/>
        </w:numPr>
        <w:ind w:left="1267" w:firstLine="0"/>
      </w:pPr>
      <w:r w:rsidRPr="00D43575">
        <w:t>Desde principios de junio de 2017, el Estado de Qatar ha sido sometido a una serie de medidas coercitivas unilaterales y a un bloqueo injusto por parte de algunos Estados de la región</w:t>
      </w:r>
      <w:r w:rsidR="00083383" w:rsidRPr="00D43575">
        <w:t>.</w:t>
      </w:r>
      <w:r w:rsidRPr="00D43575">
        <w:t xml:space="preserve"> Esta situación ha dado lugar a que se produzcan violaciones graves y persistentes de los derechos humanos y, en particular, de los derechos de la mujer</w:t>
      </w:r>
      <w:r w:rsidR="00083383" w:rsidRPr="00D43575">
        <w:t>.</w:t>
      </w:r>
      <w:r w:rsidRPr="00D43575">
        <w:t xml:space="preserve"> Hasta la fecha, el Comité Nacional de Derechos Humanos ha registrado 3</w:t>
      </w:r>
      <w:r w:rsidR="00083383" w:rsidRPr="00D43575">
        <w:t>.</w:t>
      </w:r>
      <w:r w:rsidRPr="00D43575">
        <w:t>446 denuncias de violaciones de derechos humanos relacionadas con la libertad de circulación, la libertad de residencia, la libertad de posesión de propiedades, el derecho a trabajar, el derecho a la educación, el derecho a la libertad de opinión y de expresión, el derecho a la salud, el derecho a la libertad de creencias, el derecho al desarrollo y otras violaciones en el plano social que guardan relación con que haya familias divididas, lo cual resulta ser la más abominable forma de violación</w:t>
      </w:r>
      <w:r w:rsidR="00083383" w:rsidRPr="00D43575">
        <w:t>.</w:t>
      </w:r>
      <w:r w:rsidRPr="00D43575">
        <w:t xml:space="preserve"> Las estadísticas indican que hay 5</w:t>
      </w:r>
      <w:r w:rsidR="00083383" w:rsidRPr="00D43575">
        <w:t>.</w:t>
      </w:r>
      <w:r w:rsidRPr="00D43575">
        <w:t>137 hombres qataríes casados con mujeres con nacionalidad de la Arabia Saudita, los Emiratos Árabes Unidos y Bahrein, así como 1</w:t>
      </w:r>
      <w:r w:rsidR="00083383" w:rsidRPr="00D43575">
        <w:t>.</w:t>
      </w:r>
      <w:r w:rsidRPr="00D43575">
        <w:t>337 mujeres qataríes casadas con hombres procedentes de estos tres países, que se han visto afectados por tales decisiones</w:t>
      </w:r>
      <w:r w:rsidR="00083383" w:rsidRPr="00D43575">
        <w:t>.</w:t>
      </w:r>
      <w:r w:rsidRPr="00D43575">
        <w:t xml:space="preserve"> A fin de exigir compensación por las repercusiones del bloqueo impuesto al Estado de Qatar, se ha creado una comisión que actuará como órgano central para atender y examinar los casos de personas afectadas y determinar la manera más adecuada de abordar cada caso</w:t>
      </w:r>
      <w:r w:rsidR="00083383" w:rsidRPr="00D43575">
        <w:t>.</w:t>
      </w:r>
    </w:p>
    <w:p w14:paraId="07C175B6" w14:textId="66923FF9" w:rsidR="008D2F10" w:rsidRPr="00D43575" w:rsidRDefault="008D2F10" w:rsidP="001D1AD0">
      <w:pPr>
        <w:pStyle w:val="SingleTxt"/>
        <w:numPr>
          <w:ilvl w:val="0"/>
          <w:numId w:val="10"/>
        </w:numPr>
        <w:ind w:left="1267" w:firstLine="0"/>
      </w:pPr>
      <w:r w:rsidRPr="00D43575">
        <w:t>El Comité Nacional de Derechos Humanos ha documentado varios casos de mujeres qataríes que se han visto obligadas a abandonar el territorio de esos tres países sin sus hijos, quienes ostentan la nacionalidad de esos países</w:t>
      </w:r>
      <w:r w:rsidR="00083383" w:rsidRPr="00D43575">
        <w:t>.</w:t>
      </w:r>
      <w:r w:rsidRPr="00D43575">
        <w:t xml:space="preserve"> Además, se ha ordenado a algunas mujeres nacionales de esos tres Estados casadas con hombres qataríes que abandonen el Estado de Qatar, viéndose obligadas a abandonar a sus hijos y esposos </w:t>
      </w:r>
      <w:r w:rsidRPr="00D43575">
        <w:lastRenderedPageBreak/>
        <w:t>qataríes</w:t>
      </w:r>
      <w:r w:rsidR="00083383" w:rsidRPr="00D43575">
        <w:t>.</w:t>
      </w:r>
      <w:r w:rsidRPr="00D43575">
        <w:t xml:space="preserve"> La prohibición de viajar y las expulsiones forzosas decretadas por los Gobiernos de los tres países han ocasionado un grave trauma psicológico, especialmente a las mujeres y los niños que han sido separados de sus familias</w:t>
      </w:r>
      <w:r w:rsidR="00083383" w:rsidRPr="00D43575">
        <w:t>.</w:t>
      </w:r>
      <w:r w:rsidRPr="00D43575">
        <w:t xml:space="preserve"> A menos que se ponga fin pronto a estas medidas coercitivas injustificadas, podrían derivarse consecuencias de mayor alcance, por destruir el tejido social y romper los vínculos familiares</w:t>
      </w:r>
      <w:r w:rsidR="00083383" w:rsidRPr="00D43575">
        <w:t>.</w:t>
      </w:r>
    </w:p>
    <w:p w14:paraId="23CD88AE" w14:textId="77777777" w:rsidR="008D2F10" w:rsidRPr="00D43575" w:rsidRDefault="008D2F10" w:rsidP="00893B9A">
      <w:pPr>
        <w:pStyle w:val="SingleTxt"/>
        <w:spacing w:after="0" w:line="120" w:lineRule="exact"/>
        <w:rPr>
          <w:sz w:val="10"/>
        </w:rPr>
      </w:pPr>
    </w:p>
    <w:p w14:paraId="1F015294" w14:textId="77777777" w:rsidR="008D2F10" w:rsidRPr="00D43575" w:rsidRDefault="008D2F10" w:rsidP="00882D62">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Retos y orientaciones futuras</w:t>
      </w:r>
    </w:p>
    <w:p w14:paraId="10C9C9AA" w14:textId="77777777" w:rsidR="008D2F10" w:rsidRPr="00D43575" w:rsidRDefault="008D2F10" w:rsidP="00893B9A">
      <w:pPr>
        <w:pStyle w:val="SingleTxt"/>
        <w:spacing w:after="0" w:line="120" w:lineRule="exact"/>
        <w:rPr>
          <w:sz w:val="10"/>
        </w:rPr>
      </w:pPr>
    </w:p>
    <w:p w14:paraId="44019FCE" w14:textId="07D43845" w:rsidR="00083383" w:rsidRPr="00D43575" w:rsidRDefault="008D2F10" w:rsidP="001D1AD0">
      <w:pPr>
        <w:pStyle w:val="SingleTxt"/>
        <w:numPr>
          <w:ilvl w:val="0"/>
          <w:numId w:val="10"/>
        </w:numPr>
        <w:ind w:left="1267" w:firstLine="0"/>
      </w:pPr>
      <w:r w:rsidRPr="00D43575">
        <w:t>El Estado ha realizado numerosas mejoras legislativas, institucionales y en materia de sensibilización en lo referente a la aplicación de las disposiciones de la Convención y el cumplimiento de las observaciones y recomendaciones del Comité a raíz del informe inicial del Estado parte</w:t>
      </w:r>
      <w:r w:rsidR="00083383" w:rsidRPr="00D43575">
        <w:t>.</w:t>
      </w:r>
      <w:r w:rsidRPr="00D43575">
        <w:t xml:space="preserve"> No obstante, son muchos los desafíos que todavía tiene que afrontar</w:t>
      </w:r>
      <w:r w:rsidR="00083383" w:rsidRPr="00D43575">
        <w:t>.</w:t>
      </w:r>
      <w:r w:rsidRPr="00D43575">
        <w:t xml:space="preserve"> Entre ellos cabe destacar el aumento espectacular y sin precedentes de la población de más del 100% en los últimos años, así como la naturaleza reciente de los avances legislativos e institucionales</w:t>
      </w:r>
      <w:r w:rsidR="00083383" w:rsidRPr="00D43575">
        <w:t>.</w:t>
      </w:r>
    </w:p>
    <w:p w14:paraId="4486B62A" w14:textId="72D1B14F" w:rsidR="008D2F10" w:rsidRPr="00D43575" w:rsidRDefault="008D2F10" w:rsidP="001D1AD0">
      <w:pPr>
        <w:pStyle w:val="SingleTxt"/>
        <w:numPr>
          <w:ilvl w:val="0"/>
          <w:numId w:val="10"/>
        </w:numPr>
        <w:ind w:left="1267" w:firstLine="0"/>
      </w:pPr>
      <w:r w:rsidRPr="00D43575">
        <w:t>El hecho de que varias mujeres qataríes asumieran en 2017 el cargo de miembros del Consejo Consultivo garantizará que diversos sectores de la sociedad estén representados en el poder legislativo del Estado</w:t>
      </w:r>
      <w:r w:rsidR="00083383" w:rsidRPr="00D43575">
        <w:t>.</w:t>
      </w:r>
      <w:r w:rsidRPr="00D43575">
        <w:t xml:space="preserve"> Para ello, será necesario inevitablemente colmar cualquier laguna legislativa relativa a las necesidades de las mujeres a todos los niveles</w:t>
      </w:r>
      <w:r w:rsidR="00083383" w:rsidRPr="00D43575">
        <w:t>.</w:t>
      </w:r>
    </w:p>
    <w:p w14:paraId="7F073621" w14:textId="6B70E951" w:rsidR="008D2F10" w:rsidRPr="00D43575" w:rsidRDefault="008D2F10" w:rsidP="001D1AD0">
      <w:pPr>
        <w:pStyle w:val="SingleTxt"/>
        <w:numPr>
          <w:ilvl w:val="0"/>
          <w:numId w:val="10"/>
        </w:numPr>
        <w:ind w:left="1267" w:firstLine="0"/>
      </w:pPr>
      <w:r w:rsidRPr="00D43575">
        <w:t>La eliminación de los estereotipos sobre el papel de la mujer en la sociedad contribuirá a impulsar el empoderamiento de la mujer</w:t>
      </w:r>
      <w:r w:rsidR="00083383" w:rsidRPr="00D43575">
        <w:t>.</w:t>
      </w:r>
      <w:r w:rsidRPr="00D43575">
        <w:t xml:space="preserve"> El Estado de Qatar pretende cerrar la brecha entre los géneros con miras a brindar a las mujeres mayor acceso a las oportunidades sociales, económicas y políticas</w:t>
      </w:r>
      <w:r w:rsidR="00083383" w:rsidRPr="00D43575">
        <w:t>.</w:t>
      </w:r>
      <w:r w:rsidRPr="00D43575">
        <w:t xml:space="preserve"> Qatar también ha hecho progresos para alentar a las mujeres qataríes a que participen en la vida económica y diversifiquen sus fuentes de ingresos apoyando las iniciativas del Banco Central de Qatar y la Cámara de Comercio e Industria, a fin de reducir los obstáculos y ofrecer oportunidades para que puedan crear empresas económicas</w:t>
      </w:r>
      <w:r w:rsidR="00083383" w:rsidRPr="00D43575">
        <w:t>.</w:t>
      </w:r>
    </w:p>
    <w:p w14:paraId="2FEA6E8E" w14:textId="32E10005" w:rsidR="00083383" w:rsidRPr="00D43575" w:rsidRDefault="008D2F10" w:rsidP="001D1AD0">
      <w:pPr>
        <w:pStyle w:val="SingleTxt"/>
        <w:numPr>
          <w:ilvl w:val="0"/>
          <w:numId w:val="10"/>
        </w:numPr>
        <w:ind w:left="1267" w:firstLine="0"/>
      </w:pPr>
      <w:r w:rsidRPr="00D43575">
        <w:t>Los mecanismos nacionales relacionados con las cuestiones de la mujer están realizando esfuerzos para lograr mayores avances en los procesos de revisión y modificación de la legislación nacional sobre la mujer para armonizarla con los instrumentos internacionales, así como para formular proyectos de ley que promuevan la igualdad de oportunidades y tengan en cuenta las cuestiones de género</w:t>
      </w:r>
      <w:r w:rsidR="00083383" w:rsidRPr="00D43575">
        <w:t>.</w:t>
      </w:r>
      <w:r w:rsidRPr="00D43575">
        <w:t xml:space="preserve"> Si bien en el Estado de Qatar existe la voluntad política de apoyar la adhesión a los convenios internacionales, dada la importancia que revisten para el fortalecimiento y la protección de los derechos de la mujer, su adhesión a varios instrumentos internacionales en un corto período de tiempo ha generado presiones y se ha convertido en una carga para sus órganos legislativos</w:t>
      </w:r>
      <w:r w:rsidR="00083383" w:rsidRPr="00D43575">
        <w:t>.</w:t>
      </w:r>
      <w:r w:rsidRPr="00D43575">
        <w:t xml:space="preserve"> En la actualidad, esto excluye toda posibilidad de adherirse a otros convenios</w:t>
      </w:r>
      <w:r w:rsidR="00083383" w:rsidRPr="00D43575">
        <w:t>.</w:t>
      </w:r>
    </w:p>
    <w:p w14:paraId="7623217D" w14:textId="19C0F4C6" w:rsidR="008D2F10" w:rsidRPr="00D43575" w:rsidRDefault="008D2F10" w:rsidP="00297CB4">
      <w:pPr>
        <w:pStyle w:val="SingleTxt"/>
        <w:keepLines/>
        <w:numPr>
          <w:ilvl w:val="0"/>
          <w:numId w:val="10"/>
        </w:numPr>
        <w:ind w:left="1267" w:firstLine="0"/>
      </w:pPr>
      <w:r w:rsidRPr="00D43575">
        <w:t>De conformidad con el compromiso asumido y la creencia que alberga el Estado en que es importante cumplir sus obligaciones derivadas de la ratificación de los tratados de derechos humanos, Su Excelencia el Vice Primer Ministro y Ministro de Relaciones Exteriores emitió la Decisión núm</w:t>
      </w:r>
      <w:r w:rsidR="00083383" w:rsidRPr="00D43575">
        <w:t>.</w:t>
      </w:r>
      <w:r w:rsidRPr="00D43575">
        <w:t xml:space="preserve"> 44/2017, por la que se creó la División para los Tratados de Derechos Humanos dependiente del Departamento de Derechos Humanos del Ministerio de Relaciones Exteriores</w:t>
      </w:r>
      <w:r w:rsidR="00083383" w:rsidRPr="00D43575">
        <w:t>.</w:t>
      </w:r>
      <w:r w:rsidRPr="00D43575">
        <w:t xml:space="preserve"> Entre otras funciones, esta división se encarga de elaborar planes y propuestas para la aplicación de las recomendaciones formuladas por los mecanismos creados en virtud de tratados y de otra índole en materia de derechos humanos</w:t>
      </w:r>
      <w:r w:rsidR="00083383" w:rsidRPr="00D43575">
        <w:t>.</w:t>
      </w:r>
      <w:r w:rsidRPr="00D43575">
        <w:t xml:space="preserve"> Actualmente, se está preparando un documento básico que sirva de introducción para los informes que se presenten a los órganos creados en virtud de tratados, aplicando así las recomendaciones de los diversos comités de supervisión</w:t>
      </w:r>
      <w:r w:rsidR="00083383" w:rsidRPr="00D43575">
        <w:t>.</w:t>
      </w:r>
    </w:p>
    <w:p w14:paraId="3CC8BFE2" w14:textId="4380090E" w:rsidR="008D2F10" w:rsidRPr="00D43575" w:rsidRDefault="008D2F10" w:rsidP="001D1AD0">
      <w:pPr>
        <w:pStyle w:val="SingleTxt"/>
        <w:numPr>
          <w:ilvl w:val="0"/>
          <w:numId w:val="10"/>
        </w:numPr>
        <w:ind w:left="1267" w:firstLine="0"/>
      </w:pPr>
      <w:r w:rsidRPr="00D43575">
        <w:lastRenderedPageBreak/>
        <w:t>Por decisión del Consejo de Ministros durante su 19ª reunión ordinaria de 2014, el Estado de Qatar está elaborando un plan de acción nacional sobre derechos humanos</w:t>
      </w:r>
      <w:r w:rsidR="00083383" w:rsidRPr="00D43575">
        <w:t>.</w:t>
      </w:r>
      <w:r w:rsidRPr="00D43575">
        <w:t xml:space="preserve"> A fin de preparar el proyecto de plan, se creó un comité nacional presidido por Su Excelencia el Secretario General del Ministerio de Relaciones Exteriores e integrado por miembros de los organismos públicos pertinentes</w:t>
      </w:r>
      <w:r w:rsidR="00083383" w:rsidRPr="00D43575">
        <w:t>.</w:t>
      </w:r>
      <w:r w:rsidRPr="00D43575">
        <w:t xml:space="preserve"> El plan adopta un enfoque claro y práctico para fortalecer y proteger los derechos humanos y puede</w:t>
      </w:r>
      <w:r w:rsidR="00083383" w:rsidRPr="00D43575">
        <w:t xml:space="preserve"> </w:t>
      </w:r>
      <w:r w:rsidRPr="00D43575">
        <w:t>considerarse un instrumento para mejorar la situación de los derechos humanos en el Estado</w:t>
      </w:r>
      <w:r w:rsidR="00083383" w:rsidRPr="00D43575">
        <w:t>.</w:t>
      </w:r>
    </w:p>
    <w:p w14:paraId="7C760429" w14:textId="63745F41" w:rsidR="008D2F10" w:rsidRPr="00D43575" w:rsidRDefault="008D2F10" w:rsidP="001D1AD0">
      <w:pPr>
        <w:pStyle w:val="SingleTxt"/>
        <w:numPr>
          <w:ilvl w:val="0"/>
          <w:numId w:val="10"/>
        </w:numPr>
        <w:ind w:left="1267" w:firstLine="0"/>
      </w:pPr>
      <w:r w:rsidRPr="00D43575">
        <w:t>Sin duda, existe suficiente voluntad política y se dispone de los recursos materiales necesarios para afrontar cualquier reto y trazar una hoja de ruta futura para el empoderamiento de la mujer</w:t>
      </w:r>
      <w:r w:rsidR="00083383" w:rsidRPr="00D43575">
        <w:t>.</w:t>
      </w:r>
    </w:p>
    <w:p w14:paraId="568A8889" w14:textId="77777777" w:rsidR="008D2F10" w:rsidRPr="00D43575" w:rsidRDefault="008D2F10" w:rsidP="00911F53">
      <w:pPr>
        <w:pStyle w:val="SingleTxt"/>
        <w:spacing w:after="0" w:line="120" w:lineRule="exact"/>
        <w:rPr>
          <w:sz w:val="10"/>
        </w:rPr>
      </w:pPr>
    </w:p>
    <w:p w14:paraId="1BA4E27D" w14:textId="77777777" w:rsidR="008D2F10" w:rsidRPr="00D43575" w:rsidRDefault="008D2F10" w:rsidP="00FC6BA7">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D43575">
        <w:rPr>
          <w:bCs w:val="0"/>
          <w:szCs w:val="20"/>
        </w:rPr>
        <w:tab/>
      </w:r>
      <w:r w:rsidRPr="00D43575">
        <w:rPr>
          <w:bCs w:val="0"/>
          <w:szCs w:val="20"/>
        </w:rPr>
        <w:tab/>
        <w:t>Conclusión</w:t>
      </w:r>
    </w:p>
    <w:p w14:paraId="1F918C69" w14:textId="77777777" w:rsidR="008D2F10" w:rsidRPr="00D43575" w:rsidRDefault="008D2F10" w:rsidP="00FC6BA7">
      <w:pPr>
        <w:pStyle w:val="SingleTxt"/>
        <w:keepNext/>
        <w:keepLines/>
        <w:spacing w:after="0" w:line="120" w:lineRule="exact"/>
        <w:rPr>
          <w:sz w:val="10"/>
        </w:rPr>
      </w:pPr>
    </w:p>
    <w:p w14:paraId="2DC4580F" w14:textId="47841423" w:rsidR="008D2F10" w:rsidRPr="00D43575" w:rsidRDefault="008D2F10" w:rsidP="00FC6BA7">
      <w:pPr>
        <w:pStyle w:val="SingleTxt"/>
        <w:keepNext/>
        <w:keepLines/>
        <w:numPr>
          <w:ilvl w:val="0"/>
          <w:numId w:val="10"/>
        </w:numPr>
        <w:ind w:left="1267" w:firstLine="0"/>
      </w:pPr>
      <w:r w:rsidRPr="00D43575">
        <w:t>Se considera que la mujer ha de estar en el centro del desarrollo de la familia qatarí, que es la base de la sociedad</w:t>
      </w:r>
      <w:r w:rsidR="00083383" w:rsidRPr="00D43575">
        <w:t>.</w:t>
      </w:r>
      <w:r w:rsidRPr="00D43575">
        <w:t xml:space="preserve"> Si bien la mujer qatarí se aferra a las tradiciones y a valores como la preservación del idioma, los principios morales, los modelos de comportamiento, los sistemas de valores y las creencias religiosas, es capaz de adaptarse al mismo tiempo a los efectos de la modernización</w:t>
      </w:r>
      <w:r w:rsidR="00083383" w:rsidRPr="00D43575">
        <w:t>.</w:t>
      </w:r>
      <w:r w:rsidRPr="00D43575">
        <w:t xml:space="preserve"> La adhesión del Estado de Qatar a la Convención sobre la Eliminación de Todas las Formas de Discriminación contra la Mujer demuestra la voluntad del Estado de fomentar las capacidades de las mujeres y empoderarlas para que participen activamente en la vida pública, económica y política</w:t>
      </w:r>
      <w:r w:rsidR="00083383" w:rsidRPr="00D43575">
        <w:t>.</w:t>
      </w:r>
      <w:r w:rsidRPr="00D43575">
        <w:t xml:space="preserve"> También garantiza que tengan acceso a los puestos decisorios</w:t>
      </w:r>
      <w:r w:rsidR="00083383" w:rsidRPr="00D43575">
        <w:t>.</w:t>
      </w:r>
      <w:r w:rsidRPr="00D43575">
        <w:t xml:space="preserve"> Qatar ha prometido que no escatimará esfuerzos para hacer realidad su proyecto de mejora de la situación económica de la mujer y aumentar la contribución de las mujeres al desarrollo de la sociedad trabajando codo con codo con los hombres</w:t>
      </w:r>
      <w:r w:rsidR="00083383" w:rsidRPr="00D43575">
        <w:t>.</w:t>
      </w:r>
      <w:r w:rsidRPr="00D43575">
        <w:t xml:space="preserve"> Como pone de manifiesto este informe, el Estado de Qatar está trabajando para vigilar y seguir el cumplimiento de las disposiciones de la Convención, crear conciencia a este respecto y difundir entre las partes interesadas el conocimiento de sus disposiciones</w:t>
      </w:r>
      <w:r w:rsidR="00083383" w:rsidRPr="00D43575">
        <w:t>.</w:t>
      </w:r>
      <w:r w:rsidRPr="00D43575">
        <w:t xml:space="preserve"> El objetivo es, por lo tanto, ofrecer mayores oportunidades para lograr la igualdad de género y un mayor adelanto de la mujer</w:t>
      </w:r>
      <w:r w:rsidR="00083383" w:rsidRPr="00D43575">
        <w:t>.</w:t>
      </w:r>
    </w:p>
    <w:p w14:paraId="60730EF7" w14:textId="0BF8139A" w:rsidR="00571F37" w:rsidRPr="007D60C1" w:rsidRDefault="00E913A8" w:rsidP="00571F37">
      <w:pPr>
        <w:pStyle w:val="SingleTxt"/>
        <w:tabs>
          <w:tab w:val="right" w:pos="1022"/>
        </w:tabs>
        <w:ind w:right="1260"/>
      </w:pPr>
      <w:r w:rsidRPr="000F625D">
        <w:rPr>
          <w:noProof/>
          <w:w w:val="100"/>
          <w:lang w:eastAsia="es-ES"/>
        </w:rPr>
        <mc:AlternateContent>
          <mc:Choice Requires="wps">
            <w:drawing>
              <wp:anchor distT="4294967291" distB="4294967291" distL="114300" distR="114300" simplePos="0" relativeHeight="251657216" behindDoc="0" locked="0" layoutInCell="1" allowOverlap="1" wp14:anchorId="1231B285" wp14:editId="2996744A">
                <wp:simplePos x="0" y="0"/>
                <wp:positionH relativeFrom="column">
                  <wp:posOffset>2669540</wp:posOffset>
                </wp:positionH>
                <wp:positionV relativeFrom="paragraph">
                  <wp:posOffset>304799</wp:posOffset>
                </wp:positionV>
                <wp:extent cx="914400" cy="0"/>
                <wp:effectExtent l="0" t="0" r="0" b="0"/>
                <wp:wrapNone/>
                <wp:docPr id="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66612C0" id="Straight Connector 5"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ECT+w7kAQAAKAQAAA4AAAAAAAAAAAAAAAAALgIAAGRycy9lMm9Eb2MueG1sUEsB&#10;Ai0AFAAGAAgAAAAhAIWgeILfAAAACQEAAA8AAAAAAAAAAAAAAAAAPgQAAGRycy9kb3ducmV2Lnht&#10;bFBLBQYAAAAABAAEAPMAAABKBQAAAAA=&#10;" strokecolor="#010000" strokeweight=".25pt">
                <o:lock v:ext="edit" shapetype="f"/>
              </v:line>
            </w:pict>
          </mc:Fallback>
        </mc:AlternateContent>
      </w:r>
      <w:bookmarkEnd w:id="0"/>
    </w:p>
    <w:sectPr w:rsidR="00571F37" w:rsidRPr="007D60C1" w:rsidSect="0066008C">
      <w:endnotePr>
        <w:numFmt w:val="decimal"/>
      </w:endnotePr>
      <w:type w:val="continuous"/>
      <w:pgSz w:w="12240" w:h="15840" w:code="1"/>
      <w:pgMar w:top="1440" w:right="1195" w:bottom="1152" w:left="1195"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05-03T10:06:00Z" w:initials="Start">
    <w:p w14:paraId="531445B8" w14:textId="77777777" w:rsidR="00C777EE" w:rsidRPr="003A25A1" w:rsidRDefault="00C777EE">
      <w:pPr>
        <w:pStyle w:val="CommentText"/>
        <w:rPr>
          <w:lang w:val="en-US"/>
        </w:rPr>
      </w:pPr>
      <w:r>
        <w:fldChar w:fldCharType="begin"/>
      </w:r>
      <w:r w:rsidRPr="003A25A1">
        <w:rPr>
          <w:rStyle w:val="CommentReference"/>
          <w:lang w:val="en-US"/>
        </w:rPr>
        <w:instrText xml:space="preserve"> </w:instrText>
      </w:r>
      <w:r w:rsidRPr="003A25A1">
        <w:rPr>
          <w:lang w:val="en-US"/>
        </w:rPr>
        <w:instrText>PAGE \# "'Page: '#'</w:instrText>
      </w:r>
      <w:r w:rsidRPr="003A25A1">
        <w:rPr>
          <w:lang w:val="en-US"/>
        </w:rPr>
        <w:br/>
        <w:instrText>'"</w:instrText>
      </w:r>
      <w:r w:rsidRPr="003A25A1">
        <w:rPr>
          <w:rStyle w:val="CommentReference"/>
          <w:lang w:val="en-US"/>
        </w:rPr>
        <w:instrText xml:space="preserve"> </w:instrText>
      </w:r>
      <w:r>
        <w:fldChar w:fldCharType="end"/>
      </w:r>
      <w:r>
        <w:rPr>
          <w:rStyle w:val="CommentReference"/>
        </w:rPr>
        <w:annotationRef/>
      </w:r>
      <w:r w:rsidRPr="003A25A1">
        <w:rPr>
          <w:lang w:val="en-US"/>
        </w:rPr>
        <w:t>&lt;&lt;ODS JOB NO&gt;&gt;N1804442S&lt;&lt;ODS JOB NO&gt;&gt;</w:t>
      </w:r>
    </w:p>
    <w:p w14:paraId="24916192" w14:textId="77777777" w:rsidR="00C777EE" w:rsidRDefault="00C777EE">
      <w:pPr>
        <w:pStyle w:val="CommentText"/>
      </w:pPr>
      <w:r>
        <w:t>&lt;&lt;ODS DOC SYMBOL1&gt;&gt;CEDAW/C/QAT/2&lt;&lt;ODS DOC SYMBOL1&gt;&gt;</w:t>
      </w:r>
    </w:p>
    <w:p w14:paraId="11B9E697" w14:textId="7858D389" w:rsidR="00C777EE" w:rsidRDefault="00C777E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1B9E69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DF669D" w14:textId="77777777" w:rsidR="00C777EE" w:rsidRDefault="00C777EE" w:rsidP="008F1E8F">
      <w:pPr>
        <w:spacing w:line="240" w:lineRule="auto"/>
      </w:pPr>
      <w:r>
        <w:separator/>
      </w:r>
    </w:p>
  </w:endnote>
  <w:endnote w:type="continuationSeparator" w:id="0">
    <w:p w14:paraId="55EF4FCA" w14:textId="77777777" w:rsidR="00C777EE" w:rsidRDefault="00C777E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arge tawagan">
    <w:altName w:val="Times New Roman"/>
    <w:panose1 w:val="00000000000000000000"/>
    <w:charset w:val="00"/>
    <w:family w:val="roman"/>
    <w:notTrueType/>
    <w:pitch w:val="default"/>
    <w:sig w:usb0="00000003" w:usb1="00000000" w:usb2="00000000" w:usb3="00000000" w:csb0="00000001" w:csb1="00000000"/>
  </w:font>
  <w:font w:name="Helvetica Neue">
    <w:altName w:val="Arial"/>
    <w:panose1 w:val="00000000000000000000"/>
    <w:charset w:val="00"/>
    <w:family w:val="modern"/>
    <w:notTrueType/>
    <w:pitch w:val="variable"/>
    <w:sig w:usb0="80000067"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rcode 3 of 9 by request">
    <w:panose1 w:val="020B0803050302020204"/>
    <w:charset w:val="00"/>
    <w:family w:val="swiss"/>
    <w:pitch w:val="variable"/>
    <w:sig w:usb0="00000003" w:usb1="00000000" w:usb2="00000000" w:usb3="00000000" w:csb0="00000001" w:csb1="00000000"/>
  </w:font>
  <w:font w:name="Traditional Arabic">
    <w:altName w:val="Times New Roman"/>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C777EE" w14:paraId="4D77EA7B" w14:textId="77777777" w:rsidTr="008D21BB">
      <w:tc>
        <w:tcPr>
          <w:tcW w:w="5028" w:type="dxa"/>
        </w:tcPr>
        <w:p w14:paraId="3F78556A" w14:textId="128F4A9B" w:rsidR="00C777EE" w:rsidRPr="006E1CF2" w:rsidRDefault="00C777EE" w:rsidP="00BC5CC0">
          <w:pPr>
            <w:pStyle w:val="Footer"/>
            <w:jc w:val="right"/>
            <w:rPr>
              <w:b w:val="0"/>
              <w:bCs/>
              <w:color w:val="000000"/>
              <w:w w:val="103"/>
              <w:sz w:val="14"/>
              <w:lang w:val="es-ES"/>
            </w:rPr>
          </w:pPr>
          <w:r w:rsidRPr="006E1CF2">
            <w:rPr>
              <w:b w:val="0"/>
              <w:bCs/>
            </w:rPr>
            <w:t>18-02443</w:t>
          </w:r>
        </w:p>
      </w:tc>
      <w:tc>
        <w:tcPr>
          <w:tcW w:w="5028" w:type="dxa"/>
        </w:tcPr>
        <w:p w14:paraId="06718E97" w14:textId="77EC0DAC" w:rsidR="00C777EE" w:rsidRPr="008D21BB" w:rsidRDefault="00C777EE" w:rsidP="00BC5CC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B67D7">
            <w:rPr>
              <w:color w:val="000000"/>
              <w:w w:val="103"/>
            </w:rPr>
            <w:t>52</w:t>
          </w:r>
          <w:r>
            <w:rPr>
              <w:color w:val="000000"/>
              <w:w w:val="103"/>
            </w:rPr>
            <w:fldChar w:fldCharType="end"/>
          </w:r>
          <w:r>
            <w:rPr>
              <w:color w:val="000000"/>
              <w:w w:val="103"/>
            </w:rPr>
            <w:t>/</w:t>
          </w:r>
          <w:r w:rsidR="009B67D7">
            <w:fldChar w:fldCharType="begin"/>
          </w:r>
          <w:r w:rsidR="009B67D7">
            <w:instrText xml:space="preserve"> NUMPAGES  \* Arabic  \* MERGEFORMAT </w:instrText>
          </w:r>
          <w:r w:rsidR="009B67D7">
            <w:fldChar w:fldCharType="separate"/>
          </w:r>
          <w:r w:rsidR="009B67D7" w:rsidRPr="009B67D7">
            <w:rPr>
              <w:color w:val="000000"/>
              <w:w w:val="103"/>
            </w:rPr>
            <w:t>63</w:t>
          </w:r>
          <w:r w:rsidR="009B67D7">
            <w:rPr>
              <w:color w:val="000000"/>
              <w:w w:val="103"/>
            </w:rPr>
            <w:fldChar w:fldCharType="end"/>
          </w:r>
        </w:p>
      </w:tc>
    </w:tr>
  </w:tbl>
  <w:p w14:paraId="0C6B504C" w14:textId="77777777" w:rsidR="00C777EE" w:rsidRPr="008D21BB" w:rsidRDefault="00C777EE" w:rsidP="008D21B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C777EE" w14:paraId="1108D783" w14:textId="77777777" w:rsidTr="008D21BB">
      <w:tc>
        <w:tcPr>
          <w:tcW w:w="5028" w:type="dxa"/>
        </w:tcPr>
        <w:p w14:paraId="2F3ED7AB" w14:textId="7A7525F3" w:rsidR="00C777EE" w:rsidRPr="008D21BB" w:rsidRDefault="00C777EE" w:rsidP="00BC5CC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B67D7">
            <w:rPr>
              <w:color w:val="000000"/>
              <w:w w:val="103"/>
            </w:rPr>
            <w:t>53</w:t>
          </w:r>
          <w:r>
            <w:rPr>
              <w:color w:val="000000"/>
              <w:w w:val="103"/>
            </w:rPr>
            <w:fldChar w:fldCharType="end"/>
          </w:r>
          <w:r>
            <w:rPr>
              <w:color w:val="000000"/>
              <w:w w:val="103"/>
            </w:rPr>
            <w:t>/</w:t>
          </w:r>
          <w:r w:rsidR="009B67D7">
            <w:fldChar w:fldCharType="begin"/>
          </w:r>
          <w:r w:rsidR="009B67D7">
            <w:instrText xml:space="preserve"> NUMPAGES  \* Arabic  \* MERGEFORMAT </w:instrText>
          </w:r>
          <w:r w:rsidR="009B67D7">
            <w:fldChar w:fldCharType="separate"/>
          </w:r>
          <w:r w:rsidR="009B67D7" w:rsidRPr="009B67D7">
            <w:rPr>
              <w:color w:val="000000"/>
              <w:w w:val="103"/>
            </w:rPr>
            <w:t>63</w:t>
          </w:r>
          <w:r w:rsidR="009B67D7">
            <w:rPr>
              <w:color w:val="000000"/>
              <w:w w:val="103"/>
            </w:rPr>
            <w:fldChar w:fldCharType="end"/>
          </w:r>
        </w:p>
      </w:tc>
      <w:tc>
        <w:tcPr>
          <w:tcW w:w="5028" w:type="dxa"/>
        </w:tcPr>
        <w:p w14:paraId="18E47FD5" w14:textId="048F23CC" w:rsidR="00C777EE" w:rsidRPr="006E1CF2" w:rsidRDefault="00C777EE" w:rsidP="00BC5CC0">
          <w:pPr>
            <w:pStyle w:val="Footer"/>
            <w:rPr>
              <w:b w:val="0"/>
              <w:bCs/>
              <w:color w:val="000000"/>
              <w:w w:val="103"/>
              <w:sz w:val="14"/>
              <w:lang w:val="es-ES"/>
            </w:rPr>
          </w:pPr>
          <w:r w:rsidRPr="006E1CF2">
            <w:rPr>
              <w:b w:val="0"/>
              <w:bCs/>
            </w:rPr>
            <w:t>18-02443</w:t>
          </w:r>
        </w:p>
      </w:tc>
    </w:tr>
  </w:tbl>
  <w:p w14:paraId="1B407ADC" w14:textId="77777777" w:rsidR="00C777EE" w:rsidRPr="008D21BB" w:rsidRDefault="00C777EE" w:rsidP="008D21B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F9D3F7" w14:textId="77777777" w:rsidR="00C777EE" w:rsidRPr="008D21BB" w:rsidRDefault="00C777EE" w:rsidP="008D21BB">
    <w:pPr>
      <w:spacing w:line="120" w:lineRule="exact"/>
      <w:rPr>
        <w:b/>
        <w:sz w:val="10"/>
      </w:rPr>
    </w:pPr>
    <w:r>
      <w:rPr>
        <w:b/>
        <w:noProof/>
        <w:lang w:eastAsia="es-ES"/>
      </w:rPr>
      <w:drawing>
        <wp:anchor distT="0" distB="0" distL="114300" distR="114300" simplePos="0" relativeHeight="251658240" behindDoc="0" locked="0" layoutInCell="1" allowOverlap="1" wp14:anchorId="7BDC7A9A" wp14:editId="54585643">
          <wp:simplePos x="0" y="0"/>
          <wp:positionH relativeFrom="column">
            <wp:posOffset>5565775</wp:posOffset>
          </wp:positionH>
          <wp:positionV relativeFrom="paragraph">
            <wp:posOffset>-287020</wp:posOffset>
          </wp:positionV>
          <wp:extent cx="694690" cy="69469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anchor>
      </w:drawing>
    </w:r>
  </w:p>
  <w:tbl>
    <w:tblPr>
      <w:tblW w:w="8858" w:type="dxa"/>
      <w:tblLayout w:type="fixed"/>
      <w:tblLook w:val="0000" w:firstRow="0" w:lastRow="0" w:firstColumn="0" w:lastColumn="0" w:noHBand="0" w:noVBand="0"/>
    </w:tblPr>
    <w:tblGrid>
      <w:gridCol w:w="3830"/>
      <w:gridCol w:w="5028"/>
    </w:tblGrid>
    <w:tr w:rsidR="00C777EE" w14:paraId="5908BDDC" w14:textId="77777777" w:rsidTr="00E92BA7">
      <w:tc>
        <w:tcPr>
          <w:tcW w:w="3830" w:type="dxa"/>
        </w:tcPr>
        <w:p w14:paraId="6645597C" w14:textId="4313E16E" w:rsidR="00C777EE" w:rsidRDefault="00C777EE" w:rsidP="00A55ED0">
          <w:pPr>
            <w:pStyle w:val="ReleaseDate"/>
          </w:pPr>
          <w:r>
            <w:t>18-02443X (S)</w:t>
          </w:r>
          <w:r w:rsidRPr="003D567A">
            <w:t xml:space="preserve">   </w:t>
          </w:r>
        </w:p>
        <w:p w14:paraId="0D86D114" w14:textId="77777777" w:rsidR="00C777EE" w:rsidRPr="008D21BB" w:rsidRDefault="00C777EE" w:rsidP="008D21BB">
          <w:pPr>
            <w:spacing w:before="80" w:line="210" w:lineRule="exact"/>
            <w:rPr>
              <w:rFonts w:ascii="Barcode 3 of 9 by request" w:hAnsi="Barcode 3 of 9 by request"/>
              <w:sz w:val="24"/>
            </w:rPr>
          </w:pPr>
          <w:r>
            <w:rPr>
              <w:rFonts w:ascii="Barcode 3 of 9 by request" w:hAnsi="Barcode 3 of 9 by request"/>
              <w:sz w:val="24"/>
            </w:rPr>
            <w:t>*1802443*</w:t>
          </w:r>
        </w:p>
      </w:tc>
      <w:tc>
        <w:tcPr>
          <w:tcW w:w="5028" w:type="dxa"/>
        </w:tcPr>
        <w:p w14:paraId="080F9661" w14:textId="77777777" w:rsidR="00C777EE" w:rsidRDefault="00C777EE" w:rsidP="00083383">
          <w:pPr>
            <w:pStyle w:val="Footer"/>
            <w:jc w:val="right"/>
            <w:rPr>
              <w:b w:val="0"/>
              <w:sz w:val="20"/>
            </w:rPr>
          </w:pPr>
          <w:r>
            <w:rPr>
              <w:b w:val="0"/>
              <w:sz w:val="20"/>
              <w:lang w:val="es-ES" w:eastAsia="es-ES"/>
            </w:rPr>
            <w:drawing>
              <wp:inline distT="0" distB="0" distL="0" distR="0" wp14:anchorId="5BF22CF8" wp14:editId="74B3FDC2">
                <wp:extent cx="1057275" cy="228600"/>
                <wp:effectExtent l="0" t="0" r="0"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7275" cy="228600"/>
                        </a:xfrm>
                        <a:prstGeom prst="rect">
                          <a:avLst/>
                        </a:prstGeom>
                        <a:noFill/>
                        <a:ln>
                          <a:noFill/>
                        </a:ln>
                      </pic:spPr>
                    </pic:pic>
                  </a:graphicData>
                </a:graphic>
              </wp:inline>
            </w:drawing>
          </w:r>
        </w:p>
      </w:tc>
    </w:tr>
  </w:tbl>
  <w:p w14:paraId="3F688AB9" w14:textId="77777777" w:rsidR="00C777EE" w:rsidRPr="008D21BB" w:rsidRDefault="00C777EE" w:rsidP="008D21BB">
    <w:pPr>
      <w:spacing w:line="56" w:lineRule="auto"/>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C3F0C6" w14:textId="1D952855" w:rsidR="00C777EE" w:rsidRPr="00A55ED0" w:rsidRDefault="00C777EE" w:rsidP="00A55ED0">
      <w:pPr>
        <w:pStyle w:val="Footer"/>
        <w:spacing w:after="80"/>
        <w:ind w:left="792"/>
        <w:rPr>
          <w:sz w:val="16"/>
        </w:rPr>
      </w:pPr>
      <w:r w:rsidRPr="00A55ED0">
        <w:rPr>
          <w:sz w:val="16"/>
        </w:rPr>
        <w:t>__________________</w:t>
      </w:r>
    </w:p>
  </w:footnote>
  <w:footnote w:type="continuationSeparator" w:id="0">
    <w:p w14:paraId="36611341" w14:textId="2EE15ADF" w:rsidR="00C777EE" w:rsidRPr="00A55ED0" w:rsidRDefault="00C777EE" w:rsidP="00A55ED0">
      <w:pPr>
        <w:pStyle w:val="Footer"/>
        <w:spacing w:after="80"/>
        <w:ind w:left="792"/>
        <w:rPr>
          <w:sz w:val="16"/>
        </w:rPr>
      </w:pPr>
      <w:r w:rsidRPr="00A55ED0">
        <w:rPr>
          <w:sz w:val="16"/>
        </w:rPr>
        <w:t>__________________</w:t>
      </w:r>
    </w:p>
  </w:footnote>
  <w:footnote w:id="1">
    <w:p w14:paraId="381AE93F" w14:textId="77777777" w:rsidR="00C777EE" w:rsidRPr="00F652D5"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F652D5">
        <w:rPr>
          <w:spacing w:val="4"/>
          <w:w w:val="103"/>
        </w:rPr>
        <w:tab/>
      </w:r>
      <w:r w:rsidRPr="00F652D5">
        <w:rPr>
          <w:spacing w:val="4"/>
          <w:w w:val="103"/>
          <w:vertAlign w:val="superscript"/>
        </w:rPr>
        <w:footnoteRef/>
      </w:r>
      <w:r w:rsidRPr="00F652D5">
        <w:rPr>
          <w:spacing w:val="4"/>
          <w:w w:val="103"/>
        </w:rPr>
        <w:t xml:space="preserve"> </w:t>
      </w:r>
      <w:r w:rsidRPr="00F652D5">
        <w:rPr>
          <w:spacing w:val="4"/>
          <w:w w:val="103"/>
        </w:rPr>
        <w:tab/>
        <w:t>Véase HRI/GEN/Rev.6.</w:t>
      </w:r>
    </w:p>
  </w:footnote>
  <w:footnote w:id="2">
    <w:p w14:paraId="7B72F3C5" w14:textId="77777777" w:rsidR="00C777EE" w:rsidRPr="00F652D5"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F652D5">
        <w:rPr>
          <w:spacing w:val="4"/>
          <w:w w:val="103"/>
        </w:rPr>
        <w:tab/>
      </w:r>
      <w:r w:rsidRPr="00F652D5">
        <w:rPr>
          <w:spacing w:val="4"/>
          <w:w w:val="103"/>
          <w:vertAlign w:val="superscript"/>
        </w:rPr>
        <w:footnoteRef/>
      </w:r>
      <w:r w:rsidRPr="00F652D5">
        <w:rPr>
          <w:spacing w:val="4"/>
          <w:w w:val="103"/>
        </w:rPr>
        <w:t xml:space="preserve"> </w:t>
      </w:r>
      <w:r w:rsidRPr="00F652D5">
        <w:rPr>
          <w:spacing w:val="4"/>
          <w:w w:val="103"/>
        </w:rPr>
        <w:tab/>
        <w:t>Véase el documento de directrices: CEDAW/C/QAT/CO/1.</w:t>
      </w:r>
    </w:p>
  </w:footnote>
  <w:footnote w:id="3">
    <w:p w14:paraId="03FEBD43" w14:textId="77777777" w:rsidR="00C777EE" w:rsidRPr="00AA41DA"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F652D5">
        <w:rPr>
          <w:spacing w:val="4"/>
          <w:w w:val="103"/>
        </w:rPr>
        <w:tab/>
      </w:r>
      <w:r w:rsidRPr="00F652D5">
        <w:rPr>
          <w:spacing w:val="4"/>
          <w:w w:val="103"/>
          <w:vertAlign w:val="superscript"/>
        </w:rPr>
        <w:footnoteRef/>
      </w:r>
      <w:r w:rsidRPr="00AA41DA">
        <w:rPr>
          <w:spacing w:val="4"/>
          <w:w w:val="103"/>
        </w:rPr>
        <w:t xml:space="preserve"> </w:t>
      </w:r>
      <w:r w:rsidRPr="00AA41DA">
        <w:rPr>
          <w:spacing w:val="4"/>
          <w:w w:val="103"/>
        </w:rPr>
        <w:tab/>
        <w:t xml:space="preserve">Véase </w:t>
      </w:r>
      <w:hyperlink r:id="rId1" w:history="1">
        <w:r w:rsidRPr="00AA41DA">
          <w:rPr>
            <w:rStyle w:val="Hyperlink"/>
            <w:spacing w:val="4"/>
            <w:w w:val="103"/>
          </w:rPr>
          <w:t>CEDAW/C/QAT/1</w:t>
        </w:r>
      </w:hyperlink>
      <w:r w:rsidRPr="00AA41DA">
        <w:rPr>
          <w:spacing w:val="4"/>
          <w:w w:val="103"/>
        </w:rPr>
        <w:t>.</w:t>
      </w:r>
    </w:p>
  </w:footnote>
  <w:footnote w:id="4">
    <w:p w14:paraId="5EAF6E02" w14:textId="77777777" w:rsidR="00C777EE" w:rsidRPr="00AA41DA"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AA41DA">
        <w:rPr>
          <w:spacing w:val="4"/>
          <w:w w:val="103"/>
        </w:rPr>
        <w:tab/>
      </w:r>
      <w:r w:rsidRPr="00F652D5">
        <w:rPr>
          <w:spacing w:val="4"/>
          <w:w w:val="103"/>
          <w:vertAlign w:val="superscript"/>
        </w:rPr>
        <w:footnoteRef/>
      </w:r>
      <w:r w:rsidRPr="00AA41DA">
        <w:rPr>
          <w:spacing w:val="4"/>
          <w:w w:val="103"/>
        </w:rPr>
        <w:t xml:space="preserve"> </w:t>
      </w:r>
      <w:r w:rsidRPr="00AA41DA">
        <w:rPr>
          <w:spacing w:val="4"/>
          <w:w w:val="103"/>
        </w:rPr>
        <w:tab/>
        <w:t xml:space="preserve">Véase </w:t>
      </w:r>
      <w:hyperlink r:id="rId2" w:history="1">
        <w:r w:rsidRPr="00AA41DA">
          <w:rPr>
            <w:rStyle w:val="Hyperlink"/>
            <w:spacing w:val="4"/>
            <w:w w:val="103"/>
          </w:rPr>
          <w:t>CEDAW/C/QAT/CO/Add.1</w:t>
        </w:r>
      </w:hyperlink>
      <w:r w:rsidRPr="00AA41DA">
        <w:rPr>
          <w:spacing w:val="4"/>
          <w:w w:val="103"/>
        </w:rPr>
        <w:t>.</w:t>
      </w:r>
    </w:p>
  </w:footnote>
  <w:footnote w:id="5">
    <w:p w14:paraId="0B1C2530" w14:textId="77777777" w:rsidR="00C777EE" w:rsidRPr="00F652D5"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AA41DA">
        <w:rPr>
          <w:spacing w:val="4"/>
          <w:w w:val="103"/>
        </w:rPr>
        <w:tab/>
      </w:r>
      <w:r w:rsidRPr="00F652D5">
        <w:rPr>
          <w:spacing w:val="4"/>
          <w:w w:val="103"/>
          <w:vertAlign w:val="superscript"/>
        </w:rPr>
        <w:footnoteRef/>
      </w:r>
      <w:r w:rsidRPr="00F652D5">
        <w:rPr>
          <w:spacing w:val="4"/>
          <w:w w:val="103"/>
        </w:rPr>
        <w:t xml:space="preserve"> </w:t>
      </w:r>
      <w:r w:rsidRPr="00F652D5">
        <w:rPr>
          <w:spacing w:val="4"/>
          <w:w w:val="103"/>
        </w:rPr>
        <w:tab/>
        <w:t>Véase el párrafo 51 de nuestro informe inicial (</w:t>
      </w:r>
      <w:hyperlink r:id="rId3" w:history="1">
        <w:r w:rsidRPr="00332EC4">
          <w:rPr>
            <w:rStyle w:val="Hyperlink"/>
            <w:spacing w:val="4"/>
            <w:w w:val="103"/>
          </w:rPr>
          <w:t>CEDAW/C/QAT/1</w:t>
        </w:r>
      </w:hyperlink>
      <w:r w:rsidRPr="00F652D5">
        <w:rPr>
          <w:spacing w:val="4"/>
          <w:w w:val="103"/>
        </w:rPr>
        <w:t xml:space="preserve">). </w:t>
      </w:r>
    </w:p>
  </w:footnote>
  <w:footnote w:id="6">
    <w:p w14:paraId="51CB4979" w14:textId="77777777" w:rsidR="00C777EE" w:rsidRPr="00F652D5"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F652D5">
        <w:rPr>
          <w:spacing w:val="4"/>
          <w:w w:val="103"/>
        </w:rPr>
        <w:tab/>
      </w:r>
      <w:r w:rsidRPr="00F652D5">
        <w:rPr>
          <w:spacing w:val="4"/>
          <w:w w:val="103"/>
          <w:vertAlign w:val="superscript"/>
        </w:rPr>
        <w:footnoteRef/>
      </w:r>
      <w:r w:rsidRPr="00F652D5">
        <w:rPr>
          <w:spacing w:val="4"/>
          <w:w w:val="103"/>
        </w:rPr>
        <w:t xml:space="preserve"> </w:t>
      </w:r>
      <w:r w:rsidRPr="00F652D5">
        <w:rPr>
          <w:spacing w:val="4"/>
          <w:w w:val="103"/>
        </w:rPr>
        <w:tab/>
        <w:t>Véase el párrafo 26 del presente informe.</w:t>
      </w:r>
    </w:p>
  </w:footnote>
  <w:footnote w:id="7">
    <w:p w14:paraId="7ECE9925" w14:textId="77777777" w:rsidR="00C777EE" w:rsidRPr="00F652D5"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F652D5">
        <w:rPr>
          <w:spacing w:val="4"/>
          <w:w w:val="103"/>
        </w:rPr>
        <w:tab/>
      </w:r>
      <w:r w:rsidRPr="00F652D5">
        <w:rPr>
          <w:spacing w:val="4"/>
          <w:w w:val="103"/>
          <w:vertAlign w:val="superscript"/>
        </w:rPr>
        <w:footnoteRef/>
      </w:r>
      <w:r w:rsidRPr="00F652D5">
        <w:rPr>
          <w:spacing w:val="4"/>
          <w:w w:val="103"/>
        </w:rPr>
        <w:t xml:space="preserve"> </w:t>
      </w:r>
      <w:r w:rsidRPr="00F652D5">
        <w:rPr>
          <w:spacing w:val="4"/>
          <w:w w:val="103"/>
        </w:rPr>
        <w:tab/>
        <w:t>Véase el párrafo 26 del presente informe.</w:t>
      </w:r>
    </w:p>
  </w:footnote>
  <w:footnote w:id="8">
    <w:p w14:paraId="56D619C0" w14:textId="77777777" w:rsidR="00C777EE" w:rsidRPr="00F652D5"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F652D5">
        <w:rPr>
          <w:spacing w:val="4"/>
          <w:w w:val="103"/>
        </w:rPr>
        <w:tab/>
      </w:r>
      <w:r w:rsidRPr="00F652D5">
        <w:rPr>
          <w:spacing w:val="4"/>
          <w:w w:val="103"/>
          <w:vertAlign w:val="superscript"/>
        </w:rPr>
        <w:footnoteRef/>
      </w:r>
      <w:r w:rsidRPr="00F652D5">
        <w:rPr>
          <w:spacing w:val="4"/>
          <w:w w:val="103"/>
        </w:rPr>
        <w:t xml:space="preserve"> </w:t>
      </w:r>
      <w:r w:rsidRPr="00F652D5">
        <w:rPr>
          <w:spacing w:val="4"/>
          <w:w w:val="103"/>
        </w:rPr>
        <w:tab/>
        <w:t>Véanse los artículos 19 y 20 del reglamento de ejecución de la Ley del Funcionariado Civil.</w:t>
      </w:r>
    </w:p>
  </w:footnote>
  <w:footnote w:id="9">
    <w:p w14:paraId="6EA6B795" w14:textId="77777777" w:rsidR="00C777EE" w:rsidRPr="00F652D5"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F652D5">
        <w:rPr>
          <w:spacing w:val="4"/>
          <w:w w:val="103"/>
        </w:rPr>
        <w:tab/>
      </w:r>
      <w:r w:rsidRPr="00F652D5">
        <w:rPr>
          <w:spacing w:val="4"/>
          <w:w w:val="103"/>
          <w:vertAlign w:val="superscript"/>
        </w:rPr>
        <w:footnoteRef/>
      </w:r>
      <w:r w:rsidRPr="00F652D5">
        <w:rPr>
          <w:spacing w:val="4"/>
          <w:w w:val="103"/>
        </w:rPr>
        <w:t xml:space="preserve"> </w:t>
      </w:r>
      <w:r w:rsidRPr="00F652D5">
        <w:rPr>
          <w:spacing w:val="4"/>
          <w:w w:val="103"/>
        </w:rPr>
        <w:tab/>
        <w:t>Véase el artículo 112 de la Ley del Funcionariado Civil.</w:t>
      </w:r>
    </w:p>
  </w:footnote>
  <w:footnote w:id="10">
    <w:p w14:paraId="0CDDD15C" w14:textId="77777777" w:rsidR="00C777EE" w:rsidRPr="00F652D5"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F652D5">
        <w:rPr>
          <w:spacing w:val="4"/>
          <w:w w:val="103"/>
        </w:rPr>
        <w:tab/>
      </w:r>
      <w:r w:rsidRPr="00F652D5">
        <w:rPr>
          <w:spacing w:val="4"/>
          <w:w w:val="103"/>
          <w:vertAlign w:val="superscript"/>
        </w:rPr>
        <w:footnoteRef/>
      </w:r>
      <w:r w:rsidRPr="00F652D5">
        <w:rPr>
          <w:spacing w:val="4"/>
          <w:w w:val="103"/>
        </w:rPr>
        <w:t xml:space="preserve"> </w:t>
      </w:r>
      <w:r w:rsidRPr="00F652D5">
        <w:rPr>
          <w:spacing w:val="4"/>
          <w:w w:val="103"/>
        </w:rPr>
        <w:tab/>
        <w:t>Véase el artículo 88 del reglamento de ejecución de la Ley del Funcionariado Civil.</w:t>
      </w:r>
    </w:p>
  </w:footnote>
  <w:footnote w:id="11">
    <w:p w14:paraId="34B55E36" w14:textId="77777777" w:rsidR="00C777EE" w:rsidRPr="00F652D5"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F652D5">
        <w:rPr>
          <w:spacing w:val="4"/>
          <w:w w:val="103"/>
        </w:rPr>
        <w:tab/>
      </w:r>
      <w:r w:rsidRPr="00F652D5">
        <w:rPr>
          <w:spacing w:val="4"/>
          <w:w w:val="103"/>
          <w:vertAlign w:val="superscript"/>
        </w:rPr>
        <w:footnoteRef/>
      </w:r>
      <w:r w:rsidRPr="00F652D5">
        <w:rPr>
          <w:spacing w:val="4"/>
          <w:w w:val="103"/>
        </w:rPr>
        <w:t xml:space="preserve"> </w:t>
      </w:r>
      <w:r w:rsidRPr="00F652D5">
        <w:rPr>
          <w:spacing w:val="4"/>
          <w:w w:val="103"/>
        </w:rPr>
        <w:tab/>
        <w:t>Véase el artículo 73 de la Ley del Funcionariado Civil.</w:t>
      </w:r>
    </w:p>
  </w:footnote>
  <w:footnote w:id="12">
    <w:p w14:paraId="2CEC0267" w14:textId="77777777" w:rsidR="00C777EE" w:rsidRPr="00F652D5"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F652D5">
        <w:rPr>
          <w:spacing w:val="4"/>
          <w:w w:val="103"/>
        </w:rPr>
        <w:tab/>
      </w:r>
      <w:r w:rsidRPr="00F652D5">
        <w:rPr>
          <w:spacing w:val="4"/>
          <w:w w:val="103"/>
          <w:vertAlign w:val="superscript"/>
        </w:rPr>
        <w:footnoteRef/>
      </w:r>
      <w:r w:rsidRPr="00F652D5">
        <w:rPr>
          <w:spacing w:val="4"/>
          <w:w w:val="103"/>
        </w:rPr>
        <w:t xml:space="preserve"> </w:t>
      </w:r>
      <w:r w:rsidRPr="00F652D5">
        <w:rPr>
          <w:spacing w:val="4"/>
          <w:w w:val="103"/>
        </w:rPr>
        <w:tab/>
        <w:t>Véase el artículo 83 del reglamento de ejecución de la Ley del Funcionariado Civil.</w:t>
      </w:r>
    </w:p>
  </w:footnote>
  <w:footnote w:id="13">
    <w:p w14:paraId="7524F983" w14:textId="77777777" w:rsidR="00C777EE" w:rsidRPr="00F652D5"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F652D5">
        <w:rPr>
          <w:spacing w:val="4"/>
          <w:w w:val="103"/>
        </w:rPr>
        <w:tab/>
      </w:r>
      <w:r w:rsidRPr="00F652D5">
        <w:rPr>
          <w:spacing w:val="4"/>
          <w:w w:val="103"/>
          <w:vertAlign w:val="superscript"/>
        </w:rPr>
        <w:footnoteRef/>
      </w:r>
      <w:r w:rsidRPr="00F652D5">
        <w:rPr>
          <w:spacing w:val="4"/>
          <w:w w:val="103"/>
        </w:rPr>
        <w:t xml:space="preserve"> </w:t>
      </w:r>
      <w:r w:rsidRPr="00F652D5">
        <w:rPr>
          <w:spacing w:val="4"/>
          <w:w w:val="103"/>
        </w:rPr>
        <w:tab/>
        <w:t>Véase el artículo 77 de la Ley del Funcionariado Civil.</w:t>
      </w:r>
    </w:p>
  </w:footnote>
  <w:footnote w:id="14">
    <w:p w14:paraId="26851D76" w14:textId="77777777" w:rsidR="00C777EE" w:rsidRPr="00F652D5"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F652D5">
        <w:rPr>
          <w:spacing w:val="4"/>
          <w:w w:val="103"/>
        </w:rPr>
        <w:tab/>
      </w:r>
      <w:r w:rsidRPr="00F652D5">
        <w:rPr>
          <w:spacing w:val="4"/>
          <w:w w:val="103"/>
          <w:vertAlign w:val="superscript"/>
        </w:rPr>
        <w:footnoteRef/>
      </w:r>
      <w:r w:rsidRPr="00F652D5">
        <w:rPr>
          <w:spacing w:val="4"/>
          <w:w w:val="103"/>
        </w:rPr>
        <w:t xml:space="preserve"> </w:t>
      </w:r>
      <w:r w:rsidRPr="00F652D5">
        <w:rPr>
          <w:spacing w:val="4"/>
          <w:w w:val="103"/>
        </w:rPr>
        <w:tab/>
        <w:t>Véase el artículo 86 de la Ley del Funcionariado Civil.</w:t>
      </w:r>
    </w:p>
  </w:footnote>
  <w:footnote w:id="15">
    <w:p w14:paraId="5BC80FE8" w14:textId="77777777" w:rsidR="00C777EE" w:rsidRPr="00F652D5"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F652D5">
        <w:rPr>
          <w:spacing w:val="4"/>
          <w:w w:val="103"/>
        </w:rPr>
        <w:tab/>
      </w:r>
      <w:r w:rsidRPr="00F652D5">
        <w:rPr>
          <w:spacing w:val="4"/>
          <w:w w:val="103"/>
          <w:vertAlign w:val="superscript"/>
        </w:rPr>
        <w:footnoteRef/>
      </w:r>
      <w:r w:rsidRPr="00F652D5">
        <w:rPr>
          <w:spacing w:val="4"/>
          <w:w w:val="103"/>
        </w:rPr>
        <w:t xml:space="preserve"> </w:t>
      </w:r>
      <w:r w:rsidRPr="00F652D5">
        <w:rPr>
          <w:spacing w:val="4"/>
          <w:w w:val="103"/>
        </w:rPr>
        <w:tab/>
        <w:t>Véase el artículo 93 de la Ley del Trabajo (núm. 14/2004).</w:t>
      </w:r>
    </w:p>
  </w:footnote>
  <w:footnote w:id="16">
    <w:p w14:paraId="25172188" w14:textId="77777777" w:rsidR="00C777EE" w:rsidRPr="00F652D5"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F652D5">
        <w:rPr>
          <w:spacing w:val="4"/>
          <w:w w:val="103"/>
        </w:rPr>
        <w:tab/>
      </w:r>
      <w:r w:rsidRPr="00F652D5">
        <w:rPr>
          <w:spacing w:val="4"/>
          <w:w w:val="103"/>
          <w:vertAlign w:val="superscript"/>
        </w:rPr>
        <w:footnoteRef/>
      </w:r>
      <w:r w:rsidRPr="00F652D5">
        <w:rPr>
          <w:spacing w:val="4"/>
          <w:w w:val="103"/>
        </w:rPr>
        <w:t xml:space="preserve"> </w:t>
      </w:r>
      <w:r w:rsidRPr="00F652D5">
        <w:rPr>
          <w:spacing w:val="4"/>
          <w:w w:val="103"/>
        </w:rPr>
        <w:tab/>
        <w:t>Véase el artículo 96 de la Ley del Trabajo (núm. 14/2004).</w:t>
      </w:r>
    </w:p>
  </w:footnote>
  <w:footnote w:id="17">
    <w:p w14:paraId="036E279D" w14:textId="77777777" w:rsidR="00C777EE" w:rsidRPr="00F652D5"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F652D5">
        <w:rPr>
          <w:spacing w:val="4"/>
          <w:w w:val="103"/>
        </w:rPr>
        <w:tab/>
      </w:r>
      <w:r w:rsidRPr="00F652D5">
        <w:rPr>
          <w:spacing w:val="4"/>
          <w:w w:val="103"/>
          <w:vertAlign w:val="superscript"/>
        </w:rPr>
        <w:footnoteRef/>
      </w:r>
      <w:r w:rsidRPr="00F652D5">
        <w:rPr>
          <w:spacing w:val="4"/>
          <w:w w:val="103"/>
        </w:rPr>
        <w:t xml:space="preserve"> </w:t>
      </w:r>
      <w:r w:rsidRPr="00F652D5">
        <w:rPr>
          <w:spacing w:val="4"/>
          <w:w w:val="103"/>
        </w:rPr>
        <w:tab/>
        <w:t>Véase el artículo 97 de la Ley del Trabajo (núm. 14/2004).</w:t>
      </w:r>
    </w:p>
  </w:footnote>
  <w:footnote w:id="18">
    <w:p w14:paraId="33F27745" w14:textId="77777777" w:rsidR="00C777EE" w:rsidRPr="00F652D5"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F652D5">
        <w:rPr>
          <w:spacing w:val="4"/>
          <w:w w:val="103"/>
        </w:rPr>
        <w:tab/>
      </w:r>
      <w:r w:rsidRPr="00F652D5">
        <w:rPr>
          <w:spacing w:val="4"/>
          <w:w w:val="103"/>
          <w:vertAlign w:val="superscript"/>
        </w:rPr>
        <w:footnoteRef/>
      </w:r>
      <w:r w:rsidRPr="00F652D5">
        <w:rPr>
          <w:spacing w:val="4"/>
          <w:w w:val="103"/>
        </w:rPr>
        <w:t xml:space="preserve"> </w:t>
      </w:r>
      <w:r w:rsidRPr="00F652D5">
        <w:rPr>
          <w:spacing w:val="4"/>
          <w:w w:val="103"/>
        </w:rPr>
        <w:tab/>
        <w:t>Véase el artículo 94 de la Ley del Trabajo (núm. 14/2004).</w:t>
      </w:r>
    </w:p>
  </w:footnote>
  <w:footnote w:id="19">
    <w:p w14:paraId="77D6659C" w14:textId="77777777" w:rsidR="00C777EE" w:rsidRPr="00F652D5"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F652D5">
        <w:rPr>
          <w:spacing w:val="4"/>
          <w:w w:val="103"/>
        </w:rPr>
        <w:tab/>
      </w:r>
      <w:r w:rsidRPr="00F652D5">
        <w:rPr>
          <w:spacing w:val="4"/>
          <w:w w:val="103"/>
          <w:vertAlign w:val="superscript"/>
        </w:rPr>
        <w:footnoteRef/>
      </w:r>
      <w:r w:rsidRPr="00F652D5">
        <w:rPr>
          <w:spacing w:val="4"/>
          <w:w w:val="103"/>
        </w:rPr>
        <w:t xml:space="preserve"> </w:t>
      </w:r>
      <w:r w:rsidRPr="00F652D5">
        <w:rPr>
          <w:spacing w:val="4"/>
          <w:w w:val="103"/>
        </w:rPr>
        <w:tab/>
        <w:t>Véase el artículo 95 de la Ley del Trabajo (núm. 14/2004).</w:t>
      </w:r>
    </w:p>
  </w:footnote>
  <w:footnote w:id="20">
    <w:p w14:paraId="7704FFD0" w14:textId="77777777" w:rsidR="00C777EE" w:rsidRPr="00F652D5"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F652D5">
        <w:rPr>
          <w:spacing w:val="4"/>
          <w:w w:val="103"/>
        </w:rPr>
        <w:tab/>
      </w:r>
      <w:r w:rsidRPr="00F652D5">
        <w:rPr>
          <w:spacing w:val="4"/>
          <w:w w:val="103"/>
          <w:vertAlign w:val="superscript"/>
        </w:rPr>
        <w:footnoteRef/>
      </w:r>
      <w:r w:rsidRPr="00F652D5">
        <w:rPr>
          <w:spacing w:val="4"/>
          <w:w w:val="103"/>
        </w:rPr>
        <w:t xml:space="preserve"> </w:t>
      </w:r>
      <w:r w:rsidRPr="00F652D5">
        <w:rPr>
          <w:spacing w:val="4"/>
          <w:w w:val="103"/>
        </w:rPr>
        <w:tab/>
        <w:t>Informe sobre la encuesta por muestreo en el lugar de trabajo de 2016.</w:t>
      </w:r>
    </w:p>
  </w:footnote>
  <w:footnote w:id="21">
    <w:p w14:paraId="15D6CF5E" w14:textId="77777777" w:rsidR="00C777EE" w:rsidRPr="00F652D5"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F652D5">
        <w:rPr>
          <w:spacing w:val="4"/>
          <w:w w:val="103"/>
        </w:rPr>
        <w:tab/>
      </w:r>
      <w:r w:rsidRPr="00F652D5">
        <w:rPr>
          <w:spacing w:val="4"/>
          <w:w w:val="103"/>
          <w:vertAlign w:val="superscript"/>
        </w:rPr>
        <w:footnoteRef/>
      </w:r>
      <w:r w:rsidRPr="00F652D5">
        <w:rPr>
          <w:spacing w:val="4"/>
          <w:w w:val="103"/>
        </w:rPr>
        <w:tab/>
      </w:r>
      <w:r w:rsidRPr="003771A9">
        <w:rPr>
          <w:i/>
          <w:iCs/>
          <w:spacing w:val="4"/>
          <w:w w:val="103"/>
        </w:rPr>
        <w:t>Fuente</w:t>
      </w:r>
      <w:r w:rsidRPr="00F652D5">
        <w:rPr>
          <w:spacing w:val="4"/>
          <w:w w:val="103"/>
        </w:rPr>
        <w:t xml:space="preserve">: Ministerio de Planificación del Desarrollo y Estadísticas, </w:t>
      </w:r>
      <w:r w:rsidRPr="00310555">
        <w:rPr>
          <w:i/>
          <w:spacing w:val="4"/>
          <w:w w:val="103"/>
        </w:rPr>
        <w:t>Qatar en cifras</w:t>
      </w:r>
      <w:r w:rsidRPr="00F652D5">
        <w:rPr>
          <w:spacing w:val="4"/>
          <w:w w:val="103"/>
        </w:rPr>
        <w:t>, 2016.</w:t>
      </w:r>
    </w:p>
  </w:footnote>
  <w:footnote w:id="22">
    <w:p w14:paraId="6CDE05EA" w14:textId="77777777" w:rsidR="00C777EE" w:rsidRPr="00F652D5"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F652D5">
        <w:rPr>
          <w:spacing w:val="4"/>
          <w:w w:val="103"/>
        </w:rPr>
        <w:tab/>
      </w:r>
      <w:r w:rsidRPr="00F652D5">
        <w:rPr>
          <w:spacing w:val="4"/>
          <w:w w:val="103"/>
          <w:vertAlign w:val="superscript"/>
        </w:rPr>
        <w:footnoteRef/>
      </w:r>
      <w:r w:rsidRPr="00F652D5">
        <w:rPr>
          <w:spacing w:val="4"/>
          <w:w w:val="103"/>
        </w:rPr>
        <w:t xml:space="preserve"> </w:t>
      </w:r>
      <w:r w:rsidRPr="00F652D5">
        <w:rPr>
          <w:spacing w:val="4"/>
          <w:w w:val="103"/>
        </w:rPr>
        <w:tab/>
        <w:t>Véase el artículo 68 de la Ley del Trabajo (núm. 14/2004).</w:t>
      </w:r>
    </w:p>
  </w:footnote>
  <w:footnote w:id="23">
    <w:p w14:paraId="1C95C7C3" w14:textId="4CA26A7C" w:rsidR="00C777EE" w:rsidRPr="00F652D5" w:rsidRDefault="00C777EE" w:rsidP="00A55ED0">
      <w:pPr>
        <w:pStyle w:val="FootnoteText"/>
        <w:tabs>
          <w:tab w:val="clear" w:pos="418"/>
          <w:tab w:val="right" w:pos="1195"/>
          <w:tab w:val="left" w:pos="1267"/>
          <w:tab w:val="left" w:pos="1742"/>
          <w:tab w:val="left" w:pos="2218"/>
          <w:tab w:val="left" w:pos="2693"/>
        </w:tabs>
        <w:ind w:left="1267" w:right="1267" w:hanging="432"/>
        <w:rPr>
          <w:spacing w:val="4"/>
          <w:w w:val="103"/>
        </w:rPr>
      </w:pPr>
      <w:r w:rsidRPr="00F652D5">
        <w:rPr>
          <w:spacing w:val="4"/>
          <w:w w:val="103"/>
        </w:rPr>
        <w:tab/>
      </w:r>
      <w:r w:rsidRPr="00F652D5">
        <w:rPr>
          <w:spacing w:val="4"/>
          <w:w w:val="103"/>
          <w:vertAlign w:val="superscript"/>
        </w:rPr>
        <w:footnoteRef/>
      </w:r>
      <w:r w:rsidRPr="00F652D5">
        <w:rPr>
          <w:spacing w:val="4"/>
          <w:w w:val="103"/>
        </w:rPr>
        <w:t xml:space="preserve"> </w:t>
      </w:r>
      <w:r w:rsidRPr="00F652D5">
        <w:rPr>
          <w:spacing w:val="4"/>
          <w:w w:val="103"/>
        </w:rPr>
        <w:tab/>
      </w:r>
      <w:r w:rsidRPr="009A1D77">
        <w:rPr>
          <w:i/>
          <w:iCs/>
          <w:spacing w:val="4"/>
          <w:w w:val="103"/>
        </w:rPr>
        <w:t>Fuente</w:t>
      </w:r>
      <w:r w:rsidRPr="00F652D5">
        <w:rPr>
          <w:spacing w:val="4"/>
          <w:w w:val="103"/>
        </w:rPr>
        <w:t xml:space="preserve">: </w:t>
      </w:r>
      <w:r>
        <w:rPr>
          <w:spacing w:val="4"/>
          <w:w w:val="103"/>
        </w:rPr>
        <w:t>Registro de</w:t>
      </w:r>
      <w:r w:rsidRPr="00F652D5">
        <w:rPr>
          <w:spacing w:val="4"/>
          <w:w w:val="103"/>
        </w:rPr>
        <w:t xml:space="preserve"> </w:t>
      </w:r>
      <w:r>
        <w:rPr>
          <w:spacing w:val="4"/>
          <w:w w:val="103"/>
        </w:rPr>
        <w:t>C</w:t>
      </w:r>
      <w:r w:rsidRPr="00F652D5">
        <w:rPr>
          <w:spacing w:val="4"/>
          <w:w w:val="103"/>
        </w:rPr>
        <w:t>áncer de Qatar.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C777EE" w:rsidRPr="00043015" w14:paraId="12832D99" w14:textId="77777777" w:rsidTr="008D21BB">
      <w:trPr>
        <w:trHeight w:hRule="exact" w:val="864"/>
      </w:trPr>
      <w:tc>
        <w:tcPr>
          <w:tcW w:w="4838" w:type="dxa"/>
          <w:tcBorders>
            <w:bottom w:val="single" w:sz="2" w:space="0" w:color="010000"/>
          </w:tcBorders>
          <w:vAlign w:val="bottom"/>
        </w:tcPr>
        <w:p w14:paraId="5EA93983" w14:textId="1BFF00C9" w:rsidR="00C777EE" w:rsidRPr="008D21BB" w:rsidRDefault="009B67D7" w:rsidP="008D21BB">
          <w:pPr>
            <w:pStyle w:val="Header"/>
            <w:spacing w:after="80"/>
            <w:rPr>
              <w:b/>
              <w:color w:val="000000"/>
            </w:rPr>
          </w:pPr>
          <w:r>
            <w:fldChar w:fldCharType="begin"/>
          </w:r>
          <w:r>
            <w:instrText xml:space="preserve"> DOCVARIABLE "sss1" \* MERGEFORMAT </w:instrText>
          </w:r>
          <w:r>
            <w:fldChar w:fldCharType="separate"/>
          </w:r>
          <w:r w:rsidR="00C777EE" w:rsidRPr="00337A16">
            <w:rPr>
              <w:b/>
              <w:color w:val="000000"/>
            </w:rPr>
            <w:t>CEDAW/C/QAT/2</w:t>
          </w:r>
          <w:r>
            <w:rPr>
              <w:b/>
              <w:color w:val="000000"/>
            </w:rPr>
            <w:fldChar w:fldCharType="end"/>
          </w:r>
        </w:p>
      </w:tc>
      <w:tc>
        <w:tcPr>
          <w:tcW w:w="5028" w:type="dxa"/>
          <w:tcBorders>
            <w:bottom w:val="single" w:sz="2" w:space="0" w:color="010000"/>
          </w:tcBorders>
          <w:vAlign w:val="bottom"/>
        </w:tcPr>
        <w:p w14:paraId="1D1039B9" w14:textId="77777777" w:rsidR="00C777EE" w:rsidRDefault="00C777EE" w:rsidP="008D21BB">
          <w:pPr>
            <w:pStyle w:val="Header"/>
          </w:pPr>
        </w:p>
      </w:tc>
    </w:tr>
  </w:tbl>
  <w:p w14:paraId="4D7913AF" w14:textId="77777777" w:rsidR="00C777EE" w:rsidRPr="008D21BB" w:rsidRDefault="00C777EE" w:rsidP="008D21B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C777EE" w:rsidRPr="00043015" w14:paraId="18F43625" w14:textId="77777777" w:rsidTr="008D21BB">
      <w:trPr>
        <w:trHeight w:hRule="exact" w:val="864"/>
      </w:trPr>
      <w:tc>
        <w:tcPr>
          <w:tcW w:w="4838" w:type="dxa"/>
          <w:tcBorders>
            <w:bottom w:val="single" w:sz="2" w:space="0" w:color="010000"/>
          </w:tcBorders>
          <w:vAlign w:val="bottom"/>
        </w:tcPr>
        <w:p w14:paraId="28B06C42" w14:textId="77777777" w:rsidR="00C777EE" w:rsidRDefault="00C777EE" w:rsidP="008D21BB">
          <w:pPr>
            <w:pStyle w:val="Header"/>
          </w:pPr>
        </w:p>
      </w:tc>
      <w:tc>
        <w:tcPr>
          <w:tcW w:w="5028" w:type="dxa"/>
          <w:tcBorders>
            <w:bottom w:val="single" w:sz="2" w:space="0" w:color="010000"/>
          </w:tcBorders>
          <w:vAlign w:val="bottom"/>
        </w:tcPr>
        <w:p w14:paraId="1335FB3E" w14:textId="142DB702" w:rsidR="00C777EE" w:rsidRPr="008D21BB" w:rsidRDefault="009B67D7" w:rsidP="008D21BB">
          <w:pPr>
            <w:pStyle w:val="Header"/>
            <w:spacing w:after="80"/>
            <w:jc w:val="right"/>
            <w:rPr>
              <w:b/>
              <w:color w:val="000000"/>
            </w:rPr>
          </w:pPr>
          <w:r>
            <w:fldChar w:fldCharType="begin"/>
          </w:r>
          <w:r>
            <w:instrText xml:space="preserve"> DOCVARIABLE "sss1" \* MERGEFORMAT </w:instrText>
          </w:r>
          <w:r>
            <w:fldChar w:fldCharType="separate"/>
          </w:r>
          <w:r w:rsidR="00C777EE" w:rsidRPr="00337A16">
            <w:rPr>
              <w:b/>
              <w:color w:val="000000"/>
            </w:rPr>
            <w:t>CEDAW/C/QAT/2</w:t>
          </w:r>
          <w:r>
            <w:rPr>
              <w:b/>
              <w:color w:val="000000"/>
            </w:rPr>
            <w:fldChar w:fldCharType="end"/>
          </w:r>
        </w:p>
      </w:tc>
    </w:tr>
  </w:tbl>
  <w:p w14:paraId="6BCDDAE4" w14:textId="77777777" w:rsidR="00C777EE" w:rsidRPr="008D21BB" w:rsidRDefault="00C777EE" w:rsidP="008D21B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2059"/>
      <w:gridCol w:w="184"/>
      <w:gridCol w:w="2984"/>
      <w:gridCol w:w="245"/>
      <w:gridCol w:w="3168"/>
      <w:gridCol w:w="12"/>
    </w:tblGrid>
    <w:tr w:rsidR="00C777EE" w:rsidRPr="00043015" w14:paraId="30ACE026" w14:textId="77777777" w:rsidTr="00FD7378">
      <w:trPr>
        <w:gridAfter w:val="1"/>
        <w:wAfter w:w="12" w:type="dxa"/>
        <w:trHeight w:hRule="exact" w:val="864"/>
      </w:trPr>
      <w:tc>
        <w:tcPr>
          <w:tcW w:w="1267" w:type="dxa"/>
          <w:tcBorders>
            <w:bottom w:val="single" w:sz="4" w:space="0" w:color="auto"/>
          </w:tcBorders>
          <w:vAlign w:val="bottom"/>
        </w:tcPr>
        <w:p w14:paraId="4773A77A" w14:textId="77777777" w:rsidR="00C777EE" w:rsidRDefault="00C777EE" w:rsidP="008D21BB">
          <w:pPr>
            <w:pStyle w:val="Header"/>
            <w:spacing w:after="120"/>
          </w:pPr>
        </w:p>
      </w:tc>
      <w:tc>
        <w:tcPr>
          <w:tcW w:w="2059" w:type="dxa"/>
          <w:tcBorders>
            <w:bottom w:val="single" w:sz="4" w:space="0" w:color="auto"/>
          </w:tcBorders>
          <w:vAlign w:val="bottom"/>
        </w:tcPr>
        <w:p w14:paraId="3AECD122" w14:textId="77777777" w:rsidR="00C777EE" w:rsidRPr="006C4A53" w:rsidRDefault="00C777EE" w:rsidP="006C4A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rPr>
              <w:b w:val="0"/>
              <w:spacing w:val="2"/>
              <w:w w:val="96"/>
              <w:szCs w:val="24"/>
              <w:lang w:eastAsia="es-ES"/>
            </w:rPr>
          </w:pPr>
          <w:r w:rsidRPr="006C4A53">
            <w:rPr>
              <w:b w:val="0"/>
              <w:spacing w:val="2"/>
              <w:w w:val="96"/>
              <w:szCs w:val="24"/>
              <w:lang w:eastAsia="es-ES"/>
            </w:rPr>
            <w:t>Naciones Unidas</w:t>
          </w:r>
        </w:p>
      </w:tc>
      <w:tc>
        <w:tcPr>
          <w:tcW w:w="184" w:type="dxa"/>
          <w:tcBorders>
            <w:bottom w:val="single" w:sz="4" w:space="0" w:color="auto"/>
          </w:tcBorders>
          <w:vAlign w:val="bottom"/>
        </w:tcPr>
        <w:p w14:paraId="2A1FC8B7" w14:textId="77777777" w:rsidR="00C777EE" w:rsidRDefault="00C777EE" w:rsidP="008D21BB">
          <w:pPr>
            <w:pStyle w:val="Header"/>
            <w:spacing w:after="120"/>
          </w:pPr>
        </w:p>
      </w:tc>
      <w:tc>
        <w:tcPr>
          <w:tcW w:w="6397" w:type="dxa"/>
          <w:gridSpan w:val="3"/>
          <w:tcBorders>
            <w:bottom w:val="single" w:sz="4" w:space="0" w:color="auto"/>
          </w:tcBorders>
          <w:vAlign w:val="bottom"/>
        </w:tcPr>
        <w:p w14:paraId="2063D346" w14:textId="77777777" w:rsidR="00C777EE" w:rsidRPr="00571F37" w:rsidRDefault="00C777EE" w:rsidP="005E55DC">
          <w:pPr>
            <w:spacing w:after="80" w:line="240" w:lineRule="auto"/>
            <w:jc w:val="right"/>
            <w:rPr>
              <w:position w:val="-4"/>
              <w:lang w:val="en-US"/>
            </w:rPr>
          </w:pPr>
          <w:r w:rsidRPr="00571F37">
            <w:rPr>
              <w:position w:val="-4"/>
              <w:sz w:val="40"/>
              <w:lang w:val="en-US"/>
            </w:rPr>
            <w:t>CEDAW</w:t>
          </w:r>
          <w:r w:rsidRPr="00571F37">
            <w:rPr>
              <w:position w:val="-4"/>
              <w:lang w:val="en-US"/>
            </w:rPr>
            <w:t>/C/</w:t>
          </w:r>
          <w:r>
            <w:rPr>
              <w:position w:val="-4"/>
              <w:lang w:val="en-US"/>
            </w:rPr>
            <w:t>QAT/2</w:t>
          </w:r>
        </w:p>
      </w:tc>
    </w:tr>
    <w:tr w:rsidR="00C777EE" w:rsidRPr="008D21BB" w14:paraId="121E8039" w14:textId="77777777" w:rsidTr="008D21BB">
      <w:trPr>
        <w:trHeight w:hRule="exact" w:val="2880"/>
      </w:trPr>
      <w:tc>
        <w:tcPr>
          <w:tcW w:w="1267" w:type="dxa"/>
          <w:tcBorders>
            <w:top w:val="single" w:sz="4" w:space="0" w:color="auto"/>
            <w:bottom w:val="single" w:sz="12" w:space="0" w:color="auto"/>
          </w:tcBorders>
        </w:tcPr>
        <w:p w14:paraId="731FE2B9" w14:textId="77777777" w:rsidR="00C777EE" w:rsidRPr="008D21BB" w:rsidRDefault="00C777EE" w:rsidP="008D21BB">
          <w:pPr>
            <w:pStyle w:val="Header"/>
            <w:spacing w:before="120"/>
            <w:jc w:val="center"/>
          </w:pPr>
          <w:r>
            <w:t xml:space="preserve"> </w:t>
          </w:r>
          <w:r>
            <w:rPr>
              <w:lang w:val="es-ES" w:eastAsia="es-ES"/>
            </w:rPr>
            <w:drawing>
              <wp:inline distT="0" distB="0" distL="0" distR="0" wp14:anchorId="4457B499" wp14:editId="73B82E7E">
                <wp:extent cx="676275" cy="571500"/>
                <wp:effectExtent l="0" t="0" r="0"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7150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2949DA01" w14:textId="77777777" w:rsidR="00C777EE" w:rsidRPr="008D21BB" w:rsidRDefault="00C777EE" w:rsidP="007E35F5">
          <w:pPr>
            <w:suppressAutoHyphens w:val="0"/>
            <w:spacing w:before="120" w:line="380" w:lineRule="exact"/>
          </w:pPr>
          <w:r w:rsidRPr="007E35F5">
            <w:rPr>
              <w:b/>
              <w:spacing w:val="0"/>
              <w:w w:val="100"/>
              <w:sz w:val="34"/>
              <w:szCs w:val="40"/>
              <w:lang w:eastAsia="es-ES"/>
            </w:rPr>
            <w:t>Convención sobre la</w:t>
          </w:r>
          <w:r>
            <w:rPr>
              <w:b/>
              <w:spacing w:val="0"/>
              <w:w w:val="100"/>
              <w:sz w:val="34"/>
              <w:szCs w:val="40"/>
              <w:lang w:eastAsia="es-ES"/>
            </w:rPr>
            <w:t xml:space="preserve"> </w:t>
          </w:r>
          <w:r w:rsidRPr="007E35F5">
            <w:rPr>
              <w:b/>
              <w:spacing w:val="0"/>
              <w:w w:val="100"/>
              <w:sz w:val="34"/>
              <w:szCs w:val="40"/>
              <w:lang w:eastAsia="es-ES"/>
            </w:rPr>
            <w:t xml:space="preserve">Eliminación </w:t>
          </w:r>
          <w:r>
            <w:rPr>
              <w:b/>
              <w:spacing w:val="0"/>
              <w:w w:val="100"/>
              <w:sz w:val="34"/>
              <w:szCs w:val="40"/>
              <w:lang w:eastAsia="es-ES"/>
            </w:rPr>
            <w:br/>
          </w:r>
          <w:r w:rsidRPr="007E35F5">
            <w:rPr>
              <w:b/>
              <w:spacing w:val="0"/>
              <w:w w:val="100"/>
              <w:sz w:val="34"/>
              <w:szCs w:val="40"/>
              <w:lang w:eastAsia="es-ES"/>
            </w:rPr>
            <w:t>de Todas las</w:t>
          </w:r>
          <w:r>
            <w:rPr>
              <w:b/>
              <w:spacing w:val="0"/>
              <w:w w:val="100"/>
              <w:sz w:val="34"/>
              <w:szCs w:val="40"/>
              <w:lang w:eastAsia="es-ES"/>
            </w:rPr>
            <w:t xml:space="preserve"> </w:t>
          </w:r>
          <w:r w:rsidRPr="007E35F5">
            <w:rPr>
              <w:b/>
              <w:spacing w:val="0"/>
              <w:w w:val="100"/>
              <w:sz w:val="34"/>
              <w:szCs w:val="40"/>
              <w:lang w:eastAsia="es-ES"/>
            </w:rPr>
            <w:t>Formas de Discriminación</w:t>
          </w:r>
          <w:r>
            <w:rPr>
              <w:b/>
              <w:spacing w:val="0"/>
              <w:w w:val="100"/>
              <w:sz w:val="34"/>
              <w:szCs w:val="40"/>
              <w:lang w:eastAsia="es-ES"/>
            </w:rPr>
            <w:t xml:space="preserve"> </w:t>
          </w:r>
          <w:r w:rsidRPr="007E35F5">
            <w:rPr>
              <w:b/>
              <w:spacing w:val="0"/>
              <w:w w:val="100"/>
              <w:sz w:val="34"/>
              <w:szCs w:val="40"/>
              <w:lang w:eastAsia="es-ES"/>
            </w:rPr>
            <w:t>contra la Mujer</w:t>
          </w:r>
        </w:p>
      </w:tc>
      <w:tc>
        <w:tcPr>
          <w:tcW w:w="245" w:type="dxa"/>
          <w:tcBorders>
            <w:top w:val="single" w:sz="4" w:space="0" w:color="auto"/>
            <w:bottom w:val="single" w:sz="12" w:space="0" w:color="auto"/>
          </w:tcBorders>
        </w:tcPr>
        <w:p w14:paraId="113D2984" w14:textId="77777777" w:rsidR="00C777EE" w:rsidRPr="00571F37" w:rsidRDefault="00C777EE" w:rsidP="008D21BB">
          <w:pPr>
            <w:pStyle w:val="Header"/>
            <w:spacing w:before="109"/>
            <w:rPr>
              <w:lang w:val="es-ES_tradnl"/>
            </w:rPr>
          </w:pPr>
        </w:p>
      </w:tc>
      <w:tc>
        <w:tcPr>
          <w:tcW w:w="3180" w:type="dxa"/>
          <w:gridSpan w:val="2"/>
          <w:tcBorders>
            <w:top w:val="single" w:sz="4" w:space="0" w:color="auto"/>
            <w:bottom w:val="single" w:sz="12" w:space="0" w:color="auto"/>
          </w:tcBorders>
        </w:tcPr>
        <w:p w14:paraId="726E5590" w14:textId="77777777" w:rsidR="00C777EE" w:rsidRDefault="00C777EE" w:rsidP="008D21BB">
          <w:pPr>
            <w:pStyle w:val="Distribution"/>
            <w:spacing w:before="240"/>
          </w:pPr>
          <w:r w:rsidRPr="006857D9">
            <w:t>Distr. general</w:t>
          </w:r>
        </w:p>
        <w:p w14:paraId="0DD56063" w14:textId="77777777" w:rsidR="00C777EE" w:rsidRDefault="00C777EE" w:rsidP="008D21BB">
          <w:pPr>
            <w:pStyle w:val="Publication"/>
          </w:pPr>
          <w:r>
            <w:t>16</w:t>
          </w:r>
          <w:r w:rsidRPr="006857D9">
            <w:t xml:space="preserve"> de </w:t>
          </w:r>
          <w:r>
            <w:t>febrero de 2018</w:t>
          </w:r>
        </w:p>
        <w:p w14:paraId="4DDF7F2B" w14:textId="77777777" w:rsidR="00C777EE" w:rsidRPr="008D21BB" w:rsidRDefault="00C777EE" w:rsidP="00ED39E6">
          <w:r>
            <w:t>Español</w:t>
          </w:r>
          <w:r>
            <w:br/>
            <w:t>Original: árabe</w:t>
          </w:r>
        </w:p>
      </w:tc>
    </w:tr>
  </w:tbl>
  <w:p w14:paraId="3729B7E4" w14:textId="77777777" w:rsidR="00C777EE" w:rsidRPr="00043015" w:rsidRDefault="00C777EE" w:rsidP="008D21B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 w15:restartNumberingAfterBreak="0">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 w15:restartNumberingAfterBreak="0">
    <w:nsid w:val="1A777B3D"/>
    <w:multiLevelType w:val="multilevel"/>
    <w:tmpl w:val="0C0A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5" w15:restartNumberingAfterBreak="0">
    <w:nsid w:val="4DEB08B7"/>
    <w:multiLevelType w:val="multilevel"/>
    <w:tmpl w:val="A21208E6"/>
    <w:name w:val="TOC"/>
    <w:lvl w:ilvl="0">
      <w:start w:val="1"/>
      <w:numFmt w:val="upperRoman"/>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72364082"/>
    <w:multiLevelType w:val="hybridMultilevel"/>
    <w:tmpl w:val="18DE82DC"/>
    <w:lvl w:ilvl="0" w:tplc="0C0A0015">
      <w:start w:val="1"/>
      <w:numFmt w:val="upperLetter"/>
      <w:lvlText w:val="%1."/>
      <w:lvlJc w:val="left"/>
      <w:pPr>
        <w:ind w:left="2016" w:hanging="360"/>
      </w:pPr>
    </w:lvl>
    <w:lvl w:ilvl="1" w:tplc="0C0A0019" w:tentative="1">
      <w:start w:val="1"/>
      <w:numFmt w:val="lowerLetter"/>
      <w:lvlText w:val="%2."/>
      <w:lvlJc w:val="left"/>
      <w:pPr>
        <w:ind w:left="2736" w:hanging="360"/>
      </w:pPr>
    </w:lvl>
    <w:lvl w:ilvl="2" w:tplc="0C0A001B" w:tentative="1">
      <w:start w:val="1"/>
      <w:numFmt w:val="lowerRoman"/>
      <w:lvlText w:val="%3."/>
      <w:lvlJc w:val="right"/>
      <w:pPr>
        <w:ind w:left="3456" w:hanging="180"/>
      </w:pPr>
    </w:lvl>
    <w:lvl w:ilvl="3" w:tplc="0C0A000F" w:tentative="1">
      <w:start w:val="1"/>
      <w:numFmt w:val="decimal"/>
      <w:lvlText w:val="%4."/>
      <w:lvlJc w:val="left"/>
      <w:pPr>
        <w:ind w:left="4176" w:hanging="360"/>
      </w:pPr>
    </w:lvl>
    <w:lvl w:ilvl="4" w:tplc="0C0A0019" w:tentative="1">
      <w:start w:val="1"/>
      <w:numFmt w:val="lowerLetter"/>
      <w:lvlText w:val="%5."/>
      <w:lvlJc w:val="left"/>
      <w:pPr>
        <w:ind w:left="4896" w:hanging="360"/>
      </w:pPr>
    </w:lvl>
    <w:lvl w:ilvl="5" w:tplc="0C0A001B" w:tentative="1">
      <w:start w:val="1"/>
      <w:numFmt w:val="lowerRoman"/>
      <w:lvlText w:val="%6."/>
      <w:lvlJc w:val="right"/>
      <w:pPr>
        <w:ind w:left="5616" w:hanging="180"/>
      </w:pPr>
    </w:lvl>
    <w:lvl w:ilvl="6" w:tplc="0C0A000F" w:tentative="1">
      <w:start w:val="1"/>
      <w:numFmt w:val="decimal"/>
      <w:lvlText w:val="%7."/>
      <w:lvlJc w:val="left"/>
      <w:pPr>
        <w:ind w:left="6336" w:hanging="360"/>
      </w:pPr>
    </w:lvl>
    <w:lvl w:ilvl="7" w:tplc="0C0A0019" w:tentative="1">
      <w:start w:val="1"/>
      <w:numFmt w:val="lowerLetter"/>
      <w:lvlText w:val="%8."/>
      <w:lvlJc w:val="left"/>
      <w:pPr>
        <w:ind w:left="7056" w:hanging="360"/>
      </w:pPr>
    </w:lvl>
    <w:lvl w:ilvl="8" w:tplc="0C0A001B" w:tentative="1">
      <w:start w:val="1"/>
      <w:numFmt w:val="lowerRoman"/>
      <w:lvlText w:val="%9."/>
      <w:lvlJc w:val="right"/>
      <w:pPr>
        <w:ind w:left="7776" w:hanging="180"/>
      </w:pPr>
    </w:lvl>
  </w:abstractNum>
  <w:abstractNum w:abstractNumId="10" w15:restartNumberingAfterBreak="0">
    <w:nsid w:val="790D2A84"/>
    <w:multiLevelType w:val="hybridMultilevel"/>
    <w:tmpl w:val="9D321A82"/>
    <w:lvl w:ilvl="0" w:tplc="0C0A000F">
      <w:start w:val="1"/>
      <w:numFmt w:val="decimal"/>
      <w:lvlText w:val="%1."/>
      <w:lvlJc w:val="left"/>
      <w:pPr>
        <w:ind w:left="1987" w:hanging="360"/>
      </w:p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num w:numId="1">
    <w:abstractNumId w:val="4"/>
  </w:num>
  <w:num w:numId="2">
    <w:abstractNumId w:val="8"/>
  </w:num>
  <w:num w:numId="3">
    <w:abstractNumId w:val="3"/>
  </w:num>
  <w:num w:numId="4">
    <w:abstractNumId w:val="6"/>
  </w:num>
  <w:num w:numId="5">
    <w:abstractNumId w:val="7"/>
  </w:num>
  <w:num w:numId="6">
    <w:abstractNumId w:val="1"/>
  </w:num>
  <w:num w:numId="7">
    <w:abstractNumId w:val="0"/>
  </w:num>
  <w:num w:numId="8">
    <w:abstractNumId w:val="2"/>
  </w:num>
  <w:num w:numId="9">
    <w:abstractNumId w:val="9"/>
  </w:num>
  <w:num w:numId="10">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843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2443*"/>
    <w:docVar w:name="jobn" w:val="18-02443 (S)"/>
    <w:docVar w:name="JobNo" w:val="1802443S"/>
    <w:docVar w:name="ODSRefJobNo" w:val="1804442S"/>
    <w:docVar w:name="sss1" w:val="CEDAW/C/QAT/2"/>
    <w:docVar w:name="sss2" w:val="-"/>
  </w:docVars>
  <w:rsids>
    <w:rsidRoot w:val="001C653D"/>
    <w:rsid w:val="0000104C"/>
    <w:rsid w:val="00001430"/>
    <w:rsid w:val="00001487"/>
    <w:rsid w:val="00001CC4"/>
    <w:rsid w:val="000025A2"/>
    <w:rsid w:val="00002B98"/>
    <w:rsid w:val="0000430F"/>
    <w:rsid w:val="00005995"/>
    <w:rsid w:val="000067C8"/>
    <w:rsid w:val="00007F14"/>
    <w:rsid w:val="00007F32"/>
    <w:rsid w:val="0001023A"/>
    <w:rsid w:val="00011ED9"/>
    <w:rsid w:val="0001231F"/>
    <w:rsid w:val="000145F1"/>
    <w:rsid w:val="000148F0"/>
    <w:rsid w:val="0001510F"/>
    <w:rsid w:val="00016B3B"/>
    <w:rsid w:val="0001710A"/>
    <w:rsid w:val="00020C01"/>
    <w:rsid w:val="00021431"/>
    <w:rsid w:val="00023216"/>
    <w:rsid w:val="00025DF8"/>
    <w:rsid w:val="00026454"/>
    <w:rsid w:val="000271D6"/>
    <w:rsid w:val="00031924"/>
    <w:rsid w:val="00033058"/>
    <w:rsid w:val="000336E0"/>
    <w:rsid w:val="0003430A"/>
    <w:rsid w:val="00034936"/>
    <w:rsid w:val="000349DD"/>
    <w:rsid w:val="00035AAF"/>
    <w:rsid w:val="000371D6"/>
    <w:rsid w:val="00037E63"/>
    <w:rsid w:val="00040B8F"/>
    <w:rsid w:val="000417D2"/>
    <w:rsid w:val="00042F3C"/>
    <w:rsid w:val="00043015"/>
    <w:rsid w:val="000438C0"/>
    <w:rsid w:val="00043D79"/>
    <w:rsid w:val="00044517"/>
    <w:rsid w:val="000446D1"/>
    <w:rsid w:val="0005203D"/>
    <w:rsid w:val="000525D9"/>
    <w:rsid w:val="0005325C"/>
    <w:rsid w:val="000534EB"/>
    <w:rsid w:val="00054DB8"/>
    <w:rsid w:val="0006088E"/>
    <w:rsid w:val="00061177"/>
    <w:rsid w:val="00063545"/>
    <w:rsid w:val="000637D6"/>
    <w:rsid w:val="00063FD1"/>
    <w:rsid w:val="0006529D"/>
    <w:rsid w:val="000667E7"/>
    <w:rsid w:val="000673F8"/>
    <w:rsid w:val="000678B9"/>
    <w:rsid w:val="00067D9C"/>
    <w:rsid w:val="0007083E"/>
    <w:rsid w:val="0007153F"/>
    <w:rsid w:val="00071C6E"/>
    <w:rsid w:val="000724E5"/>
    <w:rsid w:val="0007540F"/>
    <w:rsid w:val="000757FF"/>
    <w:rsid w:val="00076C30"/>
    <w:rsid w:val="00076E01"/>
    <w:rsid w:val="000806AC"/>
    <w:rsid w:val="00083383"/>
    <w:rsid w:val="000871C1"/>
    <w:rsid w:val="000873D4"/>
    <w:rsid w:val="0009032B"/>
    <w:rsid w:val="00095062"/>
    <w:rsid w:val="000954A2"/>
    <w:rsid w:val="000A0A23"/>
    <w:rsid w:val="000A0C7C"/>
    <w:rsid w:val="000A1971"/>
    <w:rsid w:val="000A53F1"/>
    <w:rsid w:val="000A6B28"/>
    <w:rsid w:val="000A7628"/>
    <w:rsid w:val="000A77C7"/>
    <w:rsid w:val="000B0965"/>
    <w:rsid w:val="000B145D"/>
    <w:rsid w:val="000B2A4E"/>
    <w:rsid w:val="000B338E"/>
    <w:rsid w:val="000B5D31"/>
    <w:rsid w:val="000B6358"/>
    <w:rsid w:val="000B71D9"/>
    <w:rsid w:val="000C1009"/>
    <w:rsid w:val="000C4DCC"/>
    <w:rsid w:val="000C5D65"/>
    <w:rsid w:val="000C6904"/>
    <w:rsid w:val="000C7473"/>
    <w:rsid w:val="000D11F7"/>
    <w:rsid w:val="000D1E48"/>
    <w:rsid w:val="000D1F3D"/>
    <w:rsid w:val="000D21E6"/>
    <w:rsid w:val="000D467F"/>
    <w:rsid w:val="000D4A11"/>
    <w:rsid w:val="000D64ED"/>
    <w:rsid w:val="000D686E"/>
    <w:rsid w:val="000D7076"/>
    <w:rsid w:val="000E2489"/>
    <w:rsid w:val="000E277D"/>
    <w:rsid w:val="000E5000"/>
    <w:rsid w:val="000E66F5"/>
    <w:rsid w:val="000E67FD"/>
    <w:rsid w:val="000E6FEB"/>
    <w:rsid w:val="000F5982"/>
    <w:rsid w:val="000F5AC7"/>
    <w:rsid w:val="000F625D"/>
    <w:rsid w:val="000F7375"/>
    <w:rsid w:val="0010088F"/>
    <w:rsid w:val="00101405"/>
    <w:rsid w:val="00102135"/>
    <w:rsid w:val="001023C5"/>
    <w:rsid w:val="001049B2"/>
    <w:rsid w:val="001052F1"/>
    <w:rsid w:val="00107739"/>
    <w:rsid w:val="00107B26"/>
    <w:rsid w:val="001109AD"/>
    <w:rsid w:val="00111023"/>
    <w:rsid w:val="00111557"/>
    <w:rsid w:val="00111CCB"/>
    <w:rsid w:val="00112DEA"/>
    <w:rsid w:val="001179C3"/>
    <w:rsid w:val="0012119F"/>
    <w:rsid w:val="001217DB"/>
    <w:rsid w:val="001259AF"/>
    <w:rsid w:val="00127EBE"/>
    <w:rsid w:val="00135E50"/>
    <w:rsid w:val="00136CE5"/>
    <w:rsid w:val="00136FD6"/>
    <w:rsid w:val="00140F45"/>
    <w:rsid w:val="00143B7C"/>
    <w:rsid w:val="00144177"/>
    <w:rsid w:val="0014610D"/>
    <w:rsid w:val="00146B6F"/>
    <w:rsid w:val="001471F6"/>
    <w:rsid w:val="00147236"/>
    <w:rsid w:val="00147CC5"/>
    <w:rsid w:val="00151B81"/>
    <w:rsid w:val="00152E53"/>
    <w:rsid w:val="00153292"/>
    <w:rsid w:val="00153EA2"/>
    <w:rsid w:val="00153FD7"/>
    <w:rsid w:val="00154204"/>
    <w:rsid w:val="00154D9B"/>
    <w:rsid w:val="001561B2"/>
    <w:rsid w:val="00156468"/>
    <w:rsid w:val="0015662C"/>
    <w:rsid w:val="001571BC"/>
    <w:rsid w:val="00162455"/>
    <w:rsid w:val="00162A62"/>
    <w:rsid w:val="00167AA8"/>
    <w:rsid w:val="001701FE"/>
    <w:rsid w:val="00170784"/>
    <w:rsid w:val="00170894"/>
    <w:rsid w:val="0017221D"/>
    <w:rsid w:val="00174971"/>
    <w:rsid w:val="00174BD8"/>
    <w:rsid w:val="0017756D"/>
    <w:rsid w:val="00177A61"/>
    <w:rsid w:val="00177ACC"/>
    <w:rsid w:val="0018579A"/>
    <w:rsid w:val="00186A14"/>
    <w:rsid w:val="00187C4A"/>
    <w:rsid w:val="00190056"/>
    <w:rsid w:val="00190B00"/>
    <w:rsid w:val="00190CE7"/>
    <w:rsid w:val="00195EFF"/>
    <w:rsid w:val="00195F95"/>
    <w:rsid w:val="001A0A30"/>
    <w:rsid w:val="001A13FC"/>
    <w:rsid w:val="001A2E38"/>
    <w:rsid w:val="001A2FAC"/>
    <w:rsid w:val="001A3A4E"/>
    <w:rsid w:val="001A546F"/>
    <w:rsid w:val="001A72EA"/>
    <w:rsid w:val="001B2FC3"/>
    <w:rsid w:val="001B4A68"/>
    <w:rsid w:val="001B4AD2"/>
    <w:rsid w:val="001B5227"/>
    <w:rsid w:val="001B56CE"/>
    <w:rsid w:val="001B5CC5"/>
    <w:rsid w:val="001B5DD4"/>
    <w:rsid w:val="001C00F4"/>
    <w:rsid w:val="001C1FA6"/>
    <w:rsid w:val="001C2044"/>
    <w:rsid w:val="001C2D40"/>
    <w:rsid w:val="001C2E87"/>
    <w:rsid w:val="001C339D"/>
    <w:rsid w:val="001C4833"/>
    <w:rsid w:val="001C653D"/>
    <w:rsid w:val="001D04E3"/>
    <w:rsid w:val="001D0CA8"/>
    <w:rsid w:val="001D1229"/>
    <w:rsid w:val="001D1AD0"/>
    <w:rsid w:val="001D4A0C"/>
    <w:rsid w:val="001D681C"/>
    <w:rsid w:val="001D6BDA"/>
    <w:rsid w:val="001E04C4"/>
    <w:rsid w:val="001E2641"/>
    <w:rsid w:val="001E290A"/>
    <w:rsid w:val="001E2AB1"/>
    <w:rsid w:val="001E4835"/>
    <w:rsid w:val="001F02A5"/>
    <w:rsid w:val="001F0EC3"/>
    <w:rsid w:val="001F1D4C"/>
    <w:rsid w:val="001F2FC0"/>
    <w:rsid w:val="001F74B0"/>
    <w:rsid w:val="00200A61"/>
    <w:rsid w:val="002010D8"/>
    <w:rsid w:val="002010EC"/>
    <w:rsid w:val="002013FE"/>
    <w:rsid w:val="00201DC4"/>
    <w:rsid w:val="00203B27"/>
    <w:rsid w:val="00203C5D"/>
    <w:rsid w:val="0020684C"/>
    <w:rsid w:val="002070C6"/>
    <w:rsid w:val="00207467"/>
    <w:rsid w:val="00211015"/>
    <w:rsid w:val="00214AF3"/>
    <w:rsid w:val="002160F6"/>
    <w:rsid w:val="0021646A"/>
    <w:rsid w:val="00217E05"/>
    <w:rsid w:val="00217E8A"/>
    <w:rsid w:val="0022060C"/>
    <w:rsid w:val="00222AAE"/>
    <w:rsid w:val="0022389F"/>
    <w:rsid w:val="0022402A"/>
    <w:rsid w:val="002277C7"/>
    <w:rsid w:val="00233D59"/>
    <w:rsid w:val="00233F13"/>
    <w:rsid w:val="002345EA"/>
    <w:rsid w:val="00240653"/>
    <w:rsid w:val="00240FC5"/>
    <w:rsid w:val="0024120C"/>
    <w:rsid w:val="00242088"/>
    <w:rsid w:val="00242506"/>
    <w:rsid w:val="00242727"/>
    <w:rsid w:val="0024283D"/>
    <w:rsid w:val="00242FA6"/>
    <w:rsid w:val="0024338C"/>
    <w:rsid w:val="00244CF4"/>
    <w:rsid w:val="002457EF"/>
    <w:rsid w:val="00247894"/>
    <w:rsid w:val="00251995"/>
    <w:rsid w:val="00254473"/>
    <w:rsid w:val="0025615B"/>
    <w:rsid w:val="00260DF5"/>
    <w:rsid w:val="00261CCA"/>
    <w:rsid w:val="002639B8"/>
    <w:rsid w:val="00264271"/>
    <w:rsid w:val="002652F7"/>
    <w:rsid w:val="002660A3"/>
    <w:rsid w:val="00266F6B"/>
    <w:rsid w:val="00267943"/>
    <w:rsid w:val="00272964"/>
    <w:rsid w:val="002744AC"/>
    <w:rsid w:val="00276848"/>
    <w:rsid w:val="00277685"/>
    <w:rsid w:val="00280C39"/>
    <w:rsid w:val="00282EFF"/>
    <w:rsid w:val="0028372F"/>
    <w:rsid w:val="00283B0F"/>
    <w:rsid w:val="002841B4"/>
    <w:rsid w:val="0028737C"/>
    <w:rsid w:val="002919A1"/>
    <w:rsid w:val="002954CD"/>
    <w:rsid w:val="00295AC4"/>
    <w:rsid w:val="00295FD6"/>
    <w:rsid w:val="00296961"/>
    <w:rsid w:val="00297CB4"/>
    <w:rsid w:val="00297ED1"/>
    <w:rsid w:val="002A10AD"/>
    <w:rsid w:val="002A1AEE"/>
    <w:rsid w:val="002A1F8A"/>
    <w:rsid w:val="002A2E26"/>
    <w:rsid w:val="002A45F9"/>
    <w:rsid w:val="002A4948"/>
    <w:rsid w:val="002A7DDE"/>
    <w:rsid w:val="002B0F08"/>
    <w:rsid w:val="002B105C"/>
    <w:rsid w:val="002B1378"/>
    <w:rsid w:val="002B1548"/>
    <w:rsid w:val="002B2680"/>
    <w:rsid w:val="002B4349"/>
    <w:rsid w:val="002B53CA"/>
    <w:rsid w:val="002B6B53"/>
    <w:rsid w:val="002B7407"/>
    <w:rsid w:val="002C2BD0"/>
    <w:rsid w:val="002C2CAF"/>
    <w:rsid w:val="002C345B"/>
    <w:rsid w:val="002C379E"/>
    <w:rsid w:val="002C3D40"/>
    <w:rsid w:val="002C3E79"/>
    <w:rsid w:val="002C4B20"/>
    <w:rsid w:val="002C716B"/>
    <w:rsid w:val="002D2972"/>
    <w:rsid w:val="002D3F35"/>
    <w:rsid w:val="002D422C"/>
    <w:rsid w:val="002D56D8"/>
    <w:rsid w:val="002E1262"/>
    <w:rsid w:val="002E2A29"/>
    <w:rsid w:val="002E2CFE"/>
    <w:rsid w:val="002E6792"/>
    <w:rsid w:val="002E6E5B"/>
    <w:rsid w:val="002E7B8C"/>
    <w:rsid w:val="002F0A5D"/>
    <w:rsid w:val="002F1069"/>
    <w:rsid w:val="002F2C36"/>
    <w:rsid w:val="002F2E0B"/>
    <w:rsid w:val="002F42B0"/>
    <w:rsid w:val="002F4C08"/>
    <w:rsid w:val="002F5CD0"/>
    <w:rsid w:val="002F6FD5"/>
    <w:rsid w:val="002F7FBF"/>
    <w:rsid w:val="003034FD"/>
    <w:rsid w:val="00303A2A"/>
    <w:rsid w:val="00303E45"/>
    <w:rsid w:val="00304AC4"/>
    <w:rsid w:val="00310555"/>
    <w:rsid w:val="0031068B"/>
    <w:rsid w:val="00310727"/>
    <w:rsid w:val="00315A55"/>
    <w:rsid w:val="00317362"/>
    <w:rsid w:val="00323F27"/>
    <w:rsid w:val="00324458"/>
    <w:rsid w:val="00325C86"/>
    <w:rsid w:val="00327A13"/>
    <w:rsid w:val="00327CF4"/>
    <w:rsid w:val="00330167"/>
    <w:rsid w:val="00331271"/>
    <w:rsid w:val="00332991"/>
    <w:rsid w:val="00332BD8"/>
    <w:rsid w:val="00332EC4"/>
    <w:rsid w:val="00333576"/>
    <w:rsid w:val="003359DE"/>
    <w:rsid w:val="003363C7"/>
    <w:rsid w:val="0033750B"/>
    <w:rsid w:val="00337761"/>
    <w:rsid w:val="00337A16"/>
    <w:rsid w:val="003415E2"/>
    <w:rsid w:val="00341B27"/>
    <w:rsid w:val="00343253"/>
    <w:rsid w:val="003440A0"/>
    <w:rsid w:val="003452B8"/>
    <w:rsid w:val="00345851"/>
    <w:rsid w:val="0034665F"/>
    <w:rsid w:val="0034771F"/>
    <w:rsid w:val="00347865"/>
    <w:rsid w:val="00347A66"/>
    <w:rsid w:val="00350D29"/>
    <w:rsid w:val="00352C07"/>
    <w:rsid w:val="00353895"/>
    <w:rsid w:val="0035601E"/>
    <w:rsid w:val="003566A8"/>
    <w:rsid w:val="00357E24"/>
    <w:rsid w:val="0036093B"/>
    <w:rsid w:val="00360B1A"/>
    <w:rsid w:val="00360FB4"/>
    <w:rsid w:val="003626AF"/>
    <w:rsid w:val="00363CCE"/>
    <w:rsid w:val="00364682"/>
    <w:rsid w:val="00364F73"/>
    <w:rsid w:val="00365806"/>
    <w:rsid w:val="00367739"/>
    <w:rsid w:val="00371AE2"/>
    <w:rsid w:val="0037312C"/>
    <w:rsid w:val="00373423"/>
    <w:rsid w:val="003737A1"/>
    <w:rsid w:val="0037429E"/>
    <w:rsid w:val="003754AD"/>
    <w:rsid w:val="00375801"/>
    <w:rsid w:val="003771A9"/>
    <w:rsid w:val="003779EE"/>
    <w:rsid w:val="00377C84"/>
    <w:rsid w:val="00381543"/>
    <w:rsid w:val="0038225E"/>
    <w:rsid w:val="00383890"/>
    <w:rsid w:val="00384187"/>
    <w:rsid w:val="00384212"/>
    <w:rsid w:val="00384EB6"/>
    <w:rsid w:val="003859BA"/>
    <w:rsid w:val="00385E90"/>
    <w:rsid w:val="00385EC5"/>
    <w:rsid w:val="003861C9"/>
    <w:rsid w:val="003866C9"/>
    <w:rsid w:val="0039216F"/>
    <w:rsid w:val="003926E1"/>
    <w:rsid w:val="00392C66"/>
    <w:rsid w:val="00393F05"/>
    <w:rsid w:val="00396585"/>
    <w:rsid w:val="003965EE"/>
    <w:rsid w:val="00397636"/>
    <w:rsid w:val="003A1259"/>
    <w:rsid w:val="003A25A1"/>
    <w:rsid w:val="003A48C4"/>
    <w:rsid w:val="003A5026"/>
    <w:rsid w:val="003A5CE7"/>
    <w:rsid w:val="003B145C"/>
    <w:rsid w:val="003B24BF"/>
    <w:rsid w:val="003B5AA5"/>
    <w:rsid w:val="003B613E"/>
    <w:rsid w:val="003C07A3"/>
    <w:rsid w:val="003C0ECF"/>
    <w:rsid w:val="003C12C7"/>
    <w:rsid w:val="003C29C1"/>
    <w:rsid w:val="003C2AA1"/>
    <w:rsid w:val="003C2D96"/>
    <w:rsid w:val="003C44F4"/>
    <w:rsid w:val="003C473B"/>
    <w:rsid w:val="003C4940"/>
    <w:rsid w:val="003C4AAB"/>
    <w:rsid w:val="003C5003"/>
    <w:rsid w:val="003C5008"/>
    <w:rsid w:val="003C67B3"/>
    <w:rsid w:val="003C6A90"/>
    <w:rsid w:val="003C7A59"/>
    <w:rsid w:val="003D0989"/>
    <w:rsid w:val="003D1093"/>
    <w:rsid w:val="003D2D4A"/>
    <w:rsid w:val="003D567A"/>
    <w:rsid w:val="003D5727"/>
    <w:rsid w:val="003D7F12"/>
    <w:rsid w:val="003E271B"/>
    <w:rsid w:val="003E2D85"/>
    <w:rsid w:val="003E5AAE"/>
    <w:rsid w:val="003E60D2"/>
    <w:rsid w:val="003E6AE7"/>
    <w:rsid w:val="003E7A69"/>
    <w:rsid w:val="003F0129"/>
    <w:rsid w:val="003F2A56"/>
    <w:rsid w:val="003F3052"/>
    <w:rsid w:val="003F3C3C"/>
    <w:rsid w:val="00400307"/>
    <w:rsid w:val="00400A6A"/>
    <w:rsid w:val="00403D85"/>
    <w:rsid w:val="00404990"/>
    <w:rsid w:val="0040564F"/>
    <w:rsid w:val="004057C7"/>
    <w:rsid w:val="00405E0F"/>
    <w:rsid w:val="004072AB"/>
    <w:rsid w:val="004107E2"/>
    <w:rsid w:val="0041384A"/>
    <w:rsid w:val="00413E13"/>
    <w:rsid w:val="0041730F"/>
    <w:rsid w:val="00417A1F"/>
    <w:rsid w:val="00420556"/>
    <w:rsid w:val="0042107F"/>
    <w:rsid w:val="004211F7"/>
    <w:rsid w:val="00421283"/>
    <w:rsid w:val="00423CFD"/>
    <w:rsid w:val="0042642D"/>
    <w:rsid w:val="00427317"/>
    <w:rsid w:val="00431501"/>
    <w:rsid w:val="004318E8"/>
    <w:rsid w:val="00433AF8"/>
    <w:rsid w:val="00433FB5"/>
    <w:rsid w:val="00434234"/>
    <w:rsid w:val="004374B8"/>
    <w:rsid w:val="00437612"/>
    <w:rsid w:val="004411D4"/>
    <w:rsid w:val="00442D4B"/>
    <w:rsid w:val="00443CA4"/>
    <w:rsid w:val="00443D35"/>
    <w:rsid w:val="004450AF"/>
    <w:rsid w:val="004452B0"/>
    <w:rsid w:val="004465F9"/>
    <w:rsid w:val="00447953"/>
    <w:rsid w:val="00451290"/>
    <w:rsid w:val="00451E0F"/>
    <w:rsid w:val="0045204A"/>
    <w:rsid w:val="00452380"/>
    <w:rsid w:val="00452C87"/>
    <w:rsid w:val="004531F4"/>
    <w:rsid w:val="00454E04"/>
    <w:rsid w:val="00455B4C"/>
    <w:rsid w:val="0045650A"/>
    <w:rsid w:val="00456674"/>
    <w:rsid w:val="004568A8"/>
    <w:rsid w:val="00460AD1"/>
    <w:rsid w:val="004613A1"/>
    <w:rsid w:val="00462886"/>
    <w:rsid w:val="00465121"/>
    <w:rsid w:val="00466635"/>
    <w:rsid w:val="00467907"/>
    <w:rsid w:val="004700F4"/>
    <w:rsid w:val="004713D8"/>
    <w:rsid w:val="00471F9B"/>
    <w:rsid w:val="00473E2B"/>
    <w:rsid w:val="00474035"/>
    <w:rsid w:val="00474F6E"/>
    <w:rsid w:val="00475AB8"/>
    <w:rsid w:val="00476219"/>
    <w:rsid w:val="004762F7"/>
    <w:rsid w:val="004806A1"/>
    <w:rsid w:val="00480D83"/>
    <w:rsid w:val="00482FF2"/>
    <w:rsid w:val="004836F3"/>
    <w:rsid w:val="00483D4F"/>
    <w:rsid w:val="00484133"/>
    <w:rsid w:val="004843EE"/>
    <w:rsid w:val="00484EA5"/>
    <w:rsid w:val="00486DF8"/>
    <w:rsid w:val="004871EC"/>
    <w:rsid w:val="00487560"/>
    <w:rsid w:val="00490E18"/>
    <w:rsid w:val="00491613"/>
    <w:rsid w:val="0049207E"/>
    <w:rsid w:val="004948A9"/>
    <w:rsid w:val="00496527"/>
    <w:rsid w:val="004A146B"/>
    <w:rsid w:val="004A1699"/>
    <w:rsid w:val="004A23EF"/>
    <w:rsid w:val="004A3174"/>
    <w:rsid w:val="004A5EB5"/>
    <w:rsid w:val="004A79EF"/>
    <w:rsid w:val="004A7C6C"/>
    <w:rsid w:val="004B2460"/>
    <w:rsid w:val="004B396B"/>
    <w:rsid w:val="004B47A3"/>
    <w:rsid w:val="004B7559"/>
    <w:rsid w:val="004B77C1"/>
    <w:rsid w:val="004C037A"/>
    <w:rsid w:val="004C1BCD"/>
    <w:rsid w:val="004C42EE"/>
    <w:rsid w:val="004C5040"/>
    <w:rsid w:val="004C5114"/>
    <w:rsid w:val="004C6540"/>
    <w:rsid w:val="004C75AE"/>
    <w:rsid w:val="004C7731"/>
    <w:rsid w:val="004C7BD6"/>
    <w:rsid w:val="004C7EA8"/>
    <w:rsid w:val="004D0006"/>
    <w:rsid w:val="004D2A3E"/>
    <w:rsid w:val="004D2E6E"/>
    <w:rsid w:val="004D496B"/>
    <w:rsid w:val="004D4AC0"/>
    <w:rsid w:val="004D5E47"/>
    <w:rsid w:val="004D5E4F"/>
    <w:rsid w:val="004D6407"/>
    <w:rsid w:val="004D6F16"/>
    <w:rsid w:val="004D779E"/>
    <w:rsid w:val="004D7D13"/>
    <w:rsid w:val="004E085C"/>
    <w:rsid w:val="004E120E"/>
    <w:rsid w:val="004E133D"/>
    <w:rsid w:val="004E20DD"/>
    <w:rsid w:val="004E2C80"/>
    <w:rsid w:val="004E30CF"/>
    <w:rsid w:val="004E36BA"/>
    <w:rsid w:val="004E4F87"/>
    <w:rsid w:val="004E5F4D"/>
    <w:rsid w:val="004E6C35"/>
    <w:rsid w:val="004E757B"/>
    <w:rsid w:val="004F14EE"/>
    <w:rsid w:val="004F3477"/>
    <w:rsid w:val="004F4843"/>
    <w:rsid w:val="004F4A39"/>
    <w:rsid w:val="004F6009"/>
    <w:rsid w:val="00500085"/>
    <w:rsid w:val="0050020B"/>
    <w:rsid w:val="00500463"/>
    <w:rsid w:val="00502F15"/>
    <w:rsid w:val="0050377E"/>
    <w:rsid w:val="00504173"/>
    <w:rsid w:val="005044A1"/>
    <w:rsid w:val="005053EA"/>
    <w:rsid w:val="005056C9"/>
    <w:rsid w:val="0050627B"/>
    <w:rsid w:val="00506C71"/>
    <w:rsid w:val="00506F95"/>
    <w:rsid w:val="00507265"/>
    <w:rsid w:val="00507434"/>
    <w:rsid w:val="00511D5E"/>
    <w:rsid w:val="00511E13"/>
    <w:rsid w:val="005130D6"/>
    <w:rsid w:val="0051540B"/>
    <w:rsid w:val="00515758"/>
    <w:rsid w:val="00521DE9"/>
    <w:rsid w:val="00522963"/>
    <w:rsid w:val="00522CE1"/>
    <w:rsid w:val="00523F4C"/>
    <w:rsid w:val="00524C14"/>
    <w:rsid w:val="00524CD5"/>
    <w:rsid w:val="00525F31"/>
    <w:rsid w:val="00531A54"/>
    <w:rsid w:val="00531F88"/>
    <w:rsid w:val="00533788"/>
    <w:rsid w:val="00533E81"/>
    <w:rsid w:val="00534962"/>
    <w:rsid w:val="00534D37"/>
    <w:rsid w:val="00535642"/>
    <w:rsid w:val="00535721"/>
    <w:rsid w:val="00535DB1"/>
    <w:rsid w:val="0054067F"/>
    <w:rsid w:val="0054076F"/>
    <w:rsid w:val="00542A52"/>
    <w:rsid w:val="00543025"/>
    <w:rsid w:val="00543033"/>
    <w:rsid w:val="005434BC"/>
    <w:rsid w:val="0054650A"/>
    <w:rsid w:val="005466CD"/>
    <w:rsid w:val="0054783D"/>
    <w:rsid w:val="00547853"/>
    <w:rsid w:val="00547B39"/>
    <w:rsid w:val="00550243"/>
    <w:rsid w:val="00552359"/>
    <w:rsid w:val="00552711"/>
    <w:rsid w:val="00553F3F"/>
    <w:rsid w:val="00555602"/>
    <w:rsid w:val="00555A6B"/>
    <w:rsid w:val="00556B04"/>
    <w:rsid w:val="00556CEB"/>
    <w:rsid w:val="00561A05"/>
    <w:rsid w:val="00562263"/>
    <w:rsid w:val="005625F8"/>
    <w:rsid w:val="00562CA9"/>
    <w:rsid w:val="00565717"/>
    <w:rsid w:val="005657AC"/>
    <w:rsid w:val="00566720"/>
    <w:rsid w:val="00567942"/>
    <w:rsid w:val="00571770"/>
    <w:rsid w:val="00571A1C"/>
    <w:rsid w:val="00571DC3"/>
    <w:rsid w:val="00571F2A"/>
    <w:rsid w:val="00571F37"/>
    <w:rsid w:val="005737E7"/>
    <w:rsid w:val="00573ECA"/>
    <w:rsid w:val="005751DE"/>
    <w:rsid w:val="0057641D"/>
    <w:rsid w:val="00576731"/>
    <w:rsid w:val="005802F2"/>
    <w:rsid w:val="0058043D"/>
    <w:rsid w:val="00582AF8"/>
    <w:rsid w:val="00582B10"/>
    <w:rsid w:val="00585931"/>
    <w:rsid w:val="005868A4"/>
    <w:rsid w:val="00587E23"/>
    <w:rsid w:val="005906B3"/>
    <w:rsid w:val="00593A1C"/>
    <w:rsid w:val="00594DF1"/>
    <w:rsid w:val="00595DE1"/>
    <w:rsid w:val="00596535"/>
    <w:rsid w:val="00596BFD"/>
    <w:rsid w:val="00597A02"/>
    <w:rsid w:val="00597B0E"/>
    <w:rsid w:val="005A0756"/>
    <w:rsid w:val="005A1929"/>
    <w:rsid w:val="005A242A"/>
    <w:rsid w:val="005A40BD"/>
    <w:rsid w:val="005A651B"/>
    <w:rsid w:val="005A77D1"/>
    <w:rsid w:val="005B0144"/>
    <w:rsid w:val="005B68DB"/>
    <w:rsid w:val="005B7E35"/>
    <w:rsid w:val="005C08C9"/>
    <w:rsid w:val="005C1F56"/>
    <w:rsid w:val="005C547D"/>
    <w:rsid w:val="005C5FA0"/>
    <w:rsid w:val="005D1261"/>
    <w:rsid w:val="005D3721"/>
    <w:rsid w:val="005D513F"/>
    <w:rsid w:val="005D63A4"/>
    <w:rsid w:val="005D6980"/>
    <w:rsid w:val="005E4E8F"/>
    <w:rsid w:val="005E4F7D"/>
    <w:rsid w:val="005E55DC"/>
    <w:rsid w:val="005E5B14"/>
    <w:rsid w:val="005E6371"/>
    <w:rsid w:val="005E6B39"/>
    <w:rsid w:val="005E7C8B"/>
    <w:rsid w:val="005F10AB"/>
    <w:rsid w:val="005F1561"/>
    <w:rsid w:val="005F4603"/>
    <w:rsid w:val="005F5E48"/>
    <w:rsid w:val="005F6986"/>
    <w:rsid w:val="005F774D"/>
    <w:rsid w:val="0060112E"/>
    <w:rsid w:val="00601523"/>
    <w:rsid w:val="00603605"/>
    <w:rsid w:val="00603B8C"/>
    <w:rsid w:val="006072AE"/>
    <w:rsid w:val="00607D0F"/>
    <w:rsid w:val="00610AFA"/>
    <w:rsid w:val="006111BB"/>
    <w:rsid w:val="0061177D"/>
    <w:rsid w:val="00612DA1"/>
    <w:rsid w:val="006134BF"/>
    <w:rsid w:val="00614C74"/>
    <w:rsid w:val="00616088"/>
    <w:rsid w:val="006166DB"/>
    <w:rsid w:val="006169F5"/>
    <w:rsid w:val="00617D15"/>
    <w:rsid w:val="00620562"/>
    <w:rsid w:val="00620953"/>
    <w:rsid w:val="00620A52"/>
    <w:rsid w:val="00623557"/>
    <w:rsid w:val="006262DC"/>
    <w:rsid w:val="00626449"/>
    <w:rsid w:val="00627251"/>
    <w:rsid w:val="00627831"/>
    <w:rsid w:val="00630C54"/>
    <w:rsid w:val="00630CE1"/>
    <w:rsid w:val="00630F7F"/>
    <w:rsid w:val="00631114"/>
    <w:rsid w:val="0063405C"/>
    <w:rsid w:val="006361BF"/>
    <w:rsid w:val="00636DA1"/>
    <w:rsid w:val="00637AB0"/>
    <w:rsid w:val="00641130"/>
    <w:rsid w:val="006429E9"/>
    <w:rsid w:val="00642D23"/>
    <w:rsid w:val="00643833"/>
    <w:rsid w:val="00645DF2"/>
    <w:rsid w:val="006463C7"/>
    <w:rsid w:val="006471BF"/>
    <w:rsid w:val="006510D7"/>
    <w:rsid w:val="00651574"/>
    <w:rsid w:val="006524E5"/>
    <w:rsid w:val="0065266F"/>
    <w:rsid w:val="00652843"/>
    <w:rsid w:val="006533BB"/>
    <w:rsid w:val="00653422"/>
    <w:rsid w:val="00653EF9"/>
    <w:rsid w:val="00657B75"/>
    <w:rsid w:val="0066008C"/>
    <w:rsid w:val="00661727"/>
    <w:rsid w:val="00664183"/>
    <w:rsid w:val="0066550D"/>
    <w:rsid w:val="00666B35"/>
    <w:rsid w:val="006671BC"/>
    <w:rsid w:val="006673FF"/>
    <w:rsid w:val="00670153"/>
    <w:rsid w:val="00671096"/>
    <w:rsid w:val="00672CCA"/>
    <w:rsid w:val="006730B8"/>
    <w:rsid w:val="00677761"/>
    <w:rsid w:val="006807E7"/>
    <w:rsid w:val="00680FD1"/>
    <w:rsid w:val="0068161F"/>
    <w:rsid w:val="00681B42"/>
    <w:rsid w:val="006820D1"/>
    <w:rsid w:val="00682A3F"/>
    <w:rsid w:val="00682F18"/>
    <w:rsid w:val="00683416"/>
    <w:rsid w:val="006857D9"/>
    <w:rsid w:val="00686601"/>
    <w:rsid w:val="006878DB"/>
    <w:rsid w:val="0069047A"/>
    <w:rsid w:val="006916F1"/>
    <w:rsid w:val="00692A1F"/>
    <w:rsid w:val="006938DB"/>
    <w:rsid w:val="00694EB4"/>
    <w:rsid w:val="006956F4"/>
    <w:rsid w:val="00695FC6"/>
    <w:rsid w:val="006968D9"/>
    <w:rsid w:val="00696921"/>
    <w:rsid w:val="006A2758"/>
    <w:rsid w:val="006A3096"/>
    <w:rsid w:val="006A3806"/>
    <w:rsid w:val="006A6D10"/>
    <w:rsid w:val="006B08F8"/>
    <w:rsid w:val="006B0F4B"/>
    <w:rsid w:val="006B4BE7"/>
    <w:rsid w:val="006B7D41"/>
    <w:rsid w:val="006C2312"/>
    <w:rsid w:val="006C3274"/>
    <w:rsid w:val="006C3A65"/>
    <w:rsid w:val="006C4163"/>
    <w:rsid w:val="006C4A53"/>
    <w:rsid w:val="006C6173"/>
    <w:rsid w:val="006C78DE"/>
    <w:rsid w:val="006D0B17"/>
    <w:rsid w:val="006D0C1A"/>
    <w:rsid w:val="006D14BB"/>
    <w:rsid w:val="006D3321"/>
    <w:rsid w:val="006D5A53"/>
    <w:rsid w:val="006D6BC2"/>
    <w:rsid w:val="006E0E95"/>
    <w:rsid w:val="006E0EF0"/>
    <w:rsid w:val="006E1CF2"/>
    <w:rsid w:val="006E296C"/>
    <w:rsid w:val="006E3436"/>
    <w:rsid w:val="006E39F5"/>
    <w:rsid w:val="006E5E6B"/>
    <w:rsid w:val="006E66D5"/>
    <w:rsid w:val="006E689B"/>
    <w:rsid w:val="006E761D"/>
    <w:rsid w:val="006F0FCF"/>
    <w:rsid w:val="006F171A"/>
    <w:rsid w:val="006F322B"/>
    <w:rsid w:val="006F36E2"/>
    <w:rsid w:val="006F4381"/>
    <w:rsid w:val="006F4E6B"/>
    <w:rsid w:val="006F5827"/>
    <w:rsid w:val="006F7E74"/>
    <w:rsid w:val="00703F0A"/>
    <w:rsid w:val="0070417F"/>
    <w:rsid w:val="00705618"/>
    <w:rsid w:val="0070602F"/>
    <w:rsid w:val="007070B8"/>
    <w:rsid w:val="00707553"/>
    <w:rsid w:val="007079E2"/>
    <w:rsid w:val="00707F62"/>
    <w:rsid w:val="00712D1A"/>
    <w:rsid w:val="007137B2"/>
    <w:rsid w:val="007142B6"/>
    <w:rsid w:val="007149E3"/>
    <w:rsid w:val="00715053"/>
    <w:rsid w:val="007155B3"/>
    <w:rsid w:val="00716C1C"/>
    <w:rsid w:val="00717568"/>
    <w:rsid w:val="00720378"/>
    <w:rsid w:val="0072046A"/>
    <w:rsid w:val="00723B89"/>
    <w:rsid w:val="007245DF"/>
    <w:rsid w:val="007253D7"/>
    <w:rsid w:val="00725C64"/>
    <w:rsid w:val="00732348"/>
    <w:rsid w:val="0073329F"/>
    <w:rsid w:val="00734776"/>
    <w:rsid w:val="00735820"/>
    <w:rsid w:val="0073710F"/>
    <w:rsid w:val="0074000F"/>
    <w:rsid w:val="007401AE"/>
    <w:rsid w:val="00740A4A"/>
    <w:rsid w:val="00744B30"/>
    <w:rsid w:val="007502C6"/>
    <w:rsid w:val="00750DA9"/>
    <w:rsid w:val="00752100"/>
    <w:rsid w:val="00752C0A"/>
    <w:rsid w:val="00754308"/>
    <w:rsid w:val="007549E2"/>
    <w:rsid w:val="00754F43"/>
    <w:rsid w:val="00755115"/>
    <w:rsid w:val="0075647C"/>
    <w:rsid w:val="007577D7"/>
    <w:rsid w:val="00757CF2"/>
    <w:rsid w:val="0076216F"/>
    <w:rsid w:val="00765F44"/>
    <w:rsid w:val="007676BD"/>
    <w:rsid w:val="00776D1D"/>
    <w:rsid w:val="00776DCA"/>
    <w:rsid w:val="00776E92"/>
    <w:rsid w:val="00777C17"/>
    <w:rsid w:val="00777C5C"/>
    <w:rsid w:val="00781040"/>
    <w:rsid w:val="00781257"/>
    <w:rsid w:val="00781DFE"/>
    <w:rsid w:val="007849B8"/>
    <w:rsid w:val="00785F06"/>
    <w:rsid w:val="0079142E"/>
    <w:rsid w:val="00793FFF"/>
    <w:rsid w:val="007A267E"/>
    <w:rsid w:val="007A384D"/>
    <w:rsid w:val="007A46FF"/>
    <w:rsid w:val="007A5201"/>
    <w:rsid w:val="007A6BC0"/>
    <w:rsid w:val="007A7681"/>
    <w:rsid w:val="007B04E8"/>
    <w:rsid w:val="007B2E44"/>
    <w:rsid w:val="007B3084"/>
    <w:rsid w:val="007B3555"/>
    <w:rsid w:val="007B407C"/>
    <w:rsid w:val="007B4E24"/>
    <w:rsid w:val="007B591C"/>
    <w:rsid w:val="007B5BC1"/>
    <w:rsid w:val="007B6129"/>
    <w:rsid w:val="007B7DE0"/>
    <w:rsid w:val="007C51E9"/>
    <w:rsid w:val="007C566A"/>
    <w:rsid w:val="007C7D32"/>
    <w:rsid w:val="007D01A5"/>
    <w:rsid w:val="007D0378"/>
    <w:rsid w:val="007D0893"/>
    <w:rsid w:val="007D0E2E"/>
    <w:rsid w:val="007D1C37"/>
    <w:rsid w:val="007D35C8"/>
    <w:rsid w:val="007D4943"/>
    <w:rsid w:val="007D4E46"/>
    <w:rsid w:val="007D564C"/>
    <w:rsid w:val="007D5836"/>
    <w:rsid w:val="007D59F4"/>
    <w:rsid w:val="007D60C1"/>
    <w:rsid w:val="007E21BD"/>
    <w:rsid w:val="007E282F"/>
    <w:rsid w:val="007E2A8F"/>
    <w:rsid w:val="007E31CA"/>
    <w:rsid w:val="007E322D"/>
    <w:rsid w:val="007E35F5"/>
    <w:rsid w:val="007E3D3E"/>
    <w:rsid w:val="007E4015"/>
    <w:rsid w:val="007E4B86"/>
    <w:rsid w:val="007E4CB9"/>
    <w:rsid w:val="007E5F23"/>
    <w:rsid w:val="007E647A"/>
    <w:rsid w:val="007E671C"/>
    <w:rsid w:val="007F42D3"/>
    <w:rsid w:val="007F4C76"/>
    <w:rsid w:val="007F5AF9"/>
    <w:rsid w:val="007F692D"/>
    <w:rsid w:val="00800D5E"/>
    <w:rsid w:val="00801665"/>
    <w:rsid w:val="00801B3F"/>
    <w:rsid w:val="00802A72"/>
    <w:rsid w:val="00803060"/>
    <w:rsid w:val="00813690"/>
    <w:rsid w:val="00813C40"/>
    <w:rsid w:val="00815287"/>
    <w:rsid w:val="00815615"/>
    <w:rsid w:val="00815EA8"/>
    <w:rsid w:val="008165FB"/>
    <w:rsid w:val="00817D11"/>
    <w:rsid w:val="0082070F"/>
    <w:rsid w:val="0082087B"/>
    <w:rsid w:val="00821054"/>
    <w:rsid w:val="00821E34"/>
    <w:rsid w:val="00823340"/>
    <w:rsid w:val="00823BE3"/>
    <w:rsid w:val="00824B02"/>
    <w:rsid w:val="00824EA5"/>
    <w:rsid w:val="00825162"/>
    <w:rsid w:val="00826F2E"/>
    <w:rsid w:val="008305DF"/>
    <w:rsid w:val="00830911"/>
    <w:rsid w:val="00832268"/>
    <w:rsid w:val="00832D9A"/>
    <w:rsid w:val="00832F71"/>
    <w:rsid w:val="00833B57"/>
    <w:rsid w:val="00834163"/>
    <w:rsid w:val="00834408"/>
    <w:rsid w:val="0083457C"/>
    <w:rsid w:val="008408BA"/>
    <w:rsid w:val="00844351"/>
    <w:rsid w:val="008445AF"/>
    <w:rsid w:val="008451DF"/>
    <w:rsid w:val="00845ACF"/>
    <w:rsid w:val="008463C4"/>
    <w:rsid w:val="008466A7"/>
    <w:rsid w:val="00850504"/>
    <w:rsid w:val="008510BE"/>
    <w:rsid w:val="0085192D"/>
    <w:rsid w:val="00851DC4"/>
    <w:rsid w:val="008521F6"/>
    <w:rsid w:val="008539AC"/>
    <w:rsid w:val="0085443F"/>
    <w:rsid w:val="00855E9B"/>
    <w:rsid w:val="00857091"/>
    <w:rsid w:val="00860AAD"/>
    <w:rsid w:val="00860B12"/>
    <w:rsid w:val="0086143E"/>
    <w:rsid w:val="008620C3"/>
    <w:rsid w:val="0086249C"/>
    <w:rsid w:val="00863869"/>
    <w:rsid w:val="0086396A"/>
    <w:rsid w:val="00871928"/>
    <w:rsid w:val="00872139"/>
    <w:rsid w:val="00875415"/>
    <w:rsid w:val="00875F65"/>
    <w:rsid w:val="00880535"/>
    <w:rsid w:val="00882D62"/>
    <w:rsid w:val="008834CB"/>
    <w:rsid w:val="0088552D"/>
    <w:rsid w:val="00886B50"/>
    <w:rsid w:val="00891D9C"/>
    <w:rsid w:val="00892F6C"/>
    <w:rsid w:val="0089324E"/>
    <w:rsid w:val="00893B9A"/>
    <w:rsid w:val="008949CC"/>
    <w:rsid w:val="00894D50"/>
    <w:rsid w:val="00895BF0"/>
    <w:rsid w:val="00896289"/>
    <w:rsid w:val="00897EE4"/>
    <w:rsid w:val="008A2A83"/>
    <w:rsid w:val="008A2C2B"/>
    <w:rsid w:val="008A423D"/>
    <w:rsid w:val="008A5EA2"/>
    <w:rsid w:val="008A61A8"/>
    <w:rsid w:val="008A680C"/>
    <w:rsid w:val="008B2CC1"/>
    <w:rsid w:val="008B30AC"/>
    <w:rsid w:val="008B3D57"/>
    <w:rsid w:val="008B59F9"/>
    <w:rsid w:val="008B5FC3"/>
    <w:rsid w:val="008B6A00"/>
    <w:rsid w:val="008B789B"/>
    <w:rsid w:val="008C0582"/>
    <w:rsid w:val="008C1BC4"/>
    <w:rsid w:val="008C24C2"/>
    <w:rsid w:val="008C2F4C"/>
    <w:rsid w:val="008C694B"/>
    <w:rsid w:val="008C70A0"/>
    <w:rsid w:val="008D0F57"/>
    <w:rsid w:val="008D17EE"/>
    <w:rsid w:val="008D1C04"/>
    <w:rsid w:val="008D21BB"/>
    <w:rsid w:val="008D2A50"/>
    <w:rsid w:val="008D2AE1"/>
    <w:rsid w:val="008D2F10"/>
    <w:rsid w:val="008D3D19"/>
    <w:rsid w:val="008D436B"/>
    <w:rsid w:val="008D53A0"/>
    <w:rsid w:val="008E20B1"/>
    <w:rsid w:val="008E2B2E"/>
    <w:rsid w:val="008E332F"/>
    <w:rsid w:val="008E37CD"/>
    <w:rsid w:val="008E3A40"/>
    <w:rsid w:val="008E4000"/>
    <w:rsid w:val="008E41D0"/>
    <w:rsid w:val="008E5882"/>
    <w:rsid w:val="008E7B1E"/>
    <w:rsid w:val="008F1890"/>
    <w:rsid w:val="008F1E8F"/>
    <w:rsid w:val="008F2959"/>
    <w:rsid w:val="008F3085"/>
    <w:rsid w:val="008F4D6B"/>
    <w:rsid w:val="008F532E"/>
    <w:rsid w:val="008F74FE"/>
    <w:rsid w:val="008F7AE0"/>
    <w:rsid w:val="008F7DC0"/>
    <w:rsid w:val="00900BCE"/>
    <w:rsid w:val="0090577F"/>
    <w:rsid w:val="00906D4E"/>
    <w:rsid w:val="009070BD"/>
    <w:rsid w:val="009108CF"/>
    <w:rsid w:val="00911027"/>
    <w:rsid w:val="00911B17"/>
    <w:rsid w:val="00911F53"/>
    <w:rsid w:val="00912204"/>
    <w:rsid w:val="0091271E"/>
    <w:rsid w:val="00913197"/>
    <w:rsid w:val="0091591F"/>
    <w:rsid w:val="00915A2B"/>
    <w:rsid w:val="0091629D"/>
    <w:rsid w:val="00917F05"/>
    <w:rsid w:val="00917F62"/>
    <w:rsid w:val="009226E3"/>
    <w:rsid w:val="00925606"/>
    <w:rsid w:val="00926916"/>
    <w:rsid w:val="0092733C"/>
    <w:rsid w:val="009278CF"/>
    <w:rsid w:val="00927C68"/>
    <w:rsid w:val="00930BF3"/>
    <w:rsid w:val="0093190E"/>
    <w:rsid w:val="00931AC8"/>
    <w:rsid w:val="00932779"/>
    <w:rsid w:val="00932CD0"/>
    <w:rsid w:val="009349E7"/>
    <w:rsid w:val="00934AFB"/>
    <w:rsid w:val="00934B5B"/>
    <w:rsid w:val="00935619"/>
    <w:rsid w:val="00935AD9"/>
    <w:rsid w:val="00936752"/>
    <w:rsid w:val="00936782"/>
    <w:rsid w:val="00937166"/>
    <w:rsid w:val="0094105A"/>
    <w:rsid w:val="009417F9"/>
    <w:rsid w:val="00942639"/>
    <w:rsid w:val="009438AD"/>
    <w:rsid w:val="00944142"/>
    <w:rsid w:val="0094747E"/>
    <w:rsid w:val="009502E8"/>
    <w:rsid w:val="00950936"/>
    <w:rsid w:val="00952BAE"/>
    <w:rsid w:val="009540A8"/>
    <w:rsid w:val="00960BA7"/>
    <w:rsid w:val="00961828"/>
    <w:rsid w:val="00963314"/>
    <w:rsid w:val="009635B0"/>
    <w:rsid w:val="00966EC3"/>
    <w:rsid w:val="00967F3F"/>
    <w:rsid w:val="00977C7D"/>
    <w:rsid w:val="0098045D"/>
    <w:rsid w:val="0098055D"/>
    <w:rsid w:val="00980F75"/>
    <w:rsid w:val="00984A8E"/>
    <w:rsid w:val="00984E6C"/>
    <w:rsid w:val="00985ACE"/>
    <w:rsid w:val="00987692"/>
    <w:rsid w:val="00991348"/>
    <w:rsid w:val="00991572"/>
    <w:rsid w:val="00995048"/>
    <w:rsid w:val="00995BD2"/>
    <w:rsid w:val="00996B11"/>
    <w:rsid w:val="00996F0A"/>
    <w:rsid w:val="009A023B"/>
    <w:rsid w:val="009A1D77"/>
    <w:rsid w:val="009A254D"/>
    <w:rsid w:val="009A2E93"/>
    <w:rsid w:val="009A54AA"/>
    <w:rsid w:val="009A73EA"/>
    <w:rsid w:val="009A7735"/>
    <w:rsid w:val="009B1724"/>
    <w:rsid w:val="009B19A9"/>
    <w:rsid w:val="009B1C06"/>
    <w:rsid w:val="009B26B8"/>
    <w:rsid w:val="009B26E0"/>
    <w:rsid w:val="009B2C46"/>
    <w:rsid w:val="009B60AA"/>
    <w:rsid w:val="009B6140"/>
    <w:rsid w:val="009B615A"/>
    <w:rsid w:val="009B67D7"/>
    <w:rsid w:val="009B7932"/>
    <w:rsid w:val="009C0A42"/>
    <w:rsid w:val="009C0D3E"/>
    <w:rsid w:val="009C31A4"/>
    <w:rsid w:val="009C3306"/>
    <w:rsid w:val="009C3952"/>
    <w:rsid w:val="009C549E"/>
    <w:rsid w:val="009C558E"/>
    <w:rsid w:val="009C7F7B"/>
    <w:rsid w:val="009D1094"/>
    <w:rsid w:val="009D32AC"/>
    <w:rsid w:val="009D3384"/>
    <w:rsid w:val="009D34BB"/>
    <w:rsid w:val="009D5257"/>
    <w:rsid w:val="009D5F93"/>
    <w:rsid w:val="009D6A03"/>
    <w:rsid w:val="009D6DAC"/>
    <w:rsid w:val="009D6DC5"/>
    <w:rsid w:val="009D7DE0"/>
    <w:rsid w:val="009E01E2"/>
    <w:rsid w:val="009E11DA"/>
    <w:rsid w:val="009E300B"/>
    <w:rsid w:val="009E3DF2"/>
    <w:rsid w:val="009E5765"/>
    <w:rsid w:val="009E639E"/>
    <w:rsid w:val="009E6D58"/>
    <w:rsid w:val="009F0782"/>
    <w:rsid w:val="009F3F73"/>
    <w:rsid w:val="009F6D65"/>
    <w:rsid w:val="009F701F"/>
    <w:rsid w:val="009F75FD"/>
    <w:rsid w:val="009F793E"/>
    <w:rsid w:val="00A00D8C"/>
    <w:rsid w:val="00A01177"/>
    <w:rsid w:val="00A0166A"/>
    <w:rsid w:val="00A01C7B"/>
    <w:rsid w:val="00A02FF4"/>
    <w:rsid w:val="00A058FF"/>
    <w:rsid w:val="00A10FDF"/>
    <w:rsid w:val="00A119DB"/>
    <w:rsid w:val="00A13692"/>
    <w:rsid w:val="00A138BA"/>
    <w:rsid w:val="00A14E8E"/>
    <w:rsid w:val="00A17B2C"/>
    <w:rsid w:val="00A21200"/>
    <w:rsid w:val="00A21683"/>
    <w:rsid w:val="00A236E6"/>
    <w:rsid w:val="00A24508"/>
    <w:rsid w:val="00A26619"/>
    <w:rsid w:val="00A315DF"/>
    <w:rsid w:val="00A3163E"/>
    <w:rsid w:val="00A3646E"/>
    <w:rsid w:val="00A37130"/>
    <w:rsid w:val="00A4039A"/>
    <w:rsid w:val="00A40424"/>
    <w:rsid w:val="00A40660"/>
    <w:rsid w:val="00A42FFF"/>
    <w:rsid w:val="00A43322"/>
    <w:rsid w:val="00A4511F"/>
    <w:rsid w:val="00A4758E"/>
    <w:rsid w:val="00A50849"/>
    <w:rsid w:val="00A51FE0"/>
    <w:rsid w:val="00A522AD"/>
    <w:rsid w:val="00A5353F"/>
    <w:rsid w:val="00A5537A"/>
    <w:rsid w:val="00A55ED0"/>
    <w:rsid w:val="00A607E7"/>
    <w:rsid w:val="00A627D6"/>
    <w:rsid w:val="00A64A88"/>
    <w:rsid w:val="00A64E36"/>
    <w:rsid w:val="00A65B90"/>
    <w:rsid w:val="00A65C9E"/>
    <w:rsid w:val="00A6649E"/>
    <w:rsid w:val="00A6761C"/>
    <w:rsid w:val="00A7100A"/>
    <w:rsid w:val="00A71D7C"/>
    <w:rsid w:val="00A81007"/>
    <w:rsid w:val="00A825FD"/>
    <w:rsid w:val="00A84CAB"/>
    <w:rsid w:val="00A84D3A"/>
    <w:rsid w:val="00A8503D"/>
    <w:rsid w:val="00A86E98"/>
    <w:rsid w:val="00A86FEA"/>
    <w:rsid w:val="00A875E5"/>
    <w:rsid w:val="00A87755"/>
    <w:rsid w:val="00A87B61"/>
    <w:rsid w:val="00A87ECC"/>
    <w:rsid w:val="00A90B22"/>
    <w:rsid w:val="00A9150C"/>
    <w:rsid w:val="00A92E4A"/>
    <w:rsid w:val="00A94D62"/>
    <w:rsid w:val="00A9599A"/>
    <w:rsid w:val="00A95B50"/>
    <w:rsid w:val="00A97098"/>
    <w:rsid w:val="00AA0543"/>
    <w:rsid w:val="00AA0CA0"/>
    <w:rsid w:val="00AA3114"/>
    <w:rsid w:val="00AA41DA"/>
    <w:rsid w:val="00AA7DC9"/>
    <w:rsid w:val="00AB0EAB"/>
    <w:rsid w:val="00AB0ED1"/>
    <w:rsid w:val="00AB0FE7"/>
    <w:rsid w:val="00AB1C2E"/>
    <w:rsid w:val="00AB2C94"/>
    <w:rsid w:val="00AB4613"/>
    <w:rsid w:val="00AB706A"/>
    <w:rsid w:val="00AB7836"/>
    <w:rsid w:val="00AB7E48"/>
    <w:rsid w:val="00AC2B4D"/>
    <w:rsid w:val="00AC3B31"/>
    <w:rsid w:val="00AC3F53"/>
    <w:rsid w:val="00AC42E1"/>
    <w:rsid w:val="00AC557C"/>
    <w:rsid w:val="00AC5CA9"/>
    <w:rsid w:val="00AC5CBF"/>
    <w:rsid w:val="00AC5E2C"/>
    <w:rsid w:val="00AC6AD9"/>
    <w:rsid w:val="00AD0A36"/>
    <w:rsid w:val="00AD0BE5"/>
    <w:rsid w:val="00AD37F0"/>
    <w:rsid w:val="00AD5D6A"/>
    <w:rsid w:val="00AD778A"/>
    <w:rsid w:val="00AE03AC"/>
    <w:rsid w:val="00AE1230"/>
    <w:rsid w:val="00AE1395"/>
    <w:rsid w:val="00AE2613"/>
    <w:rsid w:val="00AE4F24"/>
    <w:rsid w:val="00AE52EC"/>
    <w:rsid w:val="00AE6D02"/>
    <w:rsid w:val="00AF0741"/>
    <w:rsid w:val="00AF1C63"/>
    <w:rsid w:val="00AF2B8D"/>
    <w:rsid w:val="00AF7054"/>
    <w:rsid w:val="00B02E95"/>
    <w:rsid w:val="00B06AC3"/>
    <w:rsid w:val="00B11C44"/>
    <w:rsid w:val="00B12C5A"/>
    <w:rsid w:val="00B12C8B"/>
    <w:rsid w:val="00B151F5"/>
    <w:rsid w:val="00B232EC"/>
    <w:rsid w:val="00B2358F"/>
    <w:rsid w:val="00B25AAE"/>
    <w:rsid w:val="00B274D1"/>
    <w:rsid w:val="00B30002"/>
    <w:rsid w:val="00B308D0"/>
    <w:rsid w:val="00B31E54"/>
    <w:rsid w:val="00B34619"/>
    <w:rsid w:val="00B34BCE"/>
    <w:rsid w:val="00B35CB4"/>
    <w:rsid w:val="00B35DD0"/>
    <w:rsid w:val="00B35E08"/>
    <w:rsid w:val="00B35E15"/>
    <w:rsid w:val="00B367B0"/>
    <w:rsid w:val="00B37AA2"/>
    <w:rsid w:val="00B37F48"/>
    <w:rsid w:val="00B42469"/>
    <w:rsid w:val="00B426AB"/>
    <w:rsid w:val="00B44E52"/>
    <w:rsid w:val="00B46887"/>
    <w:rsid w:val="00B47354"/>
    <w:rsid w:val="00B47A82"/>
    <w:rsid w:val="00B50A9D"/>
    <w:rsid w:val="00B51534"/>
    <w:rsid w:val="00B55478"/>
    <w:rsid w:val="00B55C29"/>
    <w:rsid w:val="00B55F82"/>
    <w:rsid w:val="00B57DFF"/>
    <w:rsid w:val="00B6011A"/>
    <w:rsid w:val="00B6163A"/>
    <w:rsid w:val="00B61F66"/>
    <w:rsid w:val="00B63AF7"/>
    <w:rsid w:val="00B63CDA"/>
    <w:rsid w:val="00B6400F"/>
    <w:rsid w:val="00B645EF"/>
    <w:rsid w:val="00B70F7F"/>
    <w:rsid w:val="00B739A6"/>
    <w:rsid w:val="00B7700F"/>
    <w:rsid w:val="00B77D31"/>
    <w:rsid w:val="00B8368A"/>
    <w:rsid w:val="00B86A83"/>
    <w:rsid w:val="00B91514"/>
    <w:rsid w:val="00B92158"/>
    <w:rsid w:val="00B9503A"/>
    <w:rsid w:val="00B97F21"/>
    <w:rsid w:val="00BA051C"/>
    <w:rsid w:val="00BA4D0C"/>
    <w:rsid w:val="00BA5807"/>
    <w:rsid w:val="00BA68A6"/>
    <w:rsid w:val="00BA762C"/>
    <w:rsid w:val="00BB0959"/>
    <w:rsid w:val="00BB1CCF"/>
    <w:rsid w:val="00BB23DE"/>
    <w:rsid w:val="00BB5514"/>
    <w:rsid w:val="00BB5EB4"/>
    <w:rsid w:val="00BC0F7D"/>
    <w:rsid w:val="00BC2142"/>
    <w:rsid w:val="00BC31B5"/>
    <w:rsid w:val="00BC3FB6"/>
    <w:rsid w:val="00BC40A4"/>
    <w:rsid w:val="00BC413C"/>
    <w:rsid w:val="00BC5175"/>
    <w:rsid w:val="00BC5963"/>
    <w:rsid w:val="00BC5CC0"/>
    <w:rsid w:val="00BC60F3"/>
    <w:rsid w:val="00BC6A42"/>
    <w:rsid w:val="00BC7B5B"/>
    <w:rsid w:val="00BD087D"/>
    <w:rsid w:val="00BD1B96"/>
    <w:rsid w:val="00BD3A9D"/>
    <w:rsid w:val="00BD4396"/>
    <w:rsid w:val="00BD47B9"/>
    <w:rsid w:val="00BD7BE9"/>
    <w:rsid w:val="00BE0EA5"/>
    <w:rsid w:val="00BE24FF"/>
    <w:rsid w:val="00BE2BF9"/>
    <w:rsid w:val="00BE32B5"/>
    <w:rsid w:val="00BE41BC"/>
    <w:rsid w:val="00BE492A"/>
    <w:rsid w:val="00BE5E99"/>
    <w:rsid w:val="00BE6BB3"/>
    <w:rsid w:val="00BF1D37"/>
    <w:rsid w:val="00BF3216"/>
    <w:rsid w:val="00BF32B0"/>
    <w:rsid w:val="00BF3A92"/>
    <w:rsid w:val="00BF438B"/>
    <w:rsid w:val="00BF4DA8"/>
    <w:rsid w:val="00BF5521"/>
    <w:rsid w:val="00BF5A1E"/>
    <w:rsid w:val="00C0050E"/>
    <w:rsid w:val="00C00E64"/>
    <w:rsid w:val="00C00E6C"/>
    <w:rsid w:val="00C02367"/>
    <w:rsid w:val="00C03547"/>
    <w:rsid w:val="00C053A0"/>
    <w:rsid w:val="00C07E0F"/>
    <w:rsid w:val="00C10265"/>
    <w:rsid w:val="00C11C4C"/>
    <w:rsid w:val="00C127DC"/>
    <w:rsid w:val="00C13749"/>
    <w:rsid w:val="00C13BE1"/>
    <w:rsid w:val="00C13D38"/>
    <w:rsid w:val="00C13D48"/>
    <w:rsid w:val="00C13FFA"/>
    <w:rsid w:val="00C14EE9"/>
    <w:rsid w:val="00C154A9"/>
    <w:rsid w:val="00C161D9"/>
    <w:rsid w:val="00C20D7B"/>
    <w:rsid w:val="00C22EDA"/>
    <w:rsid w:val="00C24049"/>
    <w:rsid w:val="00C242E4"/>
    <w:rsid w:val="00C2551F"/>
    <w:rsid w:val="00C2704A"/>
    <w:rsid w:val="00C27C32"/>
    <w:rsid w:val="00C32D88"/>
    <w:rsid w:val="00C3393E"/>
    <w:rsid w:val="00C35339"/>
    <w:rsid w:val="00C36A7F"/>
    <w:rsid w:val="00C41651"/>
    <w:rsid w:val="00C44996"/>
    <w:rsid w:val="00C468A1"/>
    <w:rsid w:val="00C47393"/>
    <w:rsid w:val="00C51702"/>
    <w:rsid w:val="00C51D2E"/>
    <w:rsid w:val="00C52ECD"/>
    <w:rsid w:val="00C541B6"/>
    <w:rsid w:val="00C55BFC"/>
    <w:rsid w:val="00C56024"/>
    <w:rsid w:val="00C56EE6"/>
    <w:rsid w:val="00C570B4"/>
    <w:rsid w:val="00C6016B"/>
    <w:rsid w:val="00C63A69"/>
    <w:rsid w:val="00C6512A"/>
    <w:rsid w:val="00C65224"/>
    <w:rsid w:val="00C65DB3"/>
    <w:rsid w:val="00C66082"/>
    <w:rsid w:val="00C71D8C"/>
    <w:rsid w:val="00C7249B"/>
    <w:rsid w:val="00C72875"/>
    <w:rsid w:val="00C72AD9"/>
    <w:rsid w:val="00C7369D"/>
    <w:rsid w:val="00C74E56"/>
    <w:rsid w:val="00C75428"/>
    <w:rsid w:val="00C755BA"/>
    <w:rsid w:val="00C75683"/>
    <w:rsid w:val="00C76AE5"/>
    <w:rsid w:val="00C777EE"/>
    <w:rsid w:val="00C77A23"/>
    <w:rsid w:val="00C802D9"/>
    <w:rsid w:val="00C802DF"/>
    <w:rsid w:val="00C8131F"/>
    <w:rsid w:val="00C833E6"/>
    <w:rsid w:val="00C847F0"/>
    <w:rsid w:val="00C859E1"/>
    <w:rsid w:val="00C86A01"/>
    <w:rsid w:val="00C903E1"/>
    <w:rsid w:val="00C91CE9"/>
    <w:rsid w:val="00C92276"/>
    <w:rsid w:val="00C92DF7"/>
    <w:rsid w:val="00C93A1B"/>
    <w:rsid w:val="00C94035"/>
    <w:rsid w:val="00C9498D"/>
    <w:rsid w:val="00C94BB6"/>
    <w:rsid w:val="00C95408"/>
    <w:rsid w:val="00C95E8C"/>
    <w:rsid w:val="00CA12C8"/>
    <w:rsid w:val="00CA2127"/>
    <w:rsid w:val="00CA2C07"/>
    <w:rsid w:val="00CA462F"/>
    <w:rsid w:val="00CA5568"/>
    <w:rsid w:val="00CA5A12"/>
    <w:rsid w:val="00CB5C47"/>
    <w:rsid w:val="00CC1FF9"/>
    <w:rsid w:val="00CC5750"/>
    <w:rsid w:val="00CC60AD"/>
    <w:rsid w:val="00CC67D4"/>
    <w:rsid w:val="00CC6DBC"/>
    <w:rsid w:val="00CC709E"/>
    <w:rsid w:val="00CD1545"/>
    <w:rsid w:val="00CD2C4C"/>
    <w:rsid w:val="00CD3071"/>
    <w:rsid w:val="00CD3E09"/>
    <w:rsid w:val="00CD4760"/>
    <w:rsid w:val="00CD57FF"/>
    <w:rsid w:val="00CD5ACA"/>
    <w:rsid w:val="00CD7F4C"/>
    <w:rsid w:val="00CE0045"/>
    <w:rsid w:val="00CE0A85"/>
    <w:rsid w:val="00CE1381"/>
    <w:rsid w:val="00CE1638"/>
    <w:rsid w:val="00CE1884"/>
    <w:rsid w:val="00CE29A9"/>
    <w:rsid w:val="00CE2A43"/>
    <w:rsid w:val="00CE4846"/>
    <w:rsid w:val="00CE4E1A"/>
    <w:rsid w:val="00CE7F4E"/>
    <w:rsid w:val="00CF0E3D"/>
    <w:rsid w:val="00CF36A4"/>
    <w:rsid w:val="00CF4BC2"/>
    <w:rsid w:val="00D00E66"/>
    <w:rsid w:val="00D02C41"/>
    <w:rsid w:val="00D02F4F"/>
    <w:rsid w:val="00D037B1"/>
    <w:rsid w:val="00D051A5"/>
    <w:rsid w:val="00D062A9"/>
    <w:rsid w:val="00D10ADE"/>
    <w:rsid w:val="00D10D1C"/>
    <w:rsid w:val="00D139B1"/>
    <w:rsid w:val="00D14B23"/>
    <w:rsid w:val="00D15615"/>
    <w:rsid w:val="00D169AC"/>
    <w:rsid w:val="00D1714E"/>
    <w:rsid w:val="00D17B8D"/>
    <w:rsid w:val="00D238CB"/>
    <w:rsid w:val="00D2412C"/>
    <w:rsid w:val="00D27113"/>
    <w:rsid w:val="00D27721"/>
    <w:rsid w:val="00D27C55"/>
    <w:rsid w:val="00D30E8B"/>
    <w:rsid w:val="00D316E6"/>
    <w:rsid w:val="00D32925"/>
    <w:rsid w:val="00D32DF1"/>
    <w:rsid w:val="00D32F14"/>
    <w:rsid w:val="00D36FEB"/>
    <w:rsid w:val="00D40034"/>
    <w:rsid w:val="00D40561"/>
    <w:rsid w:val="00D42CA0"/>
    <w:rsid w:val="00D42E58"/>
    <w:rsid w:val="00D42E61"/>
    <w:rsid w:val="00D43575"/>
    <w:rsid w:val="00D44C94"/>
    <w:rsid w:val="00D44E35"/>
    <w:rsid w:val="00D450BF"/>
    <w:rsid w:val="00D5080B"/>
    <w:rsid w:val="00D52BC0"/>
    <w:rsid w:val="00D535F0"/>
    <w:rsid w:val="00D5507B"/>
    <w:rsid w:val="00D55B81"/>
    <w:rsid w:val="00D57AF0"/>
    <w:rsid w:val="00D60200"/>
    <w:rsid w:val="00D610AB"/>
    <w:rsid w:val="00D6201E"/>
    <w:rsid w:val="00D621E4"/>
    <w:rsid w:val="00D6523F"/>
    <w:rsid w:val="00D66326"/>
    <w:rsid w:val="00D66FC4"/>
    <w:rsid w:val="00D6726F"/>
    <w:rsid w:val="00D72926"/>
    <w:rsid w:val="00D73F71"/>
    <w:rsid w:val="00D75748"/>
    <w:rsid w:val="00D75DCF"/>
    <w:rsid w:val="00D77101"/>
    <w:rsid w:val="00D77C32"/>
    <w:rsid w:val="00D806A8"/>
    <w:rsid w:val="00D81FDD"/>
    <w:rsid w:val="00D82C54"/>
    <w:rsid w:val="00D82D56"/>
    <w:rsid w:val="00D83A6D"/>
    <w:rsid w:val="00D83A97"/>
    <w:rsid w:val="00D84103"/>
    <w:rsid w:val="00D873EC"/>
    <w:rsid w:val="00D93984"/>
    <w:rsid w:val="00D93EF6"/>
    <w:rsid w:val="00D94787"/>
    <w:rsid w:val="00D95982"/>
    <w:rsid w:val="00D960E9"/>
    <w:rsid w:val="00D9621C"/>
    <w:rsid w:val="00DA0BDF"/>
    <w:rsid w:val="00DA0F47"/>
    <w:rsid w:val="00DA1417"/>
    <w:rsid w:val="00DA1443"/>
    <w:rsid w:val="00DA212D"/>
    <w:rsid w:val="00DA4419"/>
    <w:rsid w:val="00DA5058"/>
    <w:rsid w:val="00DA7865"/>
    <w:rsid w:val="00DA7DFA"/>
    <w:rsid w:val="00DB08AD"/>
    <w:rsid w:val="00DB094C"/>
    <w:rsid w:val="00DB23B5"/>
    <w:rsid w:val="00DB2B5E"/>
    <w:rsid w:val="00DB2EA7"/>
    <w:rsid w:val="00DB67CC"/>
    <w:rsid w:val="00DB7D94"/>
    <w:rsid w:val="00DC0389"/>
    <w:rsid w:val="00DC070F"/>
    <w:rsid w:val="00DC2727"/>
    <w:rsid w:val="00DC2D73"/>
    <w:rsid w:val="00DC425C"/>
    <w:rsid w:val="00DC4B85"/>
    <w:rsid w:val="00DC52AB"/>
    <w:rsid w:val="00DC6A91"/>
    <w:rsid w:val="00DD3004"/>
    <w:rsid w:val="00DD3DA0"/>
    <w:rsid w:val="00DD5564"/>
    <w:rsid w:val="00DD5908"/>
    <w:rsid w:val="00DD5DA8"/>
    <w:rsid w:val="00DD73C9"/>
    <w:rsid w:val="00DD76B9"/>
    <w:rsid w:val="00DE118F"/>
    <w:rsid w:val="00DE37DD"/>
    <w:rsid w:val="00DE67C5"/>
    <w:rsid w:val="00DE6AD7"/>
    <w:rsid w:val="00DE7D2F"/>
    <w:rsid w:val="00DF00C0"/>
    <w:rsid w:val="00DF0FCD"/>
    <w:rsid w:val="00DF33AF"/>
    <w:rsid w:val="00DF42E2"/>
    <w:rsid w:val="00DF4C48"/>
    <w:rsid w:val="00DF67D3"/>
    <w:rsid w:val="00DF74B2"/>
    <w:rsid w:val="00DF7A50"/>
    <w:rsid w:val="00E0123F"/>
    <w:rsid w:val="00E01FF9"/>
    <w:rsid w:val="00E04ABB"/>
    <w:rsid w:val="00E054C0"/>
    <w:rsid w:val="00E05743"/>
    <w:rsid w:val="00E119D6"/>
    <w:rsid w:val="00E11A78"/>
    <w:rsid w:val="00E14FD7"/>
    <w:rsid w:val="00E1561C"/>
    <w:rsid w:val="00E15907"/>
    <w:rsid w:val="00E15A2A"/>
    <w:rsid w:val="00E17141"/>
    <w:rsid w:val="00E17B16"/>
    <w:rsid w:val="00E20E44"/>
    <w:rsid w:val="00E22845"/>
    <w:rsid w:val="00E241A1"/>
    <w:rsid w:val="00E24C61"/>
    <w:rsid w:val="00E26954"/>
    <w:rsid w:val="00E278B4"/>
    <w:rsid w:val="00E31D49"/>
    <w:rsid w:val="00E32DAC"/>
    <w:rsid w:val="00E34E17"/>
    <w:rsid w:val="00E35244"/>
    <w:rsid w:val="00E3526E"/>
    <w:rsid w:val="00E35CF8"/>
    <w:rsid w:val="00E4053C"/>
    <w:rsid w:val="00E42271"/>
    <w:rsid w:val="00E427B7"/>
    <w:rsid w:val="00E433AA"/>
    <w:rsid w:val="00E442C3"/>
    <w:rsid w:val="00E44F89"/>
    <w:rsid w:val="00E456DC"/>
    <w:rsid w:val="00E47788"/>
    <w:rsid w:val="00E47F5F"/>
    <w:rsid w:val="00E50390"/>
    <w:rsid w:val="00E51BC9"/>
    <w:rsid w:val="00E54F48"/>
    <w:rsid w:val="00E55CB6"/>
    <w:rsid w:val="00E57B56"/>
    <w:rsid w:val="00E57FC4"/>
    <w:rsid w:val="00E606CA"/>
    <w:rsid w:val="00E6115F"/>
    <w:rsid w:val="00E659EC"/>
    <w:rsid w:val="00E65BE8"/>
    <w:rsid w:val="00E70B1D"/>
    <w:rsid w:val="00E72ACD"/>
    <w:rsid w:val="00E72F59"/>
    <w:rsid w:val="00E73276"/>
    <w:rsid w:val="00E73409"/>
    <w:rsid w:val="00E73A8A"/>
    <w:rsid w:val="00E75679"/>
    <w:rsid w:val="00E774C3"/>
    <w:rsid w:val="00E8075A"/>
    <w:rsid w:val="00E80BB2"/>
    <w:rsid w:val="00E824D8"/>
    <w:rsid w:val="00E82666"/>
    <w:rsid w:val="00E8338A"/>
    <w:rsid w:val="00E84B10"/>
    <w:rsid w:val="00E875CB"/>
    <w:rsid w:val="00E913A8"/>
    <w:rsid w:val="00E926C5"/>
    <w:rsid w:val="00E92962"/>
    <w:rsid w:val="00E92BA7"/>
    <w:rsid w:val="00E932A5"/>
    <w:rsid w:val="00E93444"/>
    <w:rsid w:val="00E948D9"/>
    <w:rsid w:val="00E96210"/>
    <w:rsid w:val="00E970D2"/>
    <w:rsid w:val="00EA126D"/>
    <w:rsid w:val="00EA1FFC"/>
    <w:rsid w:val="00EA2C66"/>
    <w:rsid w:val="00EA397F"/>
    <w:rsid w:val="00EA425E"/>
    <w:rsid w:val="00EA46B4"/>
    <w:rsid w:val="00EA5196"/>
    <w:rsid w:val="00EA60AF"/>
    <w:rsid w:val="00EA7271"/>
    <w:rsid w:val="00EA7EDD"/>
    <w:rsid w:val="00EB0299"/>
    <w:rsid w:val="00EB158E"/>
    <w:rsid w:val="00EB2EB8"/>
    <w:rsid w:val="00EB3BF0"/>
    <w:rsid w:val="00EB3D39"/>
    <w:rsid w:val="00EB48D9"/>
    <w:rsid w:val="00EB4B2D"/>
    <w:rsid w:val="00EB5A41"/>
    <w:rsid w:val="00EB5FD4"/>
    <w:rsid w:val="00EC070C"/>
    <w:rsid w:val="00EC0D8B"/>
    <w:rsid w:val="00EC24AD"/>
    <w:rsid w:val="00EC3D06"/>
    <w:rsid w:val="00EC6A48"/>
    <w:rsid w:val="00ED0A51"/>
    <w:rsid w:val="00ED0FF9"/>
    <w:rsid w:val="00ED1926"/>
    <w:rsid w:val="00ED1F10"/>
    <w:rsid w:val="00ED39E6"/>
    <w:rsid w:val="00ED3CA7"/>
    <w:rsid w:val="00ED4905"/>
    <w:rsid w:val="00ED57C6"/>
    <w:rsid w:val="00ED5F7F"/>
    <w:rsid w:val="00ED6290"/>
    <w:rsid w:val="00ED7129"/>
    <w:rsid w:val="00ED7156"/>
    <w:rsid w:val="00ED7A82"/>
    <w:rsid w:val="00ED7CD7"/>
    <w:rsid w:val="00EE1800"/>
    <w:rsid w:val="00EE18E9"/>
    <w:rsid w:val="00EE3038"/>
    <w:rsid w:val="00EE707B"/>
    <w:rsid w:val="00EF32A6"/>
    <w:rsid w:val="00EF4A6F"/>
    <w:rsid w:val="00EF5CB7"/>
    <w:rsid w:val="00EF68AA"/>
    <w:rsid w:val="00F03369"/>
    <w:rsid w:val="00F061A0"/>
    <w:rsid w:val="00F06A60"/>
    <w:rsid w:val="00F06B9B"/>
    <w:rsid w:val="00F07B3F"/>
    <w:rsid w:val="00F10B57"/>
    <w:rsid w:val="00F11159"/>
    <w:rsid w:val="00F118F9"/>
    <w:rsid w:val="00F1257E"/>
    <w:rsid w:val="00F130BE"/>
    <w:rsid w:val="00F14B66"/>
    <w:rsid w:val="00F16127"/>
    <w:rsid w:val="00F20850"/>
    <w:rsid w:val="00F20CFF"/>
    <w:rsid w:val="00F216DA"/>
    <w:rsid w:val="00F21DF3"/>
    <w:rsid w:val="00F2303A"/>
    <w:rsid w:val="00F249E4"/>
    <w:rsid w:val="00F254E2"/>
    <w:rsid w:val="00F255D4"/>
    <w:rsid w:val="00F25B07"/>
    <w:rsid w:val="00F26032"/>
    <w:rsid w:val="00F274AF"/>
    <w:rsid w:val="00F3021B"/>
    <w:rsid w:val="00F3034B"/>
    <w:rsid w:val="00F30673"/>
    <w:rsid w:val="00F35068"/>
    <w:rsid w:val="00F35B3D"/>
    <w:rsid w:val="00F35D20"/>
    <w:rsid w:val="00F3630C"/>
    <w:rsid w:val="00F378BF"/>
    <w:rsid w:val="00F40902"/>
    <w:rsid w:val="00F44608"/>
    <w:rsid w:val="00F446FD"/>
    <w:rsid w:val="00F448BB"/>
    <w:rsid w:val="00F44E91"/>
    <w:rsid w:val="00F45262"/>
    <w:rsid w:val="00F470C5"/>
    <w:rsid w:val="00F47FCF"/>
    <w:rsid w:val="00F50320"/>
    <w:rsid w:val="00F5101B"/>
    <w:rsid w:val="00F5187A"/>
    <w:rsid w:val="00F52534"/>
    <w:rsid w:val="00F532D8"/>
    <w:rsid w:val="00F55A8D"/>
    <w:rsid w:val="00F562A7"/>
    <w:rsid w:val="00F564E9"/>
    <w:rsid w:val="00F60962"/>
    <w:rsid w:val="00F61A78"/>
    <w:rsid w:val="00F61FFB"/>
    <w:rsid w:val="00F624F3"/>
    <w:rsid w:val="00F63122"/>
    <w:rsid w:val="00F652D5"/>
    <w:rsid w:val="00F659BF"/>
    <w:rsid w:val="00F65C5B"/>
    <w:rsid w:val="00F66337"/>
    <w:rsid w:val="00F66888"/>
    <w:rsid w:val="00F66F3D"/>
    <w:rsid w:val="00F70B65"/>
    <w:rsid w:val="00F71490"/>
    <w:rsid w:val="00F73315"/>
    <w:rsid w:val="00F775A3"/>
    <w:rsid w:val="00F800EE"/>
    <w:rsid w:val="00F805C6"/>
    <w:rsid w:val="00F82AFC"/>
    <w:rsid w:val="00F82B13"/>
    <w:rsid w:val="00F85F97"/>
    <w:rsid w:val="00F8623C"/>
    <w:rsid w:val="00F86CDA"/>
    <w:rsid w:val="00F86F97"/>
    <w:rsid w:val="00F9064B"/>
    <w:rsid w:val="00F911D7"/>
    <w:rsid w:val="00F918A1"/>
    <w:rsid w:val="00F91A6F"/>
    <w:rsid w:val="00F91BA8"/>
    <w:rsid w:val="00F920FD"/>
    <w:rsid w:val="00F92575"/>
    <w:rsid w:val="00F92E1F"/>
    <w:rsid w:val="00F936E2"/>
    <w:rsid w:val="00F93DB3"/>
    <w:rsid w:val="00FA1384"/>
    <w:rsid w:val="00FA4010"/>
    <w:rsid w:val="00FA4383"/>
    <w:rsid w:val="00FA5E33"/>
    <w:rsid w:val="00FA6729"/>
    <w:rsid w:val="00FA68D8"/>
    <w:rsid w:val="00FB1986"/>
    <w:rsid w:val="00FB22DA"/>
    <w:rsid w:val="00FB2549"/>
    <w:rsid w:val="00FB255D"/>
    <w:rsid w:val="00FB2CE9"/>
    <w:rsid w:val="00FB6025"/>
    <w:rsid w:val="00FC4C00"/>
    <w:rsid w:val="00FC59E7"/>
    <w:rsid w:val="00FC6BA7"/>
    <w:rsid w:val="00FC6D3C"/>
    <w:rsid w:val="00FD0A1E"/>
    <w:rsid w:val="00FD0A87"/>
    <w:rsid w:val="00FD0BDE"/>
    <w:rsid w:val="00FD17C3"/>
    <w:rsid w:val="00FD1A5F"/>
    <w:rsid w:val="00FD2461"/>
    <w:rsid w:val="00FD39D9"/>
    <w:rsid w:val="00FD5936"/>
    <w:rsid w:val="00FD6A19"/>
    <w:rsid w:val="00FD7378"/>
    <w:rsid w:val="00FD749F"/>
    <w:rsid w:val="00FD76C7"/>
    <w:rsid w:val="00FE0627"/>
    <w:rsid w:val="00FE07CB"/>
    <w:rsid w:val="00FE0E7D"/>
    <w:rsid w:val="00FE1345"/>
    <w:rsid w:val="00FE26A3"/>
    <w:rsid w:val="00FE2EE6"/>
    <w:rsid w:val="00FE37EE"/>
    <w:rsid w:val="00FE4385"/>
    <w:rsid w:val="00FE6520"/>
    <w:rsid w:val="00FF1C21"/>
    <w:rsid w:val="00FF2087"/>
    <w:rsid w:val="00FF287A"/>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48A912DC"/>
  <w15:docId w15:val="{C4977F86-2194-45BD-91C9-105F1A156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s-E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35" w:unhideWhenUsed="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145C"/>
    <w:pPr>
      <w:suppressAutoHyphens/>
      <w:spacing w:line="240" w:lineRule="exact"/>
    </w:pPr>
    <w:rPr>
      <w:rFonts w:ascii="Times New Roman" w:hAnsi="Times New Roman" w:cs="Times New Roman"/>
      <w:spacing w:val="4"/>
      <w:w w:val="103"/>
      <w:szCs w:val="22"/>
      <w:lang w:eastAsia="en-US"/>
    </w:rPr>
  </w:style>
  <w:style w:type="paragraph" w:styleId="Heading1">
    <w:name w:val="heading 1"/>
    <w:aliases w:val="Table_G"/>
    <w:basedOn w:val="Normal"/>
    <w:next w:val="Normal"/>
    <w:link w:val="Heading1Char"/>
    <w:uiPriority w:val="9"/>
    <w:qFormat/>
    <w:rsid w:val="00BB0959"/>
    <w:pPr>
      <w:keepNext/>
      <w:numPr>
        <w:numId w:val="8"/>
      </w:numPr>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8"/>
      </w:numPr>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8"/>
      </w:numPr>
      <w:spacing w:before="240" w:after="60"/>
      <w:outlineLvl w:val="2"/>
    </w:pPr>
    <w:rPr>
      <w:rFonts w:ascii="Arial" w:hAnsi="Arial"/>
      <w:b/>
      <w:bCs/>
      <w:kern w:val="14"/>
      <w:sz w:val="26"/>
    </w:rPr>
  </w:style>
  <w:style w:type="paragraph" w:styleId="Heading4">
    <w:name w:val="heading 4"/>
    <w:basedOn w:val="Normal"/>
    <w:next w:val="Normal"/>
    <w:link w:val="Heading4Char"/>
    <w:uiPriority w:val="9"/>
    <w:unhideWhenUsed/>
    <w:qFormat/>
    <w:rsid w:val="001C2E87"/>
    <w:pPr>
      <w:numPr>
        <w:ilvl w:val="3"/>
        <w:numId w:val="8"/>
      </w:numPr>
      <w:spacing w:before="200"/>
      <w:outlineLvl w:val="3"/>
    </w:pPr>
    <w:rPr>
      <w:rFonts w:ascii="Cambria" w:hAnsi="Cambria"/>
      <w:b/>
      <w:bCs/>
      <w:i/>
      <w:iCs/>
    </w:rPr>
  </w:style>
  <w:style w:type="paragraph" w:styleId="Heading5">
    <w:name w:val="heading 5"/>
    <w:basedOn w:val="Normal"/>
    <w:next w:val="Normal"/>
    <w:link w:val="Heading5Char"/>
    <w:uiPriority w:val="9"/>
    <w:unhideWhenUsed/>
    <w:qFormat/>
    <w:rsid w:val="001C2E87"/>
    <w:pPr>
      <w:numPr>
        <w:ilvl w:val="4"/>
        <w:numId w:val="8"/>
      </w:numPr>
      <w:spacing w:before="200"/>
      <w:outlineLvl w:val="4"/>
    </w:pPr>
    <w:rPr>
      <w:rFonts w:ascii="Cambria" w:hAnsi="Cambria"/>
      <w:b/>
      <w:bCs/>
      <w:color w:val="7F7F7F"/>
    </w:rPr>
  </w:style>
  <w:style w:type="paragraph" w:styleId="Heading6">
    <w:name w:val="heading 6"/>
    <w:basedOn w:val="Normal"/>
    <w:next w:val="Normal"/>
    <w:link w:val="Heading6Char"/>
    <w:uiPriority w:val="9"/>
    <w:unhideWhenUsed/>
    <w:qFormat/>
    <w:rsid w:val="001C2E87"/>
    <w:pPr>
      <w:numPr>
        <w:ilvl w:val="5"/>
        <w:numId w:val="8"/>
      </w:num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unhideWhenUsed/>
    <w:qFormat/>
    <w:rsid w:val="001C2E87"/>
    <w:pPr>
      <w:numPr>
        <w:ilvl w:val="6"/>
        <w:numId w:val="8"/>
      </w:numPr>
      <w:outlineLvl w:val="6"/>
    </w:pPr>
    <w:rPr>
      <w:rFonts w:ascii="Cambria" w:hAnsi="Cambria"/>
      <w:i/>
      <w:iCs/>
    </w:rPr>
  </w:style>
  <w:style w:type="paragraph" w:styleId="Heading8">
    <w:name w:val="heading 8"/>
    <w:basedOn w:val="Normal"/>
    <w:next w:val="Normal"/>
    <w:link w:val="Heading8Char"/>
    <w:uiPriority w:val="9"/>
    <w:unhideWhenUsed/>
    <w:qFormat/>
    <w:rsid w:val="001C2E87"/>
    <w:pPr>
      <w:numPr>
        <w:ilvl w:val="7"/>
        <w:numId w:val="8"/>
      </w:numPr>
      <w:outlineLvl w:val="7"/>
    </w:pPr>
    <w:rPr>
      <w:rFonts w:ascii="Cambria" w:hAnsi="Cambria"/>
      <w:szCs w:val="20"/>
    </w:rPr>
  </w:style>
  <w:style w:type="paragraph" w:styleId="Heading9">
    <w:name w:val="heading 9"/>
    <w:basedOn w:val="Normal"/>
    <w:next w:val="Normal"/>
    <w:link w:val="Heading9Char"/>
    <w:uiPriority w:val="9"/>
    <w:unhideWhenUsed/>
    <w:qFormat/>
    <w:rsid w:val="001C2E87"/>
    <w:pPr>
      <w:numPr>
        <w:ilvl w:val="8"/>
        <w:numId w:val="8"/>
      </w:num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locked/>
    <w:rsid w:val="00BB0959"/>
    <w:rPr>
      <w:rFonts w:ascii="Arial" w:hAnsi="Arial" w:cs="Times New Roman"/>
      <w:b/>
      <w:bCs/>
      <w:spacing w:val="4"/>
      <w:w w:val="103"/>
      <w:kern w:val="32"/>
      <w:sz w:val="32"/>
      <w:szCs w:val="28"/>
      <w:lang w:eastAsia="en-US"/>
    </w:rPr>
  </w:style>
  <w:style w:type="character" w:customStyle="1" w:styleId="Heading2Char">
    <w:name w:val="Heading 2 Char"/>
    <w:basedOn w:val="DefaultParagraphFont"/>
    <w:link w:val="Heading2"/>
    <w:uiPriority w:val="9"/>
    <w:locked/>
    <w:rsid w:val="00F61A78"/>
    <w:rPr>
      <w:rFonts w:ascii="Arial" w:hAnsi="Arial" w:cs="Times New Roman"/>
      <w:b/>
      <w:bCs/>
      <w:i/>
      <w:spacing w:val="4"/>
      <w:w w:val="103"/>
      <w:kern w:val="14"/>
      <w:sz w:val="28"/>
      <w:szCs w:val="26"/>
      <w:lang w:eastAsia="en-US"/>
    </w:rPr>
  </w:style>
  <w:style w:type="character" w:customStyle="1" w:styleId="Heading3Char">
    <w:name w:val="Heading 3 Char"/>
    <w:basedOn w:val="DefaultParagraphFont"/>
    <w:link w:val="Heading3"/>
    <w:uiPriority w:val="9"/>
    <w:locked/>
    <w:rsid w:val="00F61A78"/>
    <w:rPr>
      <w:rFonts w:ascii="Arial" w:hAnsi="Arial" w:cs="Times New Roman"/>
      <w:b/>
      <w:bCs/>
      <w:spacing w:val="4"/>
      <w:w w:val="103"/>
      <w:kern w:val="14"/>
      <w:sz w:val="26"/>
      <w:szCs w:val="22"/>
      <w:lang w:eastAsia="en-US"/>
    </w:rPr>
  </w:style>
  <w:style w:type="character" w:customStyle="1" w:styleId="Heading4Char">
    <w:name w:val="Heading 4 Char"/>
    <w:basedOn w:val="DefaultParagraphFont"/>
    <w:link w:val="Heading4"/>
    <w:uiPriority w:val="9"/>
    <w:locked/>
    <w:rsid w:val="001C2E87"/>
    <w:rPr>
      <w:rFonts w:ascii="Cambria" w:hAnsi="Cambria" w:cs="Times New Roman"/>
      <w:b/>
      <w:bCs/>
      <w:i/>
      <w:iCs/>
      <w:spacing w:val="4"/>
      <w:w w:val="103"/>
      <w:szCs w:val="22"/>
      <w:lang w:eastAsia="en-US"/>
    </w:rPr>
  </w:style>
  <w:style w:type="character" w:customStyle="1" w:styleId="Heading5Char">
    <w:name w:val="Heading 5 Char"/>
    <w:basedOn w:val="DefaultParagraphFont"/>
    <w:link w:val="Heading5"/>
    <w:uiPriority w:val="9"/>
    <w:locked/>
    <w:rsid w:val="001C2E87"/>
    <w:rPr>
      <w:rFonts w:ascii="Cambria" w:hAnsi="Cambria" w:cs="Times New Roman"/>
      <w:b/>
      <w:bCs/>
      <w:color w:val="7F7F7F"/>
      <w:spacing w:val="4"/>
      <w:w w:val="103"/>
      <w:szCs w:val="22"/>
      <w:lang w:eastAsia="en-US"/>
    </w:rPr>
  </w:style>
  <w:style w:type="character" w:customStyle="1" w:styleId="Heading6Char">
    <w:name w:val="Heading 6 Char"/>
    <w:basedOn w:val="DefaultParagraphFont"/>
    <w:link w:val="Heading6"/>
    <w:uiPriority w:val="9"/>
    <w:locked/>
    <w:rsid w:val="001C2E87"/>
    <w:rPr>
      <w:rFonts w:ascii="Cambria" w:hAnsi="Cambria" w:cs="Times New Roman"/>
      <w:b/>
      <w:bCs/>
      <w:i/>
      <w:iCs/>
      <w:color w:val="7F7F7F"/>
      <w:spacing w:val="4"/>
      <w:w w:val="103"/>
      <w:szCs w:val="22"/>
      <w:lang w:eastAsia="en-US"/>
    </w:rPr>
  </w:style>
  <w:style w:type="character" w:customStyle="1" w:styleId="Heading7Char">
    <w:name w:val="Heading 7 Char"/>
    <w:basedOn w:val="DefaultParagraphFont"/>
    <w:link w:val="Heading7"/>
    <w:uiPriority w:val="9"/>
    <w:locked/>
    <w:rsid w:val="001C2E87"/>
    <w:rPr>
      <w:rFonts w:ascii="Cambria" w:hAnsi="Cambria" w:cs="Times New Roman"/>
      <w:i/>
      <w:iCs/>
      <w:spacing w:val="4"/>
      <w:w w:val="103"/>
      <w:szCs w:val="22"/>
      <w:lang w:eastAsia="en-US"/>
    </w:rPr>
  </w:style>
  <w:style w:type="character" w:customStyle="1" w:styleId="Heading8Char">
    <w:name w:val="Heading 8 Char"/>
    <w:basedOn w:val="DefaultParagraphFont"/>
    <w:link w:val="Heading8"/>
    <w:uiPriority w:val="9"/>
    <w:locked/>
    <w:rsid w:val="001C2E87"/>
    <w:rPr>
      <w:rFonts w:ascii="Cambria" w:hAnsi="Cambria" w:cs="Times New Roman"/>
      <w:spacing w:val="4"/>
      <w:w w:val="103"/>
      <w:lang w:eastAsia="en-US"/>
    </w:rPr>
  </w:style>
  <w:style w:type="character" w:customStyle="1" w:styleId="Heading9Char">
    <w:name w:val="Heading 9 Char"/>
    <w:basedOn w:val="DefaultParagraphFont"/>
    <w:link w:val="Heading9"/>
    <w:uiPriority w:val="9"/>
    <w:locked/>
    <w:rsid w:val="001C2E87"/>
    <w:rPr>
      <w:rFonts w:ascii="Cambria" w:hAnsi="Cambria" w:cs="Times New Roman"/>
      <w:i/>
      <w:iCs/>
      <w:spacing w:val="5"/>
      <w:w w:val="103"/>
      <w:lang w:eastAsia="en-US"/>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AC3B31"/>
    <w:pPr>
      <w:tabs>
        <w:tab w:val="right" w:pos="1022"/>
        <w:tab w:val="left" w:pos="1260"/>
      </w:tabs>
      <w:spacing w:line="240" w:lineRule="exact"/>
      <w:ind w:left="1267" w:hanging="1267"/>
      <w:outlineLvl w:val="1"/>
    </w:pPr>
    <w:rPr>
      <w:bCs/>
      <w:spacing w:val="2"/>
      <w:sz w:val="20"/>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L">
    <w:name w:val="__S_L"/>
    <w:basedOn w:val="Normal"/>
    <w:next w:val="Normal"/>
    <w:qFormat/>
    <w:rsid w:val="00FD7378"/>
    <w:pPr>
      <w:keepNext/>
      <w:keepLines/>
      <w:tabs>
        <w:tab w:val="right" w:leader="dot" w:pos="360"/>
      </w:tabs>
      <w:spacing w:line="540" w:lineRule="exact"/>
      <w:ind w:left="1267" w:right="1267"/>
      <w:outlineLvl w:val="0"/>
    </w:pPr>
    <w:rPr>
      <w:b/>
      <w:spacing w:val="-8"/>
      <w:w w:val="96"/>
      <w:kern w:val="14"/>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semiHidden/>
    <w:rsid w:val="000A1971"/>
    <w:rPr>
      <w:rFonts w:eastAsia="SimSun" w:cs="Tahoma"/>
      <w:b/>
      <w:sz w:val="18"/>
      <w:szCs w:val="16"/>
    </w:rPr>
  </w:style>
  <w:style w:type="character" w:customStyle="1" w:styleId="BalloonTextChar">
    <w:name w:val="Balloon Text Char"/>
    <w:basedOn w:val="DefaultParagraphFont"/>
    <w:link w:val="BalloonText"/>
    <w:semiHidden/>
    <w:locked/>
    <w:rsid w:val="00AB4613"/>
    <w:rPr>
      <w:rFonts w:ascii="Times New Roman" w:eastAsia="SimSun" w:hAnsi="Times New Roman" w:cs="Tahoma"/>
      <w:b/>
      <w:spacing w:val="4"/>
      <w:w w:val="103"/>
      <w:sz w:val="18"/>
      <w:szCs w:val="16"/>
      <w:lang w:eastAsia="en-US"/>
    </w:rPr>
  </w:style>
  <w:style w:type="character" w:styleId="CommentReference">
    <w:name w:val="annotation reference"/>
    <w:basedOn w:val="DefaultParagraphFont"/>
    <w:semiHidden/>
    <w:rsid w:val="000A1971"/>
    <w:rPr>
      <w:rFonts w:cs="Times New Roman"/>
      <w:sz w:val="6"/>
    </w:rPr>
  </w:style>
  <w:style w:type="paragraph" w:styleId="Footer">
    <w:name w:val="footer"/>
    <w:aliases w:val="3_G"/>
    <w:basedOn w:val="Normal"/>
    <w:link w:val="FooterChar"/>
    <w:uiPriority w:val="99"/>
    <w:qFormat/>
    <w:rsid w:val="00BC5CC0"/>
    <w:pPr>
      <w:tabs>
        <w:tab w:val="center" w:pos="4320"/>
        <w:tab w:val="right" w:pos="8640"/>
      </w:tabs>
      <w:suppressAutoHyphens w:val="0"/>
      <w:spacing w:line="240" w:lineRule="auto"/>
    </w:pPr>
    <w:rPr>
      <w:b/>
      <w:noProof/>
      <w:spacing w:val="0"/>
      <w:w w:val="100"/>
      <w:sz w:val="17"/>
      <w:lang w:val="en-US"/>
    </w:rPr>
  </w:style>
  <w:style w:type="paragraph" w:styleId="FootnoteText">
    <w:name w:val="footnote text"/>
    <w:aliases w:val="Footnote Text Blue,EUMC_Lábjegyzetszöveg + 13 pt,Félkövér,Dolt,Középre zárt Char,Középre zárt Char Char,Középre zárt,Märk,Footnote Text Char1,Footnote Text Char1 Char Char Ch,5_G,Footnote Text Char2 Char1,fn Char Char2,fn,single space,Do"/>
    <w:basedOn w:val="Normal"/>
    <w:link w:val="FootnoteTextChar"/>
    <w:qFormat/>
    <w:rsid w:val="00333576"/>
    <w:pPr>
      <w:tabs>
        <w:tab w:val="right" w:pos="418"/>
      </w:tabs>
      <w:spacing w:line="210" w:lineRule="exact"/>
      <w:ind w:left="475" w:hanging="475"/>
    </w:pPr>
    <w:rPr>
      <w:spacing w:val="5"/>
      <w:w w:val="104"/>
      <w:sz w:val="17"/>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styleId="Header">
    <w:name w:val="header"/>
    <w:aliases w:val="6_G"/>
    <w:basedOn w:val="Normal"/>
    <w:link w:val="HeaderChar"/>
    <w:qFormat/>
    <w:rsid w:val="00BB0959"/>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aliases w:val="6_G Char"/>
    <w:basedOn w:val="DefaultParagraphFont"/>
    <w:link w:val="Header"/>
    <w:locked/>
    <w:rsid w:val="00AB4613"/>
    <w:rPr>
      <w:rFonts w:ascii="Times New Roman" w:hAnsi="Times New Roman" w:cs="Times New Roman"/>
      <w:spacing w:val="4"/>
      <w:w w:val="103"/>
      <w:sz w:val="22"/>
      <w:lang w:val="es-ES"/>
    </w:rPr>
  </w:style>
  <w:style w:type="character" w:customStyle="1" w:styleId="FooterChar">
    <w:name w:val="Footer Char"/>
    <w:aliases w:val="3_G Char"/>
    <w:basedOn w:val="DefaultParagraphFont"/>
    <w:link w:val="Footer"/>
    <w:uiPriority w:val="99"/>
    <w:rsid w:val="00BC5CC0"/>
    <w:rPr>
      <w:rFonts w:ascii="Times New Roman" w:hAnsi="Times New Roman" w:cs="Times New Roman"/>
      <w:b/>
      <w:noProof/>
      <w:sz w:val="17"/>
      <w:szCs w:val="22"/>
      <w:lang w:val="en-US" w:eastAsia="en-US"/>
    </w:rPr>
  </w:style>
  <w:style w:type="character" w:customStyle="1" w:styleId="FootnoteTextChar">
    <w:name w:val="Footnote Text Char"/>
    <w:aliases w:val="Footnote Text Blue Char,EUMC_Lábjegyzetszöveg + 13 pt Char,Félkövér Char,Dolt Char,Középre zárt Char Char1,Középre zárt Char Char Char,Középre zárt Char1,Märk Char,Footnote Text Char1 Char,Footnote Text Char1 Char Char Ch Char,fn Char"/>
    <w:basedOn w:val="DefaultParagraphFont"/>
    <w:link w:val="FootnoteText"/>
    <w:locked/>
    <w:rsid w:val="00333576"/>
    <w:rPr>
      <w:rFonts w:ascii="Times New Roman" w:hAnsi="Times New Roman" w:cs="Times New Roman"/>
      <w:spacing w:val="5"/>
      <w:w w:val="104"/>
      <w:sz w:val="22"/>
      <w:szCs w:val="22"/>
      <w:lang w:eastAsia="en-US"/>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styleId="NoSpacing">
    <w:name w:val="No Spacing"/>
    <w:basedOn w:val="Normal"/>
    <w:uiPriority w:val="1"/>
    <w:rsid w:val="001C2E87"/>
    <w:pPr>
      <w:spacing w:line="240" w:lineRule="auto"/>
    </w:pPr>
  </w:style>
  <w:style w:type="paragraph" w:styleId="Caption">
    <w:name w:val="caption"/>
    <w:basedOn w:val="Normal"/>
    <w:next w:val="Normal"/>
    <w:uiPriority w:val="35"/>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cs="Times New Roman"/>
      <w:spacing w:val="4"/>
      <w:w w:val="103"/>
      <w:szCs w:val="22"/>
      <w:lang w:eastAsia="en-US"/>
    </w:rPr>
  </w:style>
  <w:style w:type="paragraph" w:customStyle="1" w:styleId="Publication">
    <w:name w:val="Publication"/>
    <w:next w:val="Normal"/>
    <w:autoRedefine/>
    <w:qFormat/>
    <w:rsid w:val="00871928"/>
    <w:rPr>
      <w:rFonts w:ascii="Times New Roman" w:hAnsi="Times New Roman" w:cs="Times New Roman"/>
      <w:spacing w:val="4"/>
      <w:w w:val="103"/>
      <w:szCs w:val="22"/>
      <w:lang w:eastAsia="en-US"/>
    </w:rPr>
  </w:style>
  <w:style w:type="paragraph" w:customStyle="1" w:styleId="Original">
    <w:name w:val="Original"/>
    <w:next w:val="Normal"/>
    <w:autoRedefine/>
    <w:qFormat/>
    <w:rsid w:val="00871928"/>
    <w:rPr>
      <w:rFonts w:ascii="Times New Roman" w:hAnsi="Times New Roman" w:cs="Times New Roman"/>
      <w:spacing w:val="4"/>
      <w:w w:val="103"/>
      <w:szCs w:val="22"/>
      <w:lang w:eastAsia="en-US"/>
    </w:rPr>
  </w:style>
  <w:style w:type="paragraph" w:customStyle="1" w:styleId="ReleaseDate">
    <w:name w:val="ReleaseDate"/>
    <w:next w:val="Normal"/>
    <w:autoRedefine/>
    <w:qFormat/>
    <w:rsid w:val="00A55ED0"/>
    <w:rPr>
      <w:rFonts w:ascii="Times New Roman" w:hAnsi="Times New Roman" w:cs="Times New Roman"/>
      <w:spacing w:val="4"/>
      <w:w w:val="103"/>
      <w:szCs w:val="22"/>
      <w:lang w:eastAsia="en-US"/>
    </w:rPr>
  </w:style>
  <w:style w:type="paragraph" w:customStyle="1" w:styleId="Session">
    <w:name w:val="Session"/>
    <w:basedOn w:val="H23"/>
    <w:autoRedefine/>
    <w:qFormat/>
    <w:rsid w:val="00871928"/>
  </w:style>
  <w:style w:type="paragraph" w:customStyle="1" w:styleId="Sponsors">
    <w:name w:val="Sponsors"/>
    <w:basedOn w:val="H23"/>
    <w:autoRedefine/>
    <w:qFormat/>
    <w:rsid w:val="00894D50"/>
    <w:pPr>
      <w:tabs>
        <w:tab w:val="clear" w:pos="1260"/>
        <w:tab w:val="left" w:pos="1267"/>
      </w:tabs>
      <w:ind w:right="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clear" w:pos="1260"/>
        <w:tab w:val="left" w:pos="1267"/>
      </w:tabs>
      <w:ind w:right="1267"/>
    </w:pPr>
  </w:style>
  <w:style w:type="paragraph" w:customStyle="1" w:styleId="Bullet1">
    <w:name w:val="Bullet 1"/>
    <w:basedOn w:val="Normal"/>
    <w:qFormat/>
    <w:rsid w:val="004B2460"/>
    <w:pPr>
      <w:numPr>
        <w:numId w:val="2"/>
      </w:numPr>
      <w:spacing w:after="120"/>
      <w:ind w:left="1746" w:right="1264" w:hanging="130"/>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8D21BB"/>
    <w:pPr>
      <w:spacing w:line="240" w:lineRule="auto"/>
    </w:pPr>
    <w:rPr>
      <w:rFonts w:eastAsia="SimSun"/>
      <w:sz w:val="18"/>
      <w:szCs w:val="20"/>
    </w:rPr>
  </w:style>
  <w:style w:type="character" w:customStyle="1" w:styleId="CommentTextChar">
    <w:name w:val="Comment Text Char"/>
    <w:basedOn w:val="DefaultParagraphFont"/>
    <w:link w:val="CommentText"/>
    <w:uiPriority w:val="99"/>
    <w:locked/>
    <w:rsid w:val="008D21BB"/>
    <w:rPr>
      <w:rFonts w:ascii="Times New Roman" w:eastAsia="SimSun" w:hAnsi="Times New Roman" w:cs="Times New Roman"/>
      <w:spacing w:val="4"/>
      <w:w w:val="103"/>
      <w:sz w:val="18"/>
      <w:lang w:eastAsia="en-US"/>
    </w:rPr>
  </w:style>
  <w:style w:type="paragraph" w:styleId="CommentSubject">
    <w:name w:val="annotation subject"/>
    <w:basedOn w:val="CommentText"/>
    <w:next w:val="CommentText"/>
    <w:link w:val="CommentSubjectChar"/>
    <w:uiPriority w:val="99"/>
    <w:rsid w:val="008D21BB"/>
    <w:rPr>
      <w:b/>
      <w:bCs/>
    </w:rPr>
  </w:style>
  <w:style w:type="character" w:customStyle="1" w:styleId="CommentSubjectChar">
    <w:name w:val="Comment Subject Char"/>
    <w:basedOn w:val="CommentTextChar"/>
    <w:link w:val="CommentSubject"/>
    <w:uiPriority w:val="99"/>
    <w:locked/>
    <w:rsid w:val="008D21BB"/>
    <w:rPr>
      <w:rFonts w:ascii="Times New Roman" w:eastAsia="SimSun" w:hAnsi="Times New Roman" w:cs="Times New Roman"/>
      <w:b/>
      <w:spacing w:val="4"/>
      <w:w w:val="103"/>
      <w:sz w:val="18"/>
      <w:lang w:val="es-ES" w:eastAsia="en-US"/>
    </w:rPr>
  </w:style>
  <w:style w:type="character" w:styleId="Hyperlink">
    <w:name w:val="Hyperlink"/>
    <w:basedOn w:val="DefaultParagraphFont"/>
    <w:rsid w:val="00571F37"/>
    <w:rPr>
      <w:rFonts w:cs="Times New Roman"/>
      <w:color w:val="0000FF"/>
      <w:u w:val="none"/>
    </w:rPr>
  </w:style>
  <w:style w:type="character" w:styleId="FollowedHyperlink">
    <w:name w:val="FollowedHyperlink"/>
    <w:basedOn w:val="DefaultParagraphFont"/>
    <w:uiPriority w:val="99"/>
    <w:rsid w:val="004E20DD"/>
    <w:rPr>
      <w:rFonts w:cs="Times New Roman"/>
      <w:color w:val="0000FF"/>
      <w:u w:val="none"/>
    </w:rPr>
  </w:style>
  <w:style w:type="character" w:styleId="PageNumber">
    <w:name w:val="page number"/>
    <w:aliases w:val="7_G"/>
    <w:basedOn w:val="DefaultParagraphFont"/>
    <w:uiPriority w:val="99"/>
    <w:qFormat/>
    <w:rsid w:val="00371AE2"/>
    <w:rPr>
      <w:rFonts w:ascii="Times New Roman" w:hAnsi="Times New Roman" w:cs="Times New Roman"/>
      <w:b/>
      <w:sz w:val="18"/>
    </w:rPr>
  </w:style>
  <w:style w:type="paragraph" w:styleId="PlainText">
    <w:name w:val="Plain Text"/>
    <w:basedOn w:val="Normal"/>
    <w:link w:val="PlainTextChar"/>
    <w:rsid w:val="00371AE2"/>
    <w:pPr>
      <w:spacing w:line="240" w:lineRule="atLeast"/>
    </w:pPr>
    <w:rPr>
      <w:rFonts w:cs="Courier New"/>
      <w:spacing w:val="0"/>
      <w:w w:val="100"/>
      <w:szCs w:val="20"/>
      <w:lang w:val="en-GB" w:eastAsia="es-ES"/>
    </w:rPr>
  </w:style>
  <w:style w:type="character" w:customStyle="1" w:styleId="PlainTextChar">
    <w:name w:val="Plain Text Char"/>
    <w:basedOn w:val="DefaultParagraphFont"/>
    <w:link w:val="PlainText"/>
    <w:locked/>
    <w:rsid w:val="00371AE2"/>
    <w:rPr>
      <w:rFonts w:ascii="Times New Roman" w:hAnsi="Times New Roman" w:cs="Times New Roman"/>
      <w:lang w:val="en-GB"/>
    </w:rPr>
  </w:style>
  <w:style w:type="character" w:customStyle="1" w:styleId="TextocomentarioCar">
    <w:name w:val="Texto comentario Car"/>
    <w:uiPriority w:val="99"/>
    <w:semiHidden/>
    <w:locked/>
    <w:rsid w:val="00371AE2"/>
    <w:rPr>
      <w:lang w:val="en-GB"/>
    </w:rPr>
  </w:style>
  <w:style w:type="paragraph" w:styleId="Date">
    <w:name w:val="Date"/>
    <w:basedOn w:val="Normal"/>
    <w:next w:val="Normal"/>
    <w:link w:val="DateChar"/>
    <w:uiPriority w:val="99"/>
    <w:rsid w:val="00371AE2"/>
    <w:pPr>
      <w:spacing w:line="240" w:lineRule="atLeast"/>
    </w:pPr>
    <w:rPr>
      <w:spacing w:val="0"/>
      <w:w w:val="100"/>
      <w:szCs w:val="20"/>
      <w:lang w:val="en-GB" w:eastAsia="es-ES"/>
    </w:rPr>
  </w:style>
  <w:style w:type="character" w:customStyle="1" w:styleId="DateChar">
    <w:name w:val="Date Char"/>
    <w:basedOn w:val="DefaultParagraphFont"/>
    <w:link w:val="Date"/>
    <w:uiPriority w:val="99"/>
    <w:locked/>
    <w:rsid w:val="00371AE2"/>
    <w:rPr>
      <w:rFonts w:ascii="Times New Roman" w:hAnsi="Times New Roman" w:cs="Times New Roman"/>
      <w:lang w:val="en-GB"/>
    </w:rPr>
  </w:style>
  <w:style w:type="paragraph" w:styleId="MessageHeader">
    <w:name w:val="Message Header"/>
    <w:basedOn w:val="Normal"/>
    <w:link w:val="MessageHeaderChar"/>
    <w:uiPriority w:val="99"/>
    <w:rsid w:val="00371AE2"/>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sz w:val="24"/>
      <w:szCs w:val="24"/>
      <w:lang w:val="en-GB" w:eastAsia="es-ES"/>
    </w:rPr>
  </w:style>
  <w:style w:type="character" w:customStyle="1" w:styleId="MessageHeaderChar">
    <w:name w:val="Message Header Char"/>
    <w:basedOn w:val="DefaultParagraphFont"/>
    <w:link w:val="MessageHeader"/>
    <w:uiPriority w:val="99"/>
    <w:locked/>
    <w:rsid w:val="00371AE2"/>
    <w:rPr>
      <w:rFonts w:ascii="Arial" w:hAnsi="Arial" w:cs="Times New Roman"/>
      <w:sz w:val="24"/>
      <w:shd w:val="pct20" w:color="auto" w:fill="auto"/>
      <w:lang w:val="en-GB"/>
    </w:rPr>
  </w:style>
  <w:style w:type="paragraph" w:styleId="Signature">
    <w:name w:val="Signature"/>
    <w:basedOn w:val="Normal"/>
    <w:link w:val="SignatureChar"/>
    <w:uiPriority w:val="99"/>
    <w:rsid w:val="00371AE2"/>
    <w:pPr>
      <w:spacing w:line="240" w:lineRule="atLeast"/>
      <w:ind w:left="4252"/>
    </w:pPr>
    <w:rPr>
      <w:spacing w:val="0"/>
      <w:w w:val="100"/>
      <w:szCs w:val="20"/>
      <w:lang w:val="en-GB" w:eastAsia="es-ES"/>
    </w:rPr>
  </w:style>
  <w:style w:type="character" w:customStyle="1" w:styleId="SignatureChar">
    <w:name w:val="Signature Char"/>
    <w:basedOn w:val="DefaultParagraphFont"/>
    <w:link w:val="Signature"/>
    <w:uiPriority w:val="99"/>
    <w:locked/>
    <w:rsid w:val="00371AE2"/>
    <w:rPr>
      <w:rFonts w:ascii="Times New Roman" w:hAnsi="Times New Roman" w:cs="Times New Roman"/>
      <w:lang w:val="en-GB"/>
    </w:rPr>
  </w:style>
  <w:style w:type="character" w:styleId="Strong">
    <w:name w:val="Strong"/>
    <w:basedOn w:val="DefaultParagraphFont"/>
    <w:uiPriority w:val="22"/>
    <w:qFormat/>
    <w:rsid w:val="00371AE2"/>
    <w:rPr>
      <w:rFonts w:cs="Times New Roman"/>
      <w:b/>
    </w:rPr>
  </w:style>
  <w:style w:type="paragraph" w:styleId="Subtitle">
    <w:name w:val="Subtitle"/>
    <w:basedOn w:val="Normal"/>
    <w:link w:val="SubtitleChar"/>
    <w:uiPriority w:val="11"/>
    <w:qFormat/>
    <w:rsid w:val="00371AE2"/>
    <w:pPr>
      <w:spacing w:after="60" w:line="240" w:lineRule="atLeast"/>
      <w:jc w:val="center"/>
      <w:outlineLvl w:val="1"/>
    </w:pPr>
    <w:rPr>
      <w:rFonts w:ascii="Arial" w:hAnsi="Arial" w:cs="Arial"/>
      <w:spacing w:val="0"/>
      <w:w w:val="100"/>
      <w:sz w:val="24"/>
      <w:szCs w:val="24"/>
      <w:lang w:val="en-GB" w:eastAsia="es-ES"/>
    </w:rPr>
  </w:style>
  <w:style w:type="character" w:customStyle="1" w:styleId="SubtitleChar">
    <w:name w:val="Subtitle Char"/>
    <w:basedOn w:val="DefaultParagraphFont"/>
    <w:link w:val="Subtitle"/>
    <w:uiPriority w:val="11"/>
    <w:locked/>
    <w:rsid w:val="00371AE2"/>
    <w:rPr>
      <w:rFonts w:ascii="Arial" w:hAnsi="Arial" w:cs="Times New Roman"/>
      <w:sz w:val="24"/>
      <w:lang w:val="en-GB"/>
    </w:rPr>
  </w:style>
  <w:style w:type="table" w:styleId="Table3Deffects1">
    <w:name w:val="Table 3D effects 1"/>
    <w:basedOn w:val="TableNormal"/>
    <w:uiPriority w:val="99"/>
    <w:rsid w:val="00371AE2"/>
    <w:pPr>
      <w:suppressAutoHyphens/>
      <w:spacing w:line="240" w:lineRule="atLeast"/>
    </w:pPr>
    <w:rPr>
      <w:rFonts w:ascii="Times New Roman" w:hAnsi="Times New Roman" w:cs="Times New Roman"/>
    </w:rPr>
    <w:tblPr/>
    <w:tcPr>
      <w:shd w:val="solid" w:color="C0C0C0" w:fill="FFFFFF"/>
    </w:tcPr>
  </w:style>
  <w:style w:type="table" w:styleId="Table3Deffects2">
    <w:name w:val="Table 3D effects 2"/>
    <w:basedOn w:val="TableNormal"/>
    <w:uiPriority w:val="99"/>
    <w:rsid w:val="00371AE2"/>
    <w:pPr>
      <w:suppressAutoHyphens/>
      <w:spacing w:line="240" w:lineRule="atLeast"/>
    </w:pPr>
    <w:rPr>
      <w:rFonts w:ascii="Times New Roman" w:hAnsi="Times New Roman" w:cs="Times New Roman"/>
    </w:rPr>
    <w:tblPr/>
    <w:tcPr>
      <w:shd w:val="solid" w:color="C0C0C0" w:fill="FFFFFF"/>
    </w:tcPr>
  </w:style>
  <w:style w:type="table" w:styleId="Table3Deffects3">
    <w:name w:val="Table 3D effects 3"/>
    <w:basedOn w:val="TableNormal"/>
    <w:uiPriority w:val="99"/>
    <w:rsid w:val="00371AE2"/>
    <w:pPr>
      <w:suppressAutoHyphens/>
      <w:spacing w:line="240" w:lineRule="atLeast"/>
    </w:pPr>
    <w:rPr>
      <w:rFonts w:ascii="Times New Roman" w:hAnsi="Times New Roman" w:cs="Times New Roman"/>
    </w:rPr>
    <w:tblPr/>
  </w:style>
  <w:style w:type="table" w:styleId="TableClassic1">
    <w:name w:val="Table Classic 1"/>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tblBorders>
    </w:tblPr>
  </w:style>
  <w:style w:type="table" w:styleId="TableClassic2">
    <w:name w:val="Table Classic 2"/>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tblBorders>
    </w:tblPr>
  </w:style>
  <w:style w:type="table" w:styleId="TableClassic3">
    <w:name w:val="Table Classic 3"/>
    <w:basedOn w:val="TableNormal"/>
    <w:uiPriority w:val="99"/>
    <w:rsid w:val="00371AE2"/>
    <w:pPr>
      <w:suppressAutoHyphens/>
      <w:spacing w:line="240" w:lineRule="atLeast"/>
    </w:pPr>
    <w:rPr>
      <w:rFonts w:ascii="Times New Roman" w:hAnsi="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styleId="TableClassic4">
    <w:name w:val="Table Classic 4"/>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6" w:space="0" w:color="000000"/>
        <w:bottom w:val="single" w:sz="12" w:space="0" w:color="000000"/>
        <w:right w:val="single" w:sz="6" w:space="0" w:color="000000"/>
      </w:tblBorders>
    </w:tblPr>
  </w:style>
  <w:style w:type="table" w:styleId="TableColorful1">
    <w:name w:val="Table Colorful 1"/>
    <w:basedOn w:val="TableNormal"/>
    <w:uiPriority w:val="99"/>
    <w:rsid w:val="00371AE2"/>
    <w:pPr>
      <w:suppressAutoHyphens/>
      <w:spacing w:line="240" w:lineRule="atLeast"/>
    </w:pPr>
    <w:rPr>
      <w:rFonts w:ascii="Times New Roman" w:hAnsi="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styleId="TableColorful2">
    <w:name w:val="Table Colorful 2"/>
    <w:basedOn w:val="TableNormal"/>
    <w:uiPriority w:val="99"/>
    <w:rsid w:val="00371AE2"/>
    <w:pPr>
      <w:suppressAutoHyphens/>
      <w:spacing w:line="240" w:lineRule="atLeast"/>
    </w:pPr>
    <w:rPr>
      <w:rFonts w:ascii="Times New Roman" w:hAnsi="Times New Roman" w:cs="Times New Roman"/>
    </w:rPr>
    <w:tblPr>
      <w:tblBorders>
        <w:bottom w:val="single" w:sz="12" w:space="0" w:color="000000"/>
      </w:tblBorders>
    </w:tblPr>
    <w:tcPr>
      <w:shd w:val="pct20" w:color="FFFF00" w:fill="FFFFFF"/>
    </w:tcPr>
  </w:style>
  <w:style w:type="table" w:styleId="TableColorful3">
    <w:name w:val="Table Colorful 3"/>
    <w:basedOn w:val="TableNormal"/>
    <w:uiPriority w:val="99"/>
    <w:rsid w:val="00371AE2"/>
    <w:pPr>
      <w:suppressAutoHyphens/>
      <w:spacing w:line="240" w:lineRule="atLeast"/>
    </w:pPr>
    <w:rPr>
      <w:rFonts w:ascii="Times New Roma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styleId="TableColumns1">
    <w:name w:val="Table Columns 1"/>
    <w:basedOn w:val="TableNormal"/>
    <w:uiPriority w:val="99"/>
    <w:rsid w:val="00371AE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tblBorders>
    </w:tblPr>
  </w:style>
  <w:style w:type="table" w:styleId="TableColumns2">
    <w:name w:val="Table Columns 2"/>
    <w:basedOn w:val="TableNormal"/>
    <w:uiPriority w:val="99"/>
    <w:rsid w:val="00371AE2"/>
    <w:pPr>
      <w:suppressAutoHyphens/>
      <w:spacing w:line="240" w:lineRule="atLeast"/>
    </w:pPr>
    <w:rPr>
      <w:rFonts w:ascii="Times New Roman" w:hAnsi="Times New Roman" w:cs="Times New Roman"/>
      <w:b/>
      <w:bCs/>
    </w:rPr>
    <w:tblPr/>
  </w:style>
  <w:style w:type="table" w:styleId="TableColumns3">
    <w:name w:val="Table Columns 3"/>
    <w:basedOn w:val="TableNormal"/>
    <w:uiPriority w:val="99"/>
    <w:rsid w:val="00371AE2"/>
    <w:pPr>
      <w:suppressAutoHyphens/>
      <w:spacing w:line="240" w:lineRule="atLeast"/>
    </w:pPr>
    <w:rPr>
      <w:rFonts w:ascii="Times New Roman" w:hAnsi="Times New Roman" w:cs="Times New Roman"/>
      <w:b/>
      <w:bCs/>
    </w:rPr>
    <w:tblPr>
      <w:tblBorders>
        <w:top w:val="single" w:sz="6" w:space="0" w:color="000080"/>
        <w:left w:val="single" w:sz="6" w:space="0" w:color="000080"/>
        <w:bottom w:val="single" w:sz="6" w:space="0" w:color="000080"/>
        <w:right w:val="single" w:sz="6" w:space="0" w:color="000080"/>
        <w:insideV w:val="single" w:sz="6" w:space="0" w:color="000080"/>
      </w:tblBorders>
    </w:tblPr>
  </w:style>
  <w:style w:type="table" w:styleId="TableColumns4">
    <w:name w:val="Table Columns 4"/>
    <w:basedOn w:val="TableNormal"/>
    <w:uiPriority w:val="99"/>
    <w:rsid w:val="00371AE2"/>
    <w:pPr>
      <w:suppressAutoHyphens/>
      <w:spacing w:line="240" w:lineRule="atLeast"/>
    </w:pPr>
    <w:rPr>
      <w:rFonts w:ascii="Times New Roman" w:hAnsi="Times New Roman" w:cs="Times New Roman"/>
    </w:rPr>
    <w:tblPr/>
  </w:style>
  <w:style w:type="table" w:styleId="TableColumns5">
    <w:name w:val="Table Columns 5"/>
    <w:basedOn w:val="TableNormal"/>
    <w:uiPriority w:val="99"/>
    <w:rsid w:val="00371AE2"/>
    <w:pPr>
      <w:suppressAutoHyphens/>
      <w:spacing w:line="240" w:lineRule="atLeast"/>
    </w:pPr>
    <w:rPr>
      <w:rFonts w:ascii="Times New Roman" w:hAnsi="Times New Roman" w:cs="Times New Roman"/>
    </w:rPr>
    <w:tblPr>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styleId="TableContemporary">
    <w:name w:val="Table Contemporary"/>
    <w:basedOn w:val="TableNormal"/>
    <w:uiPriority w:val="99"/>
    <w:rsid w:val="00371AE2"/>
    <w:pPr>
      <w:suppressAutoHyphens/>
      <w:spacing w:line="240" w:lineRule="atLeast"/>
    </w:pPr>
    <w:rPr>
      <w:rFonts w:ascii="Times New Roman" w:hAnsi="Times New Roman" w:cs="Times New Roman"/>
    </w:rPr>
    <w:tblPr>
      <w:tblBorders>
        <w:insideH w:val="single" w:sz="18" w:space="0" w:color="FFFFFF"/>
        <w:insideV w:val="single" w:sz="18" w:space="0" w:color="FFFFFF"/>
      </w:tblBorders>
    </w:tblPr>
  </w:style>
  <w:style w:type="table" w:styleId="TableElegant">
    <w:name w:val="Table Elegant"/>
    <w:basedOn w:val="TableNormal"/>
    <w:uiPriority w:val="99"/>
    <w:rsid w:val="00371AE2"/>
    <w:pPr>
      <w:suppressAutoHyphens/>
      <w:spacing w:line="240" w:lineRule="atLeast"/>
    </w:pPr>
    <w:rPr>
      <w:rFonts w:ascii="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styleId="TableGrid">
    <w:name w:val="Table Grid"/>
    <w:basedOn w:val="TableNormal"/>
    <w:rsid w:val="00371AE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Grid2">
    <w:name w:val="Table Grid 2"/>
    <w:basedOn w:val="TableNormal"/>
    <w:uiPriority w:val="99"/>
    <w:rsid w:val="00371AE2"/>
    <w:pPr>
      <w:suppressAutoHyphens/>
      <w:spacing w:line="240" w:lineRule="atLeast"/>
    </w:pPr>
    <w:rPr>
      <w:rFonts w:ascii="Times New Roman" w:hAnsi="Times New Roman" w:cs="Times New Roman"/>
    </w:rPr>
    <w:tblPr>
      <w:tblBorders>
        <w:insideH w:val="single" w:sz="6" w:space="0" w:color="000000"/>
        <w:insideV w:val="single" w:sz="6" w:space="0" w:color="000000"/>
      </w:tblBorders>
    </w:tblPr>
  </w:style>
  <w:style w:type="table" w:styleId="TableGrid3">
    <w:name w:val="Table Grid 3"/>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styleId="TableGrid4">
    <w:name w:val="Table Grid 4"/>
    <w:basedOn w:val="TableNormal"/>
    <w:uiPriority w:val="99"/>
    <w:rsid w:val="00371AE2"/>
    <w:pPr>
      <w:suppressAutoHyphens/>
      <w:spacing w:line="240" w:lineRule="atLeast"/>
    </w:pPr>
    <w:rPr>
      <w:rFonts w:ascii="Times New Roman" w:hAnsi="Times New Roman" w:cs="Times New Roman"/>
    </w:rPr>
    <w:tblPr>
      <w:tblBorders>
        <w:left w:val="single" w:sz="12" w:space="0" w:color="000000"/>
        <w:right w:val="single" w:sz="12" w:space="0" w:color="000000"/>
        <w:insideH w:val="single" w:sz="6" w:space="0" w:color="000000"/>
        <w:insideV w:val="single" w:sz="6" w:space="0" w:color="000000"/>
      </w:tblBorders>
    </w:tblPr>
  </w:style>
  <w:style w:type="table" w:styleId="TableGrid5">
    <w:name w:val="Table Grid 5"/>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6">
    <w:name w:val="Table Grid 6"/>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styleId="TableGrid7">
    <w:name w:val="Table Grid 7"/>
    <w:basedOn w:val="TableNormal"/>
    <w:uiPriority w:val="99"/>
    <w:rsid w:val="00371AE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8">
    <w:name w:val="Table Grid 8"/>
    <w:basedOn w:val="TableNormal"/>
    <w:uiPriority w:val="99"/>
    <w:rsid w:val="00371AE2"/>
    <w:pPr>
      <w:suppressAutoHyphens/>
      <w:spacing w:line="240" w:lineRule="atLeast"/>
    </w:pPr>
    <w:rPr>
      <w:rFonts w:ascii="Times New Roman" w:hAnsi="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styleId="TableList1">
    <w:name w:val="Table List 1"/>
    <w:basedOn w:val="TableNormal"/>
    <w:uiPriority w:val="99"/>
    <w:rsid w:val="00371AE2"/>
    <w:pPr>
      <w:suppressAutoHyphens/>
      <w:spacing w:line="240" w:lineRule="atLeast"/>
    </w:pPr>
    <w:rPr>
      <w:rFonts w:ascii="Times New Roman" w:hAnsi="Times New Roman" w:cs="Times New Roman"/>
    </w:rPr>
    <w:tblPr>
      <w:tblBorders>
        <w:top w:val="single" w:sz="12" w:space="0" w:color="008080"/>
        <w:left w:val="single" w:sz="6" w:space="0" w:color="008080"/>
        <w:bottom w:val="single" w:sz="12" w:space="0" w:color="008080"/>
        <w:right w:val="single" w:sz="6" w:space="0" w:color="008080"/>
      </w:tblBorders>
    </w:tblPr>
  </w:style>
  <w:style w:type="table" w:styleId="TableList2">
    <w:name w:val="Table List 2"/>
    <w:basedOn w:val="TableNormal"/>
    <w:uiPriority w:val="99"/>
    <w:rsid w:val="00371AE2"/>
    <w:pPr>
      <w:suppressAutoHyphens/>
      <w:spacing w:line="240" w:lineRule="atLeast"/>
    </w:pPr>
    <w:rPr>
      <w:rFonts w:ascii="Times New Roman" w:hAnsi="Times New Roman" w:cs="Times New Roman"/>
    </w:rPr>
    <w:tblPr>
      <w:tblBorders>
        <w:bottom w:val="single" w:sz="12" w:space="0" w:color="808080"/>
      </w:tblBorders>
    </w:tblPr>
  </w:style>
  <w:style w:type="table" w:styleId="TableList3">
    <w:name w:val="Table List 3"/>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insideH w:val="single" w:sz="6" w:space="0" w:color="000000"/>
      </w:tblBorders>
    </w:tblPr>
  </w:style>
  <w:style w:type="table" w:styleId="TableList4">
    <w:name w:val="Table List 4"/>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styleId="TableList5">
    <w:name w:val="Table List 5"/>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style>
  <w:style w:type="table" w:styleId="TableList6">
    <w:name w:val="Table List 6"/>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styleId="TableList7">
    <w:name w:val="Table List 7"/>
    <w:basedOn w:val="TableNormal"/>
    <w:uiPriority w:val="99"/>
    <w:rsid w:val="00371AE2"/>
    <w:pPr>
      <w:suppressAutoHyphens/>
      <w:spacing w:line="240" w:lineRule="atLeast"/>
    </w:pPr>
    <w:rPr>
      <w:rFonts w:ascii="Times New Roman" w:hAnsi="Times New Roman" w:cs="Times New Roman"/>
    </w:rPr>
    <w:tblPr>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styleId="TableList8">
    <w:name w:val="Table List 8"/>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V w:val="single" w:sz="6" w:space="0" w:color="000000"/>
      </w:tblBorders>
    </w:tblPr>
  </w:style>
  <w:style w:type="table" w:styleId="TableProfessional">
    <w:name w:val="Table Professional"/>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Simple1">
    <w:name w:val="Table Simple 1"/>
    <w:basedOn w:val="TableNormal"/>
    <w:uiPriority w:val="99"/>
    <w:rsid w:val="00371AE2"/>
    <w:pPr>
      <w:suppressAutoHyphens/>
      <w:spacing w:line="240" w:lineRule="atLeast"/>
    </w:pPr>
    <w:rPr>
      <w:rFonts w:ascii="Times New Roman" w:hAnsi="Times New Roman" w:cs="Times New Roman"/>
    </w:rPr>
    <w:tblPr>
      <w:tblBorders>
        <w:top w:val="single" w:sz="12" w:space="0" w:color="008000"/>
        <w:bottom w:val="single" w:sz="12" w:space="0" w:color="008000"/>
      </w:tblBorders>
    </w:tblPr>
  </w:style>
  <w:style w:type="table" w:styleId="TableSimple2">
    <w:name w:val="Table Simple 2"/>
    <w:basedOn w:val="TableNormal"/>
    <w:uiPriority w:val="99"/>
    <w:rsid w:val="00371AE2"/>
    <w:pPr>
      <w:suppressAutoHyphens/>
      <w:spacing w:line="240" w:lineRule="atLeast"/>
    </w:pPr>
    <w:rPr>
      <w:rFonts w:ascii="Times New Roman" w:hAnsi="Times New Roman" w:cs="Times New Roman"/>
    </w:rPr>
    <w:tblPr/>
  </w:style>
  <w:style w:type="table" w:styleId="TableSimple3">
    <w:name w:val="Table Simple 3"/>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tblBorders>
    </w:tblPr>
  </w:style>
  <w:style w:type="table" w:styleId="TableSubtle1">
    <w:name w:val="Table Subtle 1"/>
    <w:basedOn w:val="TableNormal"/>
    <w:uiPriority w:val="99"/>
    <w:rsid w:val="00371AE2"/>
    <w:pPr>
      <w:suppressAutoHyphens/>
      <w:spacing w:line="240" w:lineRule="atLeast"/>
    </w:pPr>
    <w:rPr>
      <w:rFonts w:ascii="Times New Roman" w:hAnsi="Times New Roman" w:cs="Times New Roman"/>
    </w:rPr>
    <w:tblPr/>
  </w:style>
  <w:style w:type="table" w:styleId="TableSubtle2">
    <w:name w:val="Table Subtle 2"/>
    <w:basedOn w:val="TableNormal"/>
    <w:uiPriority w:val="99"/>
    <w:rsid w:val="00371AE2"/>
    <w:pPr>
      <w:suppressAutoHyphens/>
      <w:spacing w:line="240" w:lineRule="atLeast"/>
    </w:pPr>
    <w:rPr>
      <w:rFonts w:ascii="Times New Roman" w:hAnsi="Times New Roman" w:cs="Times New Roman"/>
    </w:rPr>
    <w:tblPr>
      <w:tblBorders>
        <w:left w:val="single" w:sz="6" w:space="0" w:color="000000"/>
        <w:right w:val="single" w:sz="6" w:space="0" w:color="000000"/>
      </w:tblBorders>
    </w:tblPr>
  </w:style>
  <w:style w:type="table" w:styleId="TableTheme">
    <w:name w:val="Table Theme"/>
    <w:basedOn w:val="TableNormal"/>
    <w:uiPriority w:val="99"/>
    <w:rsid w:val="00371AE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371AE2"/>
    <w:pPr>
      <w:suppressAutoHyphens/>
      <w:spacing w:line="240" w:lineRule="atLeast"/>
    </w:pPr>
    <w:rPr>
      <w:rFonts w:ascii="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styleId="TableWeb2">
    <w:name w:val="Table Web 2"/>
    <w:basedOn w:val="TableNormal"/>
    <w:uiPriority w:val="99"/>
    <w:rsid w:val="00371AE2"/>
    <w:pPr>
      <w:suppressAutoHyphens/>
      <w:spacing w:line="240" w:lineRule="atLeast"/>
    </w:pPr>
    <w:rPr>
      <w:rFonts w:ascii="Times New Roman" w:hAnsi="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styleId="TableWeb3">
    <w:name w:val="Table Web 3"/>
    <w:basedOn w:val="TableNormal"/>
    <w:uiPriority w:val="99"/>
    <w:rsid w:val="00371AE2"/>
    <w:pPr>
      <w:suppressAutoHyphens/>
      <w:spacing w:line="240" w:lineRule="atLeast"/>
    </w:pPr>
    <w:rPr>
      <w:rFonts w:ascii="Times New Roman" w:hAnsi="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styleId="Title">
    <w:name w:val="Title"/>
    <w:basedOn w:val="Normal"/>
    <w:link w:val="TitleChar"/>
    <w:uiPriority w:val="10"/>
    <w:qFormat/>
    <w:rsid w:val="00371AE2"/>
    <w:pPr>
      <w:spacing w:before="240" w:after="60" w:line="240" w:lineRule="atLeast"/>
      <w:jc w:val="center"/>
      <w:outlineLvl w:val="0"/>
    </w:pPr>
    <w:rPr>
      <w:rFonts w:ascii="Arial" w:hAnsi="Arial" w:cs="Arial"/>
      <w:b/>
      <w:bCs/>
      <w:spacing w:val="0"/>
      <w:w w:val="100"/>
      <w:kern w:val="28"/>
      <w:sz w:val="32"/>
      <w:szCs w:val="32"/>
      <w:lang w:val="en-GB" w:eastAsia="es-ES"/>
    </w:rPr>
  </w:style>
  <w:style w:type="character" w:customStyle="1" w:styleId="TitleChar">
    <w:name w:val="Title Char"/>
    <w:basedOn w:val="DefaultParagraphFont"/>
    <w:link w:val="Title"/>
    <w:uiPriority w:val="10"/>
    <w:locked/>
    <w:rsid w:val="00371AE2"/>
    <w:rPr>
      <w:rFonts w:ascii="Arial" w:hAnsi="Arial" w:cs="Times New Roman"/>
      <w:b/>
      <w:kern w:val="28"/>
      <w:sz w:val="32"/>
      <w:lang w:val="en-GB"/>
    </w:rPr>
  </w:style>
  <w:style w:type="character" w:customStyle="1" w:styleId="apple-converted-space">
    <w:name w:val="apple-converted-space"/>
    <w:rsid w:val="00E948D9"/>
  </w:style>
  <w:style w:type="paragraph" w:customStyle="1" w:styleId="StyleH23Left0Hanging088Right088After">
    <w:name w:val="Style _ H_2/3 + Left:  0&quot; Hanging:  088&quot; Right:  088&quot; After:  ..."/>
    <w:basedOn w:val="H23"/>
    <w:rsid w:val="00A95B50"/>
    <w:pPr>
      <w:ind w:right="1267"/>
    </w:pPr>
    <w:rPr>
      <w:bCs w:val="0"/>
      <w:szCs w:val="20"/>
    </w:rPr>
  </w:style>
  <w:style w:type="character" w:customStyle="1" w:styleId="EncabezadoCar">
    <w:name w:val="Encabezado Car"/>
    <w:uiPriority w:val="99"/>
    <w:locked/>
    <w:rsid w:val="00617D15"/>
  </w:style>
  <w:style w:type="character" w:customStyle="1" w:styleId="PiedepginaCar">
    <w:name w:val="Pie de página Car"/>
    <w:uiPriority w:val="99"/>
    <w:locked/>
    <w:rsid w:val="00617D15"/>
  </w:style>
  <w:style w:type="paragraph" w:styleId="ListParagraph">
    <w:name w:val="List Paragraph"/>
    <w:aliases w:val="List Paragraph (numbered (a)),Bullet List,FooterText,List Paragraph1,Colorful List - Accent 11,numbered,Paragraphe de liste1,列出段落,列出段落1,Bulletr List Paragraph,List Paragraph2,List Paragraph21,Párrafo de lista1,Parágrafo da Lista1,リスト段落1"/>
    <w:basedOn w:val="Normal"/>
    <w:link w:val="ListParagraphChar"/>
    <w:uiPriority w:val="34"/>
    <w:qFormat/>
    <w:rsid w:val="00617D15"/>
    <w:pPr>
      <w:suppressAutoHyphens w:val="0"/>
      <w:spacing w:after="160" w:line="259" w:lineRule="auto"/>
      <w:ind w:left="720"/>
    </w:pPr>
    <w:rPr>
      <w:rFonts w:ascii="Calibri" w:hAnsi="Calibri"/>
      <w:spacing w:val="0"/>
      <w:w w:val="100"/>
      <w:sz w:val="22"/>
      <w:lang w:val="en-GB" w:eastAsia="es-ES"/>
    </w:rPr>
  </w:style>
  <w:style w:type="character" w:customStyle="1" w:styleId="TextonotapieCar11">
    <w:name w:val="Texto nota pie Car11"/>
    <w:aliases w:val="5_G Car11,Char Car11,Footnote Text Blue Car11,EUMC_Lábjegyzetszöveg + 13 pt Car11,Félkövér Car11,Dolt Car11,Középre zárt Char Car11,Középre zárt Char Char Car11,Középre zárt Car11,Märk Car11,Footnote Text Char1 Car11"/>
    <w:semiHidden/>
    <w:rsid w:val="00617D15"/>
    <w:rPr>
      <w:lang w:val="en-GB"/>
    </w:rPr>
  </w:style>
  <w:style w:type="character" w:customStyle="1" w:styleId="SingleTxtChar">
    <w:name w:val="__Single Txt Char"/>
    <w:link w:val="SingleTxt"/>
    <w:locked/>
    <w:rsid w:val="00FC59E7"/>
    <w:rPr>
      <w:rFonts w:ascii="Times New Roman" w:hAnsi="Times New Roman"/>
      <w:spacing w:val="4"/>
      <w:w w:val="103"/>
      <w:kern w:val="14"/>
      <w:sz w:val="22"/>
      <w:lang w:eastAsia="en-US"/>
    </w:rPr>
  </w:style>
  <w:style w:type="paragraph" w:customStyle="1" w:styleId="TitleHCH">
    <w:name w:val="Title_H_CH"/>
    <w:basedOn w:val="HCh"/>
    <w:next w:val="SingleTxt"/>
    <w:qFormat/>
    <w:rsid w:val="00CE16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paragraph" w:customStyle="1" w:styleId="HCH0">
    <w:name w:val="_ H _CH"/>
    <w:basedOn w:val="H1"/>
    <w:next w:val="Normal"/>
    <w:qFormat/>
    <w:rsid w:val="0042107F"/>
    <w:pPr>
      <w:spacing w:line="300" w:lineRule="exact"/>
    </w:pPr>
    <w:rPr>
      <w:spacing w:val="-2"/>
      <w:sz w:val="28"/>
      <w:lang w:val="fr-FR"/>
    </w:rPr>
  </w:style>
  <w:style w:type="paragraph" w:customStyle="1" w:styleId="H56">
    <w:name w:val="_ H_5/6"/>
    <w:basedOn w:val="Normal"/>
    <w:next w:val="Normal"/>
    <w:qFormat/>
    <w:rsid w:val="0042107F"/>
    <w:pPr>
      <w:keepNext/>
      <w:keepLines/>
      <w:tabs>
        <w:tab w:val="right" w:pos="360"/>
      </w:tabs>
      <w:outlineLvl w:val="4"/>
    </w:pPr>
    <w:rPr>
      <w:rFonts w:ascii="marge tawagan" w:hAnsi="marge tawagan"/>
      <w:kern w:val="14"/>
      <w:lang w:val="fr-FR"/>
    </w:rPr>
  </w:style>
  <w:style w:type="paragraph" w:customStyle="1" w:styleId="SM">
    <w:name w:val="__S_M"/>
    <w:basedOn w:val="Normal"/>
    <w:next w:val="Normal"/>
    <w:qFormat/>
    <w:rsid w:val="0042107F"/>
    <w:pPr>
      <w:keepNext/>
      <w:keepLines/>
      <w:tabs>
        <w:tab w:val="right" w:pos="360"/>
      </w:tabs>
      <w:spacing w:line="390" w:lineRule="exact"/>
      <w:ind w:left="1267" w:right="1267"/>
      <w:outlineLvl w:val="0"/>
    </w:pPr>
    <w:rPr>
      <w:b/>
      <w:spacing w:val="-4"/>
      <w:w w:val="98"/>
      <w:kern w:val="14"/>
      <w:sz w:val="40"/>
      <w:lang w:val="fr-FR"/>
    </w:rPr>
  </w:style>
  <w:style w:type="paragraph" w:customStyle="1" w:styleId="AgendaItemNormal">
    <w:name w:val="Agenda_Item_Normal"/>
    <w:next w:val="Normal"/>
    <w:autoRedefine/>
    <w:qFormat/>
    <w:rsid w:val="0042107F"/>
    <w:pPr>
      <w:spacing w:line="240" w:lineRule="exact"/>
    </w:pPr>
    <w:rPr>
      <w:rFonts w:ascii="Times New Roman" w:hAnsi="Times New Roman" w:cs="Times New Roman"/>
      <w:spacing w:val="4"/>
      <w:w w:val="103"/>
      <w:kern w:val="14"/>
      <w:szCs w:val="22"/>
      <w:lang w:val="fr-CA" w:eastAsia="en-US"/>
    </w:rPr>
  </w:style>
  <w:style w:type="paragraph" w:customStyle="1" w:styleId="TitleH1">
    <w:name w:val="Title_H1"/>
    <w:basedOn w:val="Normal"/>
    <w:next w:val="Normal"/>
    <w:qFormat/>
    <w:rsid w:val="00421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kern w:val="14"/>
      <w:sz w:val="24"/>
      <w:lang w:val="fr-FR"/>
    </w:rPr>
  </w:style>
  <w:style w:type="paragraph" w:customStyle="1" w:styleId="AgendaTitleH2">
    <w:name w:val="Agenda_Title_H2"/>
    <w:basedOn w:val="TitleH1"/>
    <w:next w:val="Normal"/>
    <w:qFormat/>
    <w:rsid w:val="0042107F"/>
    <w:pPr>
      <w:spacing w:line="240" w:lineRule="exact"/>
      <w:ind w:left="0" w:right="5040" w:firstLine="0"/>
      <w:outlineLvl w:val="1"/>
    </w:pPr>
    <w:rPr>
      <w:sz w:val="20"/>
    </w:rPr>
  </w:style>
  <w:style w:type="paragraph" w:customStyle="1" w:styleId="ReleaseDate0">
    <w:name w:val="Release Date"/>
    <w:next w:val="Normal"/>
    <w:autoRedefine/>
    <w:qFormat/>
    <w:rsid w:val="0042107F"/>
    <w:rPr>
      <w:rFonts w:ascii="Times New Roman" w:hAnsi="Times New Roman" w:cs="Times New Roman"/>
      <w:spacing w:val="-3"/>
      <w:w w:val="99"/>
      <w:kern w:val="14"/>
      <w:szCs w:val="22"/>
      <w:lang w:val="en-US" w:eastAsia="en-US"/>
    </w:rPr>
  </w:style>
  <w:style w:type="paragraph" w:customStyle="1" w:styleId="Style1">
    <w:name w:val="Style1"/>
    <w:basedOn w:val="Normal"/>
    <w:qFormat/>
    <w:rsid w:val="0042107F"/>
    <w:pPr>
      <w:suppressAutoHyphens w:val="0"/>
    </w:pPr>
    <w:rPr>
      <w:kern w:val="14"/>
      <w:lang w:val="fr-FR"/>
    </w:rPr>
  </w:style>
  <w:style w:type="paragraph" w:customStyle="1" w:styleId="Style2">
    <w:name w:val="Style2"/>
    <w:basedOn w:val="Normal"/>
    <w:autoRedefine/>
    <w:qFormat/>
    <w:rsid w:val="0042107F"/>
    <w:pPr>
      <w:suppressAutoHyphens w:val="0"/>
    </w:pPr>
    <w:rPr>
      <w:kern w:val="14"/>
      <w:lang w:val="fr-FR"/>
    </w:rPr>
  </w:style>
  <w:style w:type="paragraph" w:customStyle="1" w:styleId="TitleH2">
    <w:name w:val="Title_H2"/>
    <w:basedOn w:val="H1"/>
    <w:next w:val="Normal"/>
    <w:qFormat/>
    <w:rsid w:val="004210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lang w:val="fr-FR"/>
    </w:rPr>
  </w:style>
  <w:style w:type="paragraph" w:customStyle="1" w:styleId="XLargeG">
    <w:name w:val="__XLarge_G"/>
    <w:basedOn w:val="Normal"/>
    <w:next w:val="Normal"/>
    <w:rsid w:val="0042107F"/>
    <w:pPr>
      <w:keepNext/>
      <w:keepLines/>
      <w:spacing w:before="240" w:after="240" w:line="420" w:lineRule="exact"/>
      <w:ind w:left="1134" w:right="1134"/>
    </w:pPr>
    <w:rPr>
      <w:b/>
      <w:spacing w:val="0"/>
      <w:w w:val="100"/>
      <w:sz w:val="40"/>
      <w:szCs w:val="20"/>
      <w:lang w:val="fr-CH"/>
    </w:rPr>
  </w:style>
  <w:style w:type="paragraph" w:customStyle="1" w:styleId="Body">
    <w:name w:val="Body"/>
    <w:rsid w:val="0042107F"/>
    <w:pPr>
      <w:pBdr>
        <w:top w:val="none" w:sz="96" w:space="31" w:color="FFFFFF" w:frame="1"/>
        <w:left w:val="none" w:sz="96" w:space="31" w:color="FFFFFF" w:frame="1"/>
        <w:bottom w:val="none" w:sz="96" w:space="31" w:color="FFFFFF" w:frame="1"/>
        <w:right w:val="none" w:sz="96" w:space="31" w:color="FFFFFF" w:frame="1"/>
      </w:pBdr>
    </w:pPr>
    <w:rPr>
      <w:rFonts w:ascii="Helvetica Neue" w:eastAsia="Arial Unicode MS" w:hAnsi="Helvetica Neue" w:cs="Arial Unicode MS"/>
      <w:color w:val="000000"/>
      <w:sz w:val="22"/>
      <w:szCs w:val="22"/>
      <w:lang w:val="fr-FR" w:eastAsia="fr-FR"/>
    </w:rPr>
  </w:style>
  <w:style w:type="paragraph" w:customStyle="1" w:styleId="Default">
    <w:name w:val="Default"/>
    <w:link w:val="DefaultChar"/>
    <w:rsid w:val="0042107F"/>
    <w:pPr>
      <w:pBdr>
        <w:top w:val="none" w:sz="96" w:space="31" w:color="FFFFFF" w:frame="1"/>
        <w:left w:val="none" w:sz="96" w:space="31" w:color="FFFFFF" w:frame="1"/>
        <w:bottom w:val="none" w:sz="96" w:space="31" w:color="FFFFFF" w:frame="1"/>
        <w:right w:val="none" w:sz="96" w:space="31" w:color="FFFFFF" w:frame="1"/>
      </w:pBdr>
    </w:pPr>
    <w:rPr>
      <w:rFonts w:ascii="Helvetica Neue" w:eastAsia="Arial Unicode MS" w:hAnsi="Helvetica Neue" w:cs="Arial Unicode MS"/>
      <w:color w:val="000000"/>
      <w:sz w:val="22"/>
      <w:szCs w:val="22"/>
      <w:lang w:val="en-US" w:eastAsia="fr-FR"/>
    </w:rPr>
  </w:style>
  <w:style w:type="paragraph" w:customStyle="1" w:styleId="TableStyle2">
    <w:name w:val="Table Style 2"/>
    <w:rsid w:val="0042107F"/>
    <w:pPr>
      <w:pBdr>
        <w:top w:val="none" w:sz="96" w:space="31" w:color="FFFFFF" w:frame="1"/>
        <w:left w:val="none" w:sz="96" w:space="31" w:color="FFFFFF" w:frame="1"/>
        <w:bottom w:val="none" w:sz="96" w:space="31" w:color="FFFFFF" w:frame="1"/>
        <w:right w:val="none" w:sz="96" w:space="31" w:color="FFFFFF" w:frame="1"/>
      </w:pBdr>
    </w:pPr>
    <w:rPr>
      <w:rFonts w:ascii="Helvetica Neue" w:hAnsi="Helvetica Neue" w:cs="Helvetica Neue"/>
      <w:color w:val="000000"/>
      <w:lang w:val="fr-FR" w:eastAsia="fr-FR"/>
    </w:rPr>
  </w:style>
  <w:style w:type="character" w:customStyle="1" w:styleId="None">
    <w:name w:val="None"/>
    <w:rsid w:val="0042107F"/>
  </w:style>
  <w:style w:type="character" w:customStyle="1" w:styleId="Hyperlink0">
    <w:name w:val="Hyperlink.0"/>
    <w:basedOn w:val="None"/>
    <w:rsid w:val="0042107F"/>
    <w:rPr>
      <w:rFonts w:cs="Times New Roman"/>
      <w:color w:val="0432FF"/>
      <w:u w:val="single" w:color="000000"/>
    </w:rPr>
  </w:style>
  <w:style w:type="character" w:customStyle="1" w:styleId="Hyperlink1">
    <w:name w:val="Hyperlink.1"/>
    <w:basedOn w:val="None"/>
    <w:rsid w:val="0042107F"/>
    <w:rPr>
      <w:rFonts w:cs="Times New Roman"/>
      <w:b/>
      <w:bCs/>
      <w:color w:val="0432FF"/>
      <w:u w:val="single" w:color="000000"/>
    </w:rPr>
  </w:style>
  <w:style w:type="character" w:customStyle="1" w:styleId="Hyperlink2">
    <w:name w:val="Hyperlink.2"/>
    <w:basedOn w:val="Hyperlink"/>
    <w:rsid w:val="0042107F"/>
    <w:rPr>
      <w:rFonts w:cs="Times New Roman"/>
      <w:color w:val="auto"/>
      <w:u w:val="single"/>
    </w:rPr>
  </w:style>
  <w:style w:type="paragraph" w:customStyle="1" w:styleId="HeaderCalibri16">
    <w:name w:val="Header Calibri 16"/>
    <w:basedOn w:val="Default"/>
    <w:link w:val="HeaderCalibri16Char"/>
    <w:qFormat/>
    <w:rsid w:val="0042107F"/>
    <w:pPr>
      <w:tabs>
        <w:tab w:val="left" w:pos="1134"/>
        <w:tab w:val="left" w:pos="2268"/>
        <w:tab w:val="left" w:pos="3402"/>
        <w:tab w:val="left" w:pos="4536"/>
        <w:tab w:val="left" w:pos="5670"/>
        <w:tab w:val="left" w:pos="6804"/>
        <w:tab w:val="left" w:pos="7938"/>
        <w:tab w:val="left" w:pos="9072"/>
      </w:tabs>
      <w:spacing w:line="276" w:lineRule="auto"/>
      <w:jc w:val="both"/>
    </w:pPr>
    <w:rPr>
      <w:b/>
      <w:sz w:val="32"/>
      <w:u w:val="single"/>
    </w:rPr>
  </w:style>
  <w:style w:type="character" w:customStyle="1" w:styleId="DefaultChar">
    <w:name w:val="Default Char"/>
    <w:basedOn w:val="DefaultParagraphFont"/>
    <w:link w:val="Default"/>
    <w:locked/>
    <w:rsid w:val="0042107F"/>
    <w:rPr>
      <w:rFonts w:ascii="Helvetica Neue" w:eastAsia="Arial Unicode MS" w:hAnsi="Helvetica Neue" w:cs="Arial Unicode MS"/>
      <w:color w:val="000000"/>
      <w:sz w:val="22"/>
      <w:szCs w:val="22"/>
      <w:lang w:val="en-US" w:eastAsia="fr-FR"/>
    </w:rPr>
  </w:style>
  <w:style w:type="character" w:customStyle="1" w:styleId="HeaderCalibri16Char">
    <w:name w:val="Header Calibri 16 Char"/>
    <w:basedOn w:val="DefaultChar"/>
    <w:link w:val="HeaderCalibri16"/>
    <w:locked/>
    <w:rsid w:val="0042107F"/>
    <w:rPr>
      <w:rFonts w:ascii="Helvetica Neue" w:eastAsia="Arial Unicode MS" w:hAnsi="Helvetica Neue" w:cs="Arial Unicode MS"/>
      <w:b/>
      <w:color w:val="000000"/>
      <w:sz w:val="22"/>
      <w:szCs w:val="22"/>
      <w:u w:val="single"/>
      <w:lang w:val="en-US" w:eastAsia="fr-FR"/>
    </w:rPr>
  </w:style>
  <w:style w:type="paragraph" w:customStyle="1" w:styleId="SubheaderCalibri12">
    <w:name w:val="Subheader Calibri 12"/>
    <w:basedOn w:val="Default"/>
    <w:qFormat/>
    <w:rsid w:val="0042107F"/>
    <w:pPr>
      <w:tabs>
        <w:tab w:val="left" w:pos="1134"/>
        <w:tab w:val="left" w:pos="2268"/>
        <w:tab w:val="left" w:pos="3402"/>
        <w:tab w:val="left" w:pos="4536"/>
        <w:tab w:val="left" w:pos="5670"/>
        <w:tab w:val="left" w:pos="6804"/>
        <w:tab w:val="left" w:pos="7938"/>
        <w:tab w:val="left" w:pos="9072"/>
      </w:tabs>
      <w:spacing w:line="276" w:lineRule="auto"/>
      <w:jc w:val="both"/>
    </w:pPr>
    <w:rPr>
      <w:rFonts w:ascii="Calibri" w:eastAsia="Times New Roman" w:hAnsi="Calibri" w:cs="Times New Roman"/>
      <w:b/>
      <w:sz w:val="24"/>
      <w:u w:val="single"/>
      <w:lang w:val="fr-FR"/>
    </w:rPr>
  </w:style>
  <w:style w:type="numbering" w:styleId="ArticleSection">
    <w:name w:val="Outline List 3"/>
    <w:basedOn w:val="NoList"/>
    <w:uiPriority w:val="99"/>
    <w:semiHidden/>
    <w:unhideWhenUsed/>
    <w:rsid w:val="00AB4613"/>
    <w:pPr>
      <w:numPr>
        <w:numId w:val="7"/>
      </w:numPr>
    </w:pPr>
  </w:style>
  <w:style w:type="numbering" w:styleId="1ai">
    <w:name w:val="Outline List 1"/>
    <w:basedOn w:val="NoList"/>
    <w:uiPriority w:val="99"/>
    <w:semiHidden/>
    <w:unhideWhenUsed/>
    <w:rsid w:val="00AB4613"/>
    <w:pPr>
      <w:numPr>
        <w:numId w:val="6"/>
      </w:numPr>
    </w:pPr>
  </w:style>
  <w:style w:type="numbering" w:styleId="111111">
    <w:name w:val="Outline List 2"/>
    <w:basedOn w:val="NoList"/>
    <w:uiPriority w:val="99"/>
    <w:semiHidden/>
    <w:unhideWhenUsed/>
    <w:rsid w:val="00AB4613"/>
    <w:pPr>
      <w:numPr>
        <w:numId w:val="5"/>
      </w:numPr>
    </w:pPr>
  </w:style>
  <w:style w:type="character" w:customStyle="1" w:styleId="ListParagraphChar">
    <w:name w:val="List Paragraph Char"/>
    <w:aliases w:val="List Paragraph (numbered (a)) Char,Bullet List Char,FooterText Char,List Paragraph1 Char,Colorful List - Accent 11 Char,numbered Char,Paragraphe de liste1 Char,列出段落 Char,列出段落1 Char,Bulletr List Paragraph Char,List Paragraph2 Char"/>
    <w:basedOn w:val="DefaultParagraphFont"/>
    <w:link w:val="ListParagraph"/>
    <w:uiPriority w:val="34"/>
    <w:locked/>
    <w:rsid w:val="001217DB"/>
    <w:rPr>
      <w:rFonts w:cs="Times New Roman"/>
      <w:sz w:val="22"/>
      <w:szCs w:val="22"/>
      <w:lang w:val="en-GB" w:eastAsia="es-ES"/>
    </w:rPr>
  </w:style>
  <w:style w:type="paragraph" w:styleId="EndnoteText">
    <w:name w:val="endnote text"/>
    <w:basedOn w:val="FootnoteText"/>
    <w:link w:val="EndnoteTextChar"/>
    <w:rsid w:val="008D2F10"/>
    <w:pPr>
      <w:widowControl w:val="0"/>
    </w:pPr>
    <w:rPr>
      <w:rFonts w:eastAsiaTheme="minorHAnsi"/>
      <w:w w:val="103"/>
      <w:kern w:val="14"/>
      <w:szCs w:val="20"/>
      <w:lang w:val="en-GB"/>
    </w:rPr>
  </w:style>
  <w:style w:type="character" w:customStyle="1" w:styleId="EndnoteTextChar">
    <w:name w:val="Endnote Text Char"/>
    <w:basedOn w:val="DefaultParagraphFont"/>
    <w:link w:val="EndnoteText"/>
    <w:rsid w:val="008D2F10"/>
    <w:rPr>
      <w:rFonts w:ascii="Times New Roman" w:eastAsiaTheme="minorHAnsi" w:hAnsi="Times New Roman" w:cs="Times New Roman"/>
      <w:spacing w:val="5"/>
      <w:w w:val="103"/>
      <w:kern w:val="14"/>
      <w:sz w:val="17"/>
      <w:lang w:val="en-GB" w:eastAsia="en-US"/>
    </w:rPr>
  </w:style>
  <w:style w:type="paragraph" w:customStyle="1" w:styleId="JournalHeading1">
    <w:name w:val="Journal_Heading1"/>
    <w:basedOn w:val="Normal"/>
    <w:next w:val="Normal"/>
    <w:qFormat/>
    <w:rsid w:val="008D2F10"/>
    <w:pPr>
      <w:keepNext/>
      <w:spacing w:before="190" w:line="270" w:lineRule="exact"/>
    </w:pPr>
    <w:rPr>
      <w:rFonts w:eastAsiaTheme="minorHAnsi"/>
      <w:b/>
      <w:kern w:val="14"/>
      <w:sz w:val="24"/>
      <w:szCs w:val="20"/>
      <w:lang w:val="en-GB"/>
    </w:rPr>
  </w:style>
  <w:style w:type="paragraph" w:customStyle="1" w:styleId="JournalHeading2">
    <w:name w:val="Journal_Heading2"/>
    <w:basedOn w:val="Normal"/>
    <w:next w:val="Normal"/>
    <w:qFormat/>
    <w:rsid w:val="008D2F10"/>
    <w:pPr>
      <w:keepNext/>
      <w:keepLines/>
      <w:spacing w:before="240"/>
      <w:outlineLvl w:val="1"/>
    </w:pPr>
    <w:rPr>
      <w:rFonts w:eastAsiaTheme="minorHAnsi"/>
      <w:b/>
      <w:spacing w:val="2"/>
      <w:kern w:val="14"/>
      <w:szCs w:val="20"/>
      <w:lang w:val="en-GB"/>
    </w:rPr>
  </w:style>
  <w:style w:type="paragraph" w:customStyle="1" w:styleId="JournalHeading4">
    <w:name w:val="Journal_Heading4"/>
    <w:basedOn w:val="Normal"/>
    <w:next w:val="Normal"/>
    <w:qFormat/>
    <w:rsid w:val="008D2F10"/>
    <w:pPr>
      <w:keepNext/>
      <w:keepLines/>
      <w:spacing w:before="240"/>
      <w:outlineLvl w:val="3"/>
    </w:pPr>
    <w:rPr>
      <w:rFonts w:eastAsiaTheme="minorHAnsi"/>
      <w:i/>
      <w:kern w:val="14"/>
      <w:szCs w:val="20"/>
      <w:lang w:val="en-GB"/>
    </w:rPr>
  </w:style>
  <w:style w:type="character" w:styleId="LineNumber">
    <w:name w:val="line number"/>
    <w:rsid w:val="008D2F10"/>
    <w:rPr>
      <w:sz w:val="14"/>
    </w:rPr>
  </w:style>
  <w:style w:type="paragraph" w:styleId="TOCHeading">
    <w:name w:val="TOC Heading"/>
    <w:basedOn w:val="Heading1"/>
    <w:next w:val="Normal"/>
    <w:uiPriority w:val="39"/>
    <w:semiHidden/>
    <w:unhideWhenUsed/>
    <w:qFormat/>
    <w:rsid w:val="008D2F10"/>
    <w:pPr>
      <w:numPr>
        <w:numId w:val="0"/>
      </w:numPr>
      <w:outlineLvl w:val="9"/>
    </w:pPr>
    <w:rPr>
      <w:rFonts w:eastAsiaTheme="majorEastAsia" w:cstheme="majorBidi"/>
      <w:lang w:val="en-GB" w:bidi="en-US"/>
    </w:rPr>
  </w:style>
  <w:style w:type="character" w:customStyle="1" w:styleId="UnresolvedMention1">
    <w:name w:val="Unresolved Mention1"/>
    <w:basedOn w:val="DefaultParagraphFont"/>
    <w:uiPriority w:val="99"/>
    <w:semiHidden/>
    <w:unhideWhenUsed/>
    <w:rsid w:val="008D2F10"/>
    <w:rPr>
      <w:color w:val="808080"/>
      <w:shd w:val="clear" w:color="auto" w:fill="E6E6E6"/>
    </w:rPr>
  </w:style>
  <w:style w:type="paragraph" w:styleId="Revision">
    <w:name w:val="Revision"/>
    <w:hidden/>
    <w:uiPriority w:val="99"/>
    <w:semiHidden/>
    <w:rsid w:val="008D2F10"/>
    <w:rPr>
      <w:rFonts w:ascii="Times New Roman" w:eastAsiaTheme="minorHAnsi" w:hAnsi="Times New Roman" w:cs="Times New Roman"/>
      <w:spacing w:val="4"/>
      <w:w w:val="103"/>
      <w:kern w:val="14"/>
      <w:lang w:val="en-GB" w:eastAsia="en-US"/>
    </w:rPr>
  </w:style>
  <w:style w:type="paragraph" w:customStyle="1" w:styleId="STitleM">
    <w:name w:val="S_Title_M"/>
    <w:basedOn w:val="Normal"/>
    <w:next w:val="Normal"/>
    <w:qFormat/>
    <w:rsid w:val="008D2F10"/>
    <w:pPr>
      <w:keepNext/>
      <w:keepLines/>
      <w:tabs>
        <w:tab w:val="right" w:leader="dot" w:pos="357"/>
      </w:tabs>
      <w:spacing w:line="390" w:lineRule="exact"/>
      <w:ind w:left="1264" w:right="1264"/>
      <w:outlineLvl w:val="0"/>
    </w:pPr>
    <w:rPr>
      <w:rFonts w:eastAsiaTheme="minorHAnsi"/>
      <w:b/>
      <w:spacing w:val="-4"/>
      <w:w w:val="98"/>
      <w:kern w:val="14"/>
      <w:sz w:val="40"/>
      <w:szCs w:val="20"/>
      <w:lang w:val="en-GB"/>
    </w:rPr>
  </w:style>
  <w:style w:type="paragraph" w:customStyle="1" w:styleId="STitleS">
    <w:name w:val="S_Title_S"/>
    <w:basedOn w:val="HCh"/>
    <w:next w:val="Normal"/>
    <w:qFormat/>
    <w:rsid w:val="008D2F1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4"/>
    </w:pPr>
    <w:rPr>
      <w:rFonts w:eastAsiaTheme="minorHAnsi"/>
      <w:szCs w:val="20"/>
      <w:lang w:val="en-GB"/>
    </w:rPr>
  </w:style>
  <w:style w:type="character" w:styleId="PlaceholderText">
    <w:name w:val="Placeholder Text"/>
    <w:basedOn w:val="DefaultParagraphFont"/>
    <w:uiPriority w:val="99"/>
    <w:semiHidden/>
    <w:rsid w:val="00151B8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1312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10.png"/><Relationship Id="rId10" Type="http://schemas.openxmlformats.org/officeDocument/2006/relationships/header" Target="header1.xml"/><Relationship Id="rId19" Type="http://schemas.openxmlformats.org/officeDocument/2006/relationships/hyperlink" Target="https://undocs.org/es/A/RES/60/153"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image" Target="media/image9.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EDAW/C/QAT/1" TargetMode="External"/><Relationship Id="rId2" Type="http://schemas.openxmlformats.org/officeDocument/2006/relationships/hyperlink" Target="https://undocs.org/CEDAW/C/QAT/CO/Add.1" TargetMode="External"/><Relationship Id="rId1" Type="http://schemas.openxmlformats.org/officeDocument/2006/relationships/hyperlink" Target="https://undocs.org/es/CEDAW/C/QAT/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134599-A577-4A7F-A7E9-11CAED0A4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30515</Words>
  <Characters>159534</Characters>
  <Application>Microsoft Office Word</Application>
  <DocSecurity>0</DocSecurity>
  <Lines>1329</Lines>
  <Paragraphs>379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189670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Quality Control</dc:creator>
  <cp:lastModifiedBy>Spanish_text_processing</cp:lastModifiedBy>
  <cp:revision>2</cp:revision>
  <cp:lastPrinted>2018-05-03T16:53:00Z</cp:lastPrinted>
  <dcterms:created xsi:type="dcterms:W3CDTF">2018-05-04T14:22:00Z</dcterms:created>
  <dcterms:modified xsi:type="dcterms:W3CDTF">2018-05-04T14:22:00Z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1802443S</vt:lpwstr>
  </property>
  <property fmtid="{D5CDD505-2E9C-101B-9397-08002B2CF9AE}" pid="3" name="ODSRefJobNo">
    <vt:lpwstr>1804442S</vt:lpwstr>
  </property>
  <property fmtid="{D5CDD505-2E9C-101B-9397-08002B2CF9AE}" pid="4" name="Symbol1">
    <vt:lpwstr>CEDAW/C/QAT/2</vt:lpwstr>
  </property>
  <property fmtid="{D5CDD505-2E9C-101B-9397-08002B2CF9AE}" pid="5" name="Symbol2">
    <vt:lpwstr/>
  </property>
  <property fmtid="{D5CDD505-2E9C-101B-9397-08002B2CF9AE}" pid="6" name="Category">
    <vt:lpwstr>Document</vt:lpwstr>
  </property>
  <property fmtid="{D5CDD505-2E9C-101B-9397-08002B2CF9AE}" pid="7" name="Title1">
    <vt:lpwstr>Comité para la Eliminación de la Discriminación contra la Mujer_x000d_</vt:lpwstr>
  </property>
  <property fmtid="{D5CDD505-2E9C-101B-9397-08002B2CF9AE}" pid="8" name="Title2">
    <vt:lpwstr>		Segundo informe periódico que Qatar debía presentar en 2018 en virtud del artículo 18 de la Convención*_x000d_</vt:lpwstr>
  </property>
</Properties>
</file>