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361D6" w:rsidP="007361D6">
            <w:pPr>
              <w:jc w:val="right"/>
            </w:pPr>
            <w:r w:rsidRPr="007361D6">
              <w:rPr>
                <w:sz w:val="40"/>
              </w:rPr>
              <w:t>CCPR</w:t>
            </w:r>
            <w:r>
              <w:t>/C/EST/Q/3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361D6" w:rsidRDefault="007361D6" w:rsidP="00464EEE">
            <w:pPr>
              <w:spacing w:before="240"/>
            </w:pPr>
            <w:r>
              <w:t>Distr. générale</w:t>
            </w:r>
          </w:p>
          <w:p w:rsidR="007361D6" w:rsidRDefault="007361D6" w:rsidP="007361D6">
            <w:pPr>
              <w:spacing w:line="240" w:lineRule="exact"/>
            </w:pPr>
            <w:r>
              <w:t>23 novembre 2009</w:t>
            </w:r>
          </w:p>
          <w:p w:rsidR="007361D6" w:rsidRDefault="007361D6" w:rsidP="007361D6">
            <w:pPr>
              <w:spacing w:line="240" w:lineRule="exact"/>
            </w:pPr>
            <w:r>
              <w:t>Français</w:t>
            </w:r>
          </w:p>
          <w:p w:rsidR="00AF1CE8" w:rsidRPr="00DB58B5" w:rsidRDefault="007361D6" w:rsidP="007361D6">
            <w:pPr>
              <w:spacing w:line="240" w:lineRule="exact"/>
            </w:pPr>
            <w:r>
              <w:t>Original: anglais</w:t>
            </w:r>
          </w:p>
        </w:tc>
      </w:tr>
    </w:tbl>
    <w:p w:rsidR="00DF3BF1" w:rsidRDefault="00DF3BF1" w:rsidP="007361D6">
      <w:pPr>
        <w:spacing w:before="120"/>
        <w:rPr>
          <w:b/>
          <w:sz w:val="24"/>
          <w:szCs w:val="24"/>
        </w:rPr>
      </w:pPr>
      <w:r w:rsidRPr="00DF3BF1">
        <w:rPr>
          <w:b/>
          <w:sz w:val="24"/>
          <w:szCs w:val="24"/>
        </w:rPr>
        <w:t>Comité des droits de l’homme</w:t>
      </w:r>
    </w:p>
    <w:p w:rsidR="007361D6" w:rsidRDefault="007361D6" w:rsidP="007361D6">
      <w:pPr>
        <w:rPr>
          <w:b/>
        </w:rPr>
      </w:pPr>
      <w:r w:rsidRPr="00EF2A71">
        <w:rPr>
          <w:b/>
        </w:rPr>
        <w:t>Quatre</w:t>
      </w:r>
      <w:r>
        <w:rPr>
          <w:b/>
        </w:rPr>
        <w:t>-</w:t>
      </w:r>
      <w:r w:rsidRPr="00EF2A71">
        <w:rPr>
          <w:b/>
        </w:rPr>
        <w:t>vingt</w:t>
      </w:r>
      <w:r>
        <w:rPr>
          <w:b/>
        </w:rPr>
        <w:t>-</w:t>
      </w:r>
      <w:r w:rsidRPr="00EF2A71">
        <w:rPr>
          <w:b/>
        </w:rPr>
        <w:t>dix</w:t>
      </w:r>
      <w:r>
        <w:rPr>
          <w:b/>
        </w:rPr>
        <w:t>-</w:t>
      </w:r>
      <w:r w:rsidRPr="00EF2A71">
        <w:rPr>
          <w:b/>
        </w:rPr>
        <w:t>septième session</w:t>
      </w:r>
    </w:p>
    <w:p w:rsidR="007361D6" w:rsidRPr="00EF2A71" w:rsidRDefault="007361D6" w:rsidP="007361D6">
      <w:r w:rsidRPr="00EF2A71">
        <w:t>Genève, 12</w:t>
      </w:r>
      <w:r>
        <w:t>-</w:t>
      </w:r>
      <w:r w:rsidRPr="00EF2A71">
        <w:t>30 octobre 2009</w:t>
      </w:r>
    </w:p>
    <w:p w:rsidR="007361D6" w:rsidRPr="00EF2A71" w:rsidRDefault="007361D6" w:rsidP="007361D6">
      <w:pPr>
        <w:pStyle w:val="HChG"/>
      </w:pPr>
      <w:r>
        <w:tab/>
      </w:r>
      <w:r>
        <w:tab/>
        <w:t>L</w:t>
      </w:r>
      <w:r w:rsidRPr="00EF2A71">
        <w:t>iste des points à traiter à l’occasion de l’examen</w:t>
      </w:r>
      <w:r>
        <w:br/>
        <w:t>du troisième rapport périodique de l’E</w:t>
      </w:r>
      <w:r w:rsidRPr="00EF2A71">
        <w:t xml:space="preserve">stonie </w:t>
      </w:r>
      <w:r>
        <w:br/>
      </w:r>
      <w:r w:rsidRPr="00EF2A71">
        <w:t>(CCPR/C/EST/3)</w:t>
      </w:r>
    </w:p>
    <w:p w:rsidR="007361D6" w:rsidRPr="00EF2A71" w:rsidRDefault="007361D6" w:rsidP="007361D6">
      <w:pPr>
        <w:pStyle w:val="H1G"/>
      </w:pPr>
      <w:r>
        <w:tab/>
      </w:r>
      <w:r>
        <w:tab/>
      </w:r>
      <w:r w:rsidRPr="00EF2A71">
        <w:t>Cadre constitutionnel et juridique de l’application du Pacte</w:t>
      </w:r>
      <w:r>
        <w:br/>
      </w:r>
      <w:r w:rsidRPr="00EF2A71">
        <w:t>et du Protocole facultatif, droit à un recours utile (art. 2)</w:t>
      </w:r>
    </w:p>
    <w:p w:rsidR="007361D6" w:rsidRPr="00EF2A71" w:rsidRDefault="007361D6" w:rsidP="007361D6">
      <w:pPr>
        <w:pStyle w:val="SingleTxtG"/>
      </w:pPr>
      <w:r>
        <w:t>1.</w:t>
      </w:r>
      <w:r>
        <w:tab/>
        <w:t>Donne</w:t>
      </w:r>
      <w:r w:rsidRPr="00EF2A71">
        <w:t xml:space="preserve">r des exemples de cas, s’il en existe, dans lesquels les dispositions du Pacte ont été invoquées devant les tribunaux nationaux. </w:t>
      </w:r>
    </w:p>
    <w:p w:rsidR="007361D6" w:rsidRPr="00EF2A71" w:rsidRDefault="007361D6" w:rsidP="007361D6">
      <w:pPr>
        <w:pStyle w:val="SingleTxtG"/>
      </w:pPr>
      <w:r w:rsidRPr="00EF2A71">
        <w:t>2.</w:t>
      </w:r>
      <w:r w:rsidRPr="00EF2A71">
        <w:tab/>
        <w:t>Indiquer les mesures prises pour faire en sorte que l</w:t>
      </w:r>
      <w:r>
        <w:t>’institution</w:t>
      </w:r>
      <w:r w:rsidRPr="00EF2A71">
        <w:t xml:space="preserve"> du Chancelier de justice (bureau du Chancelier des affaires juridiques) soit pleinement conforme aux Principes de Paris (annexe de la résolution 48/134 de l’Assemblée générale) pour ce qui est de l’indépendance, du mandat et des ressources qui lui sont allouées, ainsi que des moyens dont il dispose pour enquêter sur les plaintes relatives à des violations des dispositions du Pacte. </w:t>
      </w:r>
      <w:r>
        <w:t>Indiqu</w:t>
      </w:r>
      <w:r w:rsidRPr="00EF2A71">
        <w:t xml:space="preserve">er également si toutes les recommandations relatives aux plaintes individuelles </w:t>
      </w:r>
      <w:r>
        <w:t xml:space="preserve">dont </w:t>
      </w:r>
      <w:r w:rsidRPr="00EF2A71">
        <w:t>le Chancelier</w:t>
      </w:r>
      <w:r>
        <w:t xml:space="preserve"> est saisi ont été pleinement appliquées et, si tel n’est pas le cas, expliquer pourquoi.</w:t>
      </w:r>
      <w:r w:rsidRPr="00EF2A71">
        <w:t xml:space="preserve"> </w:t>
      </w:r>
    </w:p>
    <w:p w:rsidR="007361D6" w:rsidRPr="00EF2A71" w:rsidRDefault="007361D6" w:rsidP="007361D6">
      <w:pPr>
        <w:pStyle w:val="H1G"/>
      </w:pPr>
      <w:r>
        <w:tab/>
      </w:r>
      <w:r>
        <w:tab/>
      </w:r>
      <w:r w:rsidRPr="00EF2A71">
        <w:t>Discrimination à l’égar</w:t>
      </w:r>
      <w:r>
        <w:t xml:space="preserve">d des femmes et violence dans la famille </w:t>
      </w:r>
      <w:r>
        <w:br/>
        <w:t xml:space="preserve">(art. 2, par. 1, 3 </w:t>
      </w:r>
      <w:r w:rsidRPr="00EF2A71">
        <w:t>et 26)</w:t>
      </w:r>
    </w:p>
    <w:p w:rsidR="007361D6" w:rsidRPr="00EF2A71" w:rsidRDefault="007361D6" w:rsidP="007361D6">
      <w:pPr>
        <w:pStyle w:val="SingleTxtG"/>
      </w:pPr>
      <w:r>
        <w:t>3.</w:t>
      </w:r>
      <w:r>
        <w:tab/>
        <w:t>Donne</w:t>
      </w:r>
      <w:r w:rsidRPr="00EF2A71">
        <w:t>r des exemples, s’il en existe, concernant l’application</w:t>
      </w:r>
      <w:r>
        <w:t xml:space="preserve"> par les tribunaux nationaux</w:t>
      </w:r>
      <w:r w:rsidRPr="00EF2A71">
        <w:t xml:space="preserve"> de la loi sur l’</w:t>
      </w:r>
      <w:r>
        <w:t>égalité des sexes</w:t>
      </w:r>
      <w:r w:rsidRPr="00EF2A71">
        <w:t>, en particulier</w:t>
      </w:r>
      <w:r>
        <w:t xml:space="preserve"> pour ce qui est de l’</w:t>
      </w:r>
      <w:r w:rsidRPr="00EF2A71">
        <w:t>égalité de rémunération pour un travail de valeur égale</w:t>
      </w:r>
      <w:r>
        <w:t xml:space="preserve">, et expliciter le lien </w:t>
      </w:r>
      <w:r w:rsidRPr="00EF2A71">
        <w:t xml:space="preserve">entre cette loi et la loi sur l’égalité de traitement. Quelles sont les mesures prises par l’État partie pour </w:t>
      </w:r>
      <w:r>
        <w:t>donner effet aux</w:t>
      </w:r>
      <w:r w:rsidRPr="00EF2A71">
        <w:t xml:space="preserve"> conclusions du Commissaire à l’égalité entre les sexes</w:t>
      </w:r>
      <w:r>
        <w:t xml:space="preserve"> concernant</w:t>
      </w:r>
      <w:r w:rsidRPr="00EF2A71">
        <w:t xml:space="preserve"> les violations du principe de l’égalité de traitement entre hommes et femmes (par. 55 et 56 du rapport de l’État partie)? </w:t>
      </w:r>
      <w:r>
        <w:t>Donn</w:t>
      </w:r>
      <w:r w:rsidRPr="00EF2A71">
        <w:t xml:space="preserve">er des informations </w:t>
      </w:r>
      <w:r>
        <w:t>sur</w:t>
      </w:r>
      <w:r w:rsidRPr="00EF2A71">
        <w:t xml:space="preserve"> les ressources allouées aux activités du Commissaire à l’égalité entre les sexes </w:t>
      </w:r>
      <w:r>
        <w:t>et sur sa relation avec</w:t>
      </w:r>
      <w:r w:rsidRPr="00EF2A71">
        <w:t xml:space="preserve"> le Chancelier de justice (bureau du Chancelier des affaires juridiques). Donner en outre des renseignements à jour sur les progrès accomplis </w:t>
      </w:r>
      <w:r>
        <w:t>pour ce qui est de la mise en place</w:t>
      </w:r>
      <w:r w:rsidRPr="00EF2A71">
        <w:t xml:space="preserve"> du conseil pour l’égalité </w:t>
      </w:r>
      <w:r>
        <w:t>entre l</w:t>
      </w:r>
      <w:r w:rsidRPr="00EF2A71">
        <w:t xml:space="preserve">es sexes en </w:t>
      </w:r>
      <w:r>
        <w:t>application</w:t>
      </w:r>
      <w:r w:rsidRPr="00EF2A71">
        <w:t xml:space="preserve"> de la loi sur l’égalité des sexes.</w:t>
      </w:r>
    </w:p>
    <w:p w:rsidR="007361D6" w:rsidRPr="00EF2A71" w:rsidRDefault="007361D6" w:rsidP="007361D6">
      <w:pPr>
        <w:pStyle w:val="H1G"/>
      </w:pPr>
      <w:r>
        <w:tab/>
      </w:r>
      <w:r>
        <w:tab/>
      </w:r>
      <w:r w:rsidRPr="00EF2A71">
        <w:t>Droit à la vie (art.</w:t>
      </w:r>
      <w:r>
        <w:t xml:space="preserve"> </w:t>
      </w:r>
      <w:r w:rsidRPr="00EF2A71">
        <w:t>6)</w:t>
      </w:r>
    </w:p>
    <w:p w:rsidR="007361D6" w:rsidRDefault="007361D6" w:rsidP="007361D6">
      <w:pPr>
        <w:pStyle w:val="SingleTxtG"/>
      </w:pPr>
      <w:r>
        <w:t>4.</w:t>
      </w:r>
      <w:r>
        <w:tab/>
        <w:t>Indiquer quel est</w:t>
      </w:r>
      <w:r w:rsidRPr="00EF2A71">
        <w:t xml:space="preserve"> l’état</w:t>
      </w:r>
      <w:r>
        <w:t xml:space="preserve"> d’avancement</w:t>
      </w:r>
      <w:r w:rsidRPr="00EF2A71">
        <w:t xml:space="preserve"> du projet de loi élaboré par le Ministère de la justice</w:t>
      </w:r>
      <w:r>
        <w:t xml:space="preserve"> qui vise à qualifier</w:t>
      </w:r>
      <w:r w:rsidRPr="00EF2A71">
        <w:t xml:space="preserve"> d’infraction pénale, eu égard aux </w:t>
      </w:r>
      <w:r>
        <w:t>droits de l’homme essentiels (y </w:t>
      </w:r>
      <w:r w:rsidRPr="00EF2A71">
        <w:t>compris les droits à la vie et à la santé), «</w:t>
      </w:r>
      <w:r>
        <w:t xml:space="preserve">la </w:t>
      </w:r>
      <w:r w:rsidRPr="00EF2A71">
        <w:t>tentative d’incitation […] et</w:t>
      </w:r>
      <w:r>
        <w:t xml:space="preserve"> le</w:t>
      </w:r>
      <w:r w:rsidRPr="00EF2A71">
        <w:t xml:space="preserve"> consentement à commettre une infraction pénale, même si l’acte</w:t>
      </w:r>
      <w:r>
        <w:t xml:space="preserve"> principal</w:t>
      </w:r>
      <w:r w:rsidRPr="00EF2A71">
        <w:t xml:space="preserve"> n’a pas encore été commis» (par.</w:t>
      </w:r>
      <w:r>
        <w:t xml:space="preserve"> </w:t>
      </w:r>
      <w:r w:rsidRPr="00EF2A71">
        <w:t>105 du rapport de l’État partie).</w:t>
      </w:r>
    </w:p>
    <w:p w:rsidR="007361D6" w:rsidRPr="00EF2A71" w:rsidRDefault="007361D6" w:rsidP="007361D6">
      <w:pPr>
        <w:pStyle w:val="SingleTxtG"/>
      </w:pPr>
      <w:r>
        <w:t>5</w:t>
      </w:r>
      <w:r w:rsidRPr="00EF2A71">
        <w:t>.</w:t>
      </w:r>
      <w:r w:rsidRPr="00EF2A71">
        <w:tab/>
        <w:t xml:space="preserve">Compte tenu de la recommandation </w:t>
      </w:r>
      <w:r>
        <w:t xml:space="preserve">faite précédemment </w:t>
      </w:r>
      <w:r w:rsidRPr="00EF2A71">
        <w:t>par le Comité des droits de l’</w:t>
      </w:r>
      <w:r>
        <w:t>homme, donne</w:t>
      </w:r>
      <w:r w:rsidRPr="00EF2A71">
        <w:t>r des informations sur les mesures prises par l’État partie pour réviser sa législation relative à l’utilisation des armes à feu</w:t>
      </w:r>
      <w:r>
        <w:t>,</w:t>
      </w:r>
      <w:r w:rsidRPr="00EF2A71">
        <w:t xml:space="preserve"> tombée en désuétude</w:t>
      </w:r>
      <w:r>
        <w:t>,</w:t>
      </w:r>
      <w:r w:rsidRPr="00EF2A71">
        <w:t xml:space="preserve"> et faire en sorte que l’utilisation d</w:t>
      </w:r>
      <w:r>
        <w:t>’</w:t>
      </w:r>
      <w:r w:rsidRPr="00EF2A71">
        <w:t>armes</w:t>
      </w:r>
      <w:r>
        <w:t xml:space="preserve"> à feu</w:t>
      </w:r>
      <w:r w:rsidRPr="00EF2A71">
        <w:t xml:space="preserve"> soit régie par les principes de proportionnalité et de nécessité.</w:t>
      </w:r>
    </w:p>
    <w:p w:rsidR="007361D6" w:rsidRPr="00EF2A71" w:rsidRDefault="007361D6" w:rsidP="007361D6">
      <w:pPr>
        <w:pStyle w:val="H1G"/>
      </w:pPr>
      <w:r>
        <w:tab/>
      </w:r>
      <w:r>
        <w:tab/>
      </w:r>
      <w:r w:rsidRPr="00EF2A71">
        <w:t>Interdiction de la torture et de</w:t>
      </w:r>
      <w:r>
        <w:t>s traitements cruels, inhumains</w:t>
      </w:r>
      <w:r>
        <w:br/>
      </w:r>
      <w:r w:rsidRPr="00EF2A71">
        <w:t>ou dégradants, liberté et sécu</w:t>
      </w:r>
      <w:r>
        <w:t>rité de la personne, traitement</w:t>
      </w:r>
      <w:r>
        <w:br/>
      </w:r>
      <w:r w:rsidRPr="00EF2A71">
        <w:t>des personnes privées de liberté (art. 7, 9 et 10)</w:t>
      </w:r>
    </w:p>
    <w:p w:rsidR="007361D6" w:rsidRPr="00EF2A71" w:rsidRDefault="007361D6" w:rsidP="007361D6">
      <w:pPr>
        <w:pStyle w:val="SingleTxtG"/>
      </w:pPr>
      <w:r>
        <w:t>6</w:t>
      </w:r>
      <w:r w:rsidRPr="00EF2A71">
        <w:t>.</w:t>
      </w:r>
      <w:r w:rsidRPr="00EF2A71">
        <w:tab/>
        <w:t>Quelles sont les intentions de l’État partie en ce qui concerne l’harmonisation de la définition de la torture figurant dans son Code pénal avec l’article 7 du Pacte et l’article premier de la Convention contre la torture et autres peines ou traitements cruels, inhumains ou dégradants (par. 121 du rapport de l’État partie) et la révision d</w:t>
      </w:r>
      <w:r>
        <w:t>udit c</w:t>
      </w:r>
      <w:r w:rsidRPr="00EF2A71">
        <w:t xml:space="preserve">ode en vue d’appliquer des peines appropriées aux auteurs d’actes de torture? </w:t>
      </w:r>
    </w:p>
    <w:p w:rsidR="007361D6" w:rsidRPr="00EF2A71" w:rsidRDefault="007361D6" w:rsidP="007361D6">
      <w:pPr>
        <w:pStyle w:val="SingleTxtG"/>
      </w:pPr>
      <w:r>
        <w:t>7</w:t>
      </w:r>
      <w:r w:rsidRPr="00EF2A71">
        <w:t>.</w:t>
      </w:r>
      <w:r w:rsidRPr="00EF2A71">
        <w:tab/>
        <w:t xml:space="preserve">Donner des renseignements sur les activités menées par le Chancelier de justice (bureau du Chancelier des affaires juridiques) en matière de lutte contre la torture et les mauvais traitements dans les lieux de détention et, en particulier, sur sa compétence pour recevoir les plaintes des détenus (par. 127 du rapport de l’État partie). Fournir également des informations sur les mesures prises </w:t>
      </w:r>
      <w:r>
        <w:t>pour</w:t>
      </w:r>
      <w:r w:rsidRPr="00EF2A71">
        <w:t xml:space="preserve"> garantir l’indépendance du «département de contrôle de la police» chargé d’enquêter sur le</w:t>
      </w:r>
      <w:r>
        <w:t>s cas d’actes de violence et d’utilisation</w:t>
      </w:r>
      <w:r w:rsidRPr="00EF2A71">
        <w:t xml:space="preserve"> excessi</w:t>
      </w:r>
      <w:r>
        <w:t>ve de</w:t>
      </w:r>
      <w:r w:rsidRPr="00EF2A71">
        <w:t xml:space="preserve"> la force par des agents de la force publique?</w:t>
      </w:r>
    </w:p>
    <w:p w:rsidR="007361D6" w:rsidRPr="00EF2A71" w:rsidRDefault="007361D6" w:rsidP="007361D6">
      <w:pPr>
        <w:pStyle w:val="SingleTxtG"/>
      </w:pPr>
      <w:r>
        <w:t>8</w:t>
      </w:r>
      <w:r w:rsidRPr="00EF2A71">
        <w:t>.</w:t>
      </w:r>
      <w:r w:rsidRPr="00EF2A71">
        <w:tab/>
        <w:t>Entre le 1</w:t>
      </w:r>
      <w:r w:rsidRPr="00EF2A71">
        <w:rPr>
          <w:vertAlign w:val="superscript"/>
        </w:rPr>
        <w:t>er</w:t>
      </w:r>
      <w:r w:rsidRPr="00EF2A71">
        <w:t xml:space="preserve"> janvier et le 10 août 2007, 48 personnes ont été condamnées pour torture en vertu de l’article</w:t>
      </w:r>
      <w:r>
        <w:t xml:space="preserve"> </w:t>
      </w:r>
      <w:r w:rsidRPr="00EF2A71">
        <w:t>12</w:t>
      </w:r>
      <w:r>
        <w:t>2 du Code pénal, et 16</w:t>
      </w:r>
      <w:r w:rsidRPr="00EF2A71">
        <w:t xml:space="preserve"> condamnés </w:t>
      </w:r>
      <w:r>
        <w:t>exécut</w:t>
      </w:r>
      <w:r w:rsidRPr="00EF2A71">
        <w:t>ent actuellement une peine</w:t>
      </w:r>
      <w:r>
        <w:t xml:space="preserve"> dans un établissement</w:t>
      </w:r>
      <w:r w:rsidRPr="00EF2A71">
        <w:t xml:space="preserve"> pénitentiaire pour de tels actes (par. 122 du rapport de l’État partie). Dans ces </w:t>
      </w:r>
      <w:r>
        <w:t>affaires</w:t>
      </w:r>
      <w:r w:rsidRPr="00EF2A71">
        <w:t>, l’</w:t>
      </w:r>
      <w:r>
        <w:t>État partie a-t-</w:t>
      </w:r>
      <w:r w:rsidRPr="00EF2A71">
        <w:t xml:space="preserve">il versé </w:t>
      </w:r>
      <w:r>
        <w:t>une indemnisation</w:t>
      </w:r>
      <w:r w:rsidRPr="00EF2A71">
        <w:t xml:space="preserve"> aux victimes</w:t>
      </w:r>
      <w:r>
        <w:t xml:space="preserve"> ou leur a-t-il assuré réparation sous une autre forme?</w:t>
      </w:r>
    </w:p>
    <w:p w:rsidR="007361D6" w:rsidRPr="00EF2A71" w:rsidRDefault="007361D6" w:rsidP="007361D6">
      <w:pPr>
        <w:pStyle w:val="H1G"/>
      </w:pPr>
      <w:r>
        <w:tab/>
      </w:r>
      <w:r>
        <w:tab/>
      </w:r>
      <w:r w:rsidRPr="00EF2A71">
        <w:t>Élimination de l’esclavage et de la servitude (art.</w:t>
      </w:r>
      <w:r>
        <w:t xml:space="preserve"> </w:t>
      </w:r>
      <w:r w:rsidRPr="00EF2A71">
        <w:t>8 et 24)</w:t>
      </w:r>
    </w:p>
    <w:p w:rsidR="007361D6" w:rsidRPr="00EF2A71" w:rsidRDefault="007361D6" w:rsidP="007361D6">
      <w:pPr>
        <w:pStyle w:val="SingleTxtG"/>
      </w:pPr>
      <w:r w:rsidRPr="00EF2A71">
        <w:t>9.</w:t>
      </w:r>
      <w:r w:rsidRPr="00EF2A71">
        <w:tab/>
        <w:t>L’</w:t>
      </w:r>
      <w:r>
        <w:t>État partie compte-t-</w:t>
      </w:r>
      <w:r w:rsidRPr="00EF2A71">
        <w:t>il</w:t>
      </w:r>
      <w:r>
        <w:t xml:space="preserve"> adopter une législation spécifique</w:t>
      </w:r>
      <w:r w:rsidRPr="00EF2A71">
        <w:t xml:space="preserve"> visant à prévenir, combattre et réprimer la traite des êtres humains? </w:t>
      </w:r>
      <w:r>
        <w:t>Si une telle législation a été adoptée, donner des détails. Donner des chiffres illustrant</w:t>
      </w:r>
      <w:r w:rsidRPr="00EF2A71">
        <w:t xml:space="preserve"> l’incidence du «Plan de lutte contre la traite des êtres humains pour la période 2006</w:t>
      </w:r>
      <w:r>
        <w:t>-</w:t>
      </w:r>
      <w:r w:rsidRPr="00EF2A71">
        <w:t>2009» et du projet pilote des pays nordiques et baltes (par. 150 et 151 du rapport de l’État partie) sur la diminution de la traite des êtres humains, la sensibilisation de la population, l</w:t>
      </w:r>
      <w:r>
        <w:t>e soutien</w:t>
      </w:r>
      <w:r w:rsidRPr="00EF2A71">
        <w:t xml:space="preserve"> et</w:t>
      </w:r>
      <w:r>
        <w:t xml:space="preserve"> l’aide à</w:t>
      </w:r>
      <w:r w:rsidRPr="00EF2A71">
        <w:t xml:space="preserve"> la réadaptation dont bénéficient les victimes de la traite, les poursuites engagées contre les trafiquants et les formations dispensées aux personnes travaillant sur des questions relatives à la traite. Indiquer en outre si les victimes de la traite ont droit à un</w:t>
      </w:r>
      <w:r>
        <w:t>e assistance</w:t>
      </w:r>
      <w:r w:rsidRPr="00EF2A71">
        <w:t xml:space="preserve"> médical</w:t>
      </w:r>
      <w:r>
        <w:t>e</w:t>
      </w:r>
      <w:r w:rsidRPr="00EF2A71">
        <w:t>, psychologique, social</w:t>
      </w:r>
      <w:r>
        <w:t>e</w:t>
      </w:r>
      <w:r w:rsidRPr="00EF2A71">
        <w:t xml:space="preserve"> et juridique</w:t>
      </w:r>
      <w:r>
        <w:t xml:space="preserve"> de la part</w:t>
      </w:r>
      <w:r w:rsidRPr="00EF2A71">
        <w:t xml:space="preserve"> du Service d’aide aux victimes créé </w:t>
      </w:r>
      <w:r>
        <w:t>en application de</w:t>
      </w:r>
      <w:r w:rsidRPr="00EF2A71">
        <w:t xml:space="preserve"> la loi sur le soutien aux victimes (par. 13 à 15 du rapport de l’État partie).</w:t>
      </w:r>
    </w:p>
    <w:p w:rsidR="007361D6" w:rsidRPr="00EF2A71" w:rsidRDefault="007361D6" w:rsidP="007361D6">
      <w:pPr>
        <w:pStyle w:val="SingleTxtG"/>
      </w:pPr>
      <w:r w:rsidRPr="00EF2A71">
        <w:t>10.</w:t>
      </w:r>
      <w:r w:rsidRPr="00EF2A71">
        <w:tab/>
        <w:t>Commenter les informations selon lesquelles l’État partie n’</w:t>
      </w:r>
      <w:r>
        <w:t>accorde</w:t>
      </w:r>
      <w:r w:rsidRPr="00EF2A71">
        <w:t xml:space="preserve"> un permis de séjour aux victimes que si elles coopèrent avec les autorités.</w:t>
      </w:r>
    </w:p>
    <w:p w:rsidR="007361D6" w:rsidRPr="00EF2A71" w:rsidRDefault="007361D6" w:rsidP="007361D6">
      <w:pPr>
        <w:pStyle w:val="H1G"/>
      </w:pPr>
      <w:r>
        <w:tab/>
      </w:r>
      <w:r>
        <w:tab/>
      </w:r>
      <w:r w:rsidRPr="00EF2A71">
        <w:t>Liberté et sécurité de la personne (art.</w:t>
      </w:r>
      <w:r>
        <w:t xml:space="preserve"> </w:t>
      </w:r>
      <w:r w:rsidRPr="00EF2A71">
        <w:t>9 et 10)</w:t>
      </w:r>
    </w:p>
    <w:p w:rsidR="007361D6" w:rsidRPr="00EF2A71" w:rsidRDefault="007361D6" w:rsidP="007361D6">
      <w:pPr>
        <w:pStyle w:val="SingleTxtG"/>
      </w:pPr>
      <w:r>
        <w:t>11.</w:t>
      </w:r>
      <w:r>
        <w:tab/>
        <w:t>Donner de plus amples</w:t>
      </w:r>
      <w:r w:rsidRPr="00EF2A71">
        <w:t xml:space="preserve"> renseignements </w:t>
      </w:r>
      <w:r>
        <w:t>au sujet d</w:t>
      </w:r>
      <w:r w:rsidRPr="00EF2A71">
        <w:t xml:space="preserve">es mesures prises par l’État partie pour réduire la durée de la détention </w:t>
      </w:r>
      <w:r>
        <w:t>avant jugement</w:t>
      </w:r>
      <w:r w:rsidRPr="00EF2A71">
        <w:t>. D</w:t>
      </w:r>
      <w:r>
        <w:t>écrire</w:t>
      </w:r>
      <w:r w:rsidRPr="00EF2A71">
        <w:t xml:space="preserve"> également les mécanismes mis en place pour faire appliquer efficacement toutes les garanties fondamentales</w:t>
      </w:r>
      <w:r>
        <w:t xml:space="preserve"> reconnues aux</w:t>
      </w:r>
      <w:r w:rsidRPr="00EF2A71">
        <w:t xml:space="preserve"> détenus, notamment</w:t>
      </w:r>
      <w:r>
        <w:t xml:space="preserve"> celles qui concernent:</w:t>
      </w:r>
      <w:r w:rsidRPr="00EF2A71">
        <w:t xml:space="preserve"> a)</w:t>
      </w:r>
      <w:r>
        <w:t xml:space="preserve"> </w:t>
      </w:r>
      <w:r w:rsidRPr="00EF2A71">
        <w:t>l’accès à un médecin indépendant et à un avocat</w:t>
      </w:r>
      <w:r>
        <w:t>;</w:t>
      </w:r>
      <w:r w:rsidRPr="00EF2A71">
        <w:t xml:space="preserve"> b)</w:t>
      </w:r>
      <w:r>
        <w:t xml:space="preserve"> </w:t>
      </w:r>
      <w:r w:rsidRPr="00EF2A71">
        <w:t>la possibilité de contacter un proche</w:t>
      </w:r>
      <w:r>
        <w:t>;</w:t>
      </w:r>
      <w:r w:rsidRPr="00EF2A71">
        <w:t xml:space="preserve"> c)</w:t>
      </w:r>
      <w:r>
        <w:t xml:space="preserve"> le droit pour l’intéressé d’être informé des</w:t>
      </w:r>
      <w:r w:rsidRPr="00EF2A71">
        <w:t xml:space="preserve"> charges retenues contre </w:t>
      </w:r>
      <w:r>
        <w:t xml:space="preserve">lui; d) le droit d’être présenté à </w:t>
      </w:r>
      <w:r w:rsidRPr="00EF2A71">
        <w:t>un juge</w:t>
      </w:r>
      <w:r>
        <w:t xml:space="preserve"> dans les meilleurs délais</w:t>
      </w:r>
      <w:r w:rsidRPr="00EF2A71">
        <w:t>.</w:t>
      </w:r>
    </w:p>
    <w:p w:rsidR="007361D6" w:rsidRPr="00EF2A71" w:rsidRDefault="007361D6" w:rsidP="007361D6">
      <w:pPr>
        <w:pStyle w:val="SingleTxtG"/>
      </w:pPr>
      <w:r w:rsidRPr="00EF2A71">
        <w:t>12.</w:t>
      </w:r>
      <w:r w:rsidRPr="00EF2A71">
        <w:tab/>
        <w:t>Donner des renseignements sur les mesures prises et mises en œuvre pour améliorer les conditions de vie dans les prisons</w:t>
      </w:r>
      <w:r>
        <w:t>, en particulier</w:t>
      </w:r>
      <w:r w:rsidRPr="00EF2A71">
        <w:t xml:space="preserve"> pour remédier à la surpopulation.</w:t>
      </w:r>
      <w:r>
        <w:t xml:space="preserve"> Donner des informations sur les conditions de vie des personnes internées contre leur gré dans des établissements de soins psychiatriques.</w:t>
      </w:r>
      <w:r w:rsidRPr="00EF2A71">
        <w:t xml:space="preserve"> </w:t>
      </w:r>
    </w:p>
    <w:p w:rsidR="007361D6" w:rsidRPr="00EF2A71" w:rsidRDefault="007361D6" w:rsidP="007361D6">
      <w:pPr>
        <w:pStyle w:val="SingleTxtG"/>
      </w:pPr>
      <w:r w:rsidRPr="00EF2A71">
        <w:t>13.</w:t>
      </w:r>
      <w:r w:rsidRPr="00EF2A71">
        <w:tab/>
        <w:t xml:space="preserve">Fournir des informations en ce qui concerne l’incidence concrète des décisions de la Cour suprême </w:t>
      </w:r>
      <w:r>
        <w:t>relative</w:t>
      </w:r>
      <w:r w:rsidRPr="00EF2A71">
        <w:t>s à des violations des droits des détenus (par. 269 à 271 du rapport de l’État partie</w:t>
      </w:r>
      <w:r>
        <w:t xml:space="preserve">). Quelles </w:t>
      </w:r>
      <w:r w:rsidRPr="00EF2A71">
        <w:t>mesures</w:t>
      </w:r>
      <w:r>
        <w:t xml:space="preserve"> ont-elles été prises</w:t>
      </w:r>
      <w:r w:rsidRPr="00EF2A71">
        <w:t xml:space="preserve"> pour </w:t>
      </w:r>
      <w:r>
        <w:t>garantir que les</w:t>
      </w:r>
      <w:r w:rsidRPr="00EF2A71">
        <w:t xml:space="preserve"> détenus</w:t>
      </w:r>
      <w:r>
        <w:t xml:space="preserve"> aient finalement accès</w:t>
      </w:r>
      <w:r w:rsidRPr="00EF2A71">
        <w:t xml:space="preserve"> aux mécanismes de plaintes et </w:t>
      </w:r>
      <w:r>
        <w:t xml:space="preserve">qu’ils puissent </w:t>
      </w:r>
      <w:r w:rsidRPr="00EF2A71">
        <w:t xml:space="preserve">obtenir réparation des préjudices subis? </w:t>
      </w:r>
      <w:r>
        <w:t xml:space="preserve">Expliquer quelles </w:t>
      </w:r>
      <w:r w:rsidRPr="00EF2A71">
        <w:t>dispositions</w:t>
      </w:r>
      <w:r>
        <w:t xml:space="preserve"> ont été</w:t>
      </w:r>
      <w:r w:rsidRPr="00EF2A71">
        <w:t xml:space="preserve"> prises à l’encontre des fonctionnaires</w:t>
      </w:r>
      <w:r>
        <w:t xml:space="preserve"> qui ont</w:t>
      </w:r>
      <w:r w:rsidRPr="00EF2A71">
        <w:t xml:space="preserve"> violé les droits de détenus (par. 263 du rapport de l’État partie). </w:t>
      </w:r>
    </w:p>
    <w:p w:rsidR="007361D6" w:rsidRPr="00EF2A71" w:rsidRDefault="007361D6" w:rsidP="007361D6">
      <w:pPr>
        <w:pStyle w:val="SingleTxtG"/>
      </w:pPr>
      <w:r w:rsidRPr="00EF2A71">
        <w:t>14.</w:t>
      </w:r>
      <w:r w:rsidRPr="00EF2A71">
        <w:tab/>
        <w:t xml:space="preserve">Commenter les informations </w:t>
      </w:r>
      <w:r>
        <w:t>selon lesquelles les</w:t>
      </w:r>
      <w:r w:rsidRPr="00EF2A71">
        <w:t xml:space="preserve"> conditions de vie dans les lieux de détention placés sous l’autorité de la police</w:t>
      </w:r>
      <w:r>
        <w:t xml:space="preserve"> seraient inadéquates</w:t>
      </w:r>
      <w:r w:rsidRPr="00EF2A71">
        <w:t xml:space="preserve">. </w:t>
      </w:r>
      <w:r>
        <w:t>Décrire</w:t>
      </w:r>
      <w:r w:rsidRPr="00EF2A71">
        <w:t xml:space="preserve"> les </w:t>
      </w:r>
      <w:r>
        <w:t>initiatives p</w:t>
      </w:r>
      <w:r w:rsidRPr="00EF2A71">
        <w:t>rises</w:t>
      </w:r>
      <w:r>
        <w:t xml:space="preserve"> pour </w:t>
      </w:r>
      <w:r w:rsidRPr="00EF2A71">
        <w:t xml:space="preserve">améliorer les conditions de </w:t>
      </w:r>
      <w:r>
        <w:t xml:space="preserve">vie dans ces lieux de </w:t>
      </w:r>
      <w:r w:rsidRPr="00EF2A71">
        <w:t xml:space="preserve">détention et </w:t>
      </w:r>
      <w:r>
        <w:t>pour</w:t>
      </w:r>
      <w:r w:rsidRPr="00EF2A71">
        <w:t xml:space="preserve"> séparer les prévenus des condamnés et les détenus </w:t>
      </w:r>
      <w:r>
        <w:t xml:space="preserve">mineurs </w:t>
      </w:r>
      <w:r w:rsidRPr="00EF2A71">
        <w:t xml:space="preserve">des adultes. </w:t>
      </w:r>
    </w:p>
    <w:p w:rsidR="007361D6" w:rsidRPr="00EF2A71" w:rsidRDefault="007361D6" w:rsidP="007361D6">
      <w:pPr>
        <w:pStyle w:val="H1G"/>
      </w:pPr>
      <w:r>
        <w:tab/>
      </w:r>
      <w:r>
        <w:tab/>
      </w:r>
      <w:r w:rsidRPr="00EF2A71">
        <w:t>Liberté de circulation (art. 2, 12 et 23)</w:t>
      </w:r>
    </w:p>
    <w:p w:rsidR="007361D6" w:rsidRPr="00EF2A71" w:rsidRDefault="007361D6" w:rsidP="007361D6">
      <w:pPr>
        <w:pStyle w:val="SingleTxtG"/>
      </w:pPr>
      <w:r w:rsidRPr="00EF2A71">
        <w:t>15.</w:t>
      </w:r>
      <w:r w:rsidRPr="00EF2A71">
        <w:tab/>
        <w:t>Commenter les informations selon lesquelles l’entrée des couples homosexuels sur le territoire national demeure soumise à un système</w:t>
      </w:r>
      <w:r>
        <w:t xml:space="preserve"> discriminatoire</w:t>
      </w:r>
      <w:r w:rsidRPr="00EF2A71">
        <w:t xml:space="preserve"> de quotas, même lorsque la relation du couple</w:t>
      </w:r>
      <w:r>
        <w:t xml:space="preserve"> a été</w:t>
      </w:r>
      <w:r w:rsidRPr="00EF2A71">
        <w:t xml:space="preserve"> officiellement reconnue à l’étranger et que l’un des deux partenaires réside</w:t>
      </w:r>
      <w:r>
        <w:t xml:space="preserve"> déjà</w:t>
      </w:r>
      <w:r w:rsidRPr="00EF2A71">
        <w:t xml:space="preserve"> dans l’État partie (par.</w:t>
      </w:r>
      <w:r>
        <w:t xml:space="preserve"> 298</w:t>
      </w:r>
      <w:r w:rsidRPr="00EF2A71">
        <w:t xml:space="preserve"> du rapport de l’État partie). </w:t>
      </w:r>
    </w:p>
    <w:p w:rsidR="007361D6" w:rsidRPr="00EF2A71" w:rsidRDefault="007361D6" w:rsidP="007361D6">
      <w:pPr>
        <w:pStyle w:val="H1G"/>
      </w:pPr>
      <w:r>
        <w:tab/>
      </w:r>
      <w:r>
        <w:tab/>
      </w:r>
      <w:r w:rsidRPr="00EF2A71">
        <w:t>Expulsions d’étrangers (art. 13)</w:t>
      </w:r>
    </w:p>
    <w:p w:rsidR="007361D6" w:rsidRPr="00EF2A71" w:rsidRDefault="007361D6" w:rsidP="007361D6">
      <w:pPr>
        <w:pStyle w:val="SingleTxtG"/>
      </w:pPr>
      <w:r>
        <w:t>16.</w:t>
      </w:r>
      <w:r>
        <w:tab/>
        <w:t>Comme</w:t>
      </w:r>
      <w:r w:rsidRPr="00EF2A71">
        <w:t xml:space="preserve"> le Comité des droits de l’homme</w:t>
      </w:r>
      <w:r>
        <w:t xml:space="preserve"> l’a recommandé précédemment</w:t>
      </w:r>
      <w:r w:rsidRPr="00EF2A71">
        <w:t xml:space="preserve">, </w:t>
      </w:r>
      <w:r>
        <w:t>donne</w:t>
      </w:r>
      <w:r w:rsidRPr="00EF2A71">
        <w:t xml:space="preserve">r des renseignements sur les mesures prises pour veiller à ce que les demandes d’octroi du statut de réfugié soient évaluées au cas par cas et qu’une décision d’irrecevabilité n’ait aucun effet restrictif sur la procédure, comme par exemple le déni de l’effet suspensif d’un recours. </w:t>
      </w:r>
    </w:p>
    <w:p w:rsidR="007361D6" w:rsidRPr="00EF2A71" w:rsidRDefault="007361D6" w:rsidP="007361D6">
      <w:pPr>
        <w:pStyle w:val="H1G"/>
      </w:pPr>
      <w:r>
        <w:tab/>
      </w:r>
      <w:r>
        <w:tab/>
      </w:r>
      <w:r w:rsidRPr="00EF2A71">
        <w:t>Droit à un procès équitable (art. 14)</w:t>
      </w:r>
    </w:p>
    <w:p w:rsidR="007361D6" w:rsidRPr="00EF2A71" w:rsidRDefault="007361D6" w:rsidP="007361D6">
      <w:pPr>
        <w:pStyle w:val="SingleTxtG"/>
      </w:pPr>
      <w:r w:rsidRPr="00EF2A71">
        <w:t>17.</w:t>
      </w:r>
      <w:r w:rsidRPr="00EF2A71">
        <w:tab/>
        <w:t xml:space="preserve">Compte tenu de la décision rendue par la Cour suprême le 20 octobre 2005 (par. 364 du rapport de l’État partie), donner des renseignements sur les dispositions prises par l’État partie </w:t>
      </w:r>
      <w:r>
        <w:t>aussi bien sur le plan législatif que dans la pratique, pour éviter les</w:t>
      </w:r>
      <w:r w:rsidRPr="00EF2A71">
        <w:t xml:space="preserve"> retard</w:t>
      </w:r>
      <w:r>
        <w:t>s dans les procédures pénales</w:t>
      </w:r>
      <w:r w:rsidRPr="00EF2A71">
        <w:t>. Indiquer également si, dans ces procédures, les preuves obtenues par des moyens</w:t>
      </w:r>
      <w:r>
        <w:t xml:space="preserve"> illégaux sont irrecevables (voir</w:t>
      </w:r>
      <w:r w:rsidRPr="00EF2A71">
        <w:t xml:space="preserve"> par. 125</w:t>
      </w:r>
      <w:r>
        <w:t xml:space="preserve"> du rapport de l’État partie</w:t>
      </w:r>
      <w:r w:rsidRPr="00EF2A71">
        <w:t>).</w:t>
      </w:r>
    </w:p>
    <w:p w:rsidR="007361D6" w:rsidRPr="00EF2A71" w:rsidRDefault="007361D6" w:rsidP="007361D6">
      <w:pPr>
        <w:pStyle w:val="SingleTxtG"/>
      </w:pPr>
      <w:r w:rsidRPr="00EF2A71">
        <w:t>18.</w:t>
      </w:r>
      <w:r w:rsidRPr="00EF2A71">
        <w:tab/>
        <w:t>Indiquer si la législation de l’État partie prévoit l’octroi d’une ind</w:t>
      </w:r>
      <w:r>
        <w:t>emnité en cas d’erreur judiciaire</w:t>
      </w:r>
      <w:r w:rsidRPr="00EF2A71">
        <w:t>. Fournir des données statistiques,</w:t>
      </w:r>
      <w:r>
        <w:t xml:space="preserve"> s’il en</w:t>
      </w:r>
      <w:r w:rsidRPr="00EF2A71">
        <w:t xml:space="preserve"> existe, sur de tels cas, ainsi que sur le montant de l’indemnité</w:t>
      </w:r>
      <w:r>
        <w:t xml:space="preserve"> accordée (voir par. 216 et 398 du rapport de l’État partie)</w:t>
      </w:r>
      <w:r w:rsidRPr="00EF2A71">
        <w:t xml:space="preserve">. </w:t>
      </w:r>
    </w:p>
    <w:p w:rsidR="007361D6" w:rsidRPr="00EF2A71" w:rsidRDefault="007361D6" w:rsidP="007361D6">
      <w:pPr>
        <w:pStyle w:val="H1G"/>
      </w:pPr>
      <w:r>
        <w:tab/>
      </w:r>
      <w:r>
        <w:tab/>
      </w:r>
      <w:r w:rsidRPr="00EF2A71">
        <w:t>Liberté de religion et droit à une égale protection de la loi (art. 18 et 26)</w:t>
      </w:r>
    </w:p>
    <w:p w:rsidR="007361D6" w:rsidRPr="00EF2A71" w:rsidRDefault="007361D6" w:rsidP="007361D6">
      <w:pPr>
        <w:pStyle w:val="SingleTxtG"/>
      </w:pPr>
      <w:r w:rsidRPr="00EF2A71">
        <w:t>19.</w:t>
      </w:r>
      <w:r w:rsidRPr="00EF2A71">
        <w:tab/>
      </w:r>
      <w:r w:rsidRPr="00EF2A71">
        <w:rPr>
          <w:lang w:val="fr-FR"/>
        </w:rPr>
        <w:t>Quelles mesures l’</w:t>
      </w:r>
      <w:r>
        <w:rPr>
          <w:lang w:val="fr-FR"/>
        </w:rPr>
        <w:t>État partie prévoit-</w:t>
      </w:r>
      <w:r w:rsidRPr="00EF2A71">
        <w:rPr>
          <w:lang w:val="fr-FR"/>
        </w:rPr>
        <w:t>il</w:t>
      </w:r>
      <w:r>
        <w:rPr>
          <w:lang w:val="fr-FR"/>
        </w:rPr>
        <w:t xml:space="preserve"> de</w:t>
      </w:r>
      <w:r w:rsidRPr="00EF2A71">
        <w:rPr>
          <w:lang w:val="fr-FR"/>
        </w:rPr>
        <w:t xml:space="preserve"> prendre pour </w:t>
      </w:r>
      <w:r>
        <w:rPr>
          <w:lang w:val="fr-FR"/>
        </w:rPr>
        <w:t>rendre</w:t>
      </w:r>
      <w:r w:rsidRPr="00EF2A71">
        <w:rPr>
          <w:lang w:val="fr-FR"/>
        </w:rPr>
        <w:t xml:space="preserve"> les dispositions de la loi</w:t>
      </w:r>
      <w:r w:rsidRPr="00EF2A71">
        <w:t xml:space="preserve"> sur le service dans les forces de défense relatives au service de substitution (par.</w:t>
      </w:r>
      <w:r>
        <w:t xml:space="preserve"> 479 et </w:t>
      </w:r>
      <w:r w:rsidRPr="00EF2A71">
        <w:t xml:space="preserve">480 du rapport de l’État partie) </w:t>
      </w:r>
      <w:r>
        <w:t>conformes aux</w:t>
      </w:r>
      <w:r w:rsidRPr="00EF2A71">
        <w:t xml:space="preserve"> articles 18 et 26</w:t>
      </w:r>
      <w:r>
        <w:t xml:space="preserve"> du Pacte,</w:t>
      </w:r>
      <w:r w:rsidRPr="00EF2A71">
        <w:rPr>
          <w:lang w:val="fr-FR"/>
        </w:rPr>
        <w:t xml:space="preserve"> afin que les droits des</w:t>
      </w:r>
      <w:r>
        <w:rPr>
          <w:lang w:val="fr-FR"/>
        </w:rPr>
        <w:t xml:space="preserve"> </w:t>
      </w:r>
      <w:r w:rsidRPr="00EF2A71">
        <w:rPr>
          <w:lang w:val="fr-FR"/>
        </w:rPr>
        <w:t>objecteurs de conscience au service militaire soient pleinement respectés</w:t>
      </w:r>
      <w:r w:rsidRPr="00EF2A71">
        <w:t xml:space="preserve"> et que les personnes souhaitant effectuer un service</w:t>
      </w:r>
      <w:r>
        <w:t xml:space="preserve"> civil</w:t>
      </w:r>
      <w:r w:rsidRPr="00EF2A71">
        <w:t xml:space="preserve"> de</w:t>
      </w:r>
      <w:r>
        <w:t xml:space="preserve"> remplacement</w:t>
      </w:r>
      <w:r w:rsidRPr="00EF2A71">
        <w:t xml:space="preserve"> puissent le faire dans la pratique? </w:t>
      </w:r>
    </w:p>
    <w:p w:rsidR="007361D6" w:rsidRPr="00EF2A71" w:rsidRDefault="007361D6" w:rsidP="007361D6">
      <w:pPr>
        <w:pStyle w:val="H1G"/>
      </w:pPr>
      <w:r>
        <w:tab/>
      </w:r>
      <w:r>
        <w:tab/>
      </w:r>
      <w:r w:rsidRPr="00EF2A71">
        <w:t>Droit de réunion pacifique (art. 21)</w:t>
      </w:r>
    </w:p>
    <w:p w:rsidR="007361D6" w:rsidRPr="00EF2A71" w:rsidRDefault="007361D6" w:rsidP="007361D6">
      <w:pPr>
        <w:pStyle w:val="SingleTxtG"/>
      </w:pPr>
      <w:r w:rsidRPr="00EF2A71">
        <w:t>20.</w:t>
      </w:r>
      <w:r w:rsidRPr="00EF2A71">
        <w:tab/>
        <w:t>Commenter les informations selon lesquelles</w:t>
      </w:r>
      <w:r>
        <w:t xml:space="preserve"> de nombreuses actions</w:t>
      </w:r>
      <w:r w:rsidRPr="00EF2A71">
        <w:t xml:space="preserve"> pénales ouvertes par l’État partie à la suite d’allégations de mauvais traitements infligés à des manifestants par des agents de la force publique lors des événements qui ont eu lieu à Tallinn en avril</w:t>
      </w:r>
      <w:r>
        <w:t xml:space="preserve"> </w:t>
      </w:r>
      <w:r w:rsidRPr="00EF2A71">
        <w:t>2007 ont été classées, faute de preuve. Fournir des renseignements sur les mesures prises</w:t>
      </w:r>
      <w:r>
        <w:t xml:space="preserve"> pour </w:t>
      </w:r>
      <w:r w:rsidRPr="00EF2A71">
        <w:t>empêcher</w:t>
      </w:r>
      <w:r>
        <w:t xml:space="preserve"> que</w:t>
      </w:r>
      <w:r w:rsidRPr="00EF2A71">
        <w:t xml:space="preserve"> la police</w:t>
      </w:r>
      <w:r>
        <w:t xml:space="preserve"> se livre à des brutalités</w:t>
      </w:r>
      <w:r w:rsidRPr="00EF2A71">
        <w:t xml:space="preserve"> et à </w:t>
      </w:r>
      <w:r>
        <w:t>des</w:t>
      </w:r>
      <w:r w:rsidRPr="00EF2A71">
        <w:t xml:space="preserve"> violence</w:t>
      </w:r>
      <w:r>
        <w:t>s</w:t>
      </w:r>
      <w:r w:rsidRPr="00EF2A71">
        <w:t xml:space="preserve"> pendant les manifestations.</w:t>
      </w:r>
    </w:p>
    <w:p w:rsidR="007361D6" w:rsidRPr="00EF2A71" w:rsidRDefault="007361D6" w:rsidP="007361D6">
      <w:pPr>
        <w:pStyle w:val="SingleTxtG"/>
      </w:pPr>
      <w:r w:rsidRPr="00EF2A71">
        <w:t>21.</w:t>
      </w:r>
      <w:r w:rsidRPr="00EF2A71">
        <w:tab/>
        <w:t>Commenter les informations faisant état de l’insuffisance de la protection assurée aux participants à la marche de la Gay Pride en 2006 et 2007 et des o</w:t>
      </w:r>
      <w:r>
        <w:t>bstacles administratifs rencontrés par</w:t>
      </w:r>
      <w:r w:rsidRPr="00EF2A71">
        <w:t xml:space="preserve"> les organisateurs.</w:t>
      </w:r>
    </w:p>
    <w:p w:rsidR="007361D6" w:rsidRPr="00EF2A71" w:rsidRDefault="007361D6" w:rsidP="007361D6">
      <w:pPr>
        <w:pStyle w:val="H1G"/>
      </w:pPr>
      <w:r>
        <w:tab/>
      </w:r>
      <w:r>
        <w:tab/>
      </w:r>
      <w:r w:rsidRPr="00EF2A71">
        <w:t>Liberté d’association et droit de prendre part à la direction des</w:t>
      </w:r>
      <w:r>
        <w:t xml:space="preserve"> affaires publiques (art. 22, </w:t>
      </w:r>
      <w:r w:rsidRPr="00EF2A71">
        <w:t>25</w:t>
      </w:r>
      <w:r>
        <w:t xml:space="preserve"> et 27</w:t>
      </w:r>
      <w:r w:rsidRPr="00EF2A71">
        <w:t>)</w:t>
      </w:r>
    </w:p>
    <w:p w:rsidR="007361D6" w:rsidRPr="00EF2A71" w:rsidRDefault="007361D6" w:rsidP="007361D6">
      <w:pPr>
        <w:pStyle w:val="SingleTxtG"/>
      </w:pPr>
      <w:r w:rsidRPr="00EF2A71">
        <w:t>22.</w:t>
      </w:r>
      <w:r w:rsidRPr="00EF2A71">
        <w:tab/>
        <w:t xml:space="preserve">Donner des renseignements sur les progrès accomplis en </w:t>
      </w:r>
      <w:r>
        <w:t>ce qui concerne les</w:t>
      </w:r>
      <w:r w:rsidRPr="00EF2A71">
        <w:t xml:space="preserve"> dispositions législatives</w:t>
      </w:r>
      <w:r>
        <w:t xml:space="preserve"> garantissant que les employés</w:t>
      </w:r>
      <w:r w:rsidRPr="00EF2A71">
        <w:t xml:space="preserve"> des services publics</w:t>
      </w:r>
      <w:r>
        <w:t xml:space="preserve"> qui</w:t>
      </w:r>
      <w:r w:rsidRPr="00EF2A71">
        <w:t xml:space="preserve"> n’exer</w:t>
      </w:r>
      <w:r>
        <w:t>ce</w:t>
      </w:r>
      <w:r w:rsidRPr="00EF2A71">
        <w:t>nt pas une fonction d’autorité au nom de l’État</w:t>
      </w:r>
      <w:r>
        <w:t xml:space="preserve"> peuvent exercer le droit de grève</w:t>
      </w:r>
      <w:r w:rsidRPr="00EF2A71">
        <w:t>.</w:t>
      </w:r>
    </w:p>
    <w:p w:rsidR="007361D6" w:rsidRPr="00EF2A71" w:rsidRDefault="007361D6" w:rsidP="007361D6">
      <w:pPr>
        <w:pStyle w:val="SingleTxtG"/>
      </w:pPr>
      <w:r w:rsidRPr="00EF2A71">
        <w:t>23.</w:t>
      </w:r>
      <w:r w:rsidRPr="00EF2A71">
        <w:tab/>
        <w:t>L’</w:t>
      </w:r>
      <w:r>
        <w:t>État partie prévoit-il de permettre aux non-</w:t>
      </w:r>
      <w:r w:rsidRPr="00EF2A71">
        <w:t>ressortissants originaires de pays ne faisant pas partie de l’Union europée</w:t>
      </w:r>
      <w:r>
        <w:t xml:space="preserve">nne </w:t>
      </w:r>
      <w:r w:rsidRPr="00EF2A71">
        <w:t>mais résidant sur le territoire estonien depuis longtemps, de</w:t>
      </w:r>
      <w:r>
        <w:t xml:space="preserve"> </w:t>
      </w:r>
      <w:r w:rsidRPr="00EF2A71">
        <w:t>participer aux activités des partis politiques</w:t>
      </w:r>
      <w:r>
        <w:t>, de prendre activement part à la vie publique et d’occuper des postes élevés dans la fonction publique? Le cas échéant, donner des statistiques ventilées sur les personnes dans cette situation qui occupent de tels postes</w:t>
      </w:r>
      <w:r w:rsidRPr="00EF2A71">
        <w:t xml:space="preserve"> (par.</w:t>
      </w:r>
      <w:r>
        <w:t xml:space="preserve"> </w:t>
      </w:r>
      <w:r w:rsidRPr="00EF2A71">
        <w:t>534 du rapport de l’État partie)</w:t>
      </w:r>
      <w:r>
        <w:t>.</w:t>
      </w:r>
    </w:p>
    <w:p w:rsidR="007361D6" w:rsidRPr="00EF2A71" w:rsidRDefault="007361D6" w:rsidP="007361D6">
      <w:pPr>
        <w:pStyle w:val="H1G"/>
      </w:pPr>
      <w:r>
        <w:tab/>
      </w:r>
      <w:r>
        <w:tab/>
      </w:r>
      <w:r w:rsidRPr="00EF2A71">
        <w:t>Non</w:t>
      </w:r>
      <w:r>
        <w:t>-</w:t>
      </w:r>
      <w:r w:rsidRPr="00EF2A71">
        <w:t>discrimination, égalité devant la loi et droits de l’</w:t>
      </w:r>
      <w:r>
        <w:t>enfant</w:t>
      </w:r>
      <w:r>
        <w:br/>
        <w:t xml:space="preserve">(art. 2, par. 1, 24, </w:t>
      </w:r>
      <w:r w:rsidRPr="00EF2A71">
        <w:t>26</w:t>
      </w:r>
      <w:r>
        <w:t xml:space="preserve"> et 27</w:t>
      </w:r>
      <w:r w:rsidRPr="00EF2A71">
        <w:t>)</w:t>
      </w:r>
    </w:p>
    <w:p w:rsidR="007361D6" w:rsidRPr="00EF2A71" w:rsidRDefault="007361D6" w:rsidP="007361D6">
      <w:pPr>
        <w:pStyle w:val="SingleTxtG"/>
      </w:pPr>
      <w:r w:rsidRPr="00EF2A71">
        <w:t>24.</w:t>
      </w:r>
      <w:r w:rsidRPr="00EF2A71">
        <w:tab/>
      </w:r>
      <w:r>
        <w:t>I</w:t>
      </w:r>
      <w:r w:rsidRPr="00EF2A71">
        <w:t>ndiqu</w:t>
      </w:r>
      <w:r>
        <w:t>er</w:t>
      </w:r>
      <w:r w:rsidRPr="00EF2A71">
        <w:t xml:space="preserve"> si la législation adoptée</w:t>
      </w:r>
      <w:r>
        <w:t xml:space="preserve"> au titre</w:t>
      </w:r>
      <w:r w:rsidRPr="00EF2A71">
        <w:t xml:space="preserve"> du paragraphe</w:t>
      </w:r>
      <w:r>
        <w:t xml:space="preserve"> </w:t>
      </w:r>
      <w:r w:rsidRPr="00EF2A71">
        <w:t>1 de l’article</w:t>
      </w:r>
      <w:r>
        <w:t xml:space="preserve"> </w:t>
      </w:r>
      <w:r w:rsidRPr="00EF2A71">
        <w:t>2 et de l’article</w:t>
      </w:r>
      <w:r>
        <w:t xml:space="preserve"> </w:t>
      </w:r>
      <w:r w:rsidRPr="00EF2A71">
        <w:t>26 du Pacte, comme l’article</w:t>
      </w:r>
      <w:r>
        <w:t xml:space="preserve"> </w:t>
      </w:r>
      <w:r w:rsidRPr="00EF2A71">
        <w:t>152 du Code pénal (par.</w:t>
      </w:r>
      <w:r>
        <w:t xml:space="preserve"> </w:t>
      </w:r>
      <w:r w:rsidRPr="00EF2A71">
        <w:t>4</w:t>
      </w:r>
      <w:r>
        <w:t>0</w:t>
      </w:r>
      <w:r w:rsidRPr="00EF2A71">
        <w:t xml:space="preserve"> du rapport de l’État partie), a été appliquée par les tribunaux nationaux.</w:t>
      </w:r>
    </w:p>
    <w:p w:rsidR="007361D6" w:rsidRPr="00EF2A71" w:rsidRDefault="007361D6" w:rsidP="007361D6">
      <w:pPr>
        <w:pStyle w:val="SingleTxtG"/>
      </w:pPr>
      <w:r w:rsidRPr="00EF2A71">
        <w:t>25.</w:t>
      </w:r>
      <w:r w:rsidRPr="00EF2A71">
        <w:tab/>
        <w:t xml:space="preserve">Donner des renseignements sur les mesures supplémentaires prises par l’État partie pour encourager </w:t>
      </w:r>
      <w:r>
        <w:t xml:space="preserve">et motiver </w:t>
      </w:r>
      <w:r w:rsidRPr="00EF2A71">
        <w:t>les apatrides, en particulier</w:t>
      </w:r>
      <w:r>
        <w:t xml:space="preserve"> ceux qui ont des enfants</w:t>
      </w:r>
      <w:r w:rsidRPr="00EF2A71">
        <w:t>, à demander la nationalité pour</w:t>
      </w:r>
      <w:r>
        <w:t xml:space="preserve"> eux-mêmes et pour</w:t>
      </w:r>
      <w:r w:rsidRPr="00EF2A71">
        <w:t xml:space="preserve"> leurs enfants et </w:t>
      </w:r>
      <w:r>
        <w:t xml:space="preserve">pour </w:t>
      </w:r>
      <w:r w:rsidRPr="00EF2A71">
        <w:t>faciliter ces procédures</w:t>
      </w:r>
      <w:r>
        <w:t xml:space="preserve"> afin</w:t>
      </w:r>
      <w:r w:rsidRPr="00EF2A71">
        <w:t xml:space="preserve"> de diminuer le nombre d’apatrides au sein de l’État partie (par.</w:t>
      </w:r>
      <w:r>
        <w:t xml:space="preserve"> </w:t>
      </w:r>
      <w:r w:rsidRPr="00EF2A71">
        <w:t>637 du rapport de l’État partie). Fournir également des informations sur les mesures prises pour accorder la nationalité aux personnes ayant</w:t>
      </w:r>
      <w:r>
        <w:t xml:space="preserve"> obtenu</w:t>
      </w:r>
      <w:r w:rsidRPr="00EF2A71">
        <w:t xml:space="preserve"> celle d’un autre pays au cours de la période de transition (par.</w:t>
      </w:r>
      <w:r>
        <w:t xml:space="preserve"> </w:t>
      </w:r>
      <w:r w:rsidRPr="00EF2A71">
        <w:t>634 à 639 du rapport de l’État partie).</w:t>
      </w:r>
    </w:p>
    <w:p w:rsidR="007361D6" w:rsidRPr="00EF2A71" w:rsidRDefault="007361D6" w:rsidP="007361D6">
      <w:pPr>
        <w:pStyle w:val="SingleTxtG"/>
      </w:pPr>
      <w:r w:rsidRPr="00EF2A71">
        <w:t>26.</w:t>
      </w:r>
      <w:r w:rsidRPr="00EF2A71">
        <w:tab/>
        <w:t xml:space="preserve">Indiquer les </w:t>
      </w:r>
      <w:r>
        <w:t xml:space="preserve">mesures </w:t>
      </w:r>
      <w:r w:rsidRPr="00EF2A71">
        <w:t xml:space="preserve">prises par l’État partie pour </w:t>
      </w:r>
      <w:r>
        <w:t>garantir l’application</w:t>
      </w:r>
      <w:r w:rsidRPr="00EF2A71">
        <w:t xml:space="preserve"> de la loi sur les langues</w:t>
      </w:r>
      <w:r>
        <w:t xml:space="preserve"> afin d’éviter toute</w:t>
      </w:r>
      <w:r w:rsidRPr="00EF2A71">
        <w:t xml:space="preserve"> discrimination sur le marché du travail à l’encontre d</w:t>
      </w:r>
      <w:r>
        <w:t>es personnes appartenant à une</w:t>
      </w:r>
      <w:r w:rsidRPr="00EF2A71">
        <w:t xml:space="preserve"> minorité,</w:t>
      </w:r>
      <w:r>
        <w:t xml:space="preserve"> notamment à la minorité de langue russe,</w:t>
      </w:r>
      <w:r w:rsidRPr="00EF2A71">
        <w:t xml:space="preserve"> en raison de leurs compétences limitées en estonien. Donner également des renseignements sur l’incidence concrète de différents programmes, tels que </w:t>
      </w:r>
      <w:r>
        <w:t>le programme d</w:t>
      </w:r>
      <w:r w:rsidRPr="00EF2A71">
        <w:t xml:space="preserve">’intégration dans la société estonienne </w:t>
      </w:r>
      <w:r>
        <w:t>(</w:t>
      </w:r>
      <w:r w:rsidRPr="00EF2A71">
        <w:t>2000</w:t>
      </w:r>
      <w:r>
        <w:t>-</w:t>
      </w:r>
      <w:r w:rsidRPr="00EF2A71">
        <w:t>2007</w:t>
      </w:r>
      <w:r>
        <w:t>)</w:t>
      </w:r>
      <w:r w:rsidRPr="00EF2A71">
        <w:t xml:space="preserve"> et le </w:t>
      </w:r>
      <w:r>
        <w:t>d</w:t>
      </w:r>
      <w:r w:rsidRPr="00EF2A71">
        <w:t xml:space="preserve">euxième programme d’intégration </w:t>
      </w:r>
      <w:r>
        <w:t>(</w:t>
      </w:r>
      <w:r w:rsidRPr="00EF2A71">
        <w:t>2007</w:t>
      </w:r>
      <w:r>
        <w:t>-</w:t>
      </w:r>
      <w:r w:rsidRPr="00EF2A71">
        <w:t>2013</w:t>
      </w:r>
      <w:r>
        <w:t>)</w:t>
      </w:r>
      <w:r w:rsidRPr="00EF2A71">
        <w:t>,</w:t>
      </w:r>
      <w:r>
        <w:t xml:space="preserve"> ainsi que</w:t>
      </w:r>
      <w:r w:rsidRPr="00EF2A71">
        <w:t xml:space="preserve"> sur la situation des </w:t>
      </w:r>
      <w:r>
        <w:t>personnes appartenant à une</w:t>
      </w:r>
      <w:r w:rsidRPr="00EF2A71">
        <w:t xml:space="preserve"> minorité, notamment sur l’amélioration de leurs conditions de vie et sur leur intégration au sein de l’État partie (par.</w:t>
      </w:r>
      <w:r>
        <w:t> 6</w:t>
      </w:r>
      <w:r w:rsidRPr="00EF2A71">
        <w:t xml:space="preserve">56 </w:t>
      </w:r>
      <w:r>
        <w:t>et</w:t>
      </w:r>
      <w:r w:rsidRPr="00EF2A71">
        <w:t xml:space="preserve"> </w:t>
      </w:r>
      <w:r>
        <w:t>6</w:t>
      </w:r>
      <w:r w:rsidRPr="00EF2A71">
        <w:t>80 du rapport de l’État partie).</w:t>
      </w:r>
    </w:p>
    <w:p w:rsidR="007361D6" w:rsidRPr="00EF2A71" w:rsidRDefault="007361D6" w:rsidP="007361D6">
      <w:pPr>
        <w:pStyle w:val="H1G"/>
      </w:pPr>
      <w:r>
        <w:tab/>
      </w:r>
      <w:r>
        <w:tab/>
      </w:r>
      <w:r w:rsidRPr="00EF2A71">
        <w:t>Diffusion d’</w:t>
      </w:r>
      <w:r>
        <w:t xml:space="preserve">une </w:t>
      </w:r>
      <w:r w:rsidRPr="00EF2A71">
        <w:t>information concernant le Pacte (art. 2)</w:t>
      </w:r>
    </w:p>
    <w:p w:rsidR="007361D6" w:rsidRPr="00EF2A71" w:rsidRDefault="007361D6" w:rsidP="007361D6">
      <w:pPr>
        <w:pStyle w:val="SingleTxtG"/>
      </w:pPr>
      <w:r w:rsidRPr="00EF2A71">
        <w:t>27.</w:t>
      </w:r>
      <w:r w:rsidRPr="00EF2A71">
        <w:tab/>
      </w:r>
      <w:r w:rsidRPr="00EF2A71">
        <w:rPr>
          <w:lang w:val="fr-FR"/>
        </w:rPr>
        <w:t xml:space="preserve">Indiquer quelles mesures l’État partie a prises pour diffuser </w:t>
      </w:r>
      <w:r>
        <w:rPr>
          <w:lang w:val="fr-FR"/>
        </w:rPr>
        <w:t>une</w:t>
      </w:r>
      <w:r w:rsidRPr="00EF2A71">
        <w:rPr>
          <w:lang w:val="fr-FR"/>
        </w:rPr>
        <w:t xml:space="preserve"> information</w:t>
      </w:r>
      <w:r>
        <w:rPr>
          <w:lang w:val="fr-FR"/>
        </w:rPr>
        <w:t xml:space="preserve"> </w:t>
      </w:r>
      <w:r w:rsidRPr="00EF2A71">
        <w:rPr>
          <w:lang w:val="fr-FR"/>
        </w:rPr>
        <w:t>s</w:t>
      </w:r>
      <w:r>
        <w:rPr>
          <w:lang w:val="fr-FR"/>
        </w:rPr>
        <w:t>ur</w:t>
      </w:r>
      <w:r w:rsidRPr="00EF2A71">
        <w:rPr>
          <w:lang w:val="fr-FR"/>
        </w:rPr>
        <w:t xml:space="preserve"> le Pacte,</w:t>
      </w:r>
      <w:r>
        <w:rPr>
          <w:lang w:val="fr-FR"/>
        </w:rPr>
        <w:t xml:space="preserve"> sur</w:t>
      </w:r>
      <w:r w:rsidRPr="00EF2A71">
        <w:rPr>
          <w:lang w:val="fr-FR"/>
        </w:rPr>
        <w:t xml:space="preserve"> la </w:t>
      </w:r>
      <w:r>
        <w:rPr>
          <w:lang w:val="fr-FR"/>
        </w:rPr>
        <w:t>soumiss</w:t>
      </w:r>
      <w:r w:rsidRPr="00EF2A71">
        <w:rPr>
          <w:lang w:val="fr-FR"/>
        </w:rPr>
        <w:t xml:space="preserve">ion de son troisième rapport périodique, </w:t>
      </w:r>
      <w:r>
        <w:rPr>
          <w:lang w:val="fr-FR"/>
        </w:rPr>
        <w:t xml:space="preserve">sur </w:t>
      </w:r>
      <w:r w:rsidRPr="00EF2A71">
        <w:rPr>
          <w:lang w:val="fr-FR"/>
        </w:rPr>
        <w:t>l’examen d</w:t>
      </w:r>
      <w:r>
        <w:rPr>
          <w:lang w:val="fr-FR"/>
        </w:rPr>
        <w:t>u</w:t>
      </w:r>
      <w:r w:rsidRPr="00EF2A71">
        <w:rPr>
          <w:lang w:val="fr-FR"/>
        </w:rPr>
        <w:t xml:space="preserve"> rapport par le Comité et </w:t>
      </w:r>
      <w:r>
        <w:rPr>
          <w:lang w:val="fr-FR"/>
        </w:rPr>
        <w:t xml:space="preserve">sur </w:t>
      </w:r>
      <w:r w:rsidRPr="00EF2A71">
        <w:rPr>
          <w:lang w:val="fr-FR"/>
        </w:rPr>
        <w:t>les observations finales</w:t>
      </w:r>
      <w:r>
        <w:rPr>
          <w:lang w:val="fr-FR"/>
        </w:rPr>
        <w:t xml:space="preserve"> précédentes</w:t>
      </w:r>
      <w:r w:rsidRPr="00EF2A71">
        <w:rPr>
          <w:lang w:val="fr-FR"/>
        </w:rPr>
        <w:t xml:space="preserve"> du Comité</w:t>
      </w:r>
      <w:r>
        <w:rPr>
          <w:lang w:val="fr-FR"/>
        </w:rPr>
        <w:t xml:space="preserve"> concernant</w:t>
      </w:r>
      <w:r w:rsidRPr="00EF2A71">
        <w:rPr>
          <w:lang w:val="fr-FR"/>
        </w:rPr>
        <w:t xml:space="preserve"> le deuxième rapport périodique. </w:t>
      </w:r>
      <w:r>
        <w:rPr>
          <w:lang w:val="fr-FR"/>
        </w:rPr>
        <w:t>Étant donné</w:t>
      </w:r>
      <w:r w:rsidRPr="00EF2A71">
        <w:rPr>
          <w:lang w:val="fr-FR"/>
        </w:rPr>
        <w:t xml:space="preserve"> que le rapport de l’État partie</w:t>
      </w:r>
      <w:r>
        <w:rPr>
          <w:lang w:val="fr-FR"/>
        </w:rPr>
        <w:t xml:space="preserve"> semble faire</w:t>
      </w:r>
      <w:r w:rsidRPr="00EF2A71">
        <w:rPr>
          <w:lang w:val="fr-FR"/>
        </w:rPr>
        <w:t xml:space="preserve"> référence </w:t>
      </w:r>
      <w:r>
        <w:rPr>
          <w:lang w:val="fr-FR"/>
        </w:rPr>
        <w:t>à des informations émanant d’</w:t>
      </w:r>
      <w:r w:rsidRPr="00EF2A71">
        <w:rPr>
          <w:lang w:val="fr-FR"/>
        </w:rPr>
        <w:t>organisations non gouvernementales,</w:t>
      </w:r>
      <w:r>
        <w:rPr>
          <w:lang w:val="fr-FR"/>
        </w:rPr>
        <w:t xml:space="preserve"> donner des précisions</w:t>
      </w:r>
      <w:r w:rsidRPr="00EF2A71">
        <w:rPr>
          <w:lang w:val="fr-FR"/>
        </w:rPr>
        <w:t xml:space="preserve"> sur la participation de ces organisations et du Chancelier de justice (</w:t>
      </w:r>
      <w:r w:rsidRPr="00EF2A71">
        <w:t>bureau du Chancelier des affaires juridiques) à l’établissement du rapport.</w:t>
      </w:r>
    </w:p>
    <w:p w:rsidR="007361D6" w:rsidRPr="007361D6" w:rsidRDefault="007361D6" w:rsidP="007361D6">
      <w:pPr>
        <w:pStyle w:val="SingleTxtG"/>
        <w:spacing w:before="240" w:after="0"/>
        <w:jc w:val="center"/>
        <w:rPr>
          <w:u w:val="single"/>
        </w:rPr>
      </w:pPr>
      <w:r>
        <w:rPr>
          <w:u w:val="single"/>
        </w:rPr>
        <w:tab/>
      </w:r>
      <w:r>
        <w:rPr>
          <w:u w:val="single"/>
        </w:rPr>
        <w:tab/>
      </w:r>
      <w:r>
        <w:rPr>
          <w:u w:val="single"/>
        </w:rPr>
        <w:tab/>
      </w:r>
    </w:p>
    <w:sectPr w:rsidR="007361D6" w:rsidRPr="007361D6" w:rsidSect="007361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193" w:rsidRDefault="00257193"/>
  </w:endnote>
  <w:endnote w:type="continuationSeparator" w:id="0">
    <w:p w:rsidR="00257193" w:rsidRDefault="00257193"/>
  </w:endnote>
  <w:endnote w:type="continuationNotice" w:id="1">
    <w:p w:rsidR="00257193" w:rsidRDefault="00257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39F" w:rsidRPr="007361D6" w:rsidRDefault="00C3139F" w:rsidP="007361D6">
    <w:pPr>
      <w:pStyle w:val="Footer"/>
      <w:tabs>
        <w:tab w:val="right" w:pos="9638"/>
      </w:tabs>
    </w:pPr>
    <w:r w:rsidRPr="007361D6">
      <w:rPr>
        <w:b/>
        <w:sz w:val="18"/>
      </w:rPr>
      <w:fldChar w:fldCharType="begin"/>
    </w:r>
    <w:r w:rsidRPr="007361D6">
      <w:rPr>
        <w:b/>
        <w:sz w:val="18"/>
      </w:rPr>
      <w:instrText xml:space="preserve"> PAGE  \* MERGEFORMAT </w:instrText>
    </w:r>
    <w:r w:rsidRPr="007361D6">
      <w:rPr>
        <w:b/>
        <w:sz w:val="18"/>
      </w:rPr>
      <w:fldChar w:fldCharType="separate"/>
    </w:r>
    <w:r w:rsidR="00BE6478">
      <w:rPr>
        <w:b/>
        <w:noProof/>
        <w:sz w:val="18"/>
      </w:rPr>
      <w:t>4</w:t>
    </w:r>
    <w:r w:rsidRPr="007361D6">
      <w:rPr>
        <w:b/>
        <w:sz w:val="18"/>
      </w:rPr>
      <w:fldChar w:fldCharType="end"/>
    </w:r>
    <w:r>
      <w:rPr>
        <w:b/>
        <w:sz w:val="18"/>
      </w:rPr>
      <w:tab/>
    </w:r>
    <w:r>
      <w:t>GE.09-46841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39F" w:rsidRPr="007361D6" w:rsidRDefault="00C3139F" w:rsidP="007361D6">
    <w:pPr>
      <w:pStyle w:val="Footer"/>
      <w:tabs>
        <w:tab w:val="right" w:pos="9638"/>
      </w:tabs>
      <w:rPr>
        <w:b/>
        <w:sz w:val="18"/>
      </w:rPr>
    </w:pPr>
    <w:r>
      <w:t>GE.09-46841</w:t>
    </w:r>
    <w:r>
      <w:tab/>
    </w:r>
    <w:r w:rsidRPr="007361D6">
      <w:rPr>
        <w:b/>
        <w:sz w:val="18"/>
      </w:rPr>
      <w:fldChar w:fldCharType="begin"/>
    </w:r>
    <w:r w:rsidRPr="007361D6">
      <w:rPr>
        <w:b/>
        <w:sz w:val="18"/>
      </w:rPr>
      <w:instrText xml:space="preserve"> PAGE  \* MERGEFORMAT </w:instrText>
    </w:r>
    <w:r w:rsidRPr="007361D6">
      <w:rPr>
        <w:b/>
        <w:sz w:val="18"/>
      </w:rPr>
      <w:fldChar w:fldCharType="separate"/>
    </w:r>
    <w:r w:rsidR="00BE6478">
      <w:rPr>
        <w:b/>
        <w:noProof/>
        <w:sz w:val="18"/>
      </w:rPr>
      <w:t>5</w:t>
    </w:r>
    <w:r w:rsidRPr="007361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39F" w:rsidRDefault="00C3139F">
    <w:pPr>
      <w:pStyle w:val="Footer"/>
    </w:pPr>
    <w:r>
      <w:rPr>
        <w:sz w:val="20"/>
      </w:rPr>
      <w:t>GE.09-46841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221209    221209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193" w:rsidRPr="00D27D5E" w:rsidRDefault="00257193" w:rsidP="00D27D5E">
      <w:pPr>
        <w:tabs>
          <w:tab w:val="right" w:pos="2155"/>
        </w:tabs>
        <w:spacing w:after="80"/>
        <w:ind w:left="680"/>
        <w:rPr>
          <w:u w:val="single"/>
        </w:rPr>
      </w:pPr>
      <w:r>
        <w:rPr>
          <w:u w:val="single"/>
        </w:rPr>
        <w:tab/>
      </w:r>
    </w:p>
  </w:footnote>
  <w:footnote w:type="continuationSeparator" w:id="0">
    <w:p w:rsidR="00257193" w:rsidRPr="00091505" w:rsidRDefault="00257193" w:rsidP="00091505">
      <w:pPr>
        <w:tabs>
          <w:tab w:val="right" w:pos="2155"/>
        </w:tabs>
        <w:spacing w:after="80"/>
        <w:ind w:left="680"/>
        <w:rPr>
          <w:u w:val="single"/>
        </w:rPr>
      </w:pPr>
      <w:r w:rsidRPr="00091505">
        <w:rPr>
          <w:u w:val="single"/>
        </w:rPr>
        <w:tab/>
      </w:r>
    </w:p>
  </w:footnote>
  <w:footnote w:type="continuationNotice" w:id="1">
    <w:p w:rsidR="00257193" w:rsidRDefault="002571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39F" w:rsidRPr="007361D6" w:rsidRDefault="00C3139F">
    <w:pPr>
      <w:pStyle w:val="Header"/>
    </w:pPr>
    <w:r>
      <w:t>CCPR/C/EST/Q/3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39F" w:rsidRPr="007361D6" w:rsidRDefault="00C3139F" w:rsidP="007361D6">
    <w:pPr>
      <w:pStyle w:val="Header"/>
      <w:jc w:val="right"/>
    </w:pPr>
    <w:r>
      <w:t>CCPR/C/EST/Q/3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58F"/>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4258F"/>
    <w:rsid w:val="00257193"/>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4E04BC"/>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61D6"/>
    <w:rsid w:val="00737DEE"/>
    <w:rsid w:val="00775D99"/>
    <w:rsid w:val="00796940"/>
    <w:rsid w:val="007C7846"/>
    <w:rsid w:val="007F13BE"/>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E6478"/>
    <w:rsid w:val="00BF0556"/>
    <w:rsid w:val="00C261F8"/>
    <w:rsid w:val="00C3139F"/>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06C10"/>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2170</Words>
  <Characters>11525</Characters>
  <Application>Microsoft Office Word</Application>
  <DocSecurity>4</DocSecurity>
  <Lines>185</Lines>
  <Paragraphs>61</Paragraphs>
  <ScaleCrop>false</ScaleCrop>
  <HeadingPairs>
    <vt:vector size="2" baseType="variant">
      <vt:variant>
        <vt:lpstr>Titre</vt:lpstr>
      </vt:variant>
      <vt:variant>
        <vt:i4>1</vt:i4>
      </vt:variant>
    </vt:vector>
  </HeadingPairs>
  <TitlesOfParts>
    <vt:vector size="1" baseType="lpstr">
      <vt:lpstr>CCPR/C/EST/Q/3</vt:lpstr>
    </vt:vector>
  </TitlesOfParts>
  <Company>CSD</Company>
  <LinksUpToDate>false</LinksUpToDate>
  <CharactersWithSpaces>13634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CCPR/C/EST/Q/3</dc:title>
  <dc:subject>Semi final</dc:subject>
  <dc:creator>Clère</dc:creator>
  <cp:keywords/>
  <dc:description/>
  <cp:lastModifiedBy>Clère</cp:lastModifiedBy>
  <cp:revision>4</cp:revision>
  <cp:lastPrinted>2009-12-22T14:41:00Z</cp:lastPrinted>
  <dcterms:created xsi:type="dcterms:W3CDTF">2009-12-22T14:40:00Z</dcterms:created>
  <dcterms:modified xsi:type="dcterms:W3CDTF">2009-12-22T14:41:00Z</dcterms:modified>
</cp:coreProperties>
</file>