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0163D" w14:paraId="11450A50" w14:textId="77777777" w:rsidTr="00281242">
        <w:trPr>
          <w:trHeight w:hRule="exact" w:val="851"/>
        </w:trPr>
        <w:tc>
          <w:tcPr>
            <w:tcW w:w="1274" w:type="dxa"/>
            <w:tcBorders>
              <w:bottom w:val="single" w:sz="4" w:space="0" w:color="auto"/>
            </w:tcBorders>
          </w:tcPr>
          <w:p w14:paraId="003BEC1A" w14:textId="77777777" w:rsidR="006B3E27" w:rsidRPr="0000163D" w:rsidRDefault="006B3E27" w:rsidP="003460F0">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vAlign w:val="bottom"/>
          </w:tcPr>
          <w:p w14:paraId="15DD62C9" w14:textId="77777777" w:rsidR="006B3E27" w:rsidRPr="0000163D" w:rsidRDefault="006B3E27" w:rsidP="002F3D3A">
            <w:pPr>
              <w:spacing w:after="80" w:line="480" w:lineRule="exact"/>
              <w:ind w:left="57"/>
              <w:rPr>
                <w:sz w:val="30"/>
                <w:szCs w:val="30"/>
                <w:rtl/>
              </w:rPr>
            </w:pPr>
            <w:r w:rsidRPr="0000163D">
              <w:rPr>
                <w:rFonts w:hint="cs"/>
                <w:sz w:val="30"/>
                <w:szCs w:val="30"/>
                <w:rtl/>
              </w:rPr>
              <w:t>الأمم المتحدة</w:t>
            </w:r>
          </w:p>
        </w:tc>
        <w:tc>
          <w:tcPr>
            <w:tcW w:w="3402" w:type="dxa"/>
            <w:tcBorders>
              <w:bottom w:val="single" w:sz="4" w:space="0" w:color="auto"/>
            </w:tcBorders>
            <w:vAlign w:val="bottom"/>
          </w:tcPr>
          <w:p w14:paraId="69237B7B" w14:textId="6D4966BC" w:rsidR="006B3E27" w:rsidRPr="0000163D" w:rsidRDefault="0044515B" w:rsidP="0044515B">
            <w:pPr>
              <w:bidi w:val="0"/>
              <w:rPr>
                <w:szCs w:val="20"/>
                <w:lang w:eastAsia="zh-TW"/>
              </w:rPr>
            </w:pPr>
            <w:r w:rsidRPr="0000163D">
              <w:rPr>
                <w:sz w:val="40"/>
                <w:szCs w:val="20"/>
                <w:lang w:eastAsia="zh-TW"/>
              </w:rPr>
              <w:t>A</w:t>
            </w:r>
            <w:r w:rsidRPr="0000163D">
              <w:rPr>
                <w:szCs w:val="20"/>
                <w:lang w:eastAsia="zh-TW"/>
              </w:rPr>
              <w:t>/HRC/62/L.5</w:t>
            </w:r>
          </w:p>
        </w:tc>
      </w:tr>
      <w:tr w:rsidR="006B3E27" w:rsidRPr="0000163D" w14:paraId="1BD754ED" w14:textId="77777777" w:rsidTr="00281242">
        <w:trPr>
          <w:trHeight w:hRule="exact" w:val="2835"/>
        </w:trPr>
        <w:tc>
          <w:tcPr>
            <w:tcW w:w="1274" w:type="dxa"/>
            <w:tcBorders>
              <w:top w:val="single" w:sz="4" w:space="0" w:color="auto"/>
              <w:bottom w:val="single" w:sz="12" w:space="0" w:color="auto"/>
            </w:tcBorders>
          </w:tcPr>
          <w:p w14:paraId="20A968F2" w14:textId="77777777" w:rsidR="006B3E27" w:rsidRPr="0000163D" w:rsidRDefault="00655884" w:rsidP="0047152B">
            <w:pPr>
              <w:jc w:val="center"/>
              <w:rPr>
                <w:sz w:val="56"/>
                <w:szCs w:val="56"/>
              </w:rPr>
            </w:pPr>
            <w:r w:rsidRPr="0000163D">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1E2BC323" w14:textId="77777777" w:rsidR="006B3E27" w:rsidRPr="0000163D" w:rsidRDefault="001773DB" w:rsidP="002F3D3A">
            <w:pPr>
              <w:spacing w:before="120" w:after="40" w:line="640" w:lineRule="exact"/>
              <w:ind w:left="57"/>
              <w:rPr>
                <w:b/>
                <w:bCs/>
                <w:sz w:val="50"/>
                <w:szCs w:val="50"/>
              </w:rPr>
            </w:pPr>
            <w:r w:rsidRPr="0000163D">
              <w:rPr>
                <w:rFonts w:hint="cs"/>
                <w:b/>
                <w:bCs/>
                <w:sz w:val="50"/>
                <w:szCs w:val="50"/>
                <w:rtl/>
              </w:rPr>
              <w:t>الجمعية العامة</w:t>
            </w:r>
          </w:p>
        </w:tc>
        <w:tc>
          <w:tcPr>
            <w:tcW w:w="3402" w:type="dxa"/>
            <w:tcBorders>
              <w:top w:val="single" w:sz="4" w:space="0" w:color="auto"/>
              <w:bottom w:val="single" w:sz="12" w:space="0" w:color="auto"/>
            </w:tcBorders>
          </w:tcPr>
          <w:p w14:paraId="3838DC81" w14:textId="77777777" w:rsidR="00113A0C" w:rsidRPr="0000163D" w:rsidRDefault="00113A0C" w:rsidP="00113A0C">
            <w:pPr>
              <w:bidi w:val="0"/>
              <w:spacing w:before="240"/>
              <w:rPr>
                <w:szCs w:val="20"/>
              </w:rPr>
            </w:pPr>
            <w:r w:rsidRPr="0000163D">
              <w:rPr>
                <w:szCs w:val="20"/>
              </w:rPr>
              <w:t>Distr.: Limited</w:t>
            </w:r>
          </w:p>
          <w:p w14:paraId="78700977" w14:textId="77777777" w:rsidR="00113A0C" w:rsidRPr="0000163D" w:rsidRDefault="00113A0C" w:rsidP="00113A0C">
            <w:pPr>
              <w:bidi w:val="0"/>
              <w:rPr>
                <w:szCs w:val="20"/>
              </w:rPr>
            </w:pPr>
            <w:r w:rsidRPr="0000163D">
              <w:rPr>
                <w:szCs w:val="20"/>
              </w:rPr>
              <w:t>30</w:t>
            </w:r>
            <w:r w:rsidRPr="0000163D">
              <w:rPr>
                <w:szCs w:val="20"/>
                <w:rtl/>
              </w:rPr>
              <w:t xml:space="preserve"> </w:t>
            </w:r>
            <w:r w:rsidRPr="0000163D">
              <w:rPr>
                <w:szCs w:val="20"/>
              </w:rPr>
              <w:t>June 2026</w:t>
            </w:r>
          </w:p>
          <w:p w14:paraId="7D281ACE" w14:textId="1471EF85" w:rsidR="00113A0C" w:rsidRPr="0000163D" w:rsidRDefault="00113A0C" w:rsidP="00113A0C">
            <w:pPr>
              <w:bidi w:val="0"/>
              <w:rPr>
                <w:szCs w:val="20"/>
              </w:rPr>
            </w:pPr>
            <w:r w:rsidRPr="0000163D">
              <w:rPr>
                <w:szCs w:val="20"/>
              </w:rPr>
              <w:t>Arabic</w:t>
            </w:r>
          </w:p>
          <w:p w14:paraId="0FE9EA89" w14:textId="0699455A" w:rsidR="006B3E27" w:rsidRPr="0000163D" w:rsidRDefault="00113A0C" w:rsidP="00113A0C">
            <w:pPr>
              <w:bidi w:val="0"/>
              <w:rPr>
                <w:szCs w:val="20"/>
              </w:rPr>
            </w:pPr>
            <w:r w:rsidRPr="0000163D">
              <w:rPr>
                <w:szCs w:val="20"/>
              </w:rPr>
              <w:t>Original: English</w:t>
            </w:r>
          </w:p>
        </w:tc>
      </w:tr>
    </w:tbl>
    <w:bookmarkEnd w:id="0"/>
    <w:p w14:paraId="2EE1C2B1" w14:textId="77777777" w:rsidR="00FF1E99" w:rsidRPr="0000163D" w:rsidRDefault="00F572D8" w:rsidP="00113A0C">
      <w:pPr>
        <w:pStyle w:val="SingleTxtGA"/>
        <w:spacing w:before="120" w:after="0"/>
        <w:ind w:left="0"/>
        <w:rPr>
          <w:rFonts w:ascii="Times New Roman Bold" w:hAnsi="Times New Roman Bold" w:hint="eastAsia"/>
          <w:b/>
          <w:bCs/>
          <w:sz w:val="26"/>
          <w:szCs w:val="26"/>
          <w:rtl/>
          <w:lang w:eastAsia="zh-TW"/>
        </w:rPr>
      </w:pPr>
      <w:r w:rsidRPr="0000163D">
        <w:rPr>
          <w:rFonts w:ascii="Times New Roman Bold" w:hAnsi="Times New Roman Bold" w:hint="cs"/>
          <w:b/>
          <w:bCs/>
          <w:sz w:val="26"/>
          <w:szCs w:val="26"/>
          <w:rtl/>
          <w:lang w:eastAsia="zh-TW"/>
        </w:rPr>
        <w:t>مجلس حقوق الإنسان</w:t>
      </w:r>
    </w:p>
    <w:p w14:paraId="51B80298" w14:textId="77777777" w:rsidR="00113A0C" w:rsidRPr="0000163D" w:rsidRDefault="00113A0C" w:rsidP="00113A0C">
      <w:pPr>
        <w:spacing w:line="360" w:lineRule="exact"/>
        <w:rPr>
          <w:b/>
          <w:bCs/>
        </w:rPr>
      </w:pPr>
      <w:r w:rsidRPr="0000163D">
        <w:rPr>
          <w:b/>
          <w:bCs/>
          <w:rtl/>
        </w:rPr>
        <w:t>الدورة الثانية والستون</w:t>
      </w:r>
    </w:p>
    <w:p w14:paraId="1B4862A1" w14:textId="77777777" w:rsidR="00113A0C" w:rsidRPr="0000163D" w:rsidRDefault="00113A0C" w:rsidP="00113A0C">
      <w:pPr>
        <w:spacing w:line="360" w:lineRule="exact"/>
      </w:pPr>
      <w:r w:rsidRPr="0000163D">
        <w:rPr>
          <w:rtl/>
        </w:rPr>
        <w:t>15 حزيران/</w:t>
      </w:r>
      <w:proofErr w:type="gramStart"/>
      <w:r w:rsidRPr="0000163D">
        <w:rPr>
          <w:rtl/>
        </w:rPr>
        <w:t>يونيه</w:t>
      </w:r>
      <w:proofErr w:type="gramEnd"/>
      <w:r w:rsidRPr="0000163D">
        <w:rPr>
          <w:rtl/>
        </w:rPr>
        <w:t xml:space="preserve"> – 7 تموز/يوليه 2026</w:t>
      </w:r>
    </w:p>
    <w:p w14:paraId="42FC730F" w14:textId="77777777" w:rsidR="00113A0C" w:rsidRPr="0000163D" w:rsidRDefault="00113A0C" w:rsidP="00113A0C">
      <w:pPr>
        <w:spacing w:line="360" w:lineRule="exact"/>
      </w:pPr>
      <w:r w:rsidRPr="0000163D">
        <w:rPr>
          <w:rtl/>
        </w:rPr>
        <w:t>البند 3 من جدول الأعمال</w:t>
      </w:r>
    </w:p>
    <w:p w14:paraId="69D6E59B" w14:textId="77777777" w:rsidR="00113A0C" w:rsidRPr="0000163D" w:rsidRDefault="00113A0C" w:rsidP="00113A0C">
      <w:pPr>
        <w:spacing w:line="360" w:lineRule="exact"/>
        <w:ind w:right="4962"/>
        <w:rPr>
          <w:b/>
          <w:bCs/>
        </w:rPr>
      </w:pPr>
      <w:r w:rsidRPr="0000163D">
        <w:rPr>
          <w:b/>
          <w:bCs/>
          <w:rtl/>
        </w:rPr>
        <w:t>تعزيز وحماية جميع حقوق الإنسان، المدنية والسياسية والاقتصادية والاجتماعية والثقافية، بما في ذلك الحق في التنمية</w:t>
      </w:r>
    </w:p>
    <w:p w14:paraId="74335F5F" w14:textId="3E251B7B" w:rsidR="00113A0C" w:rsidRPr="0000163D" w:rsidRDefault="00113A0C" w:rsidP="00113A0C">
      <w:pPr>
        <w:pStyle w:val="H23GA"/>
        <w:rPr>
          <w:lang w:val="en-US"/>
        </w:rPr>
      </w:pPr>
      <w:r w:rsidRPr="0000163D">
        <w:rPr>
          <w:rtl/>
          <w:lang w:val="en-US"/>
        </w:rPr>
        <w:tab/>
      </w:r>
      <w:r w:rsidRPr="0000163D">
        <w:rPr>
          <w:rtl/>
          <w:lang w:val="en-US"/>
        </w:rPr>
        <w:tab/>
        <w:t>إثيوبيا، إكوادور، ألمانيا</w:t>
      </w:r>
      <w:r w:rsidRPr="0000163D">
        <w:rPr>
          <w:rtl/>
          <w:lang w:val="en-US"/>
        </w:rPr>
        <w:footnoteReference w:customMarkFollows="1" w:id="1"/>
        <w:t>*، أندورا</w:t>
      </w:r>
      <w:r w:rsidRPr="0000163D">
        <w:rPr>
          <w:rFonts w:hint="cs"/>
          <w:rtl/>
          <w:lang w:val="en-US"/>
        </w:rPr>
        <w:t>*</w:t>
      </w:r>
      <w:r w:rsidRPr="0000163D">
        <w:rPr>
          <w:rtl/>
          <w:lang w:val="en-US"/>
        </w:rPr>
        <w:t>، أوزبكستان*، أوكرانيا*، إيطاليا، باراغواي*، البرازيل، البرتغال*، تايلند، جزر مارشال، جمهورية كوريا، رومانيا*، سلوفينيا، شيلي، الفلبين*، فيجي*، قبرص، قيرغيزستان*، كمبوديا*، المغرب*، المملكة المتحدة لبريطانيا العظمى وأيرلندا الشمالية، الهند، اليابان، اليمن*، اليونان*: مشروع قرار</w:t>
      </w:r>
    </w:p>
    <w:p w14:paraId="71DEA736" w14:textId="71FE71CB" w:rsidR="00113A0C" w:rsidRPr="0000163D" w:rsidRDefault="00113A0C" w:rsidP="00113A0C">
      <w:pPr>
        <w:pStyle w:val="H1GA"/>
        <w:rPr>
          <w:lang w:val="en-US"/>
        </w:rPr>
      </w:pPr>
      <w:r w:rsidRPr="0000163D">
        <w:rPr>
          <w:rtl/>
          <w:lang w:val="en-US"/>
        </w:rPr>
        <w:tab/>
      </w:r>
      <w:r w:rsidRPr="0000163D">
        <w:rPr>
          <w:rtl/>
          <w:lang w:val="en-US"/>
        </w:rPr>
        <w:tab/>
        <w:t>62/…</w:t>
      </w:r>
      <w:r w:rsidRPr="0000163D">
        <w:rPr>
          <w:rtl/>
          <w:lang w:val="en-US"/>
        </w:rPr>
        <w:tab/>
      </w:r>
      <w:r w:rsidRPr="0000163D">
        <w:rPr>
          <w:rFonts w:ascii="Times New Roman Bold" w:hAnsi="Times New Roman Bold"/>
          <w:spacing w:val="-6"/>
          <w:rtl/>
          <w:lang w:val="en-US"/>
        </w:rPr>
        <w:t>القضاء على التمييز ضد الأشخاص المصابين بالجذام/داء هانسن وأفراد أسرهم</w:t>
      </w:r>
    </w:p>
    <w:p w14:paraId="05C1AB72" w14:textId="2244E3A7" w:rsidR="00113A0C" w:rsidRPr="0000163D" w:rsidRDefault="00113A0C" w:rsidP="00113A0C">
      <w:pPr>
        <w:pStyle w:val="SingleTxtGA"/>
        <w:rPr>
          <w:i/>
          <w:iCs/>
        </w:rPr>
      </w:pPr>
      <w:r w:rsidRPr="0000163D">
        <w:rPr>
          <w:i/>
          <w:iCs/>
          <w:rtl/>
        </w:rPr>
        <w:tab/>
        <w:t>إن مجلس حقوق الإنسان،</w:t>
      </w:r>
    </w:p>
    <w:p w14:paraId="71DAEC62" w14:textId="47DE369D" w:rsidR="00113A0C" w:rsidRPr="0000163D" w:rsidRDefault="00113A0C" w:rsidP="00113A0C">
      <w:pPr>
        <w:pStyle w:val="SingleTxtGA"/>
      </w:pPr>
      <w:r w:rsidRPr="0000163D">
        <w:rPr>
          <w:rtl/>
        </w:rPr>
        <w:tab/>
      </w:r>
      <w:r w:rsidRPr="0000163D">
        <w:rPr>
          <w:i/>
          <w:iCs/>
          <w:rtl/>
        </w:rPr>
        <w:t>إذ يسترشد</w:t>
      </w:r>
      <w:r w:rsidRPr="0000163D">
        <w:rPr>
          <w:rtl/>
        </w:rPr>
        <w:t xml:space="preserve"> بمقاصد ميثاق الأمم المتحدة ومبادئه وأحكامه،</w:t>
      </w:r>
    </w:p>
    <w:p w14:paraId="76AB5FBD" w14:textId="32E200AC" w:rsidR="00113A0C" w:rsidRPr="0000163D" w:rsidRDefault="00113A0C" w:rsidP="00113A0C">
      <w:pPr>
        <w:pStyle w:val="SingleTxtGA"/>
        <w:rPr>
          <w:spacing w:val="-2"/>
        </w:rPr>
      </w:pPr>
      <w:r w:rsidRPr="0000163D">
        <w:rPr>
          <w:spacing w:val="-2"/>
          <w:rtl/>
        </w:rPr>
        <w:tab/>
      </w:r>
      <w:r w:rsidRPr="0000163D">
        <w:rPr>
          <w:i/>
          <w:iCs/>
          <w:spacing w:val="-2"/>
          <w:rtl/>
        </w:rPr>
        <w:t>وإذ يسترشد أيضاً</w:t>
      </w:r>
      <w:r w:rsidRPr="0000163D">
        <w:rPr>
          <w:spacing w:val="-2"/>
          <w:rtl/>
        </w:rPr>
        <w:t xml:space="preserve"> بالإعلان العالمي لحقوق الإنسان، وإذ يذكِّر بصكوك حقوق الإنسان الدولية ذات الصلة، بما فيها العهد الدولي الخاص بالحقوق الاقتصادية والاجتماعية والثقافية، والعهد الدولي الخاص بالحقوق المدنية والسياسية، واتفاقية حقوق الأشخاص ذوي الإعاقة، واتفاقية القضاء على جميع أشكال التمييز ضد المرأة، واتفاقية حقوق الطفل، والاتفاقية الدولية للقضاء على جميع أشكال التمييز العنصري،</w:t>
      </w:r>
    </w:p>
    <w:p w14:paraId="2784C47B" w14:textId="02FF305B" w:rsidR="00113A0C" w:rsidRPr="0000163D" w:rsidRDefault="00113A0C" w:rsidP="00113A0C">
      <w:pPr>
        <w:pStyle w:val="SingleTxtGA"/>
      </w:pPr>
      <w:r w:rsidRPr="0000163D">
        <w:rPr>
          <w:rtl/>
        </w:rPr>
        <w:tab/>
      </w:r>
      <w:r w:rsidRPr="0000163D">
        <w:rPr>
          <w:i/>
          <w:iCs/>
          <w:rtl/>
        </w:rPr>
        <w:t>وإذ يعترف مع التقدير</w:t>
      </w:r>
      <w:r w:rsidRPr="0000163D">
        <w:rPr>
          <w:rtl/>
        </w:rPr>
        <w:t xml:space="preserve"> بالعمل الذي اضطلعت به ال</w:t>
      </w:r>
      <w:r w:rsidR="00ED2613" w:rsidRPr="0000163D">
        <w:rPr>
          <w:rtl/>
        </w:rPr>
        <w:t>مقرر</w:t>
      </w:r>
      <w:r w:rsidRPr="0000163D">
        <w:rPr>
          <w:rtl/>
        </w:rPr>
        <w:t xml:space="preserve">ة الخاصة المعنية بالقضاء على التمييز ضد المصابين بالجذام (مرض هانسن) وأفراد أسرهم والتقارير التي قدمتها إلى مجلس حقوق الإنسان والجمعية </w:t>
      </w:r>
      <w:proofErr w:type="gramStart"/>
      <w:r w:rsidRPr="0000163D">
        <w:rPr>
          <w:rtl/>
        </w:rPr>
        <w:t>العامة</w:t>
      </w:r>
      <w:r w:rsidRPr="0000163D">
        <w:rPr>
          <w:rFonts w:cs="Times New Roman"/>
          <w:vertAlign w:val="superscript"/>
          <w:rtl/>
        </w:rPr>
        <w:t>(</w:t>
      </w:r>
      <w:proofErr w:type="gramEnd"/>
      <w:r w:rsidRPr="0000163D">
        <w:rPr>
          <w:rFonts w:cs="Times New Roman"/>
          <w:vertAlign w:val="superscript"/>
          <w:rtl/>
        </w:rPr>
        <w:footnoteReference w:id="2"/>
      </w:r>
      <w:r w:rsidRPr="0000163D">
        <w:rPr>
          <w:rFonts w:cs="Times New Roman"/>
          <w:vertAlign w:val="superscript"/>
          <w:rtl/>
        </w:rPr>
        <w:t>)</w:t>
      </w:r>
      <w:r w:rsidRPr="0000163D">
        <w:rPr>
          <w:rtl/>
        </w:rPr>
        <w:t xml:space="preserve">، والتوصيات الواردة فيها، فضلاً عن المساهمات التي قدمتها من خلال الزيارات </w:t>
      </w:r>
      <w:r w:rsidRPr="0000163D">
        <w:rPr>
          <w:rtl/>
        </w:rPr>
        <w:lastRenderedPageBreak/>
        <w:t>القطرية وتقديم التقارير وإشراك أصحاب المصلحة في جهود التوعية وتعزيز تنفيذ المبادئ والمبادئ التوجيهية للقضاء على التمييز ضد المصابين بالجذام وأفراد أسرهم،</w:t>
      </w:r>
    </w:p>
    <w:p w14:paraId="2B726F09" w14:textId="3B48F82F" w:rsidR="00113A0C" w:rsidRPr="0000163D" w:rsidRDefault="00113A0C" w:rsidP="00461640">
      <w:pPr>
        <w:pStyle w:val="SingleTxtGA"/>
        <w:pageBreakBefore/>
      </w:pPr>
      <w:r w:rsidRPr="0000163D">
        <w:rPr>
          <w:rtl/>
        </w:rPr>
        <w:lastRenderedPageBreak/>
        <w:tab/>
      </w:r>
      <w:r w:rsidRPr="0000163D">
        <w:rPr>
          <w:i/>
          <w:iCs/>
          <w:rtl/>
        </w:rPr>
        <w:t>وإذ يذكر</w:t>
      </w:r>
      <w:r w:rsidRPr="0000163D">
        <w:rPr>
          <w:rtl/>
        </w:rPr>
        <w:t xml:space="preserve"> بقرارات مجلس حقوق الإنسان</w:t>
      </w:r>
      <w:r w:rsidRPr="0000163D">
        <w:rPr>
          <w:rFonts w:hint="cs"/>
          <w:rtl/>
        </w:rPr>
        <w:t xml:space="preserve"> </w:t>
      </w:r>
      <w:hyperlink r:id="rId9" w:history="1">
        <w:r w:rsidR="00ED2613" w:rsidRPr="0000163D">
          <w:rPr>
            <w:rStyle w:val="Hyperlink"/>
            <w:rtl/>
          </w:rPr>
          <w:t>8/13</w:t>
        </w:r>
      </w:hyperlink>
      <w:r w:rsidRPr="0000163D">
        <w:rPr>
          <w:rFonts w:hint="cs"/>
          <w:rtl/>
        </w:rPr>
        <w:t xml:space="preserve"> </w:t>
      </w:r>
      <w:hyperlink r:id="rId10" w:history="1"/>
      <w:r w:rsidRPr="0000163D">
        <w:rPr>
          <w:rtl/>
        </w:rPr>
        <w:t>المؤرخ 18 حزيران/يونيه 2008، و</w:t>
      </w:r>
      <w:hyperlink r:id="rId11" w:history="1">
        <w:r w:rsidRPr="0000163D">
          <w:rPr>
            <w:rStyle w:val="Hyperlink"/>
            <w:rtl/>
          </w:rPr>
          <w:t>12/7</w:t>
        </w:r>
      </w:hyperlink>
      <w:r w:rsidRPr="0000163D">
        <w:rPr>
          <w:rtl/>
        </w:rPr>
        <w:t xml:space="preserve"> المؤرخ</w:t>
      </w:r>
      <w:r w:rsidRPr="0000163D">
        <w:rPr>
          <w:rFonts w:hint="cs"/>
          <w:rtl/>
        </w:rPr>
        <w:t> </w:t>
      </w:r>
      <w:r w:rsidRPr="0000163D">
        <w:rPr>
          <w:rtl/>
        </w:rPr>
        <w:t>1 تشرين الأول/أكتوبر 2009، و</w:t>
      </w:r>
      <w:hyperlink r:id="rId12" w:history="1">
        <w:r w:rsidRPr="0000163D">
          <w:rPr>
            <w:rStyle w:val="Hyperlink"/>
            <w:rtl/>
          </w:rPr>
          <w:t>15/10</w:t>
        </w:r>
      </w:hyperlink>
      <w:r w:rsidRPr="0000163D">
        <w:rPr>
          <w:rtl/>
        </w:rPr>
        <w:t xml:space="preserve"> المؤرخ 30 أيلول/سبتمبر 2010، و</w:t>
      </w:r>
      <w:hyperlink r:id="rId13" w:history="1">
        <w:r w:rsidRPr="0000163D">
          <w:rPr>
            <w:rStyle w:val="Hyperlink"/>
            <w:rtl/>
          </w:rPr>
          <w:t>29/5</w:t>
        </w:r>
      </w:hyperlink>
      <w:r w:rsidRPr="0000163D">
        <w:rPr>
          <w:rtl/>
        </w:rPr>
        <w:t xml:space="preserve"> المؤرخ 2 تموز/يوليه 2015، و</w:t>
      </w:r>
      <w:hyperlink r:id="rId14" w:history="1">
        <w:r w:rsidRPr="0000163D">
          <w:rPr>
            <w:rStyle w:val="Hyperlink"/>
            <w:rtl/>
          </w:rPr>
          <w:t>35/9</w:t>
        </w:r>
      </w:hyperlink>
      <w:r w:rsidRPr="0000163D">
        <w:rPr>
          <w:rtl/>
        </w:rPr>
        <w:t xml:space="preserve"> المؤرخ 22 حزيران/يونيه 2017، و</w:t>
      </w:r>
      <w:hyperlink r:id="rId15" w:history="1">
        <w:r w:rsidRPr="0000163D">
          <w:rPr>
            <w:rStyle w:val="Hyperlink"/>
            <w:rtl/>
          </w:rPr>
          <w:t>44/6</w:t>
        </w:r>
      </w:hyperlink>
      <w:r w:rsidRPr="0000163D">
        <w:rPr>
          <w:rtl/>
        </w:rPr>
        <w:t xml:space="preserve"> المؤرخ 16 تموز/يوليه 2020، و</w:t>
      </w:r>
      <w:hyperlink r:id="rId16" w:history="1">
        <w:r w:rsidRPr="0000163D">
          <w:rPr>
            <w:rStyle w:val="Hyperlink"/>
            <w:rtl/>
          </w:rPr>
          <w:t>53/8</w:t>
        </w:r>
      </w:hyperlink>
      <w:r w:rsidRPr="0000163D">
        <w:rPr>
          <w:rtl/>
        </w:rPr>
        <w:t xml:space="preserve"> المؤرخ 12 تموز/يوليه 2023، وقرار الجمعية العامة </w:t>
      </w:r>
      <w:hyperlink r:id="rId17" w:history="1">
        <w:r w:rsidR="00ED2613" w:rsidRPr="0000163D">
          <w:rPr>
            <w:rStyle w:val="Hyperlink"/>
            <w:rtl/>
          </w:rPr>
          <w:t>65/215</w:t>
        </w:r>
      </w:hyperlink>
      <w:r w:rsidR="00ED2613" w:rsidRPr="0000163D">
        <w:rPr>
          <w:rFonts w:hint="cs"/>
          <w:rtl/>
        </w:rPr>
        <w:t xml:space="preserve"> </w:t>
      </w:r>
      <w:r w:rsidRPr="0000163D">
        <w:rPr>
          <w:rtl/>
        </w:rPr>
        <w:t>المؤرخ 21 كانون الأول/</w:t>
      </w:r>
      <w:r w:rsidRPr="0000163D">
        <w:rPr>
          <w:rFonts w:hint="cs"/>
          <w:rtl/>
        </w:rPr>
        <w:t xml:space="preserve"> </w:t>
      </w:r>
      <w:r w:rsidRPr="0000163D">
        <w:rPr>
          <w:rtl/>
        </w:rPr>
        <w:t>ديسمبر</w:t>
      </w:r>
      <w:r w:rsidRPr="0000163D">
        <w:rPr>
          <w:rFonts w:hint="cs"/>
          <w:rtl/>
        </w:rPr>
        <w:t> </w:t>
      </w:r>
      <w:r w:rsidRPr="0000163D">
        <w:rPr>
          <w:rtl/>
        </w:rPr>
        <w:t xml:space="preserve">2010، والتقرير النهائي للجنة الاستشارية لمجلس حقوق الإنسان المقدم عملاً بقرار مجلس حقوق الإنسان </w:t>
      </w:r>
      <w:hyperlink r:id="rId18" w:history="1">
        <w:r w:rsidR="00ED2613" w:rsidRPr="0000163D">
          <w:rPr>
            <w:rStyle w:val="Hyperlink"/>
            <w:rtl/>
          </w:rPr>
          <w:t>29/5</w:t>
        </w:r>
      </w:hyperlink>
      <w:r w:rsidR="00ED2613" w:rsidRPr="0000163D">
        <w:rPr>
          <w:rFonts w:hint="cs"/>
          <w:rtl/>
        </w:rPr>
        <w:t xml:space="preserve"> </w:t>
      </w:r>
      <w:r w:rsidRPr="0000163D">
        <w:rPr>
          <w:rtl/>
        </w:rPr>
        <w:t>المؤرخ 2 تموز/يوليه 2015 والتوصيات الواردة فيه</w:t>
      </w:r>
      <w:r w:rsidRPr="0000163D">
        <w:rPr>
          <w:rFonts w:cs="Times New Roman"/>
          <w:vertAlign w:val="superscript"/>
          <w:rtl/>
        </w:rPr>
        <w:t>(</w:t>
      </w:r>
      <w:r w:rsidRPr="0000163D">
        <w:rPr>
          <w:rFonts w:cs="Times New Roman"/>
          <w:vertAlign w:val="superscript"/>
          <w:rtl/>
        </w:rPr>
        <w:footnoteReference w:id="3"/>
      </w:r>
      <w:r w:rsidRPr="0000163D">
        <w:rPr>
          <w:rFonts w:cs="Times New Roman"/>
          <w:vertAlign w:val="superscript"/>
          <w:rtl/>
        </w:rPr>
        <w:t>)</w:t>
      </w:r>
      <w:r w:rsidRPr="0000163D">
        <w:rPr>
          <w:rtl/>
        </w:rPr>
        <w:t>،</w:t>
      </w:r>
    </w:p>
    <w:p w14:paraId="601A89A1" w14:textId="457DBAD7" w:rsidR="00113A0C" w:rsidRPr="0000163D" w:rsidRDefault="00113A0C" w:rsidP="00113A0C">
      <w:pPr>
        <w:pStyle w:val="SingleTxtGA"/>
      </w:pPr>
      <w:r w:rsidRPr="0000163D">
        <w:rPr>
          <w:rtl/>
        </w:rPr>
        <w:tab/>
      </w:r>
      <w:r w:rsidRPr="0000163D">
        <w:rPr>
          <w:i/>
          <w:iCs/>
          <w:rtl/>
        </w:rPr>
        <w:t>وإذ يذكر أيضاً</w:t>
      </w:r>
      <w:r w:rsidRPr="0000163D">
        <w:rPr>
          <w:rtl/>
        </w:rPr>
        <w:t xml:space="preserve"> بأن جميع حقوق الإنسان والحريات الأساسية عالمية وغير قابلة للتجزئة ومترابطة ومتشابكة،</w:t>
      </w:r>
    </w:p>
    <w:p w14:paraId="751ECBC3" w14:textId="0375B46F" w:rsidR="00113A0C" w:rsidRPr="0000163D" w:rsidRDefault="00113A0C" w:rsidP="00113A0C">
      <w:pPr>
        <w:pStyle w:val="SingleTxtGA"/>
      </w:pPr>
      <w:r w:rsidRPr="0000163D">
        <w:rPr>
          <w:rtl/>
        </w:rPr>
        <w:tab/>
      </w:r>
      <w:r w:rsidRPr="0000163D">
        <w:rPr>
          <w:i/>
          <w:iCs/>
          <w:rtl/>
        </w:rPr>
        <w:t>وإذ يذكر كذلك</w:t>
      </w:r>
      <w:r w:rsidRPr="0000163D">
        <w:rPr>
          <w:rtl/>
        </w:rPr>
        <w:t xml:space="preserve"> بالاستراتيجية العالمية لمكافحة الجذام (داء هانسن) للفترة 2021–2030 التي وضعتها منظمة الصحة العالمية، وإذ يشارك الطموح المشترك إلى تعجيل الخطى نحو عالم خالٍ من الجذام/مرض هانسن،</w:t>
      </w:r>
    </w:p>
    <w:p w14:paraId="397BF5B8" w14:textId="5597C723" w:rsidR="00113A0C" w:rsidRPr="0000163D" w:rsidRDefault="00113A0C" w:rsidP="00113A0C">
      <w:pPr>
        <w:pStyle w:val="SingleTxtGA"/>
      </w:pPr>
      <w:r w:rsidRPr="0000163D">
        <w:rPr>
          <w:rtl/>
        </w:rPr>
        <w:tab/>
      </w:r>
      <w:r w:rsidRPr="0000163D">
        <w:rPr>
          <w:i/>
          <w:iCs/>
          <w:rtl/>
        </w:rPr>
        <w:t>وإذ يذكر</w:t>
      </w:r>
      <w:r w:rsidRPr="0000163D">
        <w:rPr>
          <w:rtl/>
        </w:rPr>
        <w:t xml:space="preserve"> بأن الجذام/داء هانسن مرض قابل للشفاء، وبأنه يمكن حماية حقوق الإنسان للأشخاص المصابين بالجذام/داء هانسن حماية أفضل من خلال توفير العلاج في المراحل المبكرة، وهو ما يمكن أن يمنع حدوث عاهات وإعاقة،</w:t>
      </w:r>
    </w:p>
    <w:p w14:paraId="638E73AD" w14:textId="2671399C" w:rsidR="00113A0C" w:rsidRPr="0000163D" w:rsidRDefault="00113A0C" w:rsidP="00113A0C">
      <w:pPr>
        <w:pStyle w:val="SingleTxtGA"/>
      </w:pPr>
      <w:r w:rsidRPr="0000163D">
        <w:rPr>
          <w:rtl/>
        </w:rPr>
        <w:tab/>
      </w:r>
      <w:r w:rsidRPr="0000163D">
        <w:rPr>
          <w:i/>
          <w:iCs/>
          <w:rtl/>
        </w:rPr>
        <w:t>وإذ يساوره قلق بالغ</w:t>
      </w:r>
      <w:r w:rsidRPr="0000163D">
        <w:rPr>
          <w:rtl/>
        </w:rPr>
        <w:t xml:space="preserve"> لأن الأشخاص المصابين بالجذام/داء هانسن وأفراد أسرهم لا يزالون يواجهون، في أنحاء شتى من العالم، حواجز تمنع مشاركتهم كأفراد مجتمع على قدم المساواة مع غيرهم، بما في ذلك العزلة والتمييز وانتهاكات وتجاوزات حقوق الإنسان الواجبة لهم، مما يضعهم في حالة استضعاف، وإذ يدرك ضرورة إيلاء التصدي لهذه التحديات عناية أكبر،</w:t>
      </w:r>
    </w:p>
    <w:p w14:paraId="6AF899E6" w14:textId="2DE55B0A" w:rsidR="00113A0C" w:rsidRPr="0000163D" w:rsidRDefault="00113A0C" w:rsidP="00113A0C">
      <w:pPr>
        <w:pStyle w:val="SingleTxtGA"/>
      </w:pPr>
      <w:r w:rsidRPr="0000163D">
        <w:rPr>
          <w:rtl/>
        </w:rPr>
        <w:tab/>
      </w:r>
      <w:r w:rsidRPr="0000163D">
        <w:rPr>
          <w:i/>
          <w:iCs/>
          <w:rtl/>
        </w:rPr>
        <w:t>وإذ يؤكد مجدداً</w:t>
      </w:r>
      <w:r w:rsidRPr="0000163D">
        <w:rPr>
          <w:rtl/>
        </w:rPr>
        <w:t xml:space="preserve"> أنه ينبغي معاملة الأشخاص المصابين بالجذام/داء هانسن وأفراد أسرهم، بمن فيهم النساء والأطفال والمراهقون والأشخاص ذوو العاهات والإعاقات المرتبطة بالجذام/داء هانسن وكبار السن، معاملة تحفظ كرامتهم وأنه يحق لهم التمتع بجميع حقوق الإنسان والحريات الأساسية بموجب القانون الدولي، بما في ذلك الاتفاقيات ذات الصلة، والدساتير والقوانين الوطنية،</w:t>
      </w:r>
    </w:p>
    <w:p w14:paraId="5E34F587" w14:textId="1652C8B3" w:rsidR="00113A0C" w:rsidRPr="0000163D" w:rsidRDefault="00113A0C" w:rsidP="00113A0C">
      <w:pPr>
        <w:pStyle w:val="SingleTxtGA"/>
      </w:pPr>
      <w:r w:rsidRPr="0000163D">
        <w:rPr>
          <w:rtl/>
        </w:rPr>
        <w:tab/>
      </w:r>
      <w:r w:rsidRPr="0000163D">
        <w:rPr>
          <w:i/>
          <w:iCs/>
          <w:rtl/>
        </w:rPr>
        <w:t>وإذ يسلم</w:t>
      </w:r>
      <w:r w:rsidRPr="0000163D">
        <w:rPr>
          <w:rtl/>
        </w:rPr>
        <w:t xml:space="preserve"> بأن الأشخاص المصابين بالجذام/داء هانسن وأفراد أسرهم ما زالوا يواجهون أشكالاً متعددة من الوصم والتمييز الناجمين عن المعلومات المغلوطة وسوء فهم الداء، مما يؤدي إلى قوالب نمطية ضارة في جميع أنحاء العالم،</w:t>
      </w:r>
    </w:p>
    <w:p w14:paraId="30BC2851" w14:textId="4BC1D8DB" w:rsidR="00113A0C" w:rsidRPr="0000163D" w:rsidRDefault="00113A0C" w:rsidP="00113A0C">
      <w:pPr>
        <w:pStyle w:val="SingleTxtGA"/>
      </w:pPr>
      <w:r w:rsidRPr="0000163D">
        <w:rPr>
          <w:rtl/>
        </w:rPr>
        <w:tab/>
      </w:r>
      <w:r w:rsidRPr="0000163D">
        <w:rPr>
          <w:i/>
          <w:iCs/>
          <w:rtl/>
        </w:rPr>
        <w:t>وإذ يسلم أيضا</w:t>
      </w:r>
      <w:r w:rsidRPr="0000163D">
        <w:rPr>
          <w:rFonts w:hint="cs"/>
          <w:i/>
          <w:iCs/>
          <w:rtl/>
        </w:rPr>
        <w:t>ً</w:t>
      </w:r>
      <w:r w:rsidRPr="0000163D">
        <w:rPr>
          <w:rtl/>
        </w:rPr>
        <w:t xml:space="preserve"> بضرورة إيلاء التصدي لجميع أشكال الوصم والتمييز والعنف ضد الأشخاص المصابين بالجذام/داء</w:t>
      </w:r>
      <w:r w:rsidRPr="0000163D">
        <w:rPr>
          <w:rFonts w:hint="cs"/>
          <w:rtl/>
        </w:rPr>
        <w:t xml:space="preserve"> </w:t>
      </w:r>
      <w:r w:rsidRPr="0000163D">
        <w:rPr>
          <w:rtl/>
        </w:rPr>
        <w:t>هانسن وأفراد أسرهم اهتماماً خاصاً،</w:t>
      </w:r>
    </w:p>
    <w:p w14:paraId="3D6370F6" w14:textId="66A91A8E" w:rsidR="00113A0C" w:rsidRPr="0000163D" w:rsidRDefault="00113A0C" w:rsidP="00113A0C">
      <w:pPr>
        <w:pStyle w:val="SingleTxtGA"/>
      </w:pPr>
      <w:r w:rsidRPr="0000163D">
        <w:rPr>
          <w:rtl/>
        </w:rPr>
        <w:tab/>
        <w:t>وإذ يضع في اعتباره الحاجة إلى تكثيف الجهود الرامية إلى القضاء على جميع أشكال الوصم والتمييز والعنف ضد الأشخاص المصابين بالجذام/داء</w:t>
      </w:r>
      <w:r w:rsidRPr="0000163D">
        <w:rPr>
          <w:rFonts w:hint="cs"/>
          <w:rtl/>
        </w:rPr>
        <w:t xml:space="preserve"> </w:t>
      </w:r>
      <w:r w:rsidRPr="0000163D">
        <w:rPr>
          <w:rtl/>
        </w:rPr>
        <w:t>هانسن وأفراد أسرهم، وإلى تعزيز الأطر القانونية والسياسات العامة التي تيسر مساواتهم وإدماجهم قانوناً وممارسة في جميع أنحاء العالم،</w:t>
      </w:r>
    </w:p>
    <w:p w14:paraId="2AF1566D" w14:textId="7B587117" w:rsidR="00113A0C" w:rsidRPr="0000163D" w:rsidRDefault="00113A0C" w:rsidP="00113A0C">
      <w:pPr>
        <w:pStyle w:val="SingleTxtGA"/>
        <w:rPr>
          <w:spacing w:val="-2"/>
        </w:rPr>
      </w:pPr>
      <w:r w:rsidRPr="0000163D">
        <w:rPr>
          <w:spacing w:val="-2"/>
          <w:rtl/>
        </w:rPr>
        <w:tab/>
      </w:r>
      <w:r w:rsidRPr="0000163D">
        <w:rPr>
          <w:i/>
          <w:iCs/>
          <w:spacing w:val="-2"/>
          <w:rtl/>
        </w:rPr>
        <w:t>وإذ يشدد</w:t>
      </w:r>
      <w:r w:rsidRPr="0000163D">
        <w:rPr>
          <w:spacing w:val="-2"/>
          <w:rtl/>
        </w:rPr>
        <w:t xml:space="preserve"> على أهمية التنفيذ الفعال والنشر الواسع النطاق للمبادئ والمبادئ التوجيهية الرامية إلى القضاء على التمييز ضد الأشخاص المصابين بالجذام وأفراد أسرهم، التي قدمتها اللجنة الاستشارية لمجلس حقوق الإنسان إلى المجلس في عام 2010</w:t>
      </w:r>
      <w:r w:rsidRPr="0000163D">
        <w:rPr>
          <w:rFonts w:cs="Times New Roman"/>
          <w:spacing w:val="-2"/>
          <w:vertAlign w:val="superscript"/>
          <w:rtl/>
        </w:rPr>
        <w:t>(</w:t>
      </w:r>
      <w:r w:rsidRPr="0000163D">
        <w:rPr>
          <w:rFonts w:cs="Times New Roman"/>
          <w:spacing w:val="-2"/>
          <w:vertAlign w:val="superscript"/>
          <w:rtl/>
        </w:rPr>
        <w:footnoteReference w:id="4"/>
      </w:r>
      <w:r w:rsidRPr="0000163D">
        <w:rPr>
          <w:rFonts w:cs="Times New Roman"/>
          <w:spacing w:val="-2"/>
          <w:vertAlign w:val="superscript"/>
          <w:rtl/>
        </w:rPr>
        <w:t>)</w:t>
      </w:r>
      <w:r w:rsidRPr="0000163D">
        <w:rPr>
          <w:spacing w:val="-2"/>
          <w:rtl/>
        </w:rPr>
        <w:t>، والتي شجع المجلس، في قراره</w:t>
      </w:r>
      <w:r w:rsidR="00ED2613" w:rsidRPr="0000163D">
        <w:rPr>
          <w:spacing w:val="-2"/>
          <w:rtl/>
        </w:rPr>
        <w:t xml:space="preserve"> </w:t>
      </w:r>
      <w:hyperlink r:id="rId19" w:history="1">
        <w:r w:rsidR="00ED2613" w:rsidRPr="0000163D">
          <w:rPr>
            <w:rStyle w:val="Hyperlink"/>
            <w:spacing w:val="-2"/>
            <w:rtl/>
          </w:rPr>
          <w:t>15/10</w:t>
        </w:r>
      </w:hyperlink>
      <w:r w:rsidR="00ED2613" w:rsidRPr="0000163D">
        <w:rPr>
          <w:spacing w:val="-2"/>
          <w:rtl/>
        </w:rPr>
        <w:t>،</w:t>
      </w:r>
      <w:r w:rsidRPr="0000163D">
        <w:rPr>
          <w:spacing w:val="-2"/>
          <w:rtl/>
        </w:rPr>
        <w:t xml:space="preserve"> والجمعية العامة، في قرارها</w:t>
      </w:r>
      <w:r w:rsidR="00ED2613" w:rsidRPr="0000163D">
        <w:rPr>
          <w:spacing w:val="-2"/>
          <w:rtl/>
        </w:rPr>
        <w:t xml:space="preserve"> </w:t>
      </w:r>
      <w:hyperlink r:id="rId20" w:history="1">
        <w:r w:rsidR="00ED2613" w:rsidRPr="0000163D">
          <w:rPr>
            <w:rStyle w:val="Hyperlink"/>
            <w:spacing w:val="-2"/>
            <w:rtl/>
          </w:rPr>
          <w:t>65/215</w:t>
        </w:r>
      </w:hyperlink>
      <w:r w:rsidR="00ED2613" w:rsidRPr="0000163D">
        <w:rPr>
          <w:spacing w:val="-2"/>
          <w:rtl/>
        </w:rPr>
        <w:t>،</w:t>
      </w:r>
      <w:r w:rsidRPr="0000163D">
        <w:rPr>
          <w:spacing w:val="-2"/>
          <w:rtl/>
        </w:rPr>
        <w:t xml:space="preserve"> الحكومات وهيئات الأمم المتحدة ووكالاتها المتخصصة وصناديقها وبرامجها ذات الصلة والمنظمات الحكومية الدولية الأخرى والمؤسسات الوطنية لحقوق الإنسان، على إيلائها الاعتبار الواجب لها،</w:t>
      </w:r>
    </w:p>
    <w:p w14:paraId="078D4AE6" w14:textId="006CA0FE" w:rsidR="00113A0C" w:rsidRPr="0000163D" w:rsidRDefault="00113A0C" w:rsidP="00113A0C">
      <w:pPr>
        <w:pStyle w:val="SingleTxtGA"/>
      </w:pPr>
      <w:r w:rsidRPr="0000163D">
        <w:rPr>
          <w:rtl/>
        </w:rPr>
        <w:tab/>
      </w:r>
      <w:r w:rsidRPr="0000163D">
        <w:rPr>
          <w:i/>
          <w:iCs/>
          <w:rtl/>
        </w:rPr>
        <w:t>وإذ يقر</w:t>
      </w:r>
      <w:r w:rsidRPr="0000163D">
        <w:rPr>
          <w:rtl/>
        </w:rPr>
        <w:t xml:space="preserve"> بالجهود التي تبذلها الدول لمراجعة القوانين والسياسات والممارسات التمييزية التي تؤثر على الأشخاص المصابين بالجذام/داء</w:t>
      </w:r>
      <w:r w:rsidRPr="0000163D">
        <w:rPr>
          <w:rFonts w:hint="cs"/>
          <w:rtl/>
        </w:rPr>
        <w:t xml:space="preserve"> </w:t>
      </w:r>
      <w:r w:rsidRPr="0000163D">
        <w:rPr>
          <w:rtl/>
        </w:rPr>
        <w:t>هانسن وأفراد أسرهم، أو إلغائها أو تعديلها، بما يتوافق مع التزاماتها الدولية في مجال حقوق الإنسان وسياقاتها الوطنية،</w:t>
      </w:r>
    </w:p>
    <w:p w14:paraId="527F0EFA" w14:textId="199DAFF7" w:rsidR="00113A0C" w:rsidRPr="0000163D" w:rsidRDefault="00113A0C" w:rsidP="00113A0C">
      <w:pPr>
        <w:pStyle w:val="SingleTxtGA"/>
      </w:pPr>
      <w:r w:rsidRPr="0000163D">
        <w:rPr>
          <w:rtl/>
        </w:rPr>
        <w:tab/>
        <w:t>1-</w:t>
      </w:r>
      <w:r w:rsidRPr="0000163D">
        <w:rPr>
          <w:rtl/>
        </w:rPr>
        <w:tab/>
      </w:r>
      <w:r w:rsidRPr="0000163D">
        <w:rPr>
          <w:i/>
          <w:iCs/>
          <w:rtl/>
        </w:rPr>
        <w:t>يؤكد من جديد</w:t>
      </w:r>
      <w:r w:rsidRPr="0000163D">
        <w:rPr>
          <w:rtl/>
        </w:rPr>
        <w:t xml:space="preserve"> على الأهمية المستمرة التي تحظى بها المبادئ والمبادئ التوجيهية للقضاء على التمييز ضد الأشخاص المصابين بالجذام وأفراد أسرهم باعتبارها إطاراً رئيسياً للتصدي للتمييز المرتبط بالجذام/داء هانسن، وكذلك لحماية حقوق الأفراد الذين أصيبوا بالجذام/داء هانسن؛</w:t>
      </w:r>
    </w:p>
    <w:p w14:paraId="6F6E7A37" w14:textId="3AA0797F" w:rsidR="00113A0C" w:rsidRPr="0000163D" w:rsidRDefault="00113A0C" w:rsidP="00113A0C">
      <w:pPr>
        <w:pStyle w:val="SingleTxtGA"/>
      </w:pPr>
      <w:r w:rsidRPr="0000163D">
        <w:rPr>
          <w:rtl/>
        </w:rPr>
        <w:tab/>
        <w:t>2-</w:t>
      </w:r>
      <w:r w:rsidRPr="0000163D">
        <w:rPr>
          <w:rtl/>
        </w:rPr>
        <w:tab/>
      </w:r>
      <w:r w:rsidRPr="0000163D">
        <w:rPr>
          <w:i/>
          <w:iCs/>
          <w:rtl/>
        </w:rPr>
        <w:t>يشجع</w:t>
      </w:r>
      <w:r w:rsidRPr="0000163D">
        <w:rPr>
          <w:rtl/>
        </w:rPr>
        <w:t xml:space="preserve"> الدول وأصحاب المصلحة المعنيين على إيلاء المبادئ والمبادئ التوجيهية الاعتبار الواجب، وعلى إذكاء الوعي بها وفهمها ونشرها واستخدامها على نطاق أوسع على الصعيدين الوطني ودون الوطني؛</w:t>
      </w:r>
    </w:p>
    <w:p w14:paraId="7C53714F" w14:textId="3961C3CB" w:rsidR="00113A0C" w:rsidRPr="0000163D" w:rsidRDefault="00113A0C" w:rsidP="00113A0C">
      <w:pPr>
        <w:pStyle w:val="SingleTxtGA"/>
      </w:pPr>
      <w:r w:rsidRPr="0000163D">
        <w:rPr>
          <w:rtl/>
        </w:rPr>
        <w:tab/>
        <w:t>3-</w:t>
      </w:r>
      <w:r w:rsidRPr="0000163D">
        <w:rPr>
          <w:rtl/>
        </w:rPr>
        <w:tab/>
      </w:r>
      <w:r w:rsidRPr="0000163D">
        <w:rPr>
          <w:i/>
          <w:iCs/>
          <w:rtl/>
        </w:rPr>
        <w:t>يدعو</w:t>
      </w:r>
      <w:r w:rsidRPr="0000163D">
        <w:rPr>
          <w:rtl/>
        </w:rPr>
        <w:t xml:space="preserve"> الدول إلى مواصلة الجهود، وتكثيفها، عند الاقتضاء، من أجل القضاء على التمييز ضد الأشخاص المصابين بالجذام/داء هانسن وأفراد أسرهم، بسبل منها إدماج التدابير ذات الصلة في القوانين والسياسات والبرامج والاستراتيجيات الوطنية ودون الوطنية، مع إيلاء الاعتبار الواجب لمبادئ عدم التمييز والمساواة والمشاركة والحصول على المعلومات؛</w:t>
      </w:r>
    </w:p>
    <w:p w14:paraId="282EE21B" w14:textId="6AE3FD95" w:rsidR="00113A0C" w:rsidRPr="0000163D" w:rsidRDefault="00113A0C" w:rsidP="00113A0C">
      <w:pPr>
        <w:pStyle w:val="SingleTxtGA"/>
      </w:pPr>
      <w:r w:rsidRPr="0000163D">
        <w:rPr>
          <w:rtl/>
        </w:rPr>
        <w:tab/>
        <w:t>4-</w:t>
      </w:r>
      <w:r w:rsidRPr="0000163D">
        <w:rPr>
          <w:rtl/>
        </w:rPr>
        <w:tab/>
      </w:r>
      <w:r w:rsidRPr="0000163D">
        <w:rPr>
          <w:i/>
          <w:iCs/>
          <w:rtl/>
        </w:rPr>
        <w:t>يشجع</w:t>
      </w:r>
      <w:r w:rsidRPr="0000163D">
        <w:rPr>
          <w:rtl/>
        </w:rPr>
        <w:t xml:space="preserve"> الدول وأصحاب المصلحة المعنيين، حيثما كان ذلك مناسباً ووفقاً للتشريعات الوطنية، على الاستفادة من تكنولوجيات المعلومات والاتصالات الرقمية الميسورة الوصول لتيسير جهود التوعية، بما يشمل تشخيص الأشخاص المصابين بالجذام/داء هانسن وأفراد أسرهم تشخيصاً مبكراً وحصولهم على الدعم ومشاركتهم والحد من الوصم الذي يتعرضون له؛</w:t>
      </w:r>
    </w:p>
    <w:p w14:paraId="29A4E9C5" w14:textId="35CA67DE" w:rsidR="00113A0C" w:rsidRPr="0000163D" w:rsidRDefault="00113A0C" w:rsidP="00113A0C">
      <w:pPr>
        <w:pStyle w:val="SingleTxtGA"/>
      </w:pPr>
      <w:r w:rsidRPr="0000163D">
        <w:rPr>
          <w:rtl/>
        </w:rPr>
        <w:tab/>
        <w:t>5-</w:t>
      </w:r>
      <w:r w:rsidRPr="0000163D">
        <w:rPr>
          <w:rtl/>
        </w:rPr>
        <w:tab/>
      </w:r>
      <w:r w:rsidRPr="0000163D">
        <w:rPr>
          <w:i/>
          <w:iCs/>
          <w:rtl/>
        </w:rPr>
        <w:t>يشجع</w:t>
      </w:r>
      <w:r w:rsidRPr="0000163D">
        <w:rPr>
          <w:rtl/>
        </w:rPr>
        <w:t xml:space="preserve"> الدول، بدعم من مفوضية الأمم المتحدة السامية لحقوق الإنسان وكيانات الأمم المتحدة المعنية، على الاحتفال باليوم العالمي لمكافحة الجذام، الذي يُقام سنوياً في آخر يوم أحد من شهر كانون الثاني/يناير، باعتباره فرصة لتوعية الجمهور وتعزيز الحوار العام بشأن القضاء على التمييز ضد الأشخاص المصابين بالجذام/داء هانسن وأفراد أسرهم، بما في ذلك من خلال المناسبات العامة وأنشطة التثقيف والتوعية التي ينبغي أن تُسمع أصوات الأشخاص المصابين بالجذام/داء هانسن باعتبارها وسيلة للقضاء على التمييز؛</w:t>
      </w:r>
    </w:p>
    <w:p w14:paraId="36A8FABE" w14:textId="6BF2F693" w:rsidR="00113A0C" w:rsidRPr="0000163D" w:rsidRDefault="00113A0C" w:rsidP="00113A0C">
      <w:pPr>
        <w:pStyle w:val="SingleTxtGA"/>
      </w:pPr>
      <w:r w:rsidRPr="0000163D">
        <w:rPr>
          <w:rtl/>
        </w:rPr>
        <w:tab/>
        <w:t>6-</w:t>
      </w:r>
      <w:r w:rsidRPr="0000163D">
        <w:rPr>
          <w:rtl/>
        </w:rPr>
        <w:tab/>
      </w:r>
      <w:r w:rsidRPr="0000163D">
        <w:rPr>
          <w:i/>
          <w:iCs/>
          <w:rtl/>
        </w:rPr>
        <w:t>يطلب</w:t>
      </w:r>
      <w:r w:rsidRPr="0000163D">
        <w:rPr>
          <w:rtl/>
        </w:rPr>
        <w:t xml:space="preserve"> إلى ال</w:t>
      </w:r>
      <w:r w:rsidR="00ED2613" w:rsidRPr="0000163D">
        <w:rPr>
          <w:rtl/>
        </w:rPr>
        <w:t>مقرر</w:t>
      </w:r>
      <w:r w:rsidRPr="0000163D">
        <w:rPr>
          <w:rtl/>
        </w:rPr>
        <w:t>ة الخاصة الحالية المعنية بالقضاء على التمييز ضد الأشخاص المصابين بالجذام (داء هانسن) وأفراد أسرهم أن تقدم تقريراً إلى الجمعية العامة في دورتها الحادية والثمانين، في حدود الموارد المتاحة؛</w:t>
      </w:r>
    </w:p>
    <w:p w14:paraId="0BA80C24" w14:textId="6B07A4AA" w:rsidR="00113A0C" w:rsidRPr="0000163D" w:rsidRDefault="00113A0C" w:rsidP="00113A0C">
      <w:pPr>
        <w:pStyle w:val="SingleTxtGA"/>
        <w:rPr>
          <w:spacing w:val="-4"/>
        </w:rPr>
      </w:pPr>
      <w:r w:rsidRPr="0000163D">
        <w:rPr>
          <w:spacing w:val="-4"/>
          <w:rtl/>
        </w:rPr>
        <w:tab/>
        <w:t>7-</w:t>
      </w:r>
      <w:r w:rsidRPr="0000163D">
        <w:rPr>
          <w:spacing w:val="-4"/>
          <w:rtl/>
        </w:rPr>
        <w:tab/>
      </w:r>
      <w:r w:rsidRPr="0000163D">
        <w:rPr>
          <w:i/>
          <w:iCs/>
          <w:spacing w:val="-4"/>
          <w:rtl/>
        </w:rPr>
        <w:t>يطلب</w:t>
      </w:r>
      <w:r w:rsidRPr="0000163D">
        <w:rPr>
          <w:spacing w:val="-4"/>
          <w:rtl/>
        </w:rPr>
        <w:t xml:space="preserve"> إلى مفوض الأمم المتحدة السامي لحقوق الإنسان أن يقدم إلى مجلس حقوق الإنسان في دورته السبعين تقريراً شاملاً عن تنفيذ المبادئ والمبادئ التوجيهية للقضاء على التمييز ضد المصابين بالجذام وأفراد أسرهم، وكذلك عن التقدم المحرز في القضاء على التمييز ضد الأشخاص المصابين بالجذام/داء هانسن </w:t>
      </w:r>
      <w:r w:rsidRPr="0000163D">
        <w:rPr>
          <w:rFonts w:hint="cs"/>
          <w:spacing w:val="-4"/>
          <w:rtl/>
        </w:rPr>
        <w:t>وحماية</w:t>
      </w:r>
      <w:r w:rsidRPr="0000163D">
        <w:rPr>
          <w:spacing w:val="-4"/>
          <w:rtl/>
        </w:rPr>
        <w:t xml:space="preserve"> حقوق الإنسان الواجبة لهم وإعمالها، على أن تعقب ذلك جلسة تحاور؛</w:t>
      </w:r>
    </w:p>
    <w:p w14:paraId="48E66EA2" w14:textId="76BF144A" w:rsidR="00113A0C" w:rsidRPr="0000163D" w:rsidRDefault="00113A0C" w:rsidP="00113A0C">
      <w:pPr>
        <w:pStyle w:val="SingleTxtGA"/>
      </w:pPr>
      <w:r w:rsidRPr="0000163D">
        <w:rPr>
          <w:rtl/>
        </w:rPr>
        <w:tab/>
        <w:t>8-</w:t>
      </w:r>
      <w:r w:rsidRPr="0000163D">
        <w:rPr>
          <w:rtl/>
        </w:rPr>
        <w:tab/>
      </w:r>
      <w:r w:rsidRPr="0000163D">
        <w:rPr>
          <w:i/>
          <w:iCs/>
          <w:rtl/>
        </w:rPr>
        <w:t>يرحب</w:t>
      </w:r>
      <w:r w:rsidRPr="0000163D">
        <w:rPr>
          <w:rtl/>
        </w:rPr>
        <w:t xml:space="preserve"> بما تبذله الدول والجهات المعنية من جهود في سبيل عقد مناسبات توعية سنوية رفيعة المستوى يمكن خلالها تقييم التقدم المحرز وتيسير التعاون التقني وتتمحور حول الأشخاص المصابين بالجذام/داء هانسن وتهدف إلى حماية حقوقهم الإنسان الواجبة لهم وإعمالها، بدعم من مفوضية الأمم المتحدة السامية لحقوق الإنسان، رهناً بتوافر التبرعات المقدمة لهذا الغرض؛</w:t>
      </w:r>
    </w:p>
    <w:p w14:paraId="4B2F2779" w14:textId="1B7A5AD3" w:rsidR="00113A0C" w:rsidRPr="0000163D" w:rsidRDefault="00113A0C" w:rsidP="00113A0C">
      <w:pPr>
        <w:pStyle w:val="SingleTxtGA"/>
        <w:rPr>
          <w:rFonts w:hint="cs"/>
          <w:rtl/>
        </w:rPr>
      </w:pPr>
      <w:r w:rsidRPr="0000163D">
        <w:rPr>
          <w:rtl/>
        </w:rPr>
        <w:tab/>
        <w:t>9-</w:t>
      </w:r>
      <w:r w:rsidRPr="0000163D">
        <w:rPr>
          <w:rtl/>
        </w:rPr>
        <w:tab/>
      </w:r>
      <w:r w:rsidRPr="0000163D">
        <w:rPr>
          <w:i/>
          <w:iCs/>
          <w:rtl/>
        </w:rPr>
        <w:t>يطلب</w:t>
      </w:r>
      <w:r w:rsidRPr="0000163D">
        <w:rPr>
          <w:rtl/>
        </w:rPr>
        <w:t xml:space="preserve"> إلى المفوض السامي أن يدرج في التقرير الذي سيُقدَّم إلى مجلس حقوق الإنسان المعلومات المتعلقة بالجهود التي بذلتها الدول والجهات المعنية، بما يشمل المناسبات المشار إليها في الفقرة 8 أعلاه، وأن يحيله إلى الجمعية العامة؛</w:t>
      </w:r>
    </w:p>
    <w:p w14:paraId="6B0A3900" w14:textId="3FFB063A" w:rsidR="00113A0C" w:rsidRPr="0000163D" w:rsidRDefault="00113A0C" w:rsidP="00113A0C">
      <w:pPr>
        <w:pStyle w:val="SingleTxtGA"/>
      </w:pPr>
      <w:r w:rsidRPr="0000163D">
        <w:rPr>
          <w:rtl/>
        </w:rPr>
        <w:tab/>
        <w:t>10-</w:t>
      </w:r>
      <w:r w:rsidRPr="0000163D">
        <w:rPr>
          <w:rtl/>
        </w:rPr>
        <w:tab/>
      </w:r>
      <w:r w:rsidRPr="0000163D">
        <w:rPr>
          <w:i/>
          <w:iCs/>
          <w:rtl/>
        </w:rPr>
        <w:t>يقرر</w:t>
      </w:r>
      <w:r w:rsidRPr="0000163D">
        <w:rPr>
          <w:rtl/>
        </w:rPr>
        <w:t xml:space="preserve"> أن يبقي المسألة قيد نظره.</w:t>
      </w:r>
    </w:p>
    <w:p w14:paraId="2D49BCB9" w14:textId="00D9DDED" w:rsidR="00113A0C" w:rsidRPr="0000163D" w:rsidRDefault="00113A0C" w:rsidP="00113A0C">
      <w:pPr>
        <w:pStyle w:val="SingleTxtGA"/>
        <w:jc w:val="center"/>
        <w:rPr>
          <w:u w:val="single"/>
          <w:rtl/>
          <w:lang w:eastAsia="zh-TW"/>
        </w:rPr>
      </w:pPr>
      <w:r w:rsidRPr="0000163D">
        <w:rPr>
          <w:u w:val="single"/>
          <w:rtl/>
          <w:lang w:eastAsia="zh-TW"/>
        </w:rPr>
        <w:tab/>
      </w:r>
      <w:r w:rsidRPr="0000163D">
        <w:rPr>
          <w:u w:val="single"/>
          <w:rtl/>
          <w:lang w:eastAsia="zh-TW"/>
        </w:rPr>
        <w:tab/>
      </w:r>
      <w:r w:rsidRPr="0000163D">
        <w:rPr>
          <w:u w:val="single"/>
          <w:rtl/>
          <w:lang w:eastAsia="zh-TW"/>
        </w:rPr>
        <w:tab/>
      </w:r>
    </w:p>
    <w:sectPr w:rsidR="00113A0C" w:rsidRPr="0000163D" w:rsidSect="0044515B">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AF7E8" w14:textId="77777777" w:rsidR="00ED4BCC" w:rsidRPr="002901D9" w:rsidRDefault="00ED4BCC" w:rsidP="00AD3834">
      <w:pPr>
        <w:spacing w:after="60" w:line="240" w:lineRule="auto"/>
        <w:ind w:left="57"/>
        <w:rPr>
          <w:i/>
          <w:iCs/>
        </w:rPr>
      </w:pPr>
      <w:r>
        <w:rPr>
          <w:rFonts w:hint="cs"/>
          <w:i/>
          <w:iCs/>
          <w:rtl/>
        </w:rPr>
        <w:t>الحواشي</w:t>
      </w:r>
    </w:p>
  </w:endnote>
  <w:endnote w:type="continuationSeparator" w:id="0">
    <w:p w14:paraId="5D6FC4BF" w14:textId="77777777" w:rsidR="00ED4BCC" w:rsidRDefault="00ED4BC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A4AAA" w14:textId="476822EE" w:rsidR="003460F0" w:rsidRPr="003460F0" w:rsidRDefault="003460F0" w:rsidP="003460F0">
    <w:pPr>
      <w:pStyle w:val="Footer"/>
      <w:tabs>
        <w:tab w:val="right" w:pos="9638"/>
      </w:tabs>
      <w:rPr>
        <w:b/>
        <w:sz w:val="18"/>
        <w:lang w:val="en-US"/>
      </w:rPr>
    </w:pPr>
    <w:r>
      <w:rPr>
        <w:lang w:val="en-US"/>
      </w:rPr>
      <w:t>GE.26-09600</w:t>
    </w:r>
    <w:r>
      <w:rPr>
        <w:lang w:val="en-US"/>
      </w:rPr>
      <w:tab/>
    </w:r>
    <w:r w:rsidRPr="003460F0">
      <w:rPr>
        <w:b/>
        <w:sz w:val="18"/>
        <w:lang w:val="en-US"/>
      </w:rPr>
      <w:fldChar w:fldCharType="begin"/>
    </w:r>
    <w:r w:rsidRPr="003460F0">
      <w:rPr>
        <w:b/>
        <w:sz w:val="18"/>
        <w:lang w:val="en-US"/>
      </w:rPr>
      <w:instrText xml:space="preserve"> PAGE  \* MERGEFORMAT </w:instrText>
    </w:r>
    <w:r w:rsidRPr="003460F0">
      <w:rPr>
        <w:b/>
        <w:sz w:val="18"/>
        <w:lang w:val="en-US"/>
      </w:rPr>
      <w:fldChar w:fldCharType="separate"/>
    </w:r>
    <w:r w:rsidRPr="003460F0">
      <w:rPr>
        <w:b/>
        <w:noProof/>
        <w:sz w:val="18"/>
        <w:lang w:val="en-US"/>
      </w:rPr>
      <w:t>2</w:t>
    </w:r>
    <w:r w:rsidRPr="003460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A5AE" w14:textId="7666DF27" w:rsidR="006959B0" w:rsidRPr="003460F0" w:rsidRDefault="003460F0" w:rsidP="003460F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GE.26-09600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E46F2" w14:textId="332A653A" w:rsidR="00FD4BC9" w:rsidRPr="003460F0" w:rsidRDefault="003460F0" w:rsidP="003460F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017E4AD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26-09600 </w:t>
    </w:r>
    <w:r w:rsidR="002623B8">
      <w:rPr>
        <w:sz w:val="20"/>
        <w:lang w:val="en-US"/>
      </w:rPr>
      <w:t>(</w:t>
    </w:r>
    <w:proofErr w:type="gramStart"/>
    <w:r w:rsidR="002623B8">
      <w:rPr>
        <w:sz w:val="20"/>
        <w:lang w:val="en-US"/>
      </w:rPr>
      <w:t xml:space="preserve">A)   </w:t>
    </w:r>
    <w:proofErr w:type="gramEnd"/>
    <w:r w:rsidR="002623B8">
      <w:rPr>
        <w:sz w:val="20"/>
        <w:lang w:val="en-US"/>
      </w:rPr>
      <w:t xml:space="preserve"> 300626    010726</w:t>
    </w:r>
    <w:r>
      <w:rPr>
        <w:noProof/>
        <w:sz w:val="20"/>
        <w:lang w:val="en-US"/>
      </w:rPr>
      <w:drawing>
        <wp:anchor distT="0" distB="0" distL="114300" distR="114300" simplePos="0" relativeHeight="251659264" behindDoc="0" locked="0" layoutInCell="1" allowOverlap="1" wp14:anchorId="7F0F3CBC" wp14:editId="26647B71">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830A6" w14:textId="77777777" w:rsidR="00ED4BCC" w:rsidRPr="00A350CC" w:rsidRDefault="00ED4BC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3651B60" w14:textId="77777777" w:rsidR="00ED4BCC" w:rsidRDefault="00ED4BCC" w:rsidP="00656392">
      <w:pPr>
        <w:spacing w:line="240" w:lineRule="auto"/>
      </w:pPr>
      <w:r>
        <w:continuationSeparator/>
      </w:r>
    </w:p>
  </w:footnote>
  <w:footnote w:id="1">
    <w:p w14:paraId="63A65CE6" w14:textId="0A363829" w:rsidR="00113A0C" w:rsidRPr="0000163D" w:rsidRDefault="00113A0C" w:rsidP="00113A0C">
      <w:pPr>
        <w:pStyle w:val="FootnoteText1"/>
      </w:pPr>
      <w:r w:rsidRPr="0000163D">
        <w:rPr>
          <w:rtl/>
        </w:rPr>
        <w:t>*</w:t>
      </w:r>
      <w:r w:rsidRPr="0000163D">
        <w:rPr>
          <w:rtl/>
        </w:rPr>
        <w:tab/>
        <w:t>دولة غير عضو في مجلس حقوق الإنسان.</w:t>
      </w:r>
    </w:p>
  </w:footnote>
  <w:footnote w:id="2">
    <w:p w14:paraId="5A6B8BB7" w14:textId="6E07D208" w:rsidR="00113A0C" w:rsidRPr="0000163D" w:rsidRDefault="00ED2613" w:rsidP="00113A0C">
      <w:pPr>
        <w:pStyle w:val="FootnoteText1"/>
      </w:pPr>
      <w:r w:rsidRPr="0000163D">
        <w:rPr>
          <w:rFonts w:cs="Times New Roman"/>
          <w:rtl/>
        </w:rPr>
        <w:t>(</w:t>
      </w:r>
      <w:r w:rsidRPr="0000163D">
        <w:rPr>
          <w:rFonts w:cs="Times New Roman"/>
        </w:rPr>
        <w:footnoteRef/>
      </w:r>
      <w:r w:rsidRPr="0000163D">
        <w:rPr>
          <w:rFonts w:cs="Times New Roman"/>
          <w:rtl/>
        </w:rPr>
        <w:t>)</w:t>
      </w:r>
      <w:r w:rsidR="00113A0C" w:rsidRPr="0000163D">
        <w:rPr>
          <w:rtl/>
        </w:rPr>
        <w:tab/>
      </w:r>
      <w:hyperlink r:id="rId1" w:history="1">
        <w:r w:rsidR="00113A0C" w:rsidRPr="0000163D">
          <w:rPr>
            <w:rStyle w:val="Hyperlink"/>
          </w:rPr>
          <w:t>A/HRC/38/42</w:t>
        </w:r>
      </w:hyperlink>
      <w:r w:rsidR="00113A0C" w:rsidRPr="0000163D">
        <w:rPr>
          <w:rtl/>
        </w:rPr>
        <w:t>، و</w:t>
      </w:r>
      <w:hyperlink r:id="rId2" w:history="1">
        <w:r w:rsidR="00113A0C" w:rsidRPr="0000163D">
          <w:rPr>
            <w:rStyle w:val="Hyperlink"/>
          </w:rPr>
          <w:t>A/HRC/41/47</w:t>
        </w:r>
      </w:hyperlink>
      <w:r w:rsidR="00113A0C" w:rsidRPr="0000163D">
        <w:rPr>
          <w:rtl/>
        </w:rPr>
        <w:t>، و</w:t>
      </w:r>
      <w:hyperlink r:id="rId3" w:history="1">
        <w:r w:rsidR="00113A0C" w:rsidRPr="0000163D">
          <w:rPr>
            <w:rStyle w:val="Hyperlink"/>
          </w:rPr>
          <w:t>A/HRC/44/46</w:t>
        </w:r>
      </w:hyperlink>
      <w:r w:rsidR="00113A0C" w:rsidRPr="0000163D">
        <w:rPr>
          <w:rtl/>
        </w:rPr>
        <w:t>، و</w:t>
      </w:r>
      <w:hyperlink r:id="rId4" w:history="1">
        <w:r w:rsidR="00113A0C" w:rsidRPr="0000163D">
          <w:rPr>
            <w:rStyle w:val="Hyperlink"/>
          </w:rPr>
          <w:t>A/HRC/44/46/Add.1</w:t>
        </w:r>
      </w:hyperlink>
      <w:r w:rsidR="00113A0C" w:rsidRPr="0000163D">
        <w:rPr>
          <w:rtl/>
        </w:rPr>
        <w:t>، و</w:t>
      </w:r>
      <w:hyperlink r:id="rId5" w:history="1">
        <w:r w:rsidR="00113A0C" w:rsidRPr="0000163D">
          <w:rPr>
            <w:rStyle w:val="Hyperlink"/>
          </w:rPr>
          <w:t>A/HRC/44/46/Add.2</w:t>
        </w:r>
      </w:hyperlink>
      <w:r w:rsidR="00113A0C" w:rsidRPr="0000163D">
        <w:rPr>
          <w:rtl/>
        </w:rPr>
        <w:t>، و</w:t>
      </w:r>
      <w:hyperlink r:id="rId6" w:history="1">
        <w:r w:rsidR="00113A0C" w:rsidRPr="0000163D">
          <w:rPr>
            <w:rStyle w:val="Hyperlink"/>
          </w:rPr>
          <w:t>A/HRC/47/29</w:t>
        </w:r>
      </w:hyperlink>
      <w:r w:rsidR="00113A0C" w:rsidRPr="0000163D">
        <w:rPr>
          <w:rtl/>
        </w:rPr>
        <w:t>، و</w:t>
      </w:r>
      <w:hyperlink r:id="rId7" w:history="1">
        <w:r w:rsidR="00113A0C" w:rsidRPr="0000163D">
          <w:rPr>
            <w:rStyle w:val="Hyperlink"/>
          </w:rPr>
          <w:t>A/HRC/50/35</w:t>
        </w:r>
      </w:hyperlink>
      <w:r w:rsidR="00113A0C" w:rsidRPr="0000163D">
        <w:rPr>
          <w:rtl/>
        </w:rPr>
        <w:t>، و</w:t>
      </w:r>
      <w:hyperlink r:id="rId8" w:history="1">
        <w:r w:rsidR="00113A0C" w:rsidRPr="0000163D">
          <w:rPr>
            <w:rStyle w:val="Hyperlink"/>
          </w:rPr>
          <w:t>A/76/148</w:t>
        </w:r>
      </w:hyperlink>
      <w:r w:rsidR="00113A0C" w:rsidRPr="0000163D">
        <w:rPr>
          <w:rtl/>
        </w:rPr>
        <w:t>، و</w:t>
      </w:r>
      <w:hyperlink r:id="rId9" w:history="1">
        <w:r w:rsidR="00113A0C" w:rsidRPr="0000163D">
          <w:rPr>
            <w:rStyle w:val="Hyperlink"/>
          </w:rPr>
          <w:t>A/77/139</w:t>
        </w:r>
      </w:hyperlink>
      <w:r w:rsidR="00113A0C" w:rsidRPr="0000163D">
        <w:rPr>
          <w:rtl/>
        </w:rPr>
        <w:t>.</w:t>
      </w:r>
    </w:p>
  </w:footnote>
  <w:footnote w:id="3">
    <w:p w14:paraId="4C4A731F" w14:textId="1AC9CD22" w:rsidR="00113A0C" w:rsidRPr="0000163D" w:rsidRDefault="00ED2613" w:rsidP="00113A0C">
      <w:pPr>
        <w:pStyle w:val="FootnoteText1"/>
      </w:pPr>
      <w:r w:rsidRPr="0000163D">
        <w:rPr>
          <w:rFonts w:cs="Times New Roman"/>
          <w:rtl/>
        </w:rPr>
        <w:t>(</w:t>
      </w:r>
      <w:r w:rsidRPr="0000163D">
        <w:rPr>
          <w:rFonts w:cs="Times New Roman"/>
        </w:rPr>
        <w:footnoteRef/>
      </w:r>
      <w:r w:rsidRPr="0000163D">
        <w:rPr>
          <w:rFonts w:cs="Times New Roman"/>
          <w:rtl/>
        </w:rPr>
        <w:t>)</w:t>
      </w:r>
      <w:r w:rsidR="00113A0C" w:rsidRPr="0000163D">
        <w:rPr>
          <w:rtl/>
        </w:rPr>
        <w:tab/>
      </w:r>
      <w:hyperlink r:id="rId10" w:history="1">
        <w:r w:rsidR="00113A0C" w:rsidRPr="0000163D">
          <w:rPr>
            <w:rStyle w:val="Hyperlink"/>
          </w:rPr>
          <w:t>A/HRC/35/38</w:t>
        </w:r>
      </w:hyperlink>
      <w:r w:rsidR="00113A0C" w:rsidRPr="0000163D">
        <w:rPr>
          <w:rtl/>
        </w:rPr>
        <w:t>.</w:t>
      </w:r>
    </w:p>
  </w:footnote>
  <w:footnote w:id="4">
    <w:p w14:paraId="625561FE" w14:textId="2224B7C8" w:rsidR="00113A0C" w:rsidRPr="0000163D" w:rsidRDefault="00ED2613" w:rsidP="00113A0C">
      <w:pPr>
        <w:pStyle w:val="FootnoteText1"/>
      </w:pPr>
      <w:r w:rsidRPr="0000163D">
        <w:rPr>
          <w:rFonts w:cs="Times New Roman"/>
          <w:rtl/>
        </w:rPr>
        <w:t>(</w:t>
      </w:r>
      <w:r w:rsidRPr="0000163D">
        <w:rPr>
          <w:rFonts w:cs="Times New Roman"/>
        </w:rPr>
        <w:footnoteRef/>
      </w:r>
      <w:r w:rsidRPr="0000163D">
        <w:rPr>
          <w:rFonts w:cs="Times New Roman"/>
          <w:rtl/>
        </w:rPr>
        <w:t>)</w:t>
      </w:r>
      <w:r w:rsidR="00113A0C" w:rsidRPr="0000163D">
        <w:rPr>
          <w:rtl/>
        </w:rPr>
        <w:tab/>
      </w:r>
      <w:hyperlink r:id="rId11" w:history="1">
        <w:r w:rsidR="00113A0C" w:rsidRPr="0000163D">
          <w:rPr>
            <w:rStyle w:val="Hyperlink"/>
          </w:rPr>
          <w:t>A/HRC/15/30</w:t>
        </w:r>
      </w:hyperlink>
      <w:r w:rsidR="00113A0C" w:rsidRPr="0000163D">
        <w:rPr>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D3FB" w14:textId="74FC4F5C" w:rsidR="003460F0" w:rsidRPr="003460F0" w:rsidRDefault="003460F0" w:rsidP="003460F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66FF">
      <w:t>A/HRC/62/L.5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80296" w14:textId="00002DD8" w:rsidR="003460F0" w:rsidRPr="003460F0" w:rsidRDefault="003460F0" w:rsidP="003460F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666FF">
      <w:t>A/HRC/62/L.5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F8DA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FB"/>
    <w:rsid w:val="0000163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3A0C"/>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23B8"/>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0F0"/>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515B"/>
    <w:rsid w:val="00446037"/>
    <w:rsid w:val="00450B21"/>
    <w:rsid w:val="00453B63"/>
    <w:rsid w:val="00455780"/>
    <w:rsid w:val="00461640"/>
    <w:rsid w:val="004639E8"/>
    <w:rsid w:val="0047152B"/>
    <w:rsid w:val="00482BD0"/>
    <w:rsid w:val="004A1DFF"/>
    <w:rsid w:val="004A6155"/>
    <w:rsid w:val="004B0A1C"/>
    <w:rsid w:val="004B6C99"/>
    <w:rsid w:val="004C30CC"/>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36F4"/>
    <w:rsid w:val="006E4EFE"/>
    <w:rsid w:val="006E719B"/>
    <w:rsid w:val="0070598D"/>
    <w:rsid w:val="00715B89"/>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4CFB"/>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82F0B"/>
    <w:rsid w:val="00EA20A9"/>
    <w:rsid w:val="00EA510B"/>
    <w:rsid w:val="00EB00A4"/>
    <w:rsid w:val="00EB5FCA"/>
    <w:rsid w:val="00EC05A7"/>
    <w:rsid w:val="00EC4B6B"/>
    <w:rsid w:val="00ED2613"/>
    <w:rsid w:val="00ED4BCC"/>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4967"/>
    <w:rsid w:val="00F666FF"/>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617BEF5"/>
  <w15:docId w15:val="{26E1E91F-5A46-474B-844D-5D7FAE6B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qFormat/>
    <w:rsid w:val="00113A0C"/>
    <w:pPr>
      <w:suppressAutoHyphens/>
      <w:bidi w:val="0"/>
      <w:spacing w:after="120"/>
      <w:ind w:left="1134" w:right="1134"/>
      <w:jc w:val="both"/>
    </w:pPr>
    <w:rPr>
      <w:rFonts w:eastAsiaTheme="minorEastAsia" w:hint="cs"/>
      <w:szCs w:val="30"/>
      <w:lang w:val="en-GB" w:eastAsia="ja-JP"/>
    </w:rPr>
  </w:style>
  <w:style w:type="character" w:styleId="FootnoteReference">
    <w:name w:val="footnote reference"/>
    <w:aliases w:val="4_G"/>
    <w:qFormat/>
    <w:rsid w:val="00113A0C"/>
    <w:rPr>
      <w:rFonts w:ascii="Times New Roman" w:hAnsi="Times New Roman"/>
      <w:sz w:val="18"/>
      <w:vertAlign w:val="superscript"/>
    </w:rPr>
  </w:style>
  <w:style w:type="paragraph" w:styleId="FootnoteText">
    <w:name w:val="footnote text"/>
    <w:aliases w:val="5_G"/>
    <w:basedOn w:val="Normal"/>
    <w:link w:val="FootnoteTextChar"/>
    <w:qFormat/>
    <w:rsid w:val="00113A0C"/>
    <w:pPr>
      <w:tabs>
        <w:tab w:val="right" w:pos="1021"/>
      </w:tabs>
      <w:suppressAutoHyphens/>
      <w:bidi w:val="0"/>
      <w:spacing w:line="220" w:lineRule="exact"/>
      <w:ind w:left="1134" w:right="1134" w:hanging="1134"/>
      <w:jc w:val="left"/>
    </w:pPr>
    <w:rPr>
      <w:rFonts w:eastAsiaTheme="minorEastAsia" w:hint="cs"/>
      <w:sz w:val="18"/>
      <w:szCs w:val="30"/>
      <w:lang w:val="en-GB" w:eastAsia="ja-JP"/>
    </w:rPr>
  </w:style>
  <w:style w:type="character" w:customStyle="1" w:styleId="FootnoteTextChar">
    <w:name w:val="Footnote Text Char"/>
    <w:aliases w:val="5_G Char"/>
    <w:basedOn w:val="DefaultParagraphFont"/>
    <w:link w:val="FootnoteText"/>
    <w:rsid w:val="00113A0C"/>
    <w:rPr>
      <w:rFonts w:ascii="Times New Roman" w:eastAsiaTheme="minorEastAsia" w:hAnsi="Times New Roman" w:cs="Simplified Arabic"/>
      <w:sz w:val="18"/>
      <w:szCs w:val="30"/>
      <w:lang w:val="en-GB" w:eastAsia="ja-JP"/>
    </w:rPr>
  </w:style>
  <w:style w:type="character" w:styleId="UnresolvedMention">
    <w:name w:val="Unresolved Mention"/>
    <w:basedOn w:val="DefaultParagraphFont"/>
    <w:uiPriority w:val="99"/>
    <w:semiHidden/>
    <w:unhideWhenUsed/>
    <w:rsid w:val="00113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29/5" TargetMode="External"/><Relationship Id="rId18" Type="http://schemas.openxmlformats.org/officeDocument/2006/relationships/hyperlink" Target="https://docs.un.org/ar/A/HRC/RES/29/5"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cs.un.org/ar/A/HRC/RES/15/10" TargetMode="External"/><Relationship Id="rId17" Type="http://schemas.openxmlformats.org/officeDocument/2006/relationships/hyperlink" Target="https://docs.un.org/ar/A/RES/65/215"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cs.un.org/ar/A/HRC/RES/53/8" TargetMode="External"/><Relationship Id="rId20" Type="http://schemas.openxmlformats.org/officeDocument/2006/relationships/hyperlink" Target="https://docs.un.org/ar/A/RES/65/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12/7"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ar/A/HRC/RES/44/6"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cs.un.org/ar/A/HRC/RES/13/8" TargetMode="External"/><Relationship Id="rId19" Type="http://schemas.openxmlformats.org/officeDocument/2006/relationships/hyperlink" Target="https://docs.un.org/ar/A/HRC/RES/15/10" TargetMode="External"/><Relationship Id="rId4" Type="http://schemas.openxmlformats.org/officeDocument/2006/relationships/settings" Target="settings.xml"/><Relationship Id="rId9" Type="http://schemas.openxmlformats.org/officeDocument/2006/relationships/hyperlink" Target="https://docs.un.org/ar/A/HRC/RES/8/13" TargetMode="External"/><Relationship Id="rId14" Type="http://schemas.openxmlformats.org/officeDocument/2006/relationships/hyperlink" Target="https://docs.un.org/ar/A/HRC/RES/35/9"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76/148" TargetMode="External"/><Relationship Id="rId3" Type="http://schemas.openxmlformats.org/officeDocument/2006/relationships/hyperlink" Target="https://docs.un.org/ar/A/HRC/44/46" TargetMode="External"/><Relationship Id="rId7" Type="http://schemas.openxmlformats.org/officeDocument/2006/relationships/hyperlink" Target="https://docs.un.org/ar/A/HRC/50/35" TargetMode="External"/><Relationship Id="rId2" Type="http://schemas.openxmlformats.org/officeDocument/2006/relationships/hyperlink" Target="https://docs.un.org/ar/A/HRC/41/47" TargetMode="External"/><Relationship Id="rId1" Type="http://schemas.openxmlformats.org/officeDocument/2006/relationships/hyperlink" Target="https://docs.un.org/ar/A/HRC/38/42" TargetMode="External"/><Relationship Id="rId6" Type="http://schemas.openxmlformats.org/officeDocument/2006/relationships/hyperlink" Target="https://docs.un.org/ar/A/HRC/47/29" TargetMode="External"/><Relationship Id="rId11" Type="http://schemas.openxmlformats.org/officeDocument/2006/relationships/hyperlink" Target="https://docs.un.org/ar/A/HRC/15/30" TargetMode="External"/><Relationship Id="rId5" Type="http://schemas.openxmlformats.org/officeDocument/2006/relationships/hyperlink" Target="https://docs.un.org/ar/A/HRC/44/46/Add.2" TargetMode="External"/><Relationship Id="rId10" Type="http://schemas.openxmlformats.org/officeDocument/2006/relationships/hyperlink" Target="https://docs.un.org/ar/A/HRC/35/38" TargetMode="External"/><Relationship Id="rId4" Type="http://schemas.openxmlformats.org/officeDocument/2006/relationships/hyperlink" Target="https://docs.un.org/ar/A/HRC/44/46/Add.1" TargetMode="External"/><Relationship Id="rId9" Type="http://schemas.openxmlformats.org/officeDocument/2006/relationships/hyperlink" Target="https://docs.un.org/ar/A/77/1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1098</Words>
  <Characters>6201</Characters>
  <Application>Microsoft Office Word</Application>
  <DocSecurity>0</DocSecurity>
  <Lines>105</Lines>
  <Paragraphs>39</Paragraphs>
  <ScaleCrop>false</ScaleCrop>
  <HeadingPairs>
    <vt:vector size="2" baseType="variant">
      <vt:variant>
        <vt:lpstr>Title</vt:lpstr>
      </vt:variant>
      <vt:variant>
        <vt:i4>1</vt:i4>
      </vt:variant>
    </vt:vector>
  </HeadingPairs>
  <TitlesOfParts>
    <vt:vector size="1" baseType="lpstr">
      <vt:lpstr>A/HRC/62/L.5</vt:lpstr>
    </vt:vector>
  </TitlesOfParts>
  <Company>DCM</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A/HRC/62/L.5</dc:title>
  <dc:subject>GE.2609600(A)</dc:subject>
  <dc:creator>Mohamed EL-BAHNASSAWY</dc:creator>
  <cp:keywords>ODS No.</cp:keywords>
  <dc:description>_x000d_
_x000d_
Arabic_x000d_
</dc:description>
  <cp:lastModifiedBy>Ibrahim Balan</cp:lastModifiedBy>
  <cp:revision>3</cp:revision>
  <cp:lastPrinted>2026-07-01T09:45:00Z</cp:lastPrinted>
  <dcterms:created xsi:type="dcterms:W3CDTF">2026-07-01T09:45:00Z</dcterms:created>
  <dcterms:modified xsi:type="dcterms:W3CDTF">2026-07-01T09:45:00Z</dcterms:modified>
  <cp:category>Final</cp:category>
</cp:coreProperties>
</file>