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63B54070" w14:textId="77777777" w:rsidTr="00E6618E">
        <w:trPr>
          <w:trHeight w:hRule="exact" w:val="851"/>
        </w:trPr>
        <w:tc>
          <w:tcPr>
            <w:tcW w:w="1276" w:type="dxa"/>
            <w:tcBorders>
              <w:bottom w:val="single" w:sz="4" w:space="0" w:color="auto"/>
            </w:tcBorders>
          </w:tcPr>
          <w:p w14:paraId="08726BED" w14:textId="77777777" w:rsidR="00A12E20" w:rsidRPr="00DB58B5" w:rsidRDefault="00A12E20" w:rsidP="00583D26"/>
        </w:tc>
        <w:tc>
          <w:tcPr>
            <w:tcW w:w="2268" w:type="dxa"/>
            <w:tcBorders>
              <w:bottom w:val="single" w:sz="4" w:space="0" w:color="auto"/>
            </w:tcBorders>
            <w:vAlign w:val="bottom"/>
          </w:tcPr>
          <w:p w14:paraId="28A3263C"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5FE9C0C" w14:textId="6BA22105" w:rsidR="00A12E20" w:rsidRPr="00DB58B5" w:rsidRDefault="00583D26" w:rsidP="00583D26">
            <w:pPr>
              <w:jc w:val="right"/>
            </w:pPr>
            <w:r w:rsidRPr="00583D26">
              <w:rPr>
                <w:sz w:val="40"/>
              </w:rPr>
              <w:t>A</w:t>
            </w:r>
            <w:r>
              <w:t>/HRC/RES/59/5</w:t>
            </w:r>
          </w:p>
        </w:tc>
      </w:tr>
      <w:tr w:rsidR="00A12E20" w:rsidRPr="00DB58B5" w14:paraId="00678CE3" w14:textId="77777777" w:rsidTr="00E6618E">
        <w:trPr>
          <w:trHeight w:hRule="exact" w:val="2835"/>
        </w:trPr>
        <w:tc>
          <w:tcPr>
            <w:tcW w:w="1276" w:type="dxa"/>
            <w:tcBorders>
              <w:top w:val="single" w:sz="4" w:space="0" w:color="auto"/>
              <w:bottom w:val="single" w:sz="12" w:space="0" w:color="auto"/>
            </w:tcBorders>
          </w:tcPr>
          <w:p w14:paraId="3B75FEDA" w14:textId="77777777" w:rsidR="00A12E20" w:rsidRPr="00DB58B5" w:rsidRDefault="00A12E20" w:rsidP="00E6618E">
            <w:pPr>
              <w:spacing w:before="120"/>
              <w:jc w:val="center"/>
            </w:pPr>
            <w:r>
              <w:rPr>
                <w:noProof/>
                <w:lang w:eastAsia="fr-CH"/>
              </w:rPr>
              <w:drawing>
                <wp:inline distT="0" distB="0" distL="0" distR="0" wp14:anchorId="432AA033" wp14:editId="5550A79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8BEB5D5"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76C36233" w14:textId="77777777" w:rsidR="00A12E20" w:rsidRDefault="00583D26" w:rsidP="00E6618E">
            <w:pPr>
              <w:spacing w:before="240"/>
            </w:pPr>
            <w:proofErr w:type="spellStart"/>
            <w:r>
              <w:t>Distr</w:t>
            </w:r>
            <w:proofErr w:type="spellEnd"/>
            <w:r>
              <w:t>. générale</w:t>
            </w:r>
          </w:p>
          <w:p w14:paraId="1050BB05" w14:textId="784F8831" w:rsidR="00583D26" w:rsidRDefault="00583D26" w:rsidP="00583D26">
            <w:pPr>
              <w:spacing w:line="240" w:lineRule="exact"/>
            </w:pPr>
            <w:r>
              <w:t>8 juillet 2025</w:t>
            </w:r>
          </w:p>
          <w:p w14:paraId="0DCAAB5C" w14:textId="77777777" w:rsidR="00583D26" w:rsidRDefault="00583D26" w:rsidP="00583D26">
            <w:pPr>
              <w:spacing w:line="240" w:lineRule="exact"/>
            </w:pPr>
            <w:r>
              <w:t>Français</w:t>
            </w:r>
          </w:p>
          <w:p w14:paraId="07526E8B" w14:textId="6EAC14A9" w:rsidR="00583D26" w:rsidRPr="00DB58B5" w:rsidRDefault="00583D26" w:rsidP="00583D26">
            <w:pPr>
              <w:spacing w:line="240" w:lineRule="exact"/>
            </w:pPr>
            <w:r>
              <w:t>Original : anglais</w:t>
            </w:r>
          </w:p>
        </w:tc>
      </w:tr>
    </w:tbl>
    <w:p w14:paraId="1F949165" w14:textId="77777777" w:rsidR="00D45432" w:rsidRDefault="00D45432" w:rsidP="00D45432">
      <w:pPr>
        <w:spacing w:before="120"/>
        <w:rPr>
          <w:b/>
          <w:sz w:val="24"/>
          <w:szCs w:val="24"/>
        </w:rPr>
      </w:pPr>
      <w:r w:rsidRPr="00BA184E">
        <w:rPr>
          <w:b/>
          <w:sz w:val="24"/>
          <w:szCs w:val="24"/>
        </w:rPr>
        <w:t>Conseil des droits de l’homme</w:t>
      </w:r>
    </w:p>
    <w:p w14:paraId="589330B0" w14:textId="77777777" w:rsidR="00583D26" w:rsidRPr="002C47A4" w:rsidRDefault="00583D26" w:rsidP="00583D26">
      <w:pPr>
        <w:rPr>
          <w:b/>
          <w:bCs/>
          <w:color w:val="000000"/>
        </w:rPr>
      </w:pPr>
      <w:r>
        <w:rPr>
          <w:b/>
          <w:bCs/>
          <w:lang w:val="fr-FR"/>
        </w:rPr>
        <w:t>Cinquante-neuvième session</w:t>
      </w:r>
    </w:p>
    <w:p w14:paraId="21BFBBD6" w14:textId="105B1F6D" w:rsidR="00583D26" w:rsidRPr="002C47A4" w:rsidRDefault="00583D26" w:rsidP="00583D26">
      <w:pPr>
        <w:rPr>
          <w:color w:val="000000"/>
        </w:rPr>
      </w:pPr>
      <w:r>
        <w:rPr>
          <w:lang w:val="fr-FR"/>
        </w:rPr>
        <w:t>16 juin-</w:t>
      </w:r>
      <w:r w:rsidR="00F830C2">
        <w:rPr>
          <w:lang w:val="fr-FR"/>
        </w:rPr>
        <w:t>8</w:t>
      </w:r>
      <w:r>
        <w:rPr>
          <w:lang w:val="fr-FR"/>
        </w:rPr>
        <w:t> juillet 2025</w:t>
      </w:r>
    </w:p>
    <w:p w14:paraId="5395C9CC" w14:textId="77777777" w:rsidR="00583D26" w:rsidRPr="002C47A4" w:rsidRDefault="00583D26" w:rsidP="00583D26">
      <w:r>
        <w:rPr>
          <w:lang w:val="fr-FR"/>
        </w:rPr>
        <w:t>Point 3 de l’ordre du jour</w:t>
      </w:r>
    </w:p>
    <w:p w14:paraId="346B74C5" w14:textId="77777777" w:rsidR="00583D26" w:rsidRPr="002C47A4" w:rsidRDefault="00583D26" w:rsidP="00583D26">
      <w:pPr>
        <w:rPr>
          <w:b/>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 compris le droit au développement</w:t>
      </w:r>
    </w:p>
    <w:p w14:paraId="196B855B" w14:textId="76E31EF3" w:rsidR="00583D26" w:rsidRPr="002C47A4" w:rsidRDefault="00583D26" w:rsidP="006A482F">
      <w:pPr>
        <w:pStyle w:val="HChG"/>
      </w:pPr>
      <w:r>
        <w:rPr>
          <w:lang w:val="fr-FR"/>
        </w:rPr>
        <w:tab/>
      </w:r>
      <w:r>
        <w:rPr>
          <w:lang w:val="fr-FR"/>
        </w:rPr>
        <w:tab/>
        <w:t>R</w:t>
      </w:r>
      <w:r w:rsidRPr="00366318">
        <w:rPr>
          <w:lang w:val="fr-FR"/>
        </w:rPr>
        <w:t>ésolution</w:t>
      </w:r>
      <w:r>
        <w:rPr>
          <w:lang w:val="fr-FR"/>
        </w:rPr>
        <w:t xml:space="preserve"> adoptée par le Conseil des droits de l’homme </w:t>
      </w:r>
      <w:r w:rsidR="006A482F">
        <w:rPr>
          <w:lang w:val="fr-FR"/>
        </w:rPr>
        <w:br/>
      </w:r>
      <w:r>
        <w:rPr>
          <w:lang w:val="fr-FR"/>
        </w:rPr>
        <w:t>le 7 juillet 2025</w:t>
      </w:r>
    </w:p>
    <w:p w14:paraId="4CE7BB17" w14:textId="07F07DDD" w:rsidR="00583D26" w:rsidRPr="002C47A4" w:rsidRDefault="006A482F" w:rsidP="006A482F">
      <w:pPr>
        <w:pStyle w:val="H1G"/>
      </w:pPr>
      <w:r>
        <w:rPr>
          <w:lang w:val="fr-FR"/>
        </w:rPr>
        <w:tab/>
      </w:r>
      <w:r w:rsidR="00583D26">
        <w:rPr>
          <w:lang w:val="fr-FR"/>
        </w:rPr>
        <w:t>59/5</w:t>
      </w:r>
      <w:r w:rsidR="00673E3A">
        <w:rPr>
          <w:lang w:val="fr-FR"/>
        </w:rPr>
        <w:t>.</w:t>
      </w:r>
      <w:r w:rsidR="00583D26">
        <w:rPr>
          <w:lang w:val="fr-FR"/>
        </w:rPr>
        <w:tab/>
        <w:t xml:space="preserve">Mandat d’Expert indépendant chargé de la question de </w:t>
      </w:r>
      <w:r w:rsidR="00583D26" w:rsidRPr="00366318">
        <w:rPr>
          <w:rFonts w:ascii="Times New Roman Gras" w:hAnsi="Times New Roman Gras"/>
          <w:spacing w:val="4"/>
          <w:lang w:val="fr-FR"/>
        </w:rPr>
        <w:t>la</w:t>
      </w:r>
      <w:r>
        <w:rPr>
          <w:rFonts w:ascii="Times New Roman Gras" w:hAnsi="Times New Roman Gras"/>
          <w:spacing w:val="4"/>
          <w:lang w:val="fr-FR"/>
        </w:rPr>
        <w:t xml:space="preserve"> </w:t>
      </w:r>
      <w:r w:rsidR="00583D26" w:rsidRPr="00366318">
        <w:rPr>
          <w:rFonts w:ascii="Times New Roman Gras" w:hAnsi="Times New Roman Gras"/>
          <w:spacing w:val="4"/>
          <w:lang w:val="fr-FR"/>
        </w:rPr>
        <w:t>protection contre la violence et la discrimination</w:t>
      </w:r>
      <w:r w:rsidR="00583D26">
        <w:rPr>
          <w:lang w:val="fr-FR"/>
        </w:rPr>
        <w:t xml:space="preserve"> liées à </w:t>
      </w:r>
      <w:r w:rsidR="00583D26" w:rsidRPr="0048246F">
        <w:t>l</w:t>
      </w:r>
      <w:r w:rsidR="00583D26">
        <w:t>’</w:t>
      </w:r>
      <w:r w:rsidR="00583D26" w:rsidRPr="0048246F">
        <w:t>orientation</w:t>
      </w:r>
      <w:r w:rsidR="00583D26">
        <w:rPr>
          <w:lang w:val="fr-FR"/>
        </w:rPr>
        <w:t xml:space="preserve"> sexuelle </w:t>
      </w:r>
      <w:r>
        <w:rPr>
          <w:lang w:val="fr-FR"/>
        </w:rPr>
        <w:br/>
      </w:r>
      <w:r w:rsidR="00583D26">
        <w:rPr>
          <w:lang w:val="fr-FR"/>
        </w:rPr>
        <w:t>et à l’identité de genre</w:t>
      </w:r>
    </w:p>
    <w:p w14:paraId="710142AF" w14:textId="77777777" w:rsidR="00583D26" w:rsidRPr="002C47A4" w:rsidRDefault="00583D26" w:rsidP="00583D26">
      <w:pPr>
        <w:pStyle w:val="SingleTxtG"/>
        <w:ind w:firstLine="567"/>
      </w:pPr>
      <w:r w:rsidRPr="00904418">
        <w:rPr>
          <w:i/>
          <w:iCs/>
          <w:lang w:val="fr-FR"/>
        </w:rPr>
        <w:t>Le Conseil des droits de l</w:t>
      </w:r>
      <w:r>
        <w:rPr>
          <w:i/>
          <w:iCs/>
          <w:lang w:val="fr-FR"/>
        </w:rPr>
        <w:t>’</w:t>
      </w:r>
      <w:r w:rsidRPr="00904418">
        <w:rPr>
          <w:i/>
          <w:iCs/>
          <w:lang w:val="fr-FR"/>
        </w:rPr>
        <w:t>homme</w:t>
      </w:r>
      <w:r>
        <w:rPr>
          <w:lang w:val="fr-FR"/>
        </w:rPr>
        <w:t>,</w:t>
      </w:r>
    </w:p>
    <w:p w14:paraId="586831E7" w14:textId="77777777" w:rsidR="00583D26" w:rsidRPr="002C47A4" w:rsidRDefault="00583D26" w:rsidP="00583D26">
      <w:pPr>
        <w:pStyle w:val="SingleTxtG"/>
        <w:ind w:firstLine="567"/>
      </w:pPr>
      <w:r>
        <w:rPr>
          <w:i/>
          <w:iCs/>
          <w:lang w:val="fr-FR"/>
        </w:rPr>
        <w:t xml:space="preserve">Réaffirmant </w:t>
      </w:r>
      <w:r>
        <w:rPr>
          <w:lang w:val="fr-FR"/>
        </w:rPr>
        <w:t>la Déclaration universelle des droits de l’homme,</w:t>
      </w:r>
    </w:p>
    <w:p w14:paraId="304F4E59" w14:textId="77777777" w:rsidR="00583D26" w:rsidRPr="002C47A4" w:rsidRDefault="00583D26" w:rsidP="00583D26">
      <w:pPr>
        <w:pStyle w:val="SingleTxtG"/>
        <w:ind w:firstLine="567"/>
      </w:pPr>
      <w:r>
        <w:rPr>
          <w:i/>
          <w:iCs/>
          <w:lang w:val="fr-FR"/>
        </w:rPr>
        <w:t>Rappelant</w:t>
      </w:r>
      <w:r>
        <w:rPr>
          <w:lang w:val="fr-FR"/>
        </w:rPr>
        <w:t xml:space="preserve"> la résolution </w:t>
      </w:r>
      <w:hyperlink r:id="rId9" w:history="1">
        <w:r w:rsidRPr="0045632B">
          <w:rPr>
            <w:rStyle w:val="Lienhypertexte"/>
            <w:lang w:val="fr-FR"/>
          </w:rPr>
          <w:t>60/251</w:t>
        </w:r>
      </w:hyperlink>
      <w:r>
        <w:rPr>
          <w:lang w:val="fr-FR"/>
        </w:rPr>
        <w:t xml:space="preserve"> de l’Assemblée générale, du 15 mars 2006, par laquelle l’Assemblée l’a chargé de promouvoir le respect universel et la défense de tous les droits de l’homme et de toutes les libertés fondamentales pour tous, sans distinction aucune et de façon juste et équitable,</w:t>
      </w:r>
    </w:p>
    <w:p w14:paraId="6D7D8798" w14:textId="05DDD245" w:rsidR="00583D26" w:rsidRPr="002C47A4" w:rsidRDefault="00583D26" w:rsidP="00583D26">
      <w:pPr>
        <w:pStyle w:val="SingleTxtG"/>
        <w:ind w:firstLine="567"/>
      </w:pPr>
      <w:r>
        <w:rPr>
          <w:i/>
          <w:iCs/>
          <w:lang w:val="fr-FR"/>
        </w:rPr>
        <w:t>Rappelant également</w:t>
      </w:r>
      <w:r>
        <w:rPr>
          <w:lang w:val="fr-FR"/>
        </w:rPr>
        <w:t xml:space="preserve"> ses résolutions </w:t>
      </w:r>
      <w:hyperlink r:id="rId10" w:history="1">
        <w:r w:rsidRPr="00673E3A">
          <w:rPr>
            <w:rStyle w:val="Lienhypertexte"/>
            <w:lang w:val="fr-FR"/>
          </w:rPr>
          <w:t>17/19</w:t>
        </w:r>
      </w:hyperlink>
      <w:r>
        <w:rPr>
          <w:lang w:val="fr-FR"/>
        </w:rPr>
        <w:t xml:space="preserve"> du 17 juin 2011, </w:t>
      </w:r>
      <w:hyperlink r:id="rId11" w:history="1">
        <w:r w:rsidRPr="0045632B">
          <w:rPr>
            <w:rStyle w:val="Lienhypertexte"/>
            <w:lang w:val="fr-FR"/>
          </w:rPr>
          <w:t>27/32</w:t>
        </w:r>
      </w:hyperlink>
      <w:r>
        <w:rPr>
          <w:lang w:val="fr-FR"/>
        </w:rPr>
        <w:t xml:space="preserve"> du 26 septembre 2014, </w:t>
      </w:r>
      <w:hyperlink r:id="rId12" w:history="1">
        <w:r w:rsidRPr="0045632B">
          <w:rPr>
            <w:rStyle w:val="Lienhypertexte"/>
            <w:lang w:val="fr-FR"/>
          </w:rPr>
          <w:t>32/2</w:t>
        </w:r>
      </w:hyperlink>
      <w:r>
        <w:rPr>
          <w:lang w:val="fr-FR"/>
        </w:rPr>
        <w:t xml:space="preserve"> du 30 juin 2016, </w:t>
      </w:r>
      <w:hyperlink r:id="rId13" w:history="1">
        <w:r w:rsidRPr="0045632B">
          <w:rPr>
            <w:rStyle w:val="Lienhypertexte"/>
            <w:lang w:val="fr-FR"/>
          </w:rPr>
          <w:t>41/18</w:t>
        </w:r>
      </w:hyperlink>
      <w:r>
        <w:rPr>
          <w:lang w:val="fr-FR"/>
        </w:rPr>
        <w:t xml:space="preserve"> du 12 juillet 2019 et </w:t>
      </w:r>
      <w:hyperlink r:id="rId14" w:history="1">
        <w:r w:rsidRPr="0045632B">
          <w:rPr>
            <w:rStyle w:val="Lienhypertexte"/>
            <w:lang w:val="fr-FR"/>
          </w:rPr>
          <w:t>50/10</w:t>
        </w:r>
      </w:hyperlink>
      <w:r>
        <w:rPr>
          <w:lang w:val="fr-FR"/>
        </w:rPr>
        <w:t xml:space="preserve"> du 7 juillet 2022,</w:t>
      </w:r>
    </w:p>
    <w:p w14:paraId="03C7B534" w14:textId="476447BD" w:rsidR="00583D26" w:rsidRPr="002C47A4" w:rsidRDefault="00583D26" w:rsidP="00583D26">
      <w:pPr>
        <w:pStyle w:val="SingleTxtG"/>
        <w:ind w:firstLine="567"/>
      </w:pPr>
      <w:r>
        <w:rPr>
          <w:i/>
          <w:iCs/>
          <w:lang w:val="fr-FR"/>
        </w:rPr>
        <w:t>Rappelant en outre</w:t>
      </w:r>
      <w:r>
        <w:rPr>
          <w:lang w:val="fr-FR"/>
        </w:rPr>
        <w:t xml:space="preserve"> ses résolutions </w:t>
      </w:r>
      <w:hyperlink r:id="rId15" w:history="1">
        <w:r w:rsidRPr="00673E3A">
          <w:rPr>
            <w:rStyle w:val="Lienhypertexte"/>
            <w:lang w:val="fr-FR"/>
          </w:rPr>
          <w:t>5/1</w:t>
        </w:r>
      </w:hyperlink>
      <w:r>
        <w:rPr>
          <w:lang w:val="fr-FR"/>
        </w:rPr>
        <w:t xml:space="preserve"> et </w:t>
      </w:r>
      <w:hyperlink r:id="rId16" w:history="1">
        <w:r w:rsidRPr="00673E3A">
          <w:rPr>
            <w:rStyle w:val="Lienhypertexte"/>
            <w:lang w:val="fr-FR"/>
          </w:rPr>
          <w:t>5/2</w:t>
        </w:r>
      </w:hyperlink>
      <w:r>
        <w:rPr>
          <w:lang w:val="fr-FR"/>
        </w:rPr>
        <w:t>, du 18 juin 2007,</w:t>
      </w:r>
    </w:p>
    <w:p w14:paraId="1F7F3D6C" w14:textId="77777777" w:rsidR="00583D26" w:rsidRPr="002C47A4" w:rsidRDefault="00583D26" w:rsidP="00583D26">
      <w:pPr>
        <w:pStyle w:val="SingleTxtG"/>
        <w:ind w:firstLine="567"/>
      </w:pPr>
      <w:r>
        <w:rPr>
          <w:lang w:val="fr-FR"/>
        </w:rPr>
        <w:t>1.</w:t>
      </w:r>
      <w:r>
        <w:rPr>
          <w:lang w:val="fr-FR"/>
        </w:rPr>
        <w:tab/>
      </w:r>
      <w:r>
        <w:rPr>
          <w:i/>
          <w:iCs/>
          <w:lang w:val="fr-FR"/>
        </w:rPr>
        <w:t>Prend note avec satisfaction</w:t>
      </w:r>
      <w:r>
        <w:rPr>
          <w:lang w:val="fr-FR"/>
        </w:rPr>
        <w:t xml:space="preserve"> des travaux entrepris par l’Expert indépendant chargé de la question de la protection contre la violence et la discrimination liées à l’orientation sexuelle et à l’identité de genre aux fins de l’exécution de son mandat, des vastes consultations transparentes et inclusives qu’il a menées avec les acteurs concernés, de ses rapports thématiques et des visites qu’il a effectuées dans des pays de différentes régions</w:t>
      </w:r>
      <w:r w:rsidRPr="00BF1BC1">
        <w:rPr>
          <w:rStyle w:val="Appelnotedebasdep"/>
        </w:rPr>
        <w:footnoteReference w:id="2"/>
      </w:r>
      <w:r>
        <w:rPr>
          <w:lang w:val="fr-FR"/>
        </w:rPr>
        <w:t> ;</w:t>
      </w:r>
    </w:p>
    <w:p w14:paraId="6F640E2E" w14:textId="77777777" w:rsidR="00583D26" w:rsidRPr="002C47A4" w:rsidRDefault="00583D26" w:rsidP="00583D26">
      <w:pPr>
        <w:pStyle w:val="SingleTxtG"/>
        <w:ind w:firstLine="567"/>
      </w:pPr>
      <w:r>
        <w:rPr>
          <w:lang w:val="fr-FR"/>
        </w:rPr>
        <w:t>2.</w:t>
      </w:r>
      <w:r>
        <w:rPr>
          <w:lang w:val="fr-FR"/>
        </w:rPr>
        <w:tab/>
      </w:r>
      <w:r>
        <w:rPr>
          <w:i/>
          <w:iCs/>
          <w:lang w:val="fr-FR"/>
        </w:rPr>
        <w:t xml:space="preserve">Décide </w:t>
      </w:r>
      <w:r>
        <w:rPr>
          <w:lang w:val="fr-FR"/>
        </w:rPr>
        <w:t>de proroger pour une période de trois ans le mandat d’Expert indépendant chargé de la question de la protection contre la violence et la discrimination liées à l’orientation sexuelle et à l’identité de genre afin de permettre à son ou sa titulaire de continuer à travailler conformément au mandat établi par la résolution </w:t>
      </w:r>
      <w:hyperlink r:id="rId17" w:history="1">
        <w:r w:rsidRPr="0045632B">
          <w:rPr>
            <w:rStyle w:val="Lienhypertexte"/>
            <w:lang w:val="fr-FR"/>
          </w:rPr>
          <w:t>32/2</w:t>
        </w:r>
      </w:hyperlink>
      <w:r>
        <w:rPr>
          <w:lang w:val="fr-FR"/>
        </w:rPr>
        <w:t> ;</w:t>
      </w:r>
    </w:p>
    <w:p w14:paraId="6C80F285" w14:textId="77777777" w:rsidR="00583D26" w:rsidRPr="002C47A4" w:rsidRDefault="00583D26" w:rsidP="00583D26">
      <w:pPr>
        <w:pStyle w:val="SingleTxtG"/>
        <w:keepNext/>
        <w:keepLines/>
        <w:ind w:firstLine="567"/>
      </w:pPr>
      <w:r>
        <w:rPr>
          <w:lang w:val="fr-FR"/>
        </w:rPr>
        <w:t>3.</w:t>
      </w:r>
      <w:r>
        <w:rPr>
          <w:lang w:val="fr-FR"/>
        </w:rPr>
        <w:tab/>
      </w:r>
      <w:r>
        <w:rPr>
          <w:i/>
          <w:iCs/>
          <w:lang w:val="fr-FR"/>
        </w:rPr>
        <w:t xml:space="preserve">Prie </w:t>
      </w:r>
      <w:r>
        <w:rPr>
          <w:lang w:val="fr-FR"/>
        </w:rPr>
        <w:t>le Secrétaire général et le Haut-Commissaire des Nations Unies aux droits de l’homme de continuer de fournir au (à la) titulaire du mandat d’Expert indépendant toutes les ressources humaines, techniques et financières qui lui sont nécessaires pour continuer de s’acquitter efficacement de son mandat ;</w:t>
      </w:r>
    </w:p>
    <w:p w14:paraId="29E4C33E" w14:textId="77777777" w:rsidR="00583D26" w:rsidRPr="002C47A4" w:rsidRDefault="00583D26" w:rsidP="00583D26">
      <w:pPr>
        <w:pStyle w:val="SingleTxtG"/>
        <w:ind w:firstLine="567"/>
      </w:pPr>
      <w:r>
        <w:rPr>
          <w:lang w:val="fr-FR"/>
        </w:rPr>
        <w:t>4.</w:t>
      </w:r>
      <w:r>
        <w:rPr>
          <w:lang w:val="fr-FR"/>
        </w:rPr>
        <w:tab/>
      </w:r>
      <w:r>
        <w:rPr>
          <w:i/>
          <w:iCs/>
          <w:lang w:val="fr-FR"/>
        </w:rPr>
        <w:t xml:space="preserve">Demande </w:t>
      </w:r>
      <w:r>
        <w:rPr>
          <w:lang w:val="fr-FR"/>
        </w:rPr>
        <w:t xml:space="preserve">à tous les gouvernements de coopérer avec le ou la titulaire du mandat d’Expert indépendant et à l’aider dans sa tâche en lui fournissant, à sa demande, </w:t>
      </w:r>
      <w:r>
        <w:rPr>
          <w:lang w:val="fr-FR"/>
        </w:rPr>
        <w:lastRenderedPageBreak/>
        <w:t>toutes informations utiles et en accueillant favorablement ses demandes de visite dans leur pays pour lui permettre de s’acquitter plus efficacement de son mandat ;</w:t>
      </w:r>
    </w:p>
    <w:p w14:paraId="4822DCCB" w14:textId="77777777" w:rsidR="00583D26" w:rsidRDefault="00583D26" w:rsidP="00583D26">
      <w:pPr>
        <w:pStyle w:val="SingleTxtG"/>
        <w:ind w:firstLine="567"/>
        <w:rPr>
          <w:lang w:val="fr-FR"/>
        </w:rPr>
      </w:pPr>
      <w:r>
        <w:rPr>
          <w:lang w:val="fr-FR"/>
        </w:rPr>
        <w:t>5.</w:t>
      </w:r>
      <w:r>
        <w:rPr>
          <w:lang w:val="fr-FR"/>
        </w:rPr>
        <w:tab/>
      </w:r>
      <w:r>
        <w:rPr>
          <w:i/>
          <w:iCs/>
          <w:lang w:val="fr-FR"/>
        </w:rPr>
        <w:t xml:space="preserve">Prie </w:t>
      </w:r>
      <w:r>
        <w:rPr>
          <w:lang w:val="fr-FR"/>
        </w:rPr>
        <w:t>le ou la titulaire du mandat d’Expert indépendant de continuer de lui soumettre chaque année, ainsi qu’à l’Assemblée générale, conformément à leurs programmes de travail respectifs, un rapport sur l’exécution de son mandat.</w:t>
      </w:r>
    </w:p>
    <w:p w14:paraId="7C7D2538" w14:textId="77777777" w:rsidR="00583D26" w:rsidRPr="004A4563" w:rsidRDefault="00583D26" w:rsidP="00583D26">
      <w:pPr>
        <w:pStyle w:val="SingleTxtG"/>
        <w:ind w:left="1118"/>
        <w:jc w:val="right"/>
        <w:rPr>
          <w:i/>
          <w:iCs/>
        </w:rPr>
      </w:pPr>
      <w:bookmarkStart w:id="0" w:name="_Hlk194507369"/>
      <w:r w:rsidRPr="004A4563">
        <w:rPr>
          <w:i/>
          <w:iCs/>
        </w:rPr>
        <w:t>31</w:t>
      </w:r>
      <w:r w:rsidRPr="00BF1BC1">
        <w:rPr>
          <w:i/>
          <w:iCs/>
          <w:vertAlign w:val="superscript"/>
        </w:rPr>
        <w:t>e</w:t>
      </w:r>
      <w:r w:rsidRPr="00BF1BC1">
        <w:rPr>
          <w:i/>
          <w:iCs/>
        </w:rPr>
        <w:t xml:space="preserve"> séance</w:t>
      </w:r>
      <w:r w:rsidRPr="004A4563">
        <w:rPr>
          <w:i/>
          <w:iCs/>
        </w:rPr>
        <w:br/>
        <w:t xml:space="preserve">7 </w:t>
      </w:r>
      <w:r w:rsidRPr="00BF1BC1">
        <w:rPr>
          <w:i/>
          <w:iCs/>
        </w:rPr>
        <w:t>juillet</w:t>
      </w:r>
      <w:r w:rsidRPr="004A4563">
        <w:rPr>
          <w:i/>
          <w:iCs/>
        </w:rPr>
        <w:t xml:space="preserve"> 2025</w:t>
      </w:r>
    </w:p>
    <w:p w14:paraId="6809CE80" w14:textId="77777777" w:rsidR="00583D26" w:rsidRDefault="00583D26" w:rsidP="00583D26">
      <w:pPr>
        <w:pStyle w:val="SingleTxtG"/>
        <w:ind w:left="1118"/>
      </w:pPr>
      <w:r w:rsidRPr="00313CEC">
        <w:t>[</w:t>
      </w:r>
      <w:r w:rsidRPr="001975E1">
        <w:rPr>
          <w:rFonts w:asciiTheme="majorBidi" w:hAnsiTheme="majorBidi" w:cstheme="majorBidi"/>
        </w:rPr>
        <w:t>Adoptée à l</w:t>
      </w:r>
      <w:r>
        <w:rPr>
          <w:rFonts w:asciiTheme="majorBidi" w:hAnsiTheme="majorBidi" w:cstheme="majorBidi"/>
        </w:rPr>
        <w:t>’</w:t>
      </w:r>
      <w:r w:rsidRPr="001975E1">
        <w:rPr>
          <w:rFonts w:asciiTheme="majorBidi" w:hAnsiTheme="majorBidi" w:cstheme="majorBidi"/>
        </w:rPr>
        <w:t>issue d</w:t>
      </w:r>
      <w:r>
        <w:rPr>
          <w:rFonts w:asciiTheme="majorBidi" w:hAnsiTheme="majorBidi" w:cstheme="majorBidi"/>
        </w:rPr>
        <w:t>’</w:t>
      </w:r>
      <w:r w:rsidRPr="001975E1">
        <w:rPr>
          <w:rFonts w:asciiTheme="majorBidi" w:hAnsiTheme="majorBidi" w:cstheme="majorBidi"/>
        </w:rPr>
        <w:t xml:space="preserve">un vote enregistré par </w:t>
      </w:r>
      <w:r w:rsidRPr="00313CEC">
        <w:t>29</w:t>
      </w:r>
      <w:r>
        <w:t xml:space="preserve"> voix contre</w:t>
      </w:r>
      <w:r w:rsidRPr="00313CEC">
        <w:t xml:space="preserve"> 15, </w:t>
      </w:r>
      <w:r>
        <w:t>avec</w:t>
      </w:r>
      <w:r w:rsidRPr="00313CEC">
        <w:t xml:space="preserve"> 3 abstentions. </w:t>
      </w:r>
      <w:r w:rsidRPr="00BF1BC1">
        <w:t>Les voix se sont réparties comme suit </w:t>
      </w:r>
      <w:r w:rsidRPr="00056C75">
        <w:t>:</w:t>
      </w:r>
    </w:p>
    <w:p w14:paraId="59D191F1" w14:textId="77777777" w:rsidR="00583D26" w:rsidRPr="00583D26" w:rsidRDefault="00583D26" w:rsidP="00583D26">
      <w:pPr>
        <w:pStyle w:val="SingleTxtG"/>
        <w:spacing w:after="0"/>
        <w:ind w:left="1701"/>
      </w:pPr>
      <w:r w:rsidRPr="00583D26">
        <w:rPr>
          <w:i/>
          <w:iCs/>
        </w:rPr>
        <w:t xml:space="preserve">Ont voté pour </w:t>
      </w:r>
      <w:r w:rsidRPr="00583D26">
        <w:t xml:space="preserve">: </w:t>
      </w:r>
    </w:p>
    <w:p w14:paraId="57D8BE2A" w14:textId="6130F5AA" w:rsidR="00583D26" w:rsidRPr="00583D26" w:rsidRDefault="00583D26" w:rsidP="00583D26">
      <w:pPr>
        <w:pStyle w:val="SingleTxtG"/>
        <w:ind w:left="2268"/>
      </w:pPr>
      <w:r w:rsidRPr="00A93F35">
        <w:t>Afrique du Sud</w:t>
      </w:r>
      <w:r>
        <w:t xml:space="preserve">, </w:t>
      </w:r>
      <w:r w:rsidRPr="00A93F35">
        <w:t>Albanie</w:t>
      </w:r>
      <w:r>
        <w:t xml:space="preserve">, </w:t>
      </w:r>
      <w:r w:rsidRPr="00A93F35">
        <w:t>Allemagne</w:t>
      </w:r>
      <w:r>
        <w:t xml:space="preserve">, </w:t>
      </w:r>
      <w:r w:rsidRPr="00A93F35">
        <w:t>Belgique</w:t>
      </w:r>
      <w:r>
        <w:t xml:space="preserve">, </w:t>
      </w:r>
      <w:r w:rsidRPr="00A93F35">
        <w:t>Bolivie (État plurinational de)</w:t>
      </w:r>
      <w:r>
        <w:t xml:space="preserve">, </w:t>
      </w:r>
      <w:r w:rsidRPr="00A93F35">
        <w:t>Brésil</w:t>
      </w:r>
      <w:r>
        <w:t xml:space="preserve">, </w:t>
      </w:r>
      <w:r w:rsidRPr="00A93F35">
        <w:t>Bulgarie</w:t>
      </w:r>
      <w:r>
        <w:t xml:space="preserve">, </w:t>
      </w:r>
      <w:r w:rsidRPr="00A93F35">
        <w:t>Chili</w:t>
      </w:r>
      <w:r>
        <w:t xml:space="preserve">, </w:t>
      </w:r>
      <w:r w:rsidRPr="00A93F35">
        <w:t>Chypre</w:t>
      </w:r>
      <w:r>
        <w:t xml:space="preserve">, </w:t>
      </w:r>
      <w:r w:rsidRPr="00A93F35">
        <w:t>Colombie</w:t>
      </w:r>
      <w:r>
        <w:t xml:space="preserve">, </w:t>
      </w:r>
      <w:r w:rsidRPr="00A93F35">
        <w:t>Costa Rica</w:t>
      </w:r>
      <w:r>
        <w:t xml:space="preserve">, </w:t>
      </w:r>
      <w:r w:rsidRPr="00A93F35">
        <w:t>Cuba</w:t>
      </w:r>
      <w:r>
        <w:t xml:space="preserve">, </w:t>
      </w:r>
      <w:r w:rsidRPr="00A93F35">
        <w:t>Espagne</w:t>
      </w:r>
      <w:r>
        <w:t xml:space="preserve">, </w:t>
      </w:r>
      <w:r w:rsidRPr="00A93F35">
        <w:t>France</w:t>
      </w:r>
      <w:r>
        <w:t xml:space="preserve">, </w:t>
      </w:r>
      <w:r w:rsidRPr="00A93F35">
        <w:t>Géorgie</w:t>
      </w:r>
      <w:r>
        <w:t xml:space="preserve">, </w:t>
      </w:r>
      <w:r w:rsidRPr="00A93F35">
        <w:t>Îles Marshall</w:t>
      </w:r>
      <w:r>
        <w:t xml:space="preserve">, </w:t>
      </w:r>
      <w:r w:rsidRPr="00A93F35">
        <w:t>Islande</w:t>
      </w:r>
      <w:r>
        <w:t xml:space="preserve">, </w:t>
      </w:r>
      <w:r w:rsidRPr="00A93F35">
        <w:t>Japon</w:t>
      </w:r>
      <w:r>
        <w:t xml:space="preserve">, </w:t>
      </w:r>
      <w:r w:rsidRPr="00A93F35">
        <w:t>Kenya</w:t>
      </w:r>
      <w:r>
        <w:t xml:space="preserve">, </w:t>
      </w:r>
      <w:r w:rsidRPr="00A93F35">
        <w:t>Macédoine du Nord</w:t>
      </w:r>
      <w:r>
        <w:t xml:space="preserve">, </w:t>
      </w:r>
      <w:r w:rsidRPr="00A93F35">
        <w:t>Mexique</w:t>
      </w:r>
      <w:r>
        <w:t xml:space="preserve">, </w:t>
      </w:r>
      <w:r w:rsidRPr="00A93F35">
        <w:t>Pays-Bas (</w:t>
      </w:r>
      <w:r>
        <w:t>Royaume des</w:t>
      </w:r>
      <w:r w:rsidRPr="00A93F35">
        <w:t>)</w:t>
      </w:r>
      <w:r>
        <w:t xml:space="preserve">, </w:t>
      </w:r>
      <w:r w:rsidR="00673E3A" w:rsidRPr="00A93F35">
        <w:t>République de Corée</w:t>
      </w:r>
      <w:r w:rsidR="00673E3A">
        <w:t xml:space="preserve">, </w:t>
      </w:r>
      <w:r w:rsidRPr="00A93F35">
        <w:t>République dominicaine</w:t>
      </w:r>
      <w:r>
        <w:t xml:space="preserve">, </w:t>
      </w:r>
      <w:r w:rsidRPr="00A93F35">
        <w:t>Roumanie</w:t>
      </w:r>
      <w:r>
        <w:t xml:space="preserve">, </w:t>
      </w:r>
      <w:r w:rsidRPr="00A93F35">
        <w:t>Suisse</w:t>
      </w:r>
      <w:r>
        <w:t xml:space="preserve">, </w:t>
      </w:r>
      <w:r w:rsidRPr="00A93F35">
        <w:t>Tchéquie</w:t>
      </w:r>
      <w:r>
        <w:t xml:space="preserve">, </w:t>
      </w:r>
      <w:r w:rsidRPr="00A93F35">
        <w:t>Thaïlande</w:t>
      </w:r>
      <w:r>
        <w:t xml:space="preserve"> et </w:t>
      </w:r>
      <w:r w:rsidRPr="00A93F35">
        <w:t>Viet Nam</w:t>
      </w:r>
      <w:r>
        <w:t>.</w:t>
      </w:r>
    </w:p>
    <w:p w14:paraId="31043583" w14:textId="77777777" w:rsidR="00583D26" w:rsidRPr="00583D26" w:rsidRDefault="00583D26" w:rsidP="00583D26">
      <w:pPr>
        <w:pStyle w:val="SingleTxtG"/>
        <w:spacing w:after="0"/>
        <w:ind w:left="1701"/>
      </w:pPr>
      <w:r w:rsidRPr="00583D26">
        <w:rPr>
          <w:i/>
          <w:iCs/>
        </w:rPr>
        <w:t>Ont voté contre </w:t>
      </w:r>
      <w:r w:rsidRPr="00583D26">
        <w:t>:</w:t>
      </w:r>
    </w:p>
    <w:p w14:paraId="0985BDC8" w14:textId="1A9ABC14" w:rsidR="00583D26" w:rsidRPr="00583D26" w:rsidRDefault="00583D26" w:rsidP="00583D26">
      <w:pPr>
        <w:pStyle w:val="SingleTxtG"/>
        <w:ind w:left="2268"/>
      </w:pPr>
      <w:r w:rsidRPr="00406D67">
        <w:t>Algérie</w:t>
      </w:r>
      <w:r>
        <w:t xml:space="preserve">, </w:t>
      </w:r>
      <w:r w:rsidRPr="00406D67">
        <w:t>Bangladesh</w:t>
      </w:r>
      <w:r>
        <w:t xml:space="preserve">, </w:t>
      </w:r>
      <w:r w:rsidRPr="00406D67">
        <w:t>Burundi</w:t>
      </w:r>
      <w:r>
        <w:t xml:space="preserve">, </w:t>
      </w:r>
      <w:r w:rsidRPr="00406D67">
        <w:t>Chine</w:t>
      </w:r>
      <w:r>
        <w:t xml:space="preserve">, </w:t>
      </w:r>
      <w:r w:rsidRPr="00406D67">
        <w:t>Côte d</w:t>
      </w:r>
      <w:r>
        <w:t>’</w:t>
      </w:r>
      <w:r w:rsidRPr="00406D67">
        <w:t>Ivoire</w:t>
      </w:r>
      <w:r>
        <w:t xml:space="preserve">, </w:t>
      </w:r>
      <w:r w:rsidRPr="00406D67">
        <w:t>Éthiopie</w:t>
      </w:r>
      <w:r>
        <w:t xml:space="preserve">, </w:t>
      </w:r>
      <w:r w:rsidRPr="00406D67">
        <w:t>Gambie</w:t>
      </w:r>
      <w:r>
        <w:t xml:space="preserve">, </w:t>
      </w:r>
      <w:r w:rsidRPr="00406D67">
        <w:t>Indonésie</w:t>
      </w:r>
      <w:r>
        <w:t xml:space="preserve">, </w:t>
      </w:r>
      <w:r w:rsidRPr="00406D67">
        <w:t>Koweït</w:t>
      </w:r>
      <w:r>
        <w:t xml:space="preserve">, </w:t>
      </w:r>
      <w:r w:rsidRPr="00406D67">
        <w:t>Malawi</w:t>
      </w:r>
      <w:r>
        <w:t xml:space="preserve">, </w:t>
      </w:r>
      <w:r w:rsidRPr="00406D67">
        <w:t>Maldives</w:t>
      </w:r>
      <w:r>
        <w:t xml:space="preserve">, </w:t>
      </w:r>
      <w:r w:rsidRPr="00406D67">
        <w:t>Maroc</w:t>
      </w:r>
      <w:r>
        <w:t xml:space="preserve">, </w:t>
      </w:r>
      <w:r w:rsidRPr="00406D67">
        <w:t>Qatar</w:t>
      </w:r>
      <w:r>
        <w:t xml:space="preserve">, </w:t>
      </w:r>
      <w:r w:rsidRPr="00406D67">
        <w:t>République démocratique du Congo</w:t>
      </w:r>
      <w:r>
        <w:t xml:space="preserve"> et </w:t>
      </w:r>
      <w:r w:rsidRPr="00406D67">
        <w:t>Soudan</w:t>
      </w:r>
      <w:r>
        <w:t>.</w:t>
      </w:r>
    </w:p>
    <w:p w14:paraId="6ACE574D" w14:textId="77777777" w:rsidR="00583D26" w:rsidRDefault="00583D26" w:rsidP="00583D26">
      <w:pPr>
        <w:pStyle w:val="SingleTxtG"/>
        <w:spacing w:after="0"/>
        <w:ind w:left="1701"/>
      </w:pPr>
      <w:r>
        <w:rPr>
          <w:i/>
          <w:iCs/>
        </w:rPr>
        <w:t>Se sont abstenus </w:t>
      </w:r>
      <w:r w:rsidRPr="00103D41">
        <w:t xml:space="preserve">: </w:t>
      </w:r>
    </w:p>
    <w:bookmarkEnd w:id="0"/>
    <w:p w14:paraId="2C399CBD" w14:textId="39DF9050" w:rsidR="00552797" w:rsidRDefault="00583D26" w:rsidP="00583D26">
      <w:pPr>
        <w:pStyle w:val="SingleTxtG"/>
        <w:ind w:left="2268"/>
      </w:pPr>
      <w:r w:rsidRPr="001705D9">
        <w:t>Bénin</w:t>
      </w:r>
      <w:r>
        <w:t xml:space="preserve">, </w:t>
      </w:r>
      <w:r w:rsidRPr="001705D9">
        <w:t>Ghana</w:t>
      </w:r>
      <w:r>
        <w:t xml:space="preserve"> et </w:t>
      </w:r>
      <w:r w:rsidRPr="001705D9">
        <w:t>Kirghizistan</w:t>
      </w:r>
      <w:r>
        <w:t>.]</w:t>
      </w:r>
    </w:p>
    <w:p w14:paraId="3B9B3CDE" w14:textId="4D7ADEF3" w:rsidR="00583D26" w:rsidRPr="00583D26" w:rsidRDefault="00583D26" w:rsidP="00583D26">
      <w:pPr>
        <w:pStyle w:val="SingleTxtG"/>
        <w:spacing w:before="240" w:after="0"/>
        <w:jc w:val="center"/>
        <w:rPr>
          <w:u w:val="single"/>
        </w:rPr>
      </w:pPr>
      <w:r>
        <w:rPr>
          <w:u w:val="single"/>
        </w:rPr>
        <w:tab/>
      </w:r>
      <w:r>
        <w:rPr>
          <w:u w:val="single"/>
        </w:rPr>
        <w:tab/>
      </w:r>
      <w:r>
        <w:rPr>
          <w:u w:val="single"/>
        </w:rPr>
        <w:tab/>
      </w:r>
    </w:p>
    <w:sectPr w:rsidR="00583D26" w:rsidRPr="00583D26" w:rsidSect="00583D26">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E524F4" w14:textId="77777777" w:rsidR="00E51E77" w:rsidRPr="00EF7F30" w:rsidRDefault="00E51E77" w:rsidP="00EF7F30">
      <w:pPr>
        <w:pStyle w:val="Pieddepage"/>
      </w:pPr>
    </w:p>
  </w:endnote>
  <w:endnote w:type="continuationSeparator" w:id="0">
    <w:p w14:paraId="284E3830" w14:textId="77777777" w:rsidR="00E51E77" w:rsidRPr="00EF7F30" w:rsidRDefault="00E51E77" w:rsidP="00EF7F30">
      <w:pPr>
        <w:pStyle w:val="Pieddepage"/>
      </w:pPr>
    </w:p>
  </w:endnote>
  <w:endnote w:type="continuationNotice" w:id="1">
    <w:p w14:paraId="15B28444" w14:textId="77777777" w:rsidR="00E51E77" w:rsidRDefault="00E51E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C693F" w14:textId="470FFB84" w:rsidR="00583D26" w:rsidRPr="00583D26" w:rsidRDefault="00583D26" w:rsidP="00583D26">
    <w:pPr>
      <w:pStyle w:val="Pieddepage"/>
      <w:tabs>
        <w:tab w:val="right" w:pos="9638"/>
      </w:tabs>
    </w:pPr>
    <w:r w:rsidRPr="00583D26">
      <w:rPr>
        <w:b/>
        <w:sz w:val="18"/>
      </w:rPr>
      <w:fldChar w:fldCharType="begin"/>
    </w:r>
    <w:r w:rsidRPr="00583D26">
      <w:rPr>
        <w:b/>
        <w:sz w:val="18"/>
      </w:rPr>
      <w:instrText xml:space="preserve"> PAGE  \* MERGEFORMAT </w:instrText>
    </w:r>
    <w:r w:rsidRPr="00583D26">
      <w:rPr>
        <w:b/>
        <w:sz w:val="18"/>
      </w:rPr>
      <w:fldChar w:fldCharType="separate"/>
    </w:r>
    <w:r w:rsidRPr="00583D26">
      <w:rPr>
        <w:b/>
        <w:noProof/>
        <w:sz w:val="18"/>
      </w:rPr>
      <w:t>2</w:t>
    </w:r>
    <w:r w:rsidRPr="00583D26">
      <w:rPr>
        <w:b/>
        <w:sz w:val="18"/>
      </w:rPr>
      <w:fldChar w:fldCharType="end"/>
    </w:r>
    <w:r>
      <w:rPr>
        <w:b/>
        <w:sz w:val="18"/>
      </w:rPr>
      <w:tab/>
    </w:r>
    <w:r>
      <w:t>GE.25-11106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4D06C" w14:textId="5A028F5D" w:rsidR="00583D26" w:rsidRPr="00583D26" w:rsidRDefault="00583D26" w:rsidP="00583D26">
    <w:pPr>
      <w:pStyle w:val="Pieddepage"/>
      <w:tabs>
        <w:tab w:val="right" w:pos="9638"/>
      </w:tabs>
      <w:rPr>
        <w:b/>
        <w:sz w:val="18"/>
      </w:rPr>
    </w:pPr>
    <w:r>
      <w:t>GE.25-11106</w:t>
    </w:r>
    <w:r>
      <w:tab/>
    </w:r>
    <w:r w:rsidRPr="00583D26">
      <w:rPr>
        <w:b/>
        <w:sz w:val="18"/>
      </w:rPr>
      <w:fldChar w:fldCharType="begin"/>
    </w:r>
    <w:r w:rsidRPr="00583D26">
      <w:rPr>
        <w:b/>
        <w:sz w:val="18"/>
      </w:rPr>
      <w:instrText xml:space="preserve"> PAGE  \* MERGEFORMAT </w:instrText>
    </w:r>
    <w:r w:rsidRPr="00583D26">
      <w:rPr>
        <w:b/>
        <w:sz w:val="18"/>
      </w:rPr>
      <w:fldChar w:fldCharType="separate"/>
    </w:r>
    <w:r w:rsidRPr="00583D26">
      <w:rPr>
        <w:b/>
        <w:noProof/>
        <w:sz w:val="18"/>
      </w:rPr>
      <w:t>3</w:t>
    </w:r>
    <w:r w:rsidRPr="00583D2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FFEAE" w14:textId="726C452A" w:rsidR="0094352E" w:rsidRPr="00583D26" w:rsidRDefault="00583D26" w:rsidP="00583D26">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049D4DC3" wp14:editId="77A4C65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25-11106  (F)</w:t>
    </w:r>
    <w:r>
      <w:rPr>
        <w:noProof/>
        <w:sz w:val="20"/>
      </w:rPr>
      <w:drawing>
        <wp:anchor distT="0" distB="0" distL="114300" distR="114300" simplePos="0" relativeHeight="251660288" behindDoc="0" locked="0" layoutInCell="1" allowOverlap="1" wp14:anchorId="34E7E6C7" wp14:editId="0EEF628C">
          <wp:simplePos x="0" y="0"/>
          <wp:positionH relativeFrom="margin">
            <wp:posOffset>5489575</wp:posOffset>
          </wp:positionH>
          <wp:positionV relativeFrom="margin">
            <wp:posOffset>8891905</wp:posOffset>
          </wp:positionV>
          <wp:extent cx="628650" cy="628650"/>
          <wp:effectExtent l="0" t="0" r="0" b="0"/>
          <wp:wrapNone/>
          <wp:docPr id="194685800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090725    </w:t>
    </w:r>
    <w:r w:rsidR="00F830C2">
      <w:rPr>
        <w:sz w:val="20"/>
      </w:rPr>
      <w:t>10</w:t>
    </w:r>
    <w:r>
      <w:rPr>
        <w:sz w:val="20"/>
      </w:rPr>
      <w:t>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032B3B" w14:textId="77777777" w:rsidR="00E51E77" w:rsidRPr="00EF7F30" w:rsidRDefault="00E51E77"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30E4E5D4" w14:textId="77777777" w:rsidR="00E51E77" w:rsidRPr="00EF7F30" w:rsidRDefault="00E51E77" w:rsidP="000E5ADA">
      <w:pPr>
        <w:pStyle w:val="Pieddepage"/>
        <w:tabs>
          <w:tab w:val="right" w:pos="2155"/>
        </w:tabs>
        <w:spacing w:after="80" w:line="240" w:lineRule="atLeast"/>
        <w:ind w:left="680"/>
      </w:pPr>
      <w:r w:rsidRPr="00EF7F30">
        <w:rPr>
          <w:u w:val="single"/>
        </w:rPr>
        <w:tab/>
      </w:r>
    </w:p>
  </w:footnote>
  <w:footnote w:type="continuationNotice" w:id="1">
    <w:p w14:paraId="532D3DED" w14:textId="77777777" w:rsidR="00E51E77" w:rsidRPr="000F2457" w:rsidRDefault="00E51E77">
      <w:pPr>
        <w:spacing w:line="240" w:lineRule="auto"/>
        <w:rPr>
          <w:sz w:val="2"/>
          <w:szCs w:val="2"/>
        </w:rPr>
      </w:pPr>
    </w:p>
  </w:footnote>
  <w:footnote w:id="2">
    <w:p w14:paraId="33077D79" w14:textId="106F542C" w:rsidR="00583D26" w:rsidRPr="002C47A4" w:rsidRDefault="00583D26" w:rsidP="00583D26">
      <w:pPr>
        <w:pStyle w:val="Notedebasdepage"/>
      </w:pPr>
      <w:r>
        <w:rPr>
          <w:lang w:val="fr-FR"/>
        </w:rPr>
        <w:tab/>
      </w:r>
      <w:r w:rsidRPr="00BF1BC1">
        <w:rPr>
          <w:rStyle w:val="Appelnotedebasdep"/>
        </w:rPr>
        <w:footnoteRef/>
      </w:r>
      <w:r>
        <w:rPr>
          <w:lang w:val="fr-FR"/>
        </w:rPr>
        <w:tab/>
        <w:t xml:space="preserve">Voir </w:t>
      </w:r>
      <w:hyperlink r:id="rId1" w:history="1">
        <w:r w:rsidRPr="0045632B">
          <w:rPr>
            <w:rStyle w:val="Lienhypertexte"/>
            <w:lang w:val="fr-FR"/>
          </w:rPr>
          <w:t>A/HRC/59/43</w:t>
        </w:r>
      </w:hyperlink>
      <w:r>
        <w:rPr>
          <w:lang w:val="fr-FR"/>
        </w:rPr>
        <w:t xml:space="preserve">, </w:t>
      </w:r>
      <w:hyperlink r:id="rId2" w:history="1">
        <w:r w:rsidRPr="00673E3A">
          <w:rPr>
            <w:rStyle w:val="Lienhypertexte"/>
            <w:lang w:val="fr-FR"/>
          </w:rPr>
          <w:t>A/HRC/59/43/Add.1</w:t>
        </w:r>
      </w:hyperlink>
      <w:r>
        <w:rPr>
          <w:lang w:val="fr-FR"/>
        </w:rPr>
        <w:t xml:space="preserve"> et </w:t>
      </w:r>
      <w:hyperlink r:id="rId3" w:history="1">
        <w:r w:rsidRPr="0045632B">
          <w:rPr>
            <w:rStyle w:val="Lienhypertexte"/>
            <w:lang w:val="fr-FR"/>
          </w:rPr>
          <w:t>A/HRC/59/43/Add.2</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69479" w14:textId="7762FE7F" w:rsidR="00583D26" w:rsidRPr="00583D26" w:rsidRDefault="00CC14C1">
    <w:pPr>
      <w:pStyle w:val="En-tte"/>
    </w:pPr>
    <w:fldSimple w:instr=" TITLE  \* MERGEFORMAT ">
      <w:r w:rsidR="00CB6F1B">
        <w:t>A/HRC/RES/59/5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551B9" w14:textId="08EA6B6D" w:rsidR="00583D26" w:rsidRPr="00583D26" w:rsidRDefault="00CC14C1" w:rsidP="00583D26">
    <w:pPr>
      <w:pStyle w:val="En-tte"/>
      <w:jc w:val="right"/>
    </w:pPr>
    <w:fldSimple w:instr=" TITLE  \* MERGEFORMAT ">
      <w:r w:rsidR="00CB6F1B">
        <w:t>A/HRC/RES/59/5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38271657">
    <w:abstractNumId w:val="12"/>
  </w:num>
  <w:num w:numId="2" w16cid:durableId="1791434352">
    <w:abstractNumId w:val="11"/>
  </w:num>
  <w:num w:numId="3" w16cid:durableId="1142846062">
    <w:abstractNumId w:val="10"/>
  </w:num>
  <w:num w:numId="4" w16cid:durableId="1081440610">
    <w:abstractNumId w:val="8"/>
  </w:num>
  <w:num w:numId="5" w16cid:durableId="1281498515">
    <w:abstractNumId w:val="3"/>
  </w:num>
  <w:num w:numId="6" w16cid:durableId="1491675347">
    <w:abstractNumId w:val="2"/>
  </w:num>
  <w:num w:numId="7" w16cid:durableId="843741762">
    <w:abstractNumId w:val="1"/>
  </w:num>
  <w:num w:numId="8" w16cid:durableId="376439257">
    <w:abstractNumId w:val="0"/>
  </w:num>
  <w:num w:numId="9" w16cid:durableId="1572810189">
    <w:abstractNumId w:val="9"/>
  </w:num>
  <w:num w:numId="10" w16cid:durableId="683552925">
    <w:abstractNumId w:val="7"/>
  </w:num>
  <w:num w:numId="11" w16cid:durableId="534200573">
    <w:abstractNumId w:val="6"/>
  </w:num>
  <w:num w:numId="12" w16cid:durableId="1215654191">
    <w:abstractNumId w:val="5"/>
  </w:num>
  <w:num w:numId="13" w16cid:durableId="1616214423">
    <w:abstractNumId w:val="4"/>
  </w:num>
  <w:num w:numId="14" w16cid:durableId="1022317154">
    <w:abstractNumId w:val="12"/>
  </w:num>
  <w:num w:numId="15" w16cid:durableId="670646912">
    <w:abstractNumId w:val="11"/>
  </w:num>
  <w:num w:numId="16" w16cid:durableId="13048963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E77"/>
    <w:rsid w:val="00023842"/>
    <w:rsid w:val="0007796D"/>
    <w:rsid w:val="000E5ADA"/>
    <w:rsid w:val="000F2457"/>
    <w:rsid w:val="00111F2F"/>
    <w:rsid w:val="00131E73"/>
    <w:rsid w:val="0014365E"/>
    <w:rsid w:val="00176178"/>
    <w:rsid w:val="001F525A"/>
    <w:rsid w:val="00212168"/>
    <w:rsid w:val="002165E2"/>
    <w:rsid w:val="00260711"/>
    <w:rsid w:val="002E0D9C"/>
    <w:rsid w:val="003547BE"/>
    <w:rsid w:val="00446FE5"/>
    <w:rsid w:val="004856B1"/>
    <w:rsid w:val="004D4CB4"/>
    <w:rsid w:val="00552797"/>
    <w:rsid w:val="00573BE5"/>
    <w:rsid w:val="00583D26"/>
    <w:rsid w:val="00586ED3"/>
    <w:rsid w:val="00587A52"/>
    <w:rsid w:val="005B4E23"/>
    <w:rsid w:val="00617B29"/>
    <w:rsid w:val="00673E3A"/>
    <w:rsid w:val="0068446C"/>
    <w:rsid w:val="00695AED"/>
    <w:rsid w:val="006A482F"/>
    <w:rsid w:val="00710BD6"/>
    <w:rsid w:val="0071601D"/>
    <w:rsid w:val="007161D4"/>
    <w:rsid w:val="00721020"/>
    <w:rsid w:val="00731589"/>
    <w:rsid w:val="007451E0"/>
    <w:rsid w:val="0080684C"/>
    <w:rsid w:val="00840FB4"/>
    <w:rsid w:val="00871C75"/>
    <w:rsid w:val="008776DC"/>
    <w:rsid w:val="008B386A"/>
    <w:rsid w:val="00942752"/>
    <w:rsid w:val="0094352E"/>
    <w:rsid w:val="00962015"/>
    <w:rsid w:val="009705C8"/>
    <w:rsid w:val="009A47AB"/>
    <w:rsid w:val="00A12E20"/>
    <w:rsid w:val="00A2307A"/>
    <w:rsid w:val="00AC7BEB"/>
    <w:rsid w:val="00AE323C"/>
    <w:rsid w:val="00B16AAF"/>
    <w:rsid w:val="00B22A9E"/>
    <w:rsid w:val="00B24C75"/>
    <w:rsid w:val="00B528BF"/>
    <w:rsid w:val="00BE2FA2"/>
    <w:rsid w:val="00C02897"/>
    <w:rsid w:val="00C12613"/>
    <w:rsid w:val="00CB6F1B"/>
    <w:rsid w:val="00CC14C1"/>
    <w:rsid w:val="00D45432"/>
    <w:rsid w:val="00DB1831"/>
    <w:rsid w:val="00DD3BFD"/>
    <w:rsid w:val="00E228A8"/>
    <w:rsid w:val="00E51E77"/>
    <w:rsid w:val="00E6618E"/>
    <w:rsid w:val="00EF7F30"/>
    <w:rsid w:val="00F660DF"/>
    <w:rsid w:val="00F830C2"/>
    <w:rsid w:val="00F95C08"/>
    <w:rsid w:val="00FF620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28FEDE"/>
  <w15:docId w15:val="{532273F6-EF28-424F-828C-D911625BD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qFormat/>
    <w:locked/>
    <w:rsid w:val="00583D26"/>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673E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docs.un.org/fr/A/HRC/RES/41/18"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docs.un.org/fr/A/HRC/RES/32/2" TargetMode="External"/><Relationship Id="rId17" Type="http://schemas.openxmlformats.org/officeDocument/2006/relationships/hyperlink" Target="https://docs.un.org/fr/A/HRC/RES/32/2" TargetMode="External"/><Relationship Id="rId2" Type="http://schemas.openxmlformats.org/officeDocument/2006/relationships/numbering" Target="numbering.xml"/><Relationship Id="rId16" Type="http://schemas.openxmlformats.org/officeDocument/2006/relationships/hyperlink" Target="https://docs.un.org/fr/A/HRC/RES/5/2"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fr/A/HRC/RES/27/32"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cs.un.org/fr/A/HRC/RES/5/1" TargetMode="External"/><Relationship Id="rId23" Type="http://schemas.openxmlformats.org/officeDocument/2006/relationships/fontTable" Target="fontTable.xml"/><Relationship Id="rId10" Type="http://schemas.openxmlformats.org/officeDocument/2006/relationships/hyperlink" Target="https://docs.un.org/fr/A/HRC/RES/17/19"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docs.un.org/fr/A/RES/60/251" TargetMode="External"/><Relationship Id="rId14" Type="http://schemas.openxmlformats.org/officeDocument/2006/relationships/hyperlink" Target="https://docs.un.org/fr/A/HRC/RES/50/10"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A/HRC/59/43/Add.2" TargetMode="External"/><Relationship Id="rId2" Type="http://schemas.openxmlformats.org/officeDocument/2006/relationships/hyperlink" Target="https://docs.un.org/fr/A/HRC/59/43/Add.1" TargetMode="External"/><Relationship Id="rId1" Type="http://schemas.openxmlformats.org/officeDocument/2006/relationships/hyperlink" Target="https://docs.un.org/fr/A/HRC/59/4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2</Pages>
  <Words>515</Words>
  <Characters>3611</Characters>
  <Application>Microsoft Office Word</Application>
  <DocSecurity>0</DocSecurity>
  <Lines>300</Lines>
  <Paragraphs>165</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3961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A/HRC/RES/59/5</dc:title>
  <dc:subject/>
  <dc:creator>Maud DARICHE</dc:creator>
  <cp:keywords/>
  <cp:lastModifiedBy>Maud DARICHE</cp:lastModifiedBy>
  <cp:revision>3</cp:revision>
  <cp:lastPrinted>2025-07-10T09:05:00Z</cp:lastPrinted>
  <dcterms:created xsi:type="dcterms:W3CDTF">2025-07-10T09:05:00Z</dcterms:created>
  <dcterms:modified xsi:type="dcterms:W3CDTF">2025-07-10T09:05:00Z</dcterms:modified>
</cp:coreProperties>
</file>