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spacing w:before="0" w:after="0"/>
        <w:ind w:left="476" w:right="0"/>
      </w:pPr>
      <w:r>
        <w:t>Комитет по ликвидации дискриминации</w:t>
      </w:r>
    </w:p>
    <w:p w:rsidR="00000000" w:rsidRDefault="00000000">
      <w:pPr>
        <w:pStyle w:val="H1"/>
        <w:spacing w:before="0" w:after="0"/>
        <w:ind w:left="476" w:right="0"/>
        <w:rPr>
          <w:lang w:val="en-US"/>
        </w:rPr>
      </w:pPr>
      <w:r>
        <w:t>в отношении женщин</w:t>
      </w:r>
    </w:p>
    <w:p w:rsidR="00000000" w:rsidRDefault="00000000">
      <w:pPr>
        <w:pStyle w:val="BodyText3"/>
        <w:spacing w:line="270" w:lineRule="exact"/>
        <w:rPr>
          <w:spacing w:val="4"/>
          <w:w w:val="103"/>
          <w:kern w:val="14"/>
          <w:lang w:val="en-US" w:eastAsia="ru-RU"/>
        </w:rPr>
      </w:pPr>
      <w:r>
        <w:rPr>
          <w:spacing w:val="4"/>
          <w:w w:val="103"/>
          <w:kern w:val="14"/>
          <w:lang w:eastAsia="ru-RU"/>
        </w:rPr>
        <w:t>(КЛДЖ)</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pPr>
      <w:r>
        <w:t xml:space="preserve">Рассмотрение докладов, представленных государствами-участниками в соответствии </w:t>
      </w:r>
      <w:r>
        <w:br/>
        <w:t xml:space="preserve">со статьей 18 Конвенции о ликвидации всех форм </w:t>
      </w:r>
      <w:r>
        <w:br/>
        <w:t>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pPr>
      <w:r>
        <w:t>Третьи периодические доклады государств–участников</w:t>
      </w:r>
      <w:r>
        <w:rPr>
          <w:rStyle w:val="FootnoteReference"/>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pPr>
      <w:r>
        <w:t>Словения</w:t>
      </w:r>
      <w:r>
        <w:rPr>
          <w:rStyle w:val="FootnoteReference"/>
          <w:sz w:val="20"/>
        </w:rPr>
        <w:footnoteReference w:customMarkFollows="1" w:id="2"/>
        <w:t>**</w:t>
      </w:r>
    </w:p>
    <w:p w:rsidR="00000000" w:rsidRDefault="00000000">
      <w:pPr>
        <w:jc w:val="center"/>
      </w:pPr>
    </w:p>
    <w:p w:rsidR="00000000" w:rsidRDefault="00000000">
      <w:pPr>
        <w:jc w:val="both"/>
      </w:pPr>
    </w:p>
    <w:p w:rsidR="00000000" w:rsidRDefault="00000000">
      <w:pPr>
        <w:jc w:val="both"/>
      </w:pPr>
    </w:p>
    <w:p w:rsidR="00000000" w:rsidRDefault="00000000">
      <w:pPr>
        <w:pStyle w:val="DualTxt"/>
        <w:tabs>
          <w:tab w:val="clear" w:pos="480"/>
          <w:tab w:val="clear" w:pos="960"/>
          <w:tab w:val="clear" w:pos="1440"/>
          <w:tab w:val="clear" w:pos="1915"/>
          <w:tab w:val="clear" w:pos="2405"/>
          <w:tab w:val="clear" w:pos="2880"/>
          <w:tab w:val="clear" w:pos="3355"/>
        </w:tabs>
        <w:spacing w:after="0"/>
      </w:pPr>
    </w:p>
    <w:p w:rsidR="00000000" w:rsidRDefault="00000000">
      <w:pPr>
        <w:pStyle w:val="HCh"/>
      </w:pPr>
      <w:r>
        <w:br w:type="page"/>
        <w:t>ВВЕДЕНИЕ</w:t>
      </w:r>
    </w:p>
    <w:p w:rsidR="00000000" w:rsidRDefault="00000000">
      <w:pPr>
        <w:pStyle w:val="SingleTxt"/>
      </w:pPr>
      <w:r>
        <w:t>На основании Акта об уведомлении о правопреемстве в отношении ко</w:t>
      </w:r>
      <w:r>
        <w:t>н</w:t>
      </w:r>
      <w:r>
        <w:t>венций Организации Объединенных Наций Республика Словения стала прав</w:t>
      </w:r>
      <w:r>
        <w:t>о</w:t>
      </w:r>
      <w:r>
        <w:t>преемницей Конвенции о ликвидации всех форм дискриминации в отношении женщин. Республика Словения представила свой первоначальный доклад об осуществлении положений Конвенции Комитету по ликвидации дискримин</w:t>
      </w:r>
      <w:r>
        <w:t>а</w:t>
      </w:r>
      <w:r>
        <w:t>ции в отношении женщин в 1993 году. Комитет рассмотрел его на своем 16-ом заседании. В 1999 году правительство Республики Словении приняло второй доклад в соответствии со статьей 18 Конвенции и препроводило его Комитету по ликвидации дискриминации в отношении женщин.</w:t>
      </w:r>
    </w:p>
    <w:p w:rsidR="00000000" w:rsidRDefault="00000000">
      <w:pPr>
        <w:pStyle w:val="SingleTxt"/>
      </w:pPr>
      <w:r>
        <w:t>Конституция, законодательство и международные соглашения обязывают правительство Республики Словения гарантировать и обеспечить пользование правами человека и основными свободами без какой бы то ни было дискрим</w:t>
      </w:r>
      <w:r>
        <w:t>и</w:t>
      </w:r>
      <w:r>
        <w:t>нации по признаку национальности, расы, пола, языка, религиозной веры, п</w:t>
      </w:r>
      <w:r>
        <w:t>о</w:t>
      </w:r>
      <w:r>
        <w:t>литических и иных убеждений, материального положения, рождения, образ</w:t>
      </w:r>
      <w:r>
        <w:t>о</w:t>
      </w:r>
      <w:r>
        <w:t>вания, социального положения и других личных обстоятельств. Конвенция о ликвидации всех форм дискриминации в отношении женщин служит юридич</w:t>
      </w:r>
      <w:r>
        <w:t>е</w:t>
      </w:r>
      <w:r>
        <w:t>ской основой для национальных программ в области правовых реформ и в то же время первоисточником для разработки стратегий и программ в области предотвращения дискриминации женщин и обеспечения равенства мужчин и женщин.</w:t>
      </w:r>
    </w:p>
    <w:p w:rsidR="00000000" w:rsidRDefault="00000000">
      <w:pPr>
        <w:pStyle w:val="SingleTxt"/>
      </w:pPr>
      <w:r>
        <w:t>Третий доклад об осуществлении положений Конвенции о ликвидации всех форм дискриминации в отношении женщин был подготовлен Управлением правительства Республики Словении по вопросам равных возможностей в с</w:t>
      </w:r>
      <w:r>
        <w:t>о</w:t>
      </w:r>
      <w:r>
        <w:t>трудничестве с соответствующими министерствами и другими ведомствами. Третий доклад составлен в сжатой форме, и основное внимание в нем уделяе</w:t>
      </w:r>
      <w:r>
        <w:t>т</w:t>
      </w:r>
      <w:r>
        <w:t>ся изменениям, произошедшим в период между представлением второго и третьего докладов, с тем чтобы Комитет по ликвидации дискриминации в о</w:t>
      </w:r>
      <w:r>
        <w:t>т</w:t>
      </w:r>
      <w:r>
        <w:t>ношении женщин мог одновременно рассмотреть второй и третий доклады (на 29-ом заседании Комитета, которое намечено провести в июле 2003 года).</w:t>
      </w:r>
    </w:p>
    <w:p w:rsidR="00000000" w:rsidRDefault="00000000">
      <w:pPr>
        <w:pStyle w:val="SingleTxt"/>
      </w:pPr>
      <w:r>
        <w:t>В 2001 году Управление по политике в отношении женщин было пер</w:t>
      </w:r>
      <w:r>
        <w:t>е</w:t>
      </w:r>
      <w:r>
        <w:t>именовано в Управление по вопросам равных возможностей. Поэтому, когда в настоящем докладе упоминается Управление по вопросам равных возможн</w:t>
      </w:r>
      <w:r>
        <w:t>о</w:t>
      </w:r>
      <w:r>
        <w:t>стей, речь идет о деятельности обоих учреждений.</w:t>
      </w:r>
    </w:p>
    <w:p w:rsidR="00000000" w:rsidRDefault="00000000">
      <w:pPr>
        <w:pStyle w:val="SingleTxt"/>
        <w:rPr>
          <w:b/>
          <w:lang w:val="en-US"/>
        </w:rPr>
      </w:pPr>
      <w:r>
        <w:rPr>
          <w:b/>
        </w:rPr>
        <w:t>Юридическая</w:t>
      </w:r>
      <w:r>
        <w:rPr>
          <w:b/>
          <w:lang w:val="en-US"/>
        </w:rPr>
        <w:t xml:space="preserve"> </w:t>
      </w:r>
      <w:r>
        <w:rPr>
          <w:b/>
        </w:rPr>
        <w:t>библиография</w:t>
      </w:r>
    </w:p>
    <w:p w:rsidR="00000000" w:rsidRDefault="00000000">
      <w:pPr>
        <w:pStyle w:val="SingleTxt"/>
        <w:ind w:left="2217" w:hanging="953"/>
        <w:rPr>
          <w:lang w:val="en-US"/>
        </w:rPr>
      </w:pPr>
      <w:r>
        <w:rPr>
          <w:lang w:val="en-GB"/>
        </w:rPr>
        <w:tab/>
      </w:r>
      <w:r>
        <w:rPr>
          <w:lang w:val="en-GB"/>
        </w:rPr>
        <w:tab/>
        <w:t>1.</w:t>
      </w:r>
      <w:r>
        <w:rPr>
          <w:lang w:val="en-GB"/>
        </w:rPr>
        <w:tab/>
      </w:r>
      <w:r>
        <w:rPr>
          <w:lang w:val="en-US"/>
        </w:rPr>
        <w:t>Constitution of the Republic of Slovenia, Official Gazette of the Republic of Slovenia (Ur.1.RS), no. 33/91-I, 42/97 and 66/2000,</w:t>
      </w:r>
    </w:p>
    <w:p w:rsidR="00000000" w:rsidRDefault="00000000">
      <w:pPr>
        <w:pStyle w:val="SingleTxt"/>
        <w:ind w:left="2217" w:hanging="953"/>
        <w:rPr>
          <w:lang w:val="en-US"/>
        </w:rPr>
      </w:pPr>
      <w:r>
        <w:rPr>
          <w:lang w:val="en-US"/>
        </w:rPr>
        <w:tab/>
      </w:r>
      <w:r>
        <w:rPr>
          <w:lang w:val="en-US"/>
        </w:rPr>
        <w:tab/>
        <w:t>2.</w:t>
      </w:r>
      <w:r>
        <w:rPr>
          <w:lang w:val="en-US"/>
        </w:rPr>
        <w:tab/>
        <w:t>Act on Equal Opportunities for Women and Men, Ur.1.RS, no. 59/2002,</w:t>
      </w:r>
    </w:p>
    <w:p w:rsidR="00000000" w:rsidRDefault="00000000">
      <w:pPr>
        <w:pStyle w:val="SingleTxt"/>
        <w:ind w:left="2217" w:hanging="953"/>
        <w:rPr>
          <w:lang w:val="en-US"/>
        </w:rPr>
      </w:pPr>
      <w:r>
        <w:rPr>
          <w:lang w:val="en-US"/>
        </w:rPr>
        <w:tab/>
      </w:r>
      <w:r>
        <w:rPr>
          <w:lang w:val="en-US"/>
        </w:rPr>
        <w:tab/>
        <w:t>3.</w:t>
      </w:r>
      <w:r>
        <w:rPr>
          <w:lang w:val="en-US"/>
        </w:rPr>
        <w:tab/>
        <w:t>Employment Relationships Act, Ur.1.RS, no. 97/2001,</w:t>
      </w:r>
    </w:p>
    <w:p w:rsidR="00000000" w:rsidRDefault="00000000">
      <w:pPr>
        <w:pStyle w:val="SingleTxt"/>
        <w:ind w:left="2217" w:hanging="953"/>
        <w:rPr>
          <w:lang w:val="en-US"/>
        </w:rPr>
      </w:pPr>
      <w:r>
        <w:rPr>
          <w:lang w:val="en-US"/>
        </w:rPr>
        <w:tab/>
      </w:r>
      <w:r>
        <w:rPr>
          <w:lang w:val="en-US"/>
        </w:rPr>
        <w:tab/>
        <w:t>5.</w:t>
      </w:r>
      <w:r>
        <w:rPr>
          <w:lang w:val="en-US"/>
        </w:rPr>
        <w:tab/>
        <w:t>Marriage and Family Relations Act, Ur.1.RS, no. 14/89 (consolidating text) and 64/2001,</w:t>
      </w:r>
    </w:p>
    <w:p w:rsidR="00000000" w:rsidRDefault="00000000">
      <w:pPr>
        <w:pStyle w:val="SingleTxt"/>
        <w:ind w:left="2217" w:hanging="953"/>
        <w:rPr>
          <w:lang w:val="en-US"/>
        </w:rPr>
      </w:pPr>
      <w:r>
        <w:rPr>
          <w:lang w:val="en-US"/>
        </w:rPr>
        <w:tab/>
      </w:r>
      <w:r>
        <w:rPr>
          <w:lang w:val="en-US"/>
        </w:rPr>
        <w:tab/>
      </w:r>
      <w:r>
        <w:rPr>
          <w:lang w:val="en-GB"/>
        </w:rPr>
        <w:t>6.</w:t>
      </w:r>
      <w:r>
        <w:rPr>
          <w:lang w:val="en-GB"/>
        </w:rPr>
        <w:tab/>
      </w:r>
      <w:r>
        <w:rPr>
          <w:lang w:val="en-US"/>
        </w:rPr>
        <w:t>Penal Code,</w:t>
      </w:r>
      <w:r>
        <w:rPr>
          <w:lang w:val="en-GB"/>
        </w:rPr>
        <w:t xml:space="preserve"> </w:t>
      </w:r>
      <w:r>
        <w:rPr>
          <w:lang w:val="en-US"/>
        </w:rPr>
        <w:t>Ur</w:t>
      </w:r>
      <w:r>
        <w:rPr>
          <w:lang w:val="en-GB"/>
        </w:rPr>
        <w:t>.1.</w:t>
      </w:r>
      <w:r>
        <w:rPr>
          <w:lang w:val="en-US"/>
        </w:rPr>
        <w:t>RS</w:t>
      </w:r>
      <w:r>
        <w:rPr>
          <w:lang w:val="en-GB"/>
        </w:rPr>
        <w:t>,</w:t>
      </w:r>
      <w:r>
        <w:rPr>
          <w:lang w:val="en-US"/>
        </w:rPr>
        <w:t xml:space="preserve"> no. 63/94, 70/94 and 23/99.</w:t>
      </w:r>
    </w:p>
    <w:p w:rsidR="00000000" w:rsidRDefault="00000000">
      <w:pPr>
        <w:pStyle w:val="SingleTxt"/>
        <w:ind w:left="2217" w:hanging="953"/>
        <w:rPr>
          <w:lang w:val="en-US"/>
        </w:rPr>
      </w:pPr>
      <w:r>
        <w:rPr>
          <w:lang w:val="en-US"/>
        </w:rPr>
        <w:tab/>
      </w:r>
      <w:r>
        <w:rPr>
          <w:lang w:val="en-US"/>
        </w:rPr>
        <w:tab/>
        <w:t>7.</w:t>
      </w:r>
      <w:r>
        <w:rPr>
          <w:lang w:val="en-US"/>
        </w:rPr>
        <w:tab/>
        <w:t>Criminal Procedure Act, Ur.1.RS, no. 63/94, 70/94, 72/98, 6/99, 66/2000 and 111/2001,</w:t>
      </w:r>
    </w:p>
    <w:p w:rsidR="00000000" w:rsidRDefault="00000000">
      <w:pPr>
        <w:pStyle w:val="SingleTxt"/>
        <w:ind w:left="2217" w:hanging="953"/>
        <w:rPr>
          <w:lang w:val="en-US"/>
        </w:rPr>
      </w:pPr>
      <w:r>
        <w:rPr>
          <w:lang w:val="en-US"/>
        </w:rPr>
        <w:tab/>
      </w:r>
      <w:r>
        <w:rPr>
          <w:lang w:val="en-US"/>
        </w:rPr>
        <w:tab/>
        <w:t>8.</w:t>
      </w:r>
      <w:r>
        <w:rPr>
          <w:lang w:val="en-US"/>
        </w:rPr>
        <w:tab/>
        <w:t>Foreign Affairs Act, Ur.1.RS, no. 45/2001,</w:t>
      </w:r>
    </w:p>
    <w:p w:rsidR="00000000" w:rsidRDefault="00000000">
      <w:pPr>
        <w:pStyle w:val="SingleTxt"/>
        <w:ind w:left="2217" w:hanging="953"/>
        <w:rPr>
          <w:lang w:val="en-US"/>
        </w:rPr>
      </w:pPr>
      <w:r>
        <w:rPr>
          <w:lang w:val="en-US"/>
        </w:rPr>
        <w:tab/>
      </w:r>
      <w:r>
        <w:rPr>
          <w:lang w:val="en-US"/>
        </w:rPr>
        <w:tab/>
        <w:t>9.</w:t>
      </w:r>
      <w:r>
        <w:rPr>
          <w:lang w:val="en-US"/>
        </w:rPr>
        <w:tab/>
        <w:t>Pension and Disability Insurance Act, Ur.1.RS, no. 106/99, 72/2000, 124/2000 and 109/2001,</w:t>
      </w:r>
    </w:p>
    <w:p w:rsidR="00000000" w:rsidRDefault="00000000">
      <w:pPr>
        <w:pStyle w:val="SingleTxt"/>
        <w:ind w:left="2217" w:hanging="953"/>
        <w:rPr>
          <w:lang w:val="en-US"/>
        </w:rPr>
      </w:pPr>
      <w:r>
        <w:rPr>
          <w:lang w:val="en-US"/>
        </w:rPr>
        <w:tab/>
      </w:r>
      <w:r>
        <w:rPr>
          <w:lang w:val="en-US"/>
        </w:rPr>
        <w:tab/>
        <w:t>10.</w:t>
      </w:r>
      <w:r>
        <w:rPr>
          <w:lang w:val="en-US"/>
        </w:rPr>
        <w:tab/>
        <w:t>Health Care and Health Insurance Act, Ur.1.RS, no. 91/92, 13/93, 9/96, 29/98, 6/99, 99/2001 and 60/2002,</w:t>
      </w:r>
    </w:p>
    <w:p w:rsidR="00000000" w:rsidRDefault="00000000">
      <w:pPr>
        <w:pStyle w:val="SingleTxt"/>
        <w:ind w:left="2217" w:hanging="953"/>
        <w:rPr>
          <w:lang w:val="en-US"/>
        </w:rPr>
      </w:pPr>
      <w:r>
        <w:rPr>
          <w:lang w:val="en-US"/>
        </w:rPr>
        <w:tab/>
      </w:r>
      <w:r>
        <w:rPr>
          <w:lang w:val="en-US"/>
        </w:rPr>
        <w:tab/>
        <w:t>11.</w:t>
      </w:r>
      <w:r>
        <w:rPr>
          <w:lang w:val="en-US"/>
        </w:rPr>
        <w:tab/>
        <w:t>Health and Safety at Work Act, Ur.1.RS, no. 56/99 and 64/2001,</w:t>
      </w:r>
    </w:p>
    <w:p w:rsidR="00000000" w:rsidRDefault="00000000">
      <w:pPr>
        <w:pStyle w:val="SingleTxt"/>
        <w:ind w:left="2217" w:hanging="953"/>
        <w:rPr>
          <w:lang w:val="en-US"/>
        </w:rPr>
      </w:pPr>
      <w:r>
        <w:rPr>
          <w:lang w:val="en-US"/>
        </w:rPr>
        <w:tab/>
      </w:r>
      <w:r>
        <w:rPr>
          <w:lang w:val="en-US"/>
        </w:rPr>
        <w:tab/>
        <w:t>12.</w:t>
      </w:r>
      <w:r>
        <w:rPr>
          <w:lang w:val="en-US"/>
        </w:rPr>
        <w:tab/>
        <w:t>Infertility Treatment and Procedures of Biomedically-Assisted Procre</w:t>
      </w:r>
      <w:r>
        <w:rPr>
          <w:lang w:val="en-US"/>
        </w:rPr>
        <w:t>a</w:t>
      </w:r>
      <w:r>
        <w:rPr>
          <w:lang w:val="en-US"/>
        </w:rPr>
        <w:t>tion Act, Ur.1.RS, no. 70/2000,</w:t>
      </w:r>
    </w:p>
    <w:p w:rsidR="00000000" w:rsidRDefault="00000000">
      <w:pPr>
        <w:pStyle w:val="SingleTxt"/>
        <w:ind w:left="2217" w:hanging="953"/>
        <w:rPr>
          <w:lang w:val="en-GB"/>
        </w:rPr>
      </w:pPr>
      <w:r>
        <w:rPr>
          <w:lang w:val="en-US"/>
        </w:rPr>
        <w:tab/>
      </w:r>
      <w:r>
        <w:rPr>
          <w:lang w:val="en-US"/>
        </w:rPr>
        <w:tab/>
        <w:t>13.</w:t>
      </w:r>
      <w:r>
        <w:rPr>
          <w:lang w:val="en-US"/>
        </w:rPr>
        <w:tab/>
        <w:t>Health Measures in Exercising Freedom of Choice in Childbearing Act, Off</w:t>
      </w:r>
      <w:r>
        <w:rPr>
          <w:lang w:val="en-US"/>
        </w:rPr>
        <w:t>i</w:t>
      </w:r>
      <w:r>
        <w:rPr>
          <w:lang w:val="en-US"/>
        </w:rPr>
        <w:t>cial Gazette SRS, no. 11/77, 42/86, Ur.1. RS</w:t>
      </w:r>
      <w:r>
        <w:rPr>
          <w:lang w:val="en-GB"/>
        </w:rPr>
        <w:t>/</w:t>
      </w:r>
      <w:r>
        <w:rPr>
          <w:lang w:val="en-US"/>
        </w:rPr>
        <w:t>I</w:t>
      </w:r>
      <w:r>
        <w:rPr>
          <w:lang w:val="en-GB"/>
        </w:rPr>
        <w:t xml:space="preserve">, </w:t>
      </w:r>
      <w:r>
        <w:rPr>
          <w:lang w:val="en-US"/>
        </w:rPr>
        <w:t>no</w:t>
      </w:r>
      <w:r>
        <w:rPr>
          <w:lang w:val="en-GB"/>
        </w:rPr>
        <w:t xml:space="preserve">. </w:t>
      </w:r>
      <w:r>
        <w:rPr>
          <w:lang w:val="en-US"/>
        </w:rPr>
        <w:t>d</w:t>
      </w:r>
      <w:r>
        <w:rPr>
          <w:lang w:val="en-GB"/>
        </w:rPr>
        <w:t xml:space="preserve">17/91 </w:t>
      </w:r>
      <w:r>
        <w:rPr>
          <w:lang w:val="en-US"/>
        </w:rPr>
        <w:t>and</w:t>
      </w:r>
      <w:r>
        <w:rPr>
          <w:lang w:val="en-GB"/>
        </w:rPr>
        <w:t xml:space="preserve"> 66/93,</w:t>
      </w:r>
    </w:p>
    <w:p w:rsidR="00000000" w:rsidRDefault="00000000">
      <w:pPr>
        <w:pStyle w:val="SingleTxt"/>
        <w:ind w:left="2217" w:hanging="953"/>
        <w:rPr>
          <w:lang w:val="en-US"/>
        </w:rPr>
      </w:pPr>
      <w:r>
        <w:rPr>
          <w:lang w:val="en-GB"/>
        </w:rPr>
        <w:tab/>
      </w:r>
      <w:r>
        <w:rPr>
          <w:lang w:val="en-GB"/>
        </w:rPr>
        <w:tab/>
        <w:t>14.</w:t>
      </w:r>
      <w:r>
        <w:rPr>
          <w:lang w:val="en-GB"/>
        </w:rPr>
        <w:tab/>
      </w:r>
      <w:r>
        <w:rPr>
          <w:lang w:val="en-US"/>
        </w:rPr>
        <w:t>Guarantee and Alimony Fund Act, Ur.1.RS, no. 25/97, 10/98, 41/99 and 53/99,</w:t>
      </w:r>
    </w:p>
    <w:p w:rsidR="00000000" w:rsidRDefault="00000000">
      <w:pPr>
        <w:pStyle w:val="SingleTxt"/>
        <w:ind w:left="2217" w:hanging="953"/>
        <w:rPr>
          <w:lang w:val="en-US"/>
        </w:rPr>
      </w:pPr>
      <w:r>
        <w:rPr>
          <w:lang w:val="en-US"/>
        </w:rPr>
        <w:tab/>
      </w:r>
      <w:r>
        <w:rPr>
          <w:lang w:val="en-US"/>
        </w:rPr>
        <w:tab/>
        <w:t>15.</w:t>
      </w:r>
      <w:r>
        <w:rPr>
          <w:lang w:val="en-US"/>
        </w:rPr>
        <w:tab/>
        <w:t>National Social Protection Programme by 2005, Ur.1.RS, no. 31/2000,</w:t>
      </w:r>
    </w:p>
    <w:p w:rsidR="00000000" w:rsidRDefault="00000000">
      <w:pPr>
        <w:pStyle w:val="SingleTxt"/>
        <w:ind w:left="2217" w:hanging="953"/>
        <w:rPr>
          <w:lang w:val="en-US"/>
        </w:rPr>
      </w:pPr>
      <w:r>
        <w:rPr>
          <w:lang w:val="en-US"/>
        </w:rPr>
        <w:tab/>
      </w:r>
      <w:r>
        <w:rPr>
          <w:lang w:val="en-US"/>
        </w:rPr>
        <w:tab/>
        <w:t>16.</w:t>
      </w:r>
      <w:r>
        <w:rPr>
          <w:lang w:val="en-GB"/>
        </w:rPr>
        <w:tab/>
      </w:r>
      <w:r>
        <w:rPr>
          <w:lang w:val="en-US"/>
        </w:rPr>
        <w:t>National Programme on the Development of Labour Market and E</w:t>
      </w:r>
      <w:r>
        <w:rPr>
          <w:lang w:val="en-US"/>
        </w:rPr>
        <w:t>m</w:t>
      </w:r>
      <w:r>
        <w:rPr>
          <w:lang w:val="en-US"/>
        </w:rPr>
        <w:t>ployment by 2006, Ur.1.RS, no. 92/2001,</w:t>
      </w:r>
    </w:p>
    <w:p w:rsidR="00000000" w:rsidRDefault="00000000">
      <w:pPr>
        <w:pStyle w:val="SingleTxt"/>
        <w:ind w:left="2217" w:hanging="953"/>
        <w:rPr>
          <w:lang w:val="en-US"/>
        </w:rPr>
      </w:pPr>
      <w:r>
        <w:rPr>
          <w:lang w:val="en-US"/>
        </w:rPr>
        <w:tab/>
      </w:r>
      <w:r>
        <w:rPr>
          <w:lang w:val="en-US"/>
        </w:rPr>
        <w:tab/>
        <w:t>17.</w:t>
      </w:r>
      <w:r>
        <w:rPr>
          <w:lang w:val="en-US"/>
        </w:rPr>
        <w:tab/>
        <w:t>National Health Care Programme of the Republic of Slovenia ‘Health for All by 2004’, Ur.1.RS, no. 49/2000,</w:t>
      </w:r>
    </w:p>
    <w:p w:rsidR="00000000" w:rsidRDefault="00000000">
      <w:pPr>
        <w:pStyle w:val="SingleTxt"/>
        <w:ind w:left="2217" w:hanging="953"/>
        <w:rPr>
          <w:lang w:val="en-US"/>
        </w:rPr>
      </w:pPr>
      <w:r>
        <w:rPr>
          <w:lang w:val="en-US"/>
        </w:rPr>
        <w:tab/>
      </w:r>
      <w:r>
        <w:rPr>
          <w:lang w:val="en-US"/>
        </w:rPr>
        <w:tab/>
        <w:t>18.</w:t>
      </w:r>
      <w:r>
        <w:rPr>
          <w:lang w:val="en-US"/>
        </w:rPr>
        <w:tab/>
        <w:t>National Housing Programme, Ur.1.RS, no. 43/2000,</w:t>
      </w:r>
    </w:p>
    <w:p w:rsidR="00000000" w:rsidRDefault="00000000">
      <w:pPr>
        <w:pStyle w:val="SingleTxt"/>
        <w:ind w:left="2217" w:hanging="953"/>
        <w:rPr>
          <w:lang w:val="en-US"/>
        </w:rPr>
      </w:pPr>
      <w:r>
        <w:rPr>
          <w:lang w:val="en-US"/>
        </w:rPr>
        <w:tab/>
      </w:r>
      <w:r>
        <w:rPr>
          <w:lang w:val="en-US"/>
        </w:rPr>
        <w:tab/>
        <w:t>19.</w:t>
      </w:r>
      <w:r>
        <w:rPr>
          <w:lang w:val="en-US"/>
        </w:rPr>
        <w:tab/>
        <w:t>National Programme on Sport in the Republic of Slovenia, Ur.1.RS, no. 24/2000 and 31/2000,</w:t>
      </w:r>
    </w:p>
    <w:p w:rsidR="00000000" w:rsidRDefault="00000000">
      <w:pPr>
        <w:pStyle w:val="SingleTxt"/>
        <w:ind w:left="2217" w:hanging="953"/>
        <w:rPr>
          <w:lang w:val="en-US"/>
        </w:rPr>
      </w:pPr>
      <w:r>
        <w:rPr>
          <w:lang w:val="en-US"/>
        </w:rPr>
        <w:tab/>
      </w:r>
      <w:r>
        <w:rPr>
          <w:lang w:val="en-US"/>
        </w:rPr>
        <w:tab/>
        <w:t>20.</w:t>
      </w:r>
      <w:r>
        <w:rPr>
          <w:lang w:val="en-US"/>
        </w:rPr>
        <w:tab/>
        <w:t>Rules on Method of Drawing up the Safety Statement with Risk Asses</w:t>
      </w:r>
      <w:r>
        <w:rPr>
          <w:lang w:val="en-US"/>
        </w:rPr>
        <w:t>s</w:t>
      </w:r>
      <w:r>
        <w:rPr>
          <w:lang w:val="en-US"/>
        </w:rPr>
        <w:t>ment, Ur.1.RS, no. 30/2000,</w:t>
      </w:r>
    </w:p>
    <w:p w:rsidR="00000000" w:rsidRDefault="00000000">
      <w:pPr>
        <w:pStyle w:val="SingleTxt"/>
        <w:ind w:left="2217" w:hanging="953"/>
        <w:rPr>
          <w:lang w:val="en-US"/>
        </w:rPr>
      </w:pPr>
      <w:r>
        <w:rPr>
          <w:lang w:val="en-US"/>
        </w:rPr>
        <w:tab/>
      </w:r>
      <w:r>
        <w:rPr>
          <w:lang w:val="en-US"/>
        </w:rPr>
        <w:tab/>
        <w:t>21.</w:t>
      </w:r>
      <w:r>
        <w:rPr>
          <w:lang w:val="en-US"/>
        </w:rPr>
        <w:tab/>
        <w:t>Act Concerning Salary System in Public Sector, Ur.1.RS, no. 56/2002.</w:t>
      </w:r>
    </w:p>
    <w:p w:rsidR="00000000" w:rsidRDefault="00000000">
      <w:pPr>
        <w:pStyle w:val="HCh"/>
      </w:pPr>
      <w:r>
        <w:br w:type="page"/>
        <w:t xml:space="preserve">Часть </w:t>
      </w:r>
      <w:r>
        <w:rPr>
          <w:lang w:val="en-US"/>
        </w:rPr>
        <w:t>I</w:t>
      </w:r>
      <w:r>
        <w:t>:</w:t>
      </w:r>
      <w:r>
        <w:br/>
        <w:t>Общие сведения</w:t>
      </w:r>
    </w:p>
    <w:p w:rsidR="00000000" w:rsidRDefault="00000000">
      <w:pPr>
        <w:pStyle w:val="H1"/>
      </w:pPr>
      <w:r>
        <w:rPr>
          <w:lang w:val="en-US"/>
        </w:rPr>
        <w:t>a</w:t>
      </w:r>
      <w:r>
        <w:t>)</w:t>
      </w:r>
      <w:r>
        <w:tab/>
        <w:t>Условия, в которых Словения подходит к ликвидации всех форм дискриминации в отнош</w:t>
      </w:r>
      <w:r>
        <w:t>е</w:t>
      </w:r>
      <w:r>
        <w:t>нии женщин</w:t>
      </w:r>
    </w:p>
    <w:p w:rsidR="00000000" w:rsidRDefault="00000000">
      <w:pPr>
        <w:pStyle w:val="H23"/>
      </w:pPr>
      <w:r>
        <w:t xml:space="preserve">1. </w:t>
      </w:r>
      <w:r>
        <w:rPr>
          <w:lang w:val="en-US"/>
        </w:rPr>
        <w:tab/>
      </w:r>
      <w:r>
        <w:t>Население</w:t>
      </w:r>
    </w:p>
    <w:p w:rsidR="00000000" w:rsidRDefault="00000000">
      <w:pPr>
        <w:pStyle w:val="H4"/>
      </w:pPr>
      <w:r>
        <w:t xml:space="preserve">1.1. </w:t>
      </w:r>
      <w:r>
        <w:rPr>
          <w:lang w:val="en-US"/>
        </w:rPr>
        <w:tab/>
      </w:r>
      <w:r>
        <w:t>Общие сведения</w:t>
      </w:r>
    </w:p>
    <w:p w:rsidR="00000000" w:rsidRDefault="00000000">
      <w:pPr>
        <w:pStyle w:val="SingleTxt"/>
      </w:pPr>
      <w:r>
        <w:t>По состоянию на 2001 год, общая численность населения Республики Словении составляла 1 990 094 человека, из них 972 742 – мужчины и 1 017 352 – женщины. Таким образом, на долю женщин приходится 51,1% вс</w:t>
      </w:r>
      <w:r>
        <w:t>е</w:t>
      </w:r>
      <w:r>
        <w:t>го населения страны. По сравнению с данными второго доклада (1 986 989 жителей в 1996 году) численность населения несколько возросла за истекший до 2001 года период, однако доля женщин несколько уменьшилась (доля женщин в 1996 году составляла 51,4%).</w:t>
      </w:r>
    </w:p>
    <w:p w:rsidR="00000000" w:rsidRDefault="00000000">
      <w:pPr>
        <w:pStyle w:val="H4"/>
      </w:pPr>
      <w:r>
        <w:t xml:space="preserve">1.2. </w:t>
      </w:r>
      <w:r>
        <w:rPr>
          <w:lang w:val="en-US"/>
        </w:rPr>
        <w:tab/>
      </w:r>
      <w:r>
        <w:t>Фертильность и аборты</w:t>
      </w:r>
    </w:p>
    <w:p w:rsidR="00000000" w:rsidRDefault="00000000">
      <w:pPr>
        <w:pStyle w:val="SingleTxt"/>
      </w:pPr>
      <w:r>
        <w:t>Год от года коэффициент фертильности уменьшается, а средний возраст матерей увеличивается. Следует отметить данные о количестве живорождений в 2000 году. В 1999 году живыми родились 17 533 ребенка, тогда как для сра</w:t>
      </w:r>
      <w:r>
        <w:t>в</w:t>
      </w:r>
      <w:r>
        <w:t>нения в 2000 году этот показатель составлял 18</w:t>
      </w:r>
      <w:r>
        <w:rPr>
          <w:lang w:val="en-US"/>
        </w:rPr>
        <w:t> </w:t>
      </w:r>
      <w:r>
        <w:t>180</w:t>
      </w:r>
      <w:r>
        <w:rPr>
          <w:lang w:val="en-US"/>
        </w:rPr>
        <w:t> </w:t>
      </w:r>
      <w:r>
        <w:t>живорождений, а в 2001 году он вновь существенно сократился до уровня 17 477 живорождений. В 2000 году средний возраст матерей, родивших первого ребенка, составлял 28,3 лет, тогда как в 1996 году – 27,5 лет (приводятся данные о возрасте мат</w:t>
      </w:r>
      <w:r>
        <w:t>е</w:t>
      </w:r>
      <w:r>
        <w:t>рей, родивших живых детей).</w:t>
      </w:r>
    </w:p>
    <w:p w:rsidR="00000000" w:rsidRDefault="00000000">
      <w:pPr>
        <w:pStyle w:val="SingleTxt"/>
      </w:pPr>
      <w:r>
        <w:t>Количество легальных абортов за период после 1996 года сократилось, причем в 1996 году число абортов составляло 10 218, а в 2000 году – 8 429.</w:t>
      </w:r>
    </w:p>
    <w:p w:rsidR="00000000" w:rsidRDefault="00000000">
      <w:pPr>
        <w:pStyle w:val="H4"/>
      </w:pPr>
      <w:r>
        <w:t xml:space="preserve">1.3. </w:t>
      </w:r>
      <w:r>
        <w:rPr>
          <w:lang w:val="en-US"/>
        </w:rPr>
        <w:tab/>
      </w:r>
      <w:r>
        <w:t>Вступление в брак и расторжение брака</w:t>
      </w:r>
    </w:p>
    <w:p w:rsidR="00000000" w:rsidRDefault="00000000">
      <w:pPr>
        <w:pStyle w:val="SingleTxt"/>
      </w:pPr>
      <w:r>
        <w:t>В 2000 году количество браков существенно сократилось, в то же время по сравнению с 1999 годом увеличилось число разводов. В 1999 году было з</w:t>
      </w:r>
      <w:r>
        <w:t>а</w:t>
      </w:r>
      <w:r>
        <w:t>ключено 7 716 браков и оформлено 2 074 развода. В 2000 году количество бр</w:t>
      </w:r>
      <w:r>
        <w:t>а</w:t>
      </w:r>
      <w:r>
        <w:t>ков уменьшилось на 515, а количество разводов увеличилось на 51. Средний возраст невест и женихов, вступающих в брачный союз, с каждым годом ув</w:t>
      </w:r>
      <w:r>
        <w:t>е</w:t>
      </w:r>
      <w:r>
        <w:t>личивается. Так, в 2000 году средний возраст женихов составлял 31,4</w:t>
      </w:r>
      <w:r>
        <w:rPr>
          <w:lang w:val="en-US"/>
        </w:rPr>
        <w:t> </w:t>
      </w:r>
      <w:r>
        <w:t>лет, а н</w:t>
      </w:r>
      <w:r>
        <w:t>е</w:t>
      </w:r>
      <w:r>
        <w:t>вест – 28,4 лет.</w:t>
      </w:r>
    </w:p>
    <w:p w:rsidR="00000000" w:rsidRDefault="00000000">
      <w:pPr>
        <w:pStyle w:val="H4"/>
      </w:pPr>
      <w:r>
        <w:t xml:space="preserve">1.4. </w:t>
      </w:r>
      <w:r>
        <w:rPr>
          <w:lang w:val="en-US"/>
        </w:rPr>
        <w:tab/>
      </w:r>
      <w:r>
        <w:t>Старение населения</w:t>
      </w:r>
    </w:p>
    <w:p w:rsidR="00000000" w:rsidRDefault="00000000">
      <w:pPr>
        <w:pStyle w:val="SingleTxt"/>
      </w:pPr>
      <w:r>
        <w:t>Данные о возрастной структуре населения свидетельствуют о сохранении тенденции в области старения населения, характерной для развитого общества. Коэффициент предстоящей продолжительности жизни в период 1999-2000 годов составлял 75,2 лет: мужчины – 71,9 лет, а женщины – 79,1 лет. По сравнению с данными на конец 1996 года (73,6 лет), предстоящая продолж</w:t>
      </w:r>
      <w:r>
        <w:t>и</w:t>
      </w:r>
      <w:r>
        <w:t>тельность жизни на конец 2000 года выше приблизительно на 1,6 года.</w:t>
      </w:r>
    </w:p>
    <w:p w:rsidR="00000000" w:rsidRDefault="00000000">
      <w:pPr>
        <w:pStyle w:val="H23"/>
      </w:pPr>
      <w:r>
        <w:t xml:space="preserve">2. </w:t>
      </w:r>
      <w:r>
        <w:rPr>
          <w:lang w:val="en-US"/>
        </w:rPr>
        <w:tab/>
      </w:r>
      <w:r>
        <w:t>Образование</w:t>
      </w:r>
    </w:p>
    <w:p w:rsidR="00000000" w:rsidRDefault="00000000">
      <w:pPr>
        <w:pStyle w:val="H4"/>
      </w:pPr>
      <w:r>
        <w:t xml:space="preserve">2.1. </w:t>
      </w:r>
      <w:r>
        <w:rPr>
          <w:lang w:val="en-US"/>
        </w:rPr>
        <w:tab/>
      </w:r>
      <w:r>
        <w:t>Начальное и среднее образование</w:t>
      </w:r>
    </w:p>
    <w:p w:rsidR="00000000" w:rsidRDefault="00000000">
      <w:pPr>
        <w:pStyle w:val="SingleTxt"/>
      </w:pPr>
      <w:r>
        <w:t>Начальное образование Словении является обязательным. В 1999/2000 учебном году численность учащихся начальных школ составляла 185 034 ученика, причем из них 90 358 или 48,8% – девочки. В средней школе в этом учебном году обучались 102 969 учеников, из которых 51 673 или 50,2% – девочки. Эти данные показывают, что девочки чаще мальчиков продолжают учиться на уровне средней школы.</w:t>
      </w:r>
    </w:p>
    <w:p w:rsidR="00000000" w:rsidRDefault="00000000">
      <w:pPr>
        <w:pStyle w:val="H4"/>
      </w:pPr>
      <w:r>
        <w:t xml:space="preserve">2.2. </w:t>
      </w:r>
      <w:r>
        <w:rPr>
          <w:lang w:val="en-US"/>
        </w:rPr>
        <w:tab/>
      </w:r>
      <w:r>
        <w:t>Среднее специальное и высшее образование</w:t>
      </w:r>
    </w:p>
    <w:p w:rsidR="00000000" w:rsidRDefault="00000000">
      <w:pPr>
        <w:pStyle w:val="SingleTxt"/>
      </w:pPr>
      <w:r>
        <w:t>Контингент учащихся средних специальных и высших учебных заведений увеличивается. В 1996 году в системе среднего специального и высшего обр</w:t>
      </w:r>
      <w:r>
        <w:t>а</w:t>
      </w:r>
      <w:r>
        <w:t>зования обучались 50 667 студентов, причем доля девушек составляла 56,6%. В этом же году число выпускников составило 7 724, среди которых 4 658 или 60,3% – девушки. В 2000 году в системе среднего специального и высшего о</w:t>
      </w:r>
      <w:r>
        <w:t>б</w:t>
      </w:r>
      <w:r>
        <w:t>разования обучались 82 812 студентов, из которых 57,3% – девушки; числе</w:t>
      </w:r>
      <w:r>
        <w:t>н</w:t>
      </w:r>
      <w:r>
        <w:t>ность выпускников в этом году составила 10 232 выпускника (59,2% – деву</w:t>
      </w:r>
      <w:r>
        <w:t>ш</w:t>
      </w:r>
      <w:r>
        <w:t>ки). Можно сделать вывод, что девушки чаще принимают решение продолжить среднее специальное или высшее образование и что доля девушек, получа</w:t>
      </w:r>
      <w:r>
        <w:t>ю</w:t>
      </w:r>
      <w:r>
        <w:t>щих эти уровни обр</w:t>
      </w:r>
      <w:r>
        <w:t>а</w:t>
      </w:r>
      <w:r>
        <w:t>зования, несколько выше.</w:t>
      </w:r>
    </w:p>
    <w:p w:rsidR="00000000" w:rsidRDefault="00000000">
      <w:pPr>
        <w:pStyle w:val="H4"/>
      </w:pPr>
      <w:r>
        <w:t xml:space="preserve">2.3. </w:t>
      </w:r>
      <w:r>
        <w:rPr>
          <w:lang w:val="en-US"/>
        </w:rPr>
        <w:tab/>
      </w:r>
      <w:r>
        <w:t>Обучение в аспирантуре</w:t>
      </w:r>
    </w:p>
    <w:p w:rsidR="00000000" w:rsidRDefault="00000000">
      <w:pPr>
        <w:pStyle w:val="SingleTxt"/>
      </w:pPr>
      <w:r>
        <w:t>В 1996 году доля девушек среди получивших степень магистра и квал</w:t>
      </w:r>
      <w:r>
        <w:t>и</w:t>
      </w:r>
      <w:r>
        <w:t>фикацию специалиста составляла 49,7%. В 2000 году этот показатель составил 48,0%.</w:t>
      </w:r>
    </w:p>
    <w:p w:rsidR="00000000" w:rsidRDefault="00000000">
      <w:pPr>
        <w:pStyle w:val="SingleTxt"/>
      </w:pPr>
      <w:r>
        <w:t>В 1996 году в Словении насчитывалось 238 докторов наук, из них 33,1% – женщины. В 2000 году насчитывалось 296 докторов наук, причем доля женщин увеличилась до 38,5%.</w:t>
      </w:r>
    </w:p>
    <w:p w:rsidR="00000000" w:rsidRDefault="00000000">
      <w:pPr>
        <w:pStyle w:val="H23"/>
      </w:pPr>
      <w:r>
        <w:t xml:space="preserve">3. </w:t>
      </w:r>
      <w:r>
        <w:rPr>
          <w:lang w:val="en-US"/>
        </w:rPr>
        <w:tab/>
      </w:r>
      <w:r>
        <w:t>Экономическое положение</w:t>
      </w:r>
    </w:p>
    <w:p w:rsidR="00000000" w:rsidRDefault="00000000">
      <w:pPr>
        <w:pStyle w:val="H4"/>
      </w:pPr>
      <w:r>
        <w:t xml:space="preserve">3.1. </w:t>
      </w:r>
      <w:r>
        <w:rPr>
          <w:lang w:val="en-US"/>
        </w:rPr>
        <w:tab/>
      </w:r>
      <w:r>
        <w:t>Экономическое развитие</w:t>
      </w:r>
    </w:p>
    <w:p w:rsidR="00000000" w:rsidRDefault="00000000">
      <w:pPr>
        <w:pStyle w:val="SingleTxt"/>
      </w:pPr>
      <w:r>
        <w:t>Среди стран, осуществляющих переход к рыночной экономике, Словения является одной из тех, которые достигли наилучших показателей в этой обла</w:t>
      </w:r>
      <w:r>
        <w:t>с</w:t>
      </w:r>
      <w:r>
        <w:t>ти. Словению отличают устойчивые темпы роста валового внутреннего пр</w:t>
      </w:r>
      <w:r>
        <w:t>о</w:t>
      </w:r>
      <w:r>
        <w:t>дукта, и показатель экономических рисков для Словении среди стран с пер</w:t>
      </w:r>
      <w:r>
        <w:t>е</w:t>
      </w:r>
      <w:r>
        <w:t>ходной экономикой самый низкий. В 1997 году ВВП на душу населения с</w:t>
      </w:r>
      <w:r>
        <w:t>о</w:t>
      </w:r>
      <w:r>
        <w:t>ставлял 9 163 долл. США, а через два года – 10 109 долл. США, однако, согла</w:t>
      </w:r>
      <w:r>
        <w:t>с</w:t>
      </w:r>
      <w:r>
        <w:t>но самым последним данным за 2001 год, этот показатель составил 9 451 долл. США. В 2001 году среднегодовые темпы инфляции Словении составляли 8,4%. Принимаемые в последние годы активные меры в области обеспечения занят</w:t>
      </w:r>
      <w:r>
        <w:t>о</w:t>
      </w:r>
      <w:r>
        <w:t>сти привели к сокращению уро</w:t>
      </w:r>
      <w:r>
        <w:t>в</w:t>
      </w:r>
      <w:r>
        <w:t>ня безработицы в стране.</w:t>
      </w:r>
    </w:p>
    <w:p w:rsidR="00000000" w:rsidRDefault="00000000">
      <w:pPr>
        <w:pStyle w:val="H4"/>
      </w:pPr>
      <w:r>
        <w:t xml:space="preserve">3.2. </w:t>
      </w:r>
      <w:r>
        <w:rPr>
          <w:lang w:val="en-US"/>
        </w:rPr>
        <w:tab/>
      </w:r>
      <w:r>
        <w:t>Занятость и безработица</w:t>
      </w:r>
    </w:p>
    <w:p w:rsidR="00000000" w:rsidRDefault="00000000">
      <w:pPr>
        <w:pStyle w:val="SingleTxt"/>
      </w:pPr>
      <w:r>
        <w:t>В период 1999–2001 годов доля экономически активного населения н</w:t>
      </w:r>
      <w:r>
        <w:t>е</w:t>
      </w:r>
      <w:r>
        <w:t>сколько возросла. Увеличился также показатель занятости. В 2001 году доля экономически активного женского населения в возрасте от 15 до 64 лет дост</w:t>
      </w:r>
      <w:r>
        <w:t>и</w:t>
      </w:r>
      <w:r>
        <w:t>гала 63,5% (мужчин – 73,1%), доля работающих женщин в этот же период ра</w:t>
      </w:r>
      <w:r>
        <w:t>в</w:t>
      </w:r>
      <w:r>
        <w:t>нялась 58,9% (мужчин – 68,7%). За последние годы зарегистрированный ур</w:t>
      </w:r>
      <w:r>
        <w:t>о</w:t>
      </w:r>
      <w:r>
        <w:t>вень безработицы сократился с 14,5% в 1998 году до 11,6% в 2001 году, однако в 2001 году зарегистрированный уровень безработицы среди женщин был на 1,1% выше, нежели уровень безработицы среди мужчин.</w:t>
      </w:r>
    </w:p>
    <w:p w:rsidR="00000000" w:rsidRDefault="00000000">
      <w:pPr>
        <w:pStyle w:val="SingleTxt"/>
      </w:pPr>
      <w:r>
        <w:t>Особую озабоченность вызывает безработица среди молодежи, устра</w:t>
      </w:r>
      <w:r>
        <w:t>и</w:t>
      </w:r>
      <w:r>
        <w:t>вающейся на свое первое место работы, уровень которой несколько повысился в последние годы. В 1997 году безработица среди молодежи (в возрасте от 15 до 24 лет) составляла 17,4% (среди девушек – 19,7%), а в 2001 году этот пок</w:t>
      </w:r>
      <w:r>
        <w:t>а</w:t>
      </w:r>
      <w:r>
        <w:t>затель увел</w:t>
      </w:r>
      <w:r>
        <w:t>и</w:t>
      </w:r>
      <w:r>
        <w:t>чился до 18,1% (среди девушек – до 20,9%).</w:t>
      </w:r>
    </w:p>
    <w:p w:rsidR="00000000" w:rsidRDefault="00000000">
      <w:pPr>
        <w:pStyle w:val="H4"/>
      </w:pPr>
      <w:r>
        <w:t xml:space="preserve">3.3. </w:t>
      </w:r>
      <w:r>
        <w:rPr>
          <w:lang w:val="en-US"/>
        </w:rPr>
        <w:tab/>
      </w:r>
      <w:r>
        <w:t>Структура рынка рабочей силы</w:t>
      </w:r>
    </w:p>
    <w:p w:rsidR="00000000" w:rsidRDefault="00000000">
      <w:pPr>
        <w:pStyle w:val="SingleTxt"/>
      </w:pPr>
      <w:r>
        <w:t>Рынок рабочей силы в Словении имеет четкие горизонтальные и верт</w:t>
      </w:r>
      <w:r>
        <w:t>и</w:t>
      </w:r>
      <w:r>
        <w:t>кальные сегменты приложения труда. Женщины преимущественно заняты в г</w:t>
      </w:r>
      <w:r>
        <w:t>о</w:t>
      </w:r>
      <w:r>
        <w:t>сударственном секторе, главным образом в сфере образования, здравоохран</w:t>
      </w:r>
      <w:r>
        <w:t>е</w:t>
      </w:r>
      <w:r>
        <w:t>ния и социальных услуг, а также в других секторах услуг. В то же время доля женщин, занимающих старшие руководящие и управленческие должности, н</w:t>
      </w:r>
      <w:r>
        <w:t>е</w:t>
      </w:r>
      <w:r>
        <w:t>велика и составляет 31,8%.</w:t>
      </w:r>
    </w:p>
    <w:p w:rsidR="00000000" w:rsidRDefault="00000000">
      <w:pPr>
        <w:pStyle w:val="H4"/>
      </w:pPr>
      <w:r>
        <w:t xml:space="preserve">3.4. </w:t>
      </w:r>
      <w:r>
        <w:rPr>
          <w:lang w:val="en-US"/>
        </w:rPr>
        <w:tab/>
      </w:r>
      <w:r>
        <w:t xml:space="preserve">Политика в области доходов </w:t>
      </w:r>
    </w:p>
    <w:p w:rsidR="00000000" w:rsidRDefault="00000000">
      <w:pPr>
        <w:pStyle w:val="SingleTxt"/>
      </w:pPr>
      <w:r>
        <w:t>Что касается политики доходов, то Словения на протяжении нескольких лет практиковала умеренные темпы роста заработной платы, которые отстают от темпов роста производительности труда. Это касается как частного, так и государственного секторов. Размеры заработной платы определяются колле</w:t>
      </w:r>
      <w:r>
        <w:t>к</w:t>
      </w:r>
      <w:r>
        <w:t>тивными договорами, индивидуальными трудовыми соглашениями, Законом о системе оплаты труда в государственном секторе и Законом об отношениях в сфере занятости.</w:t>
      </w:r>
    </w:p>
    <w:p w:rsidR="00000000" w:rsidRDefault="00000000">
      <w:pPr>
        <w:pStyle w:val="SingleTxt"/>
      </w:pPr>
      <w:r>
        <w:t>Почти во всех секторах экономической деятельности средняя заработная плата мужчин выше, чем у женщин. Данные за 2000 год показывают, что сре</w:t>
      </w:r>
      <w:r>
        <w:t>д</w:t>
      </w:r>
      <w:r>
        <w:t>няя ежемесячная заработная плата женщин в среднем приблизительно на 12,2% меньше, чем у мужчин.</w:t>
      </w:r>
    </w:p>
    <w:p w:rsidR="00000000" w:rsidRDefault="00000000">
      <w:pPr>
        <w:pStyle w:val="H23"/>
      </w:pPr>
      <w:r>
        <w:t xml:space="preserve">4. </w:t>
      </w:r>
      <w:r>
        <w:rPr>
          <w:lang w:val="en-US"/>
        </w:rPr>
        <w:tab/>
      </w:r>
      <w:r>
        <w:t>Общественная и политическая жизнь</w:t>
      </w:r>
    </w:p>
    <w:p w:rsidR="00000000" w:rsidRDefault="00000000">
      <w:pPr>
        <w:pStyle w:val="SingleTxt"/>
      </w:pPr>
      <w:r>
        <w:t>С юридической точки зрения женщины и мужчины в Словении имеют одинаковые политические права. Однако провозглашенное юридическое раве</w:t>
      </w:r>
      <w:r>
        <w:t>н</w:t>
      </w:r>
      <w:r>
        <w:t>ство мужчин и женщин в процессе принятия политических решений не гара</w:t>
      </w:r>
      <w:r>
        <w:t>н</w:t>
      </w:r>
      <w:r>
        <w:t>тирует их фактического равенства в реальной жизни. С учетом доли женщин в общей численности населения страны женщины недопредставлены на всех уровнях принятия политических решений как на выборных, так и на назнача</w:t>
      </w:r>
      <w:r>
        <w:t>е</w:t>
      </w:r>
      <w:r>
        <w:t>мых должностях, причем как на местном, так и на государственном уровне. На последних выборах в Государственное собрание (2000 год), насчитывающее 90 членов, депутатами были избраны 12 женщин (13,3%). Этот показатель н</w:t>
      </w:r>
      <w:r>
        <w:t>е</w:t>
      </w:r>
      <w:r>
        <w:t>сколько увеличился по сравнению с числом женщин, избранных членами па</w:t>
      </w:r>
      <w:r>
        <w:t>р</w:t>
      </w:r>
      <w:r>
        <w:t>ламента на выборах 1996 года, когда их доля составляла всего лишь 7,8%.</w:t>
      </w:r>
    </w:p>
    <w:p w:rsidR="00000000" w:rsidRDefault="00000000">
      <w:pPr>
        <w:pStyle w:val="SingleTxt"/>
      </w:pPr>
      <w:r>
        <w:t>В состав правительства Республики Словения, насчитывающего 15 должностей министров (один министр без портфеля), входят 3 женщины (министр экономики, министр культуры и министр по делам образования, на</w:t>
      </w:r>
      <w:r>
        <w:t>у</w:t>
      </w:r>
      <w:r>
        <w:t>ки и спорта), что составляет 20%. В период 1996-2000 годов в правительстве не было ни одной женщины на должности министра (за исключением последних четырех месяцев до новых парламентских выборов, когда на должность одного министра была назначена женщина).</w:t>
      </w:r>
    </w:p>
    <w:p w:rsidR="00000000" w:rsidRDefault="00000000">
      <w:pPr>
        <w:pStyle w:val="SingleTxt"/>
      </w:pPr>
      <w:r>
        <w:t>В Словении доля женщин на директивных должностях на местном уровне крайне мала. На выборах в органы местного самоуправления в 1998 году в сп</w:t>
      </w:r>
      <w:r>
        <w:t>и</w:t>
      </w:r>
      <w:r>
        <w:t>сках кандидатов доля женщин составляла 19,0%, а доля женщин, избранных в городские и муниципальные советы, составила 11,4%. Мэрами на этих выборах в процентном отношении были избраны 4,2% женщин.</w:t>
      </w:r>
    </w:p>
    <w:p w:rsidR="00000000" w:rsidRDefault="00000000">
      <w:pPr>
        <w:pStyle w:val="H1"/>
      </w:pPr>
      <w:r>
        <w:t>b)</w:t>
      </w:r>
      <w:r>
        <w:tab/>
        <w:t xml:space="preserve">Меры, принятые для осуществления Конвенции, </w:t>
      </w:r>
      <w:r>
        <w:br/>
        <w:t>и последствия ратификации Конвенции для общей, социальной, экономической, политической и правовой ситуации в Словении после вступления в силу Конвенции для Ре</w:t>
      </w:r>
      <w:r>
        <w:t>с</w:t>
      </w:r>
      <w:r>
        <w:t>публики Словении</w:t>
      </w:r>
    </w:p>
    <w:p w:rsidR="00000000" w:rsidRDefault="00000000">
      <w:pPr>
        <w:pStyle w:val="H23"/>
      </w:pPr>
      <w:r>
        <w:t>Последствия ратификации Конвенции</w:t>
      </w:r>
    </w:p>
    <w:p w:rsidR="00000000" w:rsidRDefault="00000000">
      <w:pPr>
        <w:pStyle w:val="SingleTxt"/>
      </w:pPr>
      <w:r>
        <w:t>Конвенция о ликвидации всех форм дискриминации в отношении женщин является отправной точкой для функционирования национальных механизмов в области установления фактического равенства между мужчинами и женщинами в словенском обществе. Положения Конвенции служат основой для Управления по вопросам равных возможностей в деле обоснования мер, вносимых на ра</w:t>
      </w:r>
      <w:r>
        <w:t>с</w:t>
      </w:r>
      <w:r>
        <w:t>смотрение правительства. Неправительственные организации также использ</w:t>
      </w:r>
      <w:r>
        <w:t>у</w:t>
      </w:r>
      <w:r>
        <w:t>ют положения Конвенции в качестве отправной точки для своей деятельности.</w:t>
      </w:r>
    </w:p>
    <w:p w:rsidR="00000000" w:rsidRDefault="00000000">
      <w:pPr>
        <w:pStyle w:val="SingleTxt"/>
      </w:pPr>
      <w:r>
        <w:t>Конвенция служила одним из базовых документов для подготовки и фо</w:t>
      </w:r>
      <w:r>
        <w:t>р</w:t>
      </w:r>
      <w:r>
        <w:t>мулирования положений Закона о равных возможностях для женщин и мужчин, который вступил в силу 20 июля 2002 года.</w:t>
      </w:r>
    </w:p>
    <w:p w:rsidR="00000000" w:rsidRDefault="00000000">
      <w:pPr>
        <w:pStyle w:val="SingleTxt"/>
      </w:pPr>
      <w:r>
        <w:t>Во втором докладе мы сообщали, что по инициативе Управления по в</w:t>
      </w:r>
      <w:r>
        <w:t>о</w:t>
      </w:r>
      <w:r>
        <w:t>просам равных возможностей и во исполнение положений Конституции, гара</w:t>
      </w:r>
      <w:r>
        <w:t>н</w:t>
      </w:r>
      <w:r>
        <w:t>тирующих равенство в области образования, положений статьи 10 Конвенции и решений правительства девушки и юноши получают равные возможности для обучения в среднем полицейском училище. Министерство внутренних дел вз</w:t>
      </w:r>
      <w:r>
        <w:t>я</w:t>
      </w:r>
      <w:r>
        <w:t>ло на себя обязательство переработать программы обучения профессиональных сотрудников полиции таким образом, чтобы не нарушать впредь принцип ра</w:t>
      </w:r>
      <w:r>
        <w:t>в</w:t>
      </w:r>
      <w:r>
        <w:t>ного доступа ко всем уровням и формам обучения. Первый набор девушек на обучение по четырехлетней программе в среднем полицейском училище был произведен в 1998 году. В 1999 году это училище приступило к осуществлению новой учебной программы для сотрудников полиции на базе курсов профе</w:t>
      </w:r>
      <w:r>
        <w:t>с</w:t>
      </w:r>
      <w:r>
        <w:t>сиональной подготовки сроком 18 месяцев для выпускников средних школ. В самом последнем наборе на долю девушек приходится примерно четверть всех зачисленных слушателей. Таким образом, Словения устранила последние пр</w:t>
      </w:r>
      <w:r>
        <w:t>е</w:t>
      </w:r>
      <w:r>
        <w:t>пятствия на пути к получению образования на равных правах и создала усл</w:t>
      </w:r>
      <w:r>
        <w:t>о</w:t>
      </w:r>
      <w:r>
        <w:t>вия для более широкого участия женщин в работе пол</w:t>
      </w:r>
      <w:r>
        <w:t>и</w:t>
      </w:r>
      <w:r>
        <w:t>ции.</w:t>
      </w:r>
    </w:p>
    <w:p w:rsidR="00000000" w:rsidRDefault="00000000">
      <w:pPr>
        <w:pStyle w:val="H1"/>
      </w:pPr>
      <w:r>
        <w:t>с)</w:t>
      </w:r>
      <w:r>
        <w:tab/>
        <w:t>Учреждения по вопросам обеспечения равных возможностей для женщин и мужчин и предотвращения нарушений прав человека</w:t>
      </w:r>
    </w:p>
    <w:p w:rsidR="00000000" w:rsidRDefault="00000000">
      <w:pPr>
        <w:pStyle w:val="H23"/>
      </w:pPr>
      <w:r>
        <w:t>1.</w:t>
      </w:r>
      <w:r>
        <w:tab/>
        <w:t>Комиссия Государственного собрания Республики Словении по вопросам политики равных во</w:t>
      </w:r>
      <w:r>
        <w:t>з</w:t>
      </w:r>
      <w:r>
        <w:t>можностей</w:t>
      </w:r>
    </w:p>
    <w:p w:rsidR="00000000" w:rsidRDefault="00000000">
      <w:pPr>
        <w:pStyle w:val="SingleTxt"/>
      </w:pPr>
      <w:r>
        <w:t>В 1990 году была создана Комиссия Государственного собрания Респу</w:t>
      </w:r>
      <w:r>
        <w:t>б</w:t>
      </w:r>
      <w:r>
        <w:t>лики Словении по делам женщин. После выборов 1996 года она была переим</w:t>
      </w:r>
      <w:r>
        <w:t>е</w:t>
      </w:r>
      <w:r>
        <w:t>нована в Комиссию Государственного собрания Республики Словении по в</w:t>
      </w:r>
      <w:r>
        <w:t>о</w:t>
      </w:r>
      <w:r>
        <w:t>просам политики равных возможностей, и ее круг ведения был расширен. В р</w:t>
      </w:r>
      <w:r>
        <w:t>е</w:t>
      </w:r>
      <w:r>
        <w:t>зультате реорганизации парламентских органов эта Комиссия была упразднена после выборов в 2000 году, а ее функции были переданы парламентскому к</w:t>
      </w:r>
      <w:r>
        <w:t>о</w:t>
      </w:r>
      <w:r>
        <w:t>митету по внутренним делам.</w:t>
      </w:r>
    </w:p>
    <w:p w:rsidR="00000000" w:rsidRDefault="00000000">
      <w:pPr>
        <w:pStyle w:val="H23"/>
      </w:pPr>
      <w:r>
        <w:t xml:space="preserve">2. </w:t>
      </w:r>
      <w:r>
        <w:rPr>
          <w:lang w:val="en-US"/>
        </w:rPr>
        <w:tab/>
      </w:r>
      <w:r>
        <w:t>Управление по вопросам равных возможностей</w:t>
      </w:r>
    </w:p>
    <w:p w:rsidR="00000000" w:rsidRDefault="00000000">
      <w:pPr>
        <w:pStyle w:val="SingleTxt"/>
      </w:pPr>
      <w:r>
        <w:t>В 1992 году было создано Управление по делам женщин в качестве сам</w:t>
      </w:r>
      <w:r>
        <w:t>о</w:t>
      </w:r>
      <w:r>
        <w:t>стоятельной консультативной службы при правительстве Республики Слов</w:t>
      </w:r>
      <w:r>
        <w:t>е</w:t>
      </w:r>
      <w:r>
        <w:t>нии. В основу деятельности этого Управления положен принцип реализации на практике провозглашенного юридического равенства мужчин и женщин и обеспечения фактического равенства мужчин и женщин во всех сферах жизни. В 2001</w:t>
      </w:r>
      <w:r>
        <w:rPr>
          <w:lang w:val="en-US"/>
        </w:rPr>
        <w:t> </w:t>
      </w:r>
      <w:r>
        <w:t>году это Управление было переименовано в Управление по вопросам равных возможностей, и в настоящее время оно продолжает свою работу во исполнение решений правительства и положений Закона о равных возможн</w:t>
      </w:r>
      <w:r>
        <w:t>о</w:t>
      </w:r>
      <w:r>
        <w:t>стях для женщин и мужчин. Кроме того, оно осуществляет мероприятия по включению гендерной проблематики в политику правительства в области ли</w:t>
      </w:r>
      <w:r>
        <w:t>к</w:t>
      </w:r>
      <w:r>
        <w:t>видации гендерного неравенства во всех сферах жизни. Управление осущест</w:t>
      </w:r>
      <w:r>
        <w:t>в</w:t>
      </w:r>
      <w:r>
        <w:t>ляет свою деятельность в сотрудничестве с министерствами и другими гос</w:t>
      </w:r>
      <w:r>
        <w:t>у</w:t>
      </w:r>
      <w:r>
        <w:t>дарственными службами, международными, национальными и зарубежными правительственными и неправительственными организациями, а также друг</w:t>
      </w:r>
      <w:r>
        <w:t>и</w:t>
      </w:r>
      <w:r>
        <w:t>ми учреждениями и иностранными и национальными специалистами в области прав человека.</w:t>
      </w:r>
    </w:p>
    <w:p w:rsidR="00000000" w:rsidRDefault="00000000">
      <w:pPr>
        <w:pStyle w:val="SingleTxt"/>
      </w:pPr>
      <w:r>
        <w:t>По состоянию на 2002 год штат сотрудников Управления насчитывал 8 человек, работающих на условиях полного рабочего дня, причем один с</w:t>
      </w:r>
      <w:r>
        <w:t>о</w:t>
      </w:r>
      <w:r>
        <w:t>трудник проходит стажировку. В 2003 году согласно Закону о равных возмо</w:t>
      </w:r>
      <w:r>
        <w:t>ж</w:t>
      </w:r>
      <w:r>
        <w:t>ностях для женщин и мужчин, который был принят в июне 2002 года, Управл</w:t>
      </w:r>
      <w:r>
        <w:t>е</w:t>
      </w:r>
      <w:r>
        <w:t>ние планирует принять на работу сотрудника по вопросам равных возможн</w:t>
      </w:r>
      <w:r>
        <w:t>о</w:t>
      </w:r>
      <w:r>
        <w:t>стей для женщин и мужчин.</w:t>
      </w:r>
    </w:p>
    <w:p w:rsidR="00000000" w:rsidRDefault="00000000">
      <w:pPr>
        <w:pStyle w:val="H23"/>
      </w:pPr>
      <w:r>
        <w:t xml:space="preserve">3. </w:t>
      </w:r>
      <w:r>
        <w:rPr>
          <w:lang w:val="en-US"/>
        </w:rPr>
        <w:tab/>
      </w:r>
      <w:r>
        <w:t>Координатор по вопросам равных возможностей для женщин и мужчин</w:t>
      </w:r>
    </w:p>
    <w:p w:rsidR="00000000" w:rsidRDefault="00000000">
      <w:pPr>
        <w:pStyle w:val="SingleTxt"/>
      </w:pPr>
      <w:r>
        <w:t>Закон о равных возможностях для женщин и мужчин предусматривает н</w:t>
      </w:r>
      <w:r>
        <w:t>о</w:t>
      </w:r>
      <w:r>
        <w:t>вый механизм для включения гендерной проблематики в процесс формулир</w:t>
      </w:r>
      <w:r>
        <w:t>о</w:t>
      </w:r>
      <w:r>
        <w:t>вания государственной политики, ее осуществления, а также контроля за ее проведением. Каждое министерство назначает координатора по вопросам ра</w:t>
      </w:r>
      <w:r>
        <w:t>в</w:t>
      </w:r>
      <w:r>
        <w:t>ных возможностей для женщин и мужчин, который при выполнении своих функций тесно сотрудничает с Управлением по вопросам равных возможн</w:t>
      </w:r>
      <w:r>
        <w:t>о</w:t>
      </w:r>
      <w:r>
        <w:t>стей.</w:t>
      </w:r>
    </w:p>
    <w:p w:rsidR="00000000" w:rsidRDefault="00000000">
      <w:pPr>
        <w:pStyle w:val="H1"/>
      </w:pPr>
      <w:r>
        <w:rPr>
          <w:lang w:val="en-US"/>
        </w:rPr>
        <w:t>d</w:t>
      </w:r>
      <w:r>
        <w:t>)</w:t>
      </w:r>
      <w:r>
        <w:tab/>
        <w:t>Денежные средства и методы для обеспечения и стимулирования улучшения положения женщин</w:t>
      </w:r>
    </w:p>
    <w:p w:rsidR="00000000" w:rsidRDefault="00000000">
      <w:pPr>
        <w:pStyle w:val="H23"/>
      </w:pPr>
      <w:r>
        <w:t xml:space="preserve">1. </w:t>
      </w:r>
      <w:r>
        <w:rPr>
          <w:lang w:val="en-US"/>
        </w:rPr>
        <w:tab/>
      </w:r>
      <w:r>
        <w:t>Бюджетные средства Управления по вопросам равных возможн</w:t>
      </w:r>
      <w:r>
        <w:t>о</w:t>
      </w:r>
      <w:r>
        <w:t>стей</w:t>
      </w:r>
    </w:p>
    <w:p w:rsidR="00000000" w:rsidRDefault="00000000">
      <w:pPr>
        <w:pStyle w:val="SingleTxt"/>
      </w:pPr>
      <w:r>
        <w:t>Объем бюджетных средств Управления по равным возможностям по с</w:t>
      </w:r>
      <w:r>
        <w:t>о</w:t>
      </w:r>
      <w:r>
        <w:t>стоянию на 2002</w:t>
      </w:r>
      <w:r>
        <w:rPr>
          <w:lang w:val="en-US"/>
        </w:rPr>
        <w:t> </w:t>
      </w:r>
      <w:r>
        <w:t>год составлял, за исключением фонда заработной платы, 40 388 110 толаров (175 600 долл. США). Из них 7 000 000 толаров (30 435 долл. США) предназначались для выплаты членских взносов в пр</w:t>
      </w:r>
      <w:r>
        <w:t>о</w:t>
      </w:r>
      <w:r>
        <w:t>граммы Европейского союза. Примерно 5 000 000 толаров (21 739 долл. США) были выделены на совместное финансирование программ неправительстве</w:t>
      </w:r>
      <w:r>
        <w:t>н</w:t>
      </w:r>
      <w:r>
        <w:t>ных организаций.</w:t>
      </w:r>
    </w:p>
    <w:p w:rsidR="00000000" w:rsidRDefault="00000000">
      <w:pPr>
        <w:pStyle w:val="H23"/>
        <w:rPr>
          <w:u w:val="single"/>
        </w:rPr>
      </w:pPr>
      <w:r>
        <w:t xml:space="preserve">2. </w:t>
      </w:r>
      <w:r>
        <w:rPr>
          <w:lang w:val="en-US"/>
        </w:rPr>
        <w:tab/>
      </w:r>
      <w:r>
        <w:t>Организации гражданского общества и неправительственные организации</w:t>
      </w:r>
    </w:p>
    <w:p w:rsidR="00000000" w:rsidRDefault="00000000">
      <w:pPr>
        <w:pStyle w:val="SingleTxt"/>
      </w:pPr>
      <w:r>
        <w:t>Важным событием в жизни гражданского общества после представления последнего доклада стало укрепление неправительственных организаций и н</w:t>
      </w:r>
      <w:r>
        <w:t>а</w:t>
      </w:r>
      <w:r>
        <w:t xml:space="preserve">лаживание контактов между ними. </w:t>
      </w:r>
    </w:p>
    <w:p w:rsidR="00000000" w:rsidRDefault="00000000">
      <w:pPr>
        <w:pStyle w:val="SingleTxt"/>
      </w:pPr>
      <w:r>
        <w:t>В 2001 году был основан Центр информации, сотрудничества и развития неправительственных организаций (ЦИСРНПО). Перед Центром стоит задача укреплять и развивать сеть неправительственных организаций и сотрудничес</w:t>
      </w:r>
      <w:r>
        <w:t>т</w:t>
      </w:r>
      <w:r>
        <w:t>ва между ними в Словении. Роль этих организаций, как важной составной ча</w:t>
      </w:r>
      <w:r>
        <w:t>с</w:t>
      </w:r>
      <w:r>
        <w:t>ти гражданского общества, зачастую недооценивалась. Помимо 27 неправительственных организаций – основателей Центра, в него входят 35 членов. Центр оказывает своим членам всю необходимую техническую по</w:t>
      </w:r>
      <w:r>
        <w:t>д</w:t>
      </w:r>
      <w:r>
        <w:t>держку, юридические консультативные услуги, а также помощь в налаживании сотрудничества с правительством, правительственными службами, местными органами власти и соответствующими национальными и международными о</w:t>
      </w:r>
      <w:r>
        <w:t>р</w:t>
      </w:r>
      <w:r>
        <w:t>ганизациями.</w:t>
      </w:r>
    </w:p>
    <w:p w:rsidR="00000000" w:rsidRDefault="00000000">
      <w:pPr>
        <w:pStyle w:val="SingleTxt"/>
      </w:pPr>
      <w:r>
        <w:t>Центр рассматривает политику в области улучшения положения женщин и обеспечения равных возможностей в качестве своих конкретных практических задач. Главная цель мероприятий в этой области заключается в укреплении женских неправительственных организаций и объединении их в сеть, включая неправительственные организации, занимающиеся вопросами равных возмо</w:t>
      </w:r>
      <w:r>
        <w:t>ж</w:t>
      </w:r>
      <w:r>
        <w:t>ностей для женщин и му</w:t>
      </w:r>
      <w:r>
        <w:t>ж</w:t>
      </w:r>
      <w:r>
        <w:t>чин.</w:t>
      </w:r>
    </w:p>
    <w:p w:rsidR="00000000" w:rsidRDefault="00000000">
      <w:pPr>
        <w:pStyle w:val="SingleTxt"/>
      </w:pPr>
      <w:r>
        <w:t>Профессиональные союзы также играют важную роль в деле осуществл</w:t>
      </w:r>
      <w:r>
        <w:t>е</w:t>
      </w:r>
      <w:r>
        <w:t>ния положений Конвенции о ликвидации всех форм дискриминации в отнош</w:t>
      </w:r>
      <w:r>
        <w:t>е</w:t>
      </w:r>
      <w:r>
        <w:t>нии женщин. За отчетный период ряд профессиональных союзов создал ко</w:t>
      </w:r>
      <w:r>
        <w:t>н</w:t>
      </w:r>
      <w:r>
        <w:t>кретные рабочие органы по вопросам равных возможностей. Так, комитеты по вопросам равных возможностей мужчин и женщин функционируют при Пр</w:t>
      </w:r>
      <w:r>
        <w:t>о</w:t>
      </w:r>
      <w:r>
        <w:t>фессиональном союзе энергетиков Словении, Профессиональном союзе рабо</w:t>
      </w:r>
      <w:r>
        <w:t>т</w:t>
      </w:r>
      <w:r>
        <w:t>ников предприятий химической промышленности по изготовлению неметалл</w:t>
      </w:r>
      <w:r>
        <w:t>и</w:t>
      </w:r>
      <w:r>
        <w:t>ческих и резиновых изделий Словении и Ассоциации независимых професси</w:t>
      </w:r>
      <w:r>
        <w:t>о</w:t>
      </w:r>
      <w:r>
        <w:t>нальных союзов Словении. При Федерации профессиональных союзов Слов</w:t>
      </w:r>
      <w:r>
        <w:t>е</w:t>
      </w:r>
      <w:r>
        <w:t>нии 90 функционирует Совет по делам же</w:t>
      </w:r>
      <w:r>
        <w:t>н</w:t>
      </w:r>
      <w:r>
        <w:t>щин.</w:t>
      </w:r>
    </w:p>
    <w:p w:rsidR="00000000" w:rsidRDefault="00000000">
      <w:pPr>
        <w:pStyle w:val="HCh"/>
      </w:pPr>
      <w:r>
        <w:br w:type="page"/>
        <w:t xml:space="preserve">Часть </w:t>
      </w:r>
      <w:r>
        <w:rPr>
          <w:lang w:val="en-US"/>
        </w:rPr>
        <w:t>II</w:t>
      </w:r>
      <w:r>
        <w:br/>
        <w:t>Выполнение положений отдельных статей Конвенции</w:t>
      </w:r>
    </w:p>
    <w:p w:rsidR="00000000" w:rsidRDefault="00000000">
      <w:pPr>
        <w:pStyle w:val="H1"/>
        <w:ind w:left="1264" w:firstLine="0"/>
      </w:pPr>
      <w:r>
        <w:t>Статья 1</w:t>
      </w:r>
      <w:r>
        <w:br/>
        <w:t>Дискриминация в отношении женщин</w:t>
      </w:r>
    </w:p>
    <w:p w:rsidR="00000000" w:rsidRDefault="00000000">
      <w:pPr>
        <w:pStyle w:val="SingleTxt"/>
      </w:pPr>
      <w:r>
        <w:t>Принятие в июне 2002 года Закона о равных возможностях мужчин и женщин знаменует значительный прогресс в области ликвидации дискримин</w:t>
      </w:r>
      <w:r>
        <w:t>а</w:t>
      </w:r>
      <w:r>
        <w:t>ции в отношении женщин. В нем содержатся не только определение дискрим</w:t>
      </w:r>
      <w:r>
        <w:t>и</w:t>
      </w:r>
      <w:r>
        <w:t>нации по признаку пола, но и предусматриваются различные меры, направле</w:t>
      </w:r>
      <w:r>
        <w:t>н</w:t>
      </w:r>
      <w:r>
        <w:t>ные на ликвидацию непосредственной и косвенной дискриминации и содейс</w:t>
      </w:r>
      <w:r>
        <w:t>т</w:t>
      </w:r>
      <w:r>
        <w:t>вие достижению равенства мужчин и женщин во всех сферах жизни. Цель З</w:t>
      </w:r>
      <w:r>
        <w:t>а</w:t>
      </w:r>
      <w:r>
        <w:t>кона определена в его статье 1, в которой изложены общие мотивы для улу</w:t>
      </w:r>
      <w:r>
        <w:t>ч</w:t>
      </w:r>
      <w:r>
        <w:t>шения положения женщин и обеспечения равных возможностей мужчин и женщин в политической, экономической, социальной, образовательной и др</w:t>
      </w:r>
      <w:r>
        <w:t>у</w:t>
      </w:r>
      <w:r>
        <w:t>гих сферах жизни. Создание равных возможностей во исполнение этого Закона является обязанностью всех членов общества. В статье 5 Закона содержится определение дискриминации по признаку пола как в прямой, так и в косвенной форме. Непосредственной дискриминацией по признаку пола считается ди</w:t>
      </w:r>
      <w:r>
        <w:t>с</w:t>
      </w:r>
      <w:r>
        <w:t>криминация, когда то или иное лицо получает преимущество над лицом прот</w:t>
      </w:r>
      <w:r>
        <w:t>и</w:t>
      </w:r>
      <w:r>
        <w:t>воположного пола при прочих равных условиях. К косвенной форме дискрим</w:t>
      </w:r>
      <w:r>
        <w:t>и</w:t>
      </w:r>
      <w:r>
        <w:t>нации по признаку пола относятся случаи, когда предположительно нейтрал</w:t>
      </w:r>
      <w:r>
        <w:t>ь</w:t>
      </w:r>
      <w:r>
        <w:t>ные правила, нормы или отношение при прочих равных или схожих условиях ставят лиц одного пола в неравное положение по отношению к лицам против</w:t>
      </w:r>
      <w:r>
        <w:t>о</w:t>
      </w:r>
      <w:r>
        <w:t>положного пола, если только эти правила, нормы или отношение не вызваны необходимостью и не обусловлены объективными причинами, не связанными с пр</w:t>
      </w:r>
      <w:r>
        <w:t>и</w:t>
      </w:r>
      <w:r>
        <w:t>надлежностью к тому или иному полу.</w:t>
      </w:r>
    </w:p>
    <w:p w:rsidR="00000000" w:rsidRDefault="00000000">
      <w:pPr>
        <w:pStyle w:val="H1"/>
        <w:ind w:left="1264" w:firstLine="0"/>
      </w:pPr>
      <w:r>
        <w:t>Статьи 2 и 3</w:t>
      </w:r>
      <w:r>
        <w:br/>
        <w:t>Меры обеспечения равенства между мужчинами и женщинами</w:t>
      </w:r>
    </w:p>
    <w:p w:rsidR="00000000" w:rsidRDefault="00000000">
      <w:pPr>
        <w:pStyle w:val="SingleTxt"/>
      </w:pPr>
      <w:r>
        <w:t>За период после представления второго доклада были приняты три зак</w:t>
      </w:r>
      <w:r>
        <w:t>о</w:t>
      </w:r>
      <w:r>
        <w:t>нодательных акта, которые имеют важное значение для положения женщин и установления равенства между мужчинами и женщинами; этими актами явл</w:t>
      </w:r>
      <w:r>
        <w:t>я</w:t>
      </w:r>
      <w:r>
        <w:t>ются: Закон о равных возможностях для женщин и мужчин, Закон об отнош</w:t>
      </w:r>
      <w:r>
        <w:t>е</w:t>
      </w:r>
      <w:r>
        <w:t>ниях в сфере занятости и Закон об уходе за детьми и семейных доходах.</w:t>
      </w:r>
    </w:p>
    <w:p w:rsidR="00000000" w:rsidRDefault="00000000">
      <w:pPr>
        <w:pStyle w:val="SingleTxt"/>
      </w:pPr>
      <w:r>
        <w:t>Закон о равных возможностях для женщин и мужчин был подготовлен Управлением по вопросам равных возможностей в сотрудничестве с рабочей группой правительства и неправительственными организациями, професси</w:t>
      </w:r>
      <w:r>
        <w:t>о</w:t>
      </w:r>
      <w:r>
        <w:t>нальными союзами и отдельными специалистами. Государственное собрание приняло этот Закон 21 июня 2000 года, и он вступил в силу 20 июля 2002 года. Это общий законодательный акт, содержащий общие принципы, которые будут служить ориентирами для разработки законодательства в отдельных областях. В Законе предусмотрен комплексный подход к созданию равных возможностей и установлению равенства мужчин и женщин, направленный на достижение устойчивых темпов развития в этой области. Равенство женщин и мужчин, как это определено в Законе о равных возможностях для женщин и мужчин, озн</w:t>
      </w:r>
      <w:r>
        <w:t>а</w:t>
      </w:r>
      <w:r>
        <w:t>чает, что женщины и мужчины равны во всех сферах государственной и час</w:t>
      </w:r>
      <w:r>
        <w:t>т</w:t>
      </w:r>
      <w:r>
        <w:t>ной жизни и что они занимают равное положение и имеют равные возможности для реализации на практике всех своих прав и индивидуальных возможностей, с помощью чего они вносят свой вклад в процесс социального развития. Кроме того, они имеют право на получение равных благ от процесса развития. В З</w:t>
      </w:r>
      <w:r>
        <w:t>а</w:t>
      </w:r>
      <w:r>
        <w:t>коне предусматривается также, что мужчины и женщины имеют равные во</w:t>
      </w:r>
      <w:r>
        <w:t>з</w:t>
      </w:r>
      <w:r>
        <w:t>можности в деле устранения барьеров на пути установления гендерного раве</w:t>
      </w:r>
      <w:r>
        <w:t>н</w:t>
      </w:r>
      <w:r>
        <w:t>ства, в частности, путем предотвращения и ликвидации неравного отношения к представителям двух полов в форме дискриминации на практике, которая об</w:t>
      </w:r>
      <w:r>
        <w:t>у</w:t>
      </w:r>
      <w:r>
        <w:t>словлена традиционными и исторически сложившимися разными социальными ролями, а также путем создания условий для обеспечения сбалансированного в гендерном отношении представительства во всех сферах социальной жизни (статья 1).</w:t>
      </w:r>
    </w:p>
    <w:p w:rsidR="00000000" w:rsidRDefault="00000000">
      <w:pPr>
        <w:pStyle w:val="SingleTxt"/>
      </w:pPr>
      <w:r>
        <w:t>В качестве исполнителей задач в области равенства мужчин и женщин в Законе о равных возможностях для мужчин и женщин названы Государстве</w:t>
      </w:r>
      <w:r>
        <w:t>н</w:t>
      </w:r>
      <w:r>
        <w:t>ное собрание, правительство, министерства, Управление по вопросам равных возможностей, местные общины, политические партии и Уполномоченный по правам человека. Министерствам принадлежит ведущая роль в деле включения гендерных вопросов в процесс формулирования своей политики, поскольку в Законе говорится, что при разработке правил и других мер, которые примен</w:t>
      </w:r>
      <w:r>
        <w:t>я</w:t>
      </w:r>
      <w:r>
        <w:t>ются в областях, имеющих отношение к обеспечению равных возможностей, министерства должны учитывать задачи установления равенства между му</w:t>
      </w:r>
      <w:r>
        <w:t>ж</w:t>
      </w:r>
      <w:r>
        <w:t>чинами и женщинами и сотрудничать в достижении этой цели с Управлением по вопросам равных возможностей и принимать во внимание его предложения и соображения (статья 11). Закон возлагает выполнение этой задачи на все м</w:t>
      </w:r>
      <w:r>
        <w:t>и</w:t>
      </w:r>
      <w:r>
        <w:t>нистерства, и они должны, каждое в своей области, назначить должностное л</w:t>
      </w:r>
      <w:r>
        <w:t>и</w:t>
      </w:r>
      <w:r>
        <w:t>цо, которое будет заниматься выполнением этой и других функций мин</w:t>
      </w:r>
      <w:r>
        <w:t>и</w:t>
      </w:r>
      <w:r>
        <w:t>стерств (статья 13). Закон предусматривает также, что местные общины дол</w:t>
      </w:r>
      <w:r>
        <w:t>ж</w:t>
      </w:r>
      <w:r>
        <w:t>ны учитывать гендерные вопросы при принятии мер и осуществлении мер</w:t>
      </w:r>
      <w:r>
        <w:t>о</w:t>
      </w:r>
      <w:r>
        <w:t>приятий, касающихся создания равных возможностей, и что они также могут назначать координатора по вопросам равных возможностей мужчин и женщин (статья 30). Первая задача координаторов будет заключаться в налаживании с</w:t>
      </w:r>
      <w:r>
        <w:t>о</w:t>
      </w:r>
      <w:r>
        <w:t>трудничества в деле подготовки национальной программы создания равных возможностей для мужчин и женщин, которая предусматривается Законом. В этой национальной программе будут определены цели и меры для достижения равных возможностей в конкретных областях, таких, как трудовые отношения, здравоохранение, образование, семейные отношения, насилие в отношении женщин, представленность обоих полов на уровне государственной жизни и т.д. (статья 15).</w:t>
      </w:r>
    </w:p>
    <w:p w:rsidR="00000000" w:rsidRDefault="00000000">
      <w:pPr>
        <w:pStyle w:val="SingleTxt"/>
      </w:pPr>
      <w:r>
        <w:t>На основании Закона о равных возможностях для женщин и мужчин Сл</w:t>
      </w:r>
      <w:r>
        <w:t>о</w:t>
      </w:r>
      <w:r>
        <w:t>вения ввела также институт специального защитника по вопросам равных во</w:t>
      </w:r>
      <w:r>
        <w:t>з</w:t>
      </w:r>
      <w:r>
        <w:t>можностей, который будет рассматривать отдельные дела, связанные с якобы неравным отношением к мужчинам и женщинам (дискриминация), и предста</w:t>
      </w:r>
      <w:r>
        <w:t>в</w:t>
      </w:r>
      <w:r>
        <w:t>лять по ним свои письменные заключения (статья 20). Этот защитник будет р</w:t>
      </w:r>
      <w:r>
        <w:t>а</w:t>
      </w:r>
      <w:r>
        <w:t>ботать в штате Управления по вопросам равных возможностей и приступит к выполнению своих обязанностей в 2003 году. На основании статьи 22 этого З</w:t>
      </w:r>
      <w:r>
        <w:t>а</w:t>
      </w:r>
      <w:r>
        <w:t>кона в Управление с ходатайствами о рассмотрении того или иного дела могут обращаться отдельные лица, неправительственные организации, професси</w:t>
      </w:r>
      <w:r>
        <w:t>о</w:t>
      </w:r>
      <w:r>
        <w:t>нальные союзы и организации гражданского общества и другие юридические лица, а защитник может также принимать к рассмотрению анонимные заявл</w:t>
      </w:r>
      <w:r>
        <w:t>е</w:t>
      </w:r>
      <w:r>
        <w:t>ния, если сочтет, что такие заявления касаются важного и серьезного вопроса, который надлежит рассмотреть согласно цели Закона (статья 23). Рассмотрение того или иного дела будет, как правило, осуществляться в рамках письменных процедур, однако, в зависимости от обстоятельств дела, защитник может также предложить сторонам принять участие в дискуссии. Защитник может просить ответчика дать конкретные разъяснения по делу, и если он их не получит, то сделает свое заключение на основе имеющихся материалов (статья 25). В своем заключении защитник изложит результаты рассмотрения и оценки обсто</w:t>
      </w:r>
      <w:r>
        <w:t>я</w:t>
      </w:r>
      <w:r>
        <w:t>тельств дела касательно признаков неравного отношения и может указать на допущенные нарушения, рекомендовать способ исправления сложившегося п</w:t>
      </w:r>
      <w:r>
        <w:t>о</w:t>
      </w:r>
      <w:r>
        <w:t>ложения дел и призвать ответчика представить защитнику в установленный срок информацию о принятых им мерах (статья 27). Любое лицо может также обратиться к защитнику с просьбой сделать заключение относительно того, может ли оно или могло ли оно своими действиями вызвать неравное отнош</w:t>
      </w:r>
      <w:r>
        <w:t>е</w:t>
      </w:r>
      <w:r>
        <w:t>ние к женщинам и мужчинам (статья 28). Управление по вопросам равных во</w:t>
      </w:r>
      <w:r>
        <w:t>з</w:t>
      </w:r>
      <w:r>
        <w:t>можностей ежегодно представляет правительству доклад о работе защитника (ст</w:t>
      </w:r>
      <w:r>
        <w:t>а</w:t>
      </w:r>
      <w:r>
        <w:t>тья 29).</w:t>
      </w:r>
    </w:p>
    <w:p w:rsidR="00000000" w:rsidRDefault="00000000">
      <w:pPr>
        <w:pStyle w:val="SingleTxt"/>
      </w:pPr>
      <w:r>
        <w:t xml:space="preserve">Ниже речь пойдет о наиболее важных положениях Закона об отношениях в сфере занятости и Закона об уходе за детьми и семейных доходах. </w:t>
      </w:r>
    </w:p>
    <w:p w:rsidR="00000000" w:rsidRDefault="00000000">
      <w:pPr>
        <w:pStyle w:val="H1"/>
        <w:ind w:left="1264" w:firstLine="0"/>
      </w:pPr>
      <w:r>
        <w:t>Статья 4</w:t>
      </w:r>
      <w:r>
        <w:br/>
        <w:t>Поощрение равенства женщин и мужчин в рамках временных специал</w:t>
      </w:r>
      <w:r>
        <w:t>ь</w:t>
      </w:r>
      <w:r>
        <w:t>ных мер</w:t>
      </w:r>
    </w:p>
    <w:p w:rsidR="00000000" w:rsidRDefault="00000000">
      <w:pPr>
        <w:pStyle w:val="SingleTxt"/>
      </w:pPr>
      <w:r>
        <w:t>В связи в принятием в дополнение к Конвенции Закона о равных возмо</w:t>
      </w:r>
      <w:r>
        <w:t>ж</w:t>
      </w:r>
      <w:r>
        <w:t>ностях для женщин и мужчин Словения получила дополнительные основания для принятия специальных временных мер. Статья 7 этого Закона предусма</w:t>
      </w:r>
      <w:r>
        <w:t>т</w:t>
      </w:r>
      <w:r>
        <w:t>ривает, что такие меры могут приниматься для создания равных возможностей для мужчин и женщин и поощрения гендерного равенства в областях, которые характеризуются дисбалансом представленности женщин и мужчин или их н</w:t>
      </w:r>
      <w:r>
        <w:t>е</w:t>
      </w:r>
      <w:r>
        <w:t>равным положением. Закон подразделяет специальные меры на позитивные м</w:t>
      </w:r>
      <w:r>
        <w:t>е</w:t>
      </w:r>
      <w:r>
        <w:t>ры, меры стимулирования и меры в рамках различных программ. К позити</w:t>
      </w:r>
      <w:r>
        <w:t>в</w:t>
      </w:r>
      <w:r>
        <w:t>ным мерам относятся меры, при осуществлении которых первоочередное вн</w:t>
      </w:r>
      <w:r>
        <w:t>и</w:t>
      </w:r>
      <w:r>
        <w:t>мание уделяется лицам того пола, которые недопредставлены в тех или иных областях или находятся в неравном положении. При осуществлении мер ст</w:t>
      </w:r>
      <w:r>
        <w:t>и</w:t>
      </w:r>
      <w:r>
        <w:t>мулирования особое внимание уделяется предоставлению специальных льгот или применению специальных стимулов для целей ликвидации несбалансир</w:t>
      </w:r>
      <w:r>
        <w:t>о</w:t>
      </w:r>
      <w:r>
        <w:t>ванной в гендерном отношении представленности и уравнивания положения представителей противоположных полов. К программным мерам относятся м</w:t>
      </w:r>
      <w:r>
        <w:t>е</w:t>
      </w:r>
      <w:r>
        <w:t>ры, связанные с повышением информированности, а также мероприятия в ра</w:t>
      </w:r>
      <w:r>
        <w:t>м</w:t>
      </w:r>
      <w:r>
        <w:t>ках планов действий, направленных на поощрение и создание равных возмо</w:t>
      </w:r>
      <w:r>
        <w:t>ж</w:t>
      </w:r>
      <w:r>
        <w:t>ностей и равенства мужчин и женщин. Кроме того, Закон предусматривает процедуру принятия специальных мер, в частности в том, что касается прин</w:t>
      </w:r>
      <w:r>
        <w:t>я</w:t>
      </w:r>
      <w:r>
        <w:t>тия позитивных мер. В соответствии с положениями статьи 8 Закона позити</w:t>
      </w:r>
      <w:r>
        <w:t>в</w:t>
      </w:r>
      <w:r>
        <w:t>ные меры могут применяться в области образования, занятости, професси</w:t>
      </w:r>
      <w:r>
        <w:t>о</w:t>
      </w:r>
      <w:r>
        <w:t>нальной деятельности, общественной или политической деятельности и в др</w:t>
      </w:r>
      <w:r>
        <w:t>у</w:t>
      </w:r>
      <w:r>
        <w:t>гих областях, где их применение целесообразно. Эти меры могут применяться органами государственной власти и другими органами государственного сект</w:t>
      </w:r>
      <w:r>
        <w:t>о</w:t>
      </w:r>
      <w:r>
        <w:t>ра, экономическими субъектами, политическими партиями и организациями гражданского общества. Субъекты, наделенные правом принимать соответс</w:t>
      </w:r>
      <w:r>
        <w:t>т</w:t>
      </w:r>
      <w:r>
        <w:t>вующие меры, должны в этой связи разработать план действий с анализом п</w:t>
      </w:r>
      <w:r>
        <w:t>о</w:t>
      </w:r>
      <w:r>
        <w:t>ложения женщин и мужчин в соответствующих областях, указать в нем осн</w:t>
      </w:r>
      <w:r>
        <w:t>о</w:t>
      </w:r>
      <w:r>
        <w:t>вания для принятия позитивных мер, цели, которых они намерены достичь, н</w:t>
      </w:r>
      <w:r>
        <w:t>а</w:t>
      </w:r>
      <w:r>
        <w:t>чало осуществления мер, способы мониторинга и надзора за осуществлением, а также сроки прекращения применения соответствующих мер. Планы дейс</w:t>
      </w:r>
      <w:r>
        <w:t>т</w:t>
      </w:r>
      <w:r>
        <w:t>вий должны быть представлены Управлению по вопросам равных возможн</w:t>
      </w:r>
      <w:r>
        <w:t>о</w:t>
      </w:r>
      <w:r>
        <w:t>стей на предмет их утверждения до начала примен</w:t>
      </w:r>
      <w:r>
        <w:t>е</w:t>
      </w:r>
      <w:r>
        <w:t>ния позитивных мер.</w:t>
      </w:r>
    </w:p>
    <w:p w:rsidR="00000000" w:rsidRDefault="00000000">
      <w:pPr>
        <w:pStyle w:val="H1"/>
        <w:ind w:left="1264" w:firstLine="0"/>
      </w:pPr>
      <w:r>
        <w:t>Статья 5</w:t>
      </w:r>
      <w:r>
        <w:br/>
        <w:t>Искоренение предрассудков и стереотипов</w:t>
      </w:r>
    </w:p>
    <w:p w:rsidR="00000000" w:rsidRDefault="00000000">
      <w:pPr>
        <w:pStyle w:val="H23"/>
      </w:pPr>
      <w:r>
        <w:t xml:space="preserve">1. </w:t>
      </w:r>
      <w:r>
        <w:rPr>
          <w:lang w:val="en-US"/>
        </w:rPr>
        <w:tab/>
      </w:r>
      <w:r>
        <w:t>Просветительская работа по вопросам равенства мужчин и же</w:t>
      </w:r>
      <w:r>
        <w:t>н</w:t>
      </w:r>
      <w:r>
        <w:t>щин</w:t>
      </w:r>
    </w:p>
    <w:p w:rsidR="00000000" w:rsidRDefault="00000000">
      <w:pPr>
        <w:pStyle w:val="SingleTxt"/>
      </w:pPr>
      <w:r>
        <w:t>Закон о равных возможностях для женщин и мужчин служит основой для систематизированного просвещения в области равенства мужчин и женщин на всех уровнях образования и поэтому способствует постепенному искоренению стереотипного представления о роли мужчин и женщин в обществе. В статье 12 этого Закона говорится, что просвещение по вопросам гендерного равенства является неотъемлемой частью системы образования и профессионального обучения, которые призваны, в частности, подготавливать представителей об</w:t>
      </w:r>
      <w:r>
        <w:t>о</w:t>
      </w:r>
      <w:r>
        <w:t>их полов к активному и равноправному участию во всех сферах общественной жизни. Министерства, ведающие вопросами образования и труда, а также др</w:t>
      </w:r>
      <w:r>
        <w:t>у</w:t>
      </w:r>
      <w:r>
        <w:t>гие органы и физические лица, занимающиеся вопросами образования и пр</w:t>
      </w:r>
      <w:r>
        <w:t>о</w:t>
      </w:r>
      <w:r>
        <w:t>фессиональной подготовки, должны обеспечивать равное отношение к мужч</w:t>
      </w:r>
      <w:r>
        <w:t>и</w:t>
      </w:r>
      <w:r>
        <w:t>нам и женщинам, прежде всего в том, что касается разработки, принятия и осуществления государственных программ обучения или профессиональной подготовки, аттестации школьных учебников и учебных пособий, а также вн</w:t>
      </w:r>
      <w:r>
        <w:t>е</w:t>
      </w:r>
      <w:r>
        <w:t>дрения организационных новшеств и изменения педагогических или генде</w:t>
      </w:r>
      <w:r>
        <w:t>р</w:t>
      </w:r>
      <w:r>
        <w:t>ных методов обучения. Кроме того, все перечисленные субъекты должны, в пределах своих полномочий, создать надлежащую систему мер для ликвидации укоренившихся форм неравного отношения к же</w:t>
      </w:r>
      <w:r>
        <w:t>н</w:t>
      </w:r>
      <w:r>
        <w:t>щинам и мужчинам.</w:t>
      </w:r>
    </w:p>
    <w:p w:rsidR="00000000" w:rsidRDefault="00000000">
      <w:pPr>
        <w:pStyle w:val="H23"/>
      </w:pPr>
      <w:r>
        <w:t xml:space="preserve">2. </w:t>
      </w:r>
      <w:r>
        <w:rPr>
          <w:lang w:val="en-US"/>
        </w:rPr>
        <w:tab/>
      </w:r>
      <w:r>
        <w:t>Семейная жизнь</w:t>
      </w:r>
    </w:p>
    <w:p w:rsidR="00000000" w:rsidRDefault="00000000">
      <w:pPr>
        <w:pStyle w:val="SingleTxt"/>
      </w:pPr>
      <w:r>
        <w:t>Статья 53 Конституции предусматривает равенство супругов в брачном союзе, а статья 54 – право и обязанность материально обеспечивать своих д</w:t>
      </w:r>
      <w:r>
        <w:t>е</w:t>
      </w:r>
      <w:r>
        <w:t>тей, давать им образование и воспитание. Статья 14 Закона о браке и семейных отношениях также содержит положения, касающиеся обеспечения равенства супр</w:t>
      </w:r>
      <w:r>
        <w:t>у</w:t>
      </w:r>
      <w:r>
        <w:t>гов. Несмотря на существование этих положений, в Словении по-прежнему наблюдается традиционное разделение ролей. Хотя доля работа</w:t>
      </w:r>
      <w:r>
        <w:t>ю</w:t>
      </w:r>
      <w:r>
        <w:t>щих женщин в Словении велика, разделение труда между партнерами или р</w:t>
      </w:r>
      <w:r>
        <w:t>о</w:t>
      </w:r>
      <w:r>
        <w:t>дителями в семье носит явно несбалансированный характер. Женщины по-прежнему выполняют значительно больший объем работы по дому, чем му</w:t>
      </w:r>
      <w:r>
        <w:t>ж</w:t>
      </w:r>
      <w:r>
        <w:t>чины, и уделяют гораздо больше времени уходу за детьми, престарелыми, больными и лицами с физическими или психическими недостатками.</w:t>
      </w:r>
    </w:p>
    <w:p w:rsidR="00000000" w:rsidRDefault="00000000">
      <w:pPr>
        <w:pStyle w:val="SingleTxt"/>
      </w:pPr>
      <w:r>
        <w:t>Со времени представления первого и второго докладов уклады семейной жизни не изменились: наряду с «классическими» семьями супружеских пар, имеющих детей, растет численность семей с одним родителем, на долю кот</w:t>
      </w:r>
      <w:r>
        <w:t>о</w:t>
      </w:r>
      <w:r>
        <w:t>рых приходится чуть менее 20% всех семей (свыше 90% семей с одним родит</w:t>
      </w:r>
      <w:r>
        <w:t>е</w:t>
      </w:r>
      <w:r>
        <w:t>лем возглавляют женщины). Растет также численность расширенных или рео</w:t>
      </w:r>
      <w:r>
        <w:t>р</w:t>
      </w:r>
      <w:r>
        <w:t>ганизованных семей, внебрачных связей и семей однополых супругов. Зако</w:t>
      </w:r>
      <w:r>
        <w:t>н</w:t>
      </w:r>
      <w:r>
        <w:t>ные браки утрачивают свой социальный статус и свою социальную значимость. Растет численность детей, родившихся вне брака, в 2000 году на их долю пр</w:t>
      </w:r>
      <w:r>
        <w:t>и</w:t>
      </w:r>
      <w:r>
        <w:t>ходилось свыше одной трети родившихся детей (37,2%). В 2000 году в Слов</w:t>
      </w:r>
      <w:r>
        <w:t>е</w:t>
      </w:r>
      <w:r>
        <w:t>нии почти треть всех браков была расторгнута. Согласно данным переписи н</w:t>
      </w:r>
      <w:r>
        <w:t>а</w:t>
      </w:r>
      <w:r>
        <w:t>селения 1991 года, показатель численности единой семьи составлял 3,1, а по данным переписи населения 2002 года этот показатель сократился до 2,8. Во</w:t>
      </w:r>
      <w:r>
        <w:t>з</w:t>
      </w:r>
      <w:r>
        <w:t>раст родителей на момент рождения первого ребенка увеличивается. Так, в 2000</w:t>
      </w:r>
      <w:r>
        <w:rPr>
          <w:lang w:val="en-US"/>
        </w:rPr>
        <w:t> </w:t>
      </w:r>
      <w:r>
        <w:t>году средний возраст матерей в момент рождения первого ребенка соста</w:t>
      </w:r>
      <w:r>
        <w:t>в</w:t>
      </w:r>
      <w:r>
        <w:t>лял 28,3 лет.</w:t>
      </w:r>
    </w:p>
    <w:p w:rsidR="00000000" w:rsidRDefault="00000000">
      <w:pPr>
        <w:pStyle w:val="SingleTxt"/>
      </w:pPr>
      <w:r>
        <w:t>Важная роль с точки зрения сочетания трудовой деятельности и семейной жизни принадлежит новому Закону об уходе за детьми и семейных доходах, к</w:t>
      </w:r>
      <w:r>
        <w:t>о</w:t>
      </w:r>
      <w:r>
        <w:t>торый предусматривает не подлежащее передаче право отцов на отпуск по ух</w:t>
      </w:r>
      <w:r>
        <w:t>о</w:t>
      </w:r>
      <w:r>
        <w:t>ду за детьми общей продолжительностью в 90 дней. С 1 января 2003 года отцы вправе претендовать на получение 15 дней отпуска по уходу за детьми, тогда как с 1 января 2005 года они смогут использовать все 90 дней. В 2003 году Управление по вопросам равных возможностей в сотрудничестве с министе</w:t>
      </w:r>
      <w:r>
        <w:t>р</w:t>
      </w:r>
      <w:r>
        <w:t>ством труда, по делам семьи и социальным вопросам приступит к осуществл</w:t>
      </w:r>
      <w:r>
        <w:t>е</w:t>
      </w:r>
      <w:r>
        <w:t>нию кампании по поощрению предоставления отпуска по уходу за детьми, с тем чтобы как можно больше отцов фактически использовали этот отпуск.</w:t>
      </w:r>
    </w:p>
    <w:p w:rsidR="00000000" w:rsidRDefault="00000000">
      <w:pPr>
        <w:pStyle w:val="H23"/>
      </w:pPr>
      <w:r>
        <w:t xml:space="preserve">3. </w:t>
      </w:r>
      <w:r>
        <w:rPr>
          <w:lang w:val="en-US"/>
        </w:rPr>
        <w:tab/>
      </w:r>
      <w:r>
        <w:t>Объявления о приеме на работу</w:t>
      </w:r>
    </w:p>
    <w:p w:rsidR="00000000" w:rsidRDefault="00000000">
      <w:pPr>
        <w:pStyle w:val="SingleTxt"/>
      </w:pPr>
      <w:r>
        <w:t>Что касается объявлений о приеме на работу представителей обоих полов, то важная в этой связи статья 25 Закона об отношениях в сфере занятости пр</w:t>
      </w:r>
      <w:r>
        <w:t>е</w:t>
      </w:r>
      <w:r>
        <w:t>дусматривает, что работодатель не вправе приглашать на работу исключител</w:t>
      </w:r>
      <w:r>
        <w:t>ь</w:t>
      </w:r>
      <w:r>
        <w:t>но мужчин или исключительно женщин, если только принадлежность к ко</w:t>
      </w:r>
      <w:r>
        <w:t>н</w:t>
      </w:r>
      <w:r>
        <w:t>кретному полу не является основополагающим условием для выполнения о</w:t>
      </w:r>
      <w:r>
        <w:t>п</w:t>
      </w:r>
      <w:r>
        <w:t>ределенной работы. Объявление о приеме на работу не должно содержать та</w:t>
      </w:r>
      <w:r>
        <w:t>к</w:t>
      </w:r>
      <w:r>
        <w:t>же предпочтений работодателя в отношении найма представителей конкретного пола, если только это не связано с необходимостью, о которой упоминалось выше. Если работодатель публикует объявление о приеме на работу в наруш</w:t>
      </w:r>
      <w:r>
        <w:t>е</w:t>
      </w:r>
      <w:r>
        <w:t>ние указанного положения, то он будет подвергнут штрафу за такое наруш</w:t>
      </w:r>
      <w:r>
        <w:t>е</w:t>
      </w:r>
      <w:r>
        <w:t>ние.</w:t>
      </w:r>
    </w:p>
    <w:p w:rsidR="00000000" w:rsidRDefault="00000000">
      <w:pPr>
        <w:pStyle w:val="H23"/>
      </w:pPr>
      <w:r>
        <w:t xml:space="preserve">4. </w:t>
      </w:r>
      <w:r>
        <w:rPr>
          <w:lang w:val="en-US"/>
        </w:rPr>
        <w:tab/>
      </w:r>
      <w:r>
        <w:t>Насилие в отношении женщин и насилие в семье</w:t>
      </w:r>
    </w:p>
    <w:p w:rsidR="00000000" w:rsidRDefault="00000000">
      <w:pPr>
        <w:pStyle w:val="SingleTxt"/>
      </w:pPr>
      <w:r>
        <w:t>Несмотря на некоторые изменения к лучшему, насилие в отношении же</w:t>
      </w:r>
      <w:r>
        <w:t>н</w:t>
      </w:r>
      <w:r>
        <w:t>щин и насилие в семье по-прежнему являются острыми проблемами в Слов</w:t>
      </w:r>
      <w:r>
        <w:t>е</w:t>
      </w:r>
      <w:r>
        <w:t>нии. На основании поправок к Уголовному кодексу в 1999 году статья 299, пр</w:t>
      </w:r>
      <w:r>
        <w:t>е</w:t>
      </w:r>
      <w:r>
        <w:t>дусматривающая уголовное наказание за насилие, была дополнена положением об уголовном наказании за насилие в семье. Уголовным преступлением в фо</w:t>
      </w:r>
      <w:r>
        <w:t>р</w:t>
      </w:r>
      <w:r>
        <w:t>ме насилия считается деяние, совершаемое любым лицом в форме серьезных оскорблений, жестокого обращения, насилия или угрозы свободе личности, будь то в общественных местах или в семье, которое порождает атмосферу н</w:t>
      </w:r>
      <w:r>
        <w:t>а</w:t>
      </w:r>
      <w:r>
        <w:t>пряженности, неприязни и страха. Такое преступление влечет уголовное нак</w:t>
      </w:r>
      <w:r>
        <w:t>а</w:t>
      </w:r>
      <w:r>
        <w:t>зание в виде лишения свободы на срок до двух лет. Если такое преступление совершается двумя лицами или более, или унижает честь и достоинство целого ряда людей, или сопряжено с причинением телесных повреждений другим л</w:t>
      </w:r>
      <w:r>
        <w:t>и</w:t>
      </w:r>
      <w:r>
        <w:t>цам, то виновное в совершении этих деяний лицо наказывается лишением св</w:t>
      </w:r>
      <w:r>
        <w:t>о</w:t>
      </w:r>
      <w:r>
        <w:t>боды на срок до трех лет. Кроме того, в 1998 году был принят Уголовно-процессуальный кодекс, который предусматривает в качестве альтернативы лишению свободы в виде тюремного заключения запрет на общение с конкре</w:t>
      </w:r>
      <w:r>
        <w:t>т</w:t>
      </w:r>
      <w:r>
        <w:t>ными людьми или запрет на нахождение в конкретных местах (статья 195</w:t>
      </w:r>
      <w:r>
        <w:rPr>
          <w:lang w:val="en-US"/>
        </w:rPr>
        <w:t>a</w:t>
      </w:r>
      <w:r>
        <w:t>). Такая мера пресечения может быть применена в том случае, когда есть все о</w:t>
      </w:r>
      <w:r>
        <w:t>с</w:t>
      </w:r>
      <w:r>
        <w:t>нования полагать, что рассмотрение дела закончится вынесением приговора о лишении свободы обвиняемого, и при этом существует опасность того, что о</w:t>
      </w:r>
      <w:r>
        <w:t>б</w:t>
      </w:r>
      <w:r>
        <w:t>виняемый уничтожит улики преступления, окажет влияние на свидетелей, уч</w:t>
      </w:r>
      <w:r>
        <w:t>а</w:t>
      </w:r>
      <w:r>
        <w:t>стников или соучастников преступления или совершит преступление повторно, перейдет от покушения на преступление к совершению преступления или б</w:t>
      </w:r>
      <w:r>
        <w:t>у</w:t>
      </w:r>
      <w:r>
        <w:t>дет угрожать кому-либо. Такая опасность может быть предотвращена путем введения запрета на общение обвиняемого с конкретными лицами или на н</w:t>
      </w:r>
      <w:r>
        <w:t>а</w:t>
      </w:r>
      <w:r>
        <w:t>хождение обвиняемого в конкретных местах. Суд определяет приемлемую ди</w:t>
      </w:r>
      <w:r>
        <w:t>с</w:t>
      </w:r>
      <w:r>
        <w:t>танцию, то есть дистанцию до конкретного места или конкретного лица, кот</w:t>
      </w:r>
      <w:r>
        <w:t>о</w:t>
      </w:r>
      <w:r>
        <w:t>рую обвиняемый должен соблюдать и не нарушать преднамеренно. В случае нарушения этого запрета обвиняемым суд может издать постановление о з</w:t>
      </w:r>
      <w:r>
        <w:t>а</w:t>
      </w:r>
      <w:r>
        <w:t>держании обвиняемого.</w:t>
      </w:r>
    </w:p>
    <w:p w:rsidR="00000000" w:rsidRDefault="00000000">
      <w:pPr>
        <w:pStyle w:val="SingleTxt"/>
      </w:pPr>
      <w:r>
        <w:t>Согласно данным министерства внутренних дел за 1999 год, за предыд</w:t>
      </w:r>
      <w:r>
        <w:t>у</w:t>
      </w:r>
      <w:r>
        <w:t>щие 10 лет было совершено приблизительно 12000 преступлений и 80000 пр</w:t>
      </w:r>
      <w:r>
        <w:t>а</w:t>
      </w:r>
      <w:r>
        <w:t>вонарушений с элементами насилия в семье, причем доля женщин среди п</w:t>
      </w:r>
      <w:r>
        <w:t>о</w:t>
      </w:r>
      <w:r>
        <w:t>страдавших составляла 60%. Только о половине таких случаев правоохран</w:t>
      </w:r>
      <w:r>
        <w:t>и</w:t>
      </w:r>
      <w:r>
        <w:t>тельным органам стало известно со слов самих пострадавших. В 2001 году д</w:t>
      </w:r>
      <w:r>
        <w:t>о</w:t>
      </w:r>
      <w:r>
        <w:t>ля женщин среди жертв убийств составляла 22,1%, среди пострадавших, кот</w:t>
      </w:r>
      <w:r>
        <w:t>о</w:t>
      </w:r>
      <w:r>
        <w:t>рым были причинены особо тяжкие телесные повреждения, – 20,6%, среди п</w:t>
      </w:r>
      <w:r>
        <w:t>о</w:t>
      </w:r>
      <w:r>
        <w:t>страдавших, которым были причинены легкие телесные повреждения, – 23,4%, среди пострадавших, которым угрожали применением опасного для жизни оружия при оказании сопротивления, – 24,3%. В период 1997-2001 годов ув</w:t>
      </w:r>
      <w:r>
        <w:t>е</w:t>
      </w:r>
      <w:r>
        <w:t>личилось число преступлений, связанных с угрозой безопасности личности и жестоким обращением, в общей сложности было совершено 8254 таких пр</w:t>
      </w:r>
      <w:r>
        <w:t>е</w:t>
      </w:r>
      <w:r>
        <w:t>ступления, причем 3825 из них (46,3%) были совершены в отношении женщин. За период после представления последнего доклада доля женщин среди п</w:t>
      </w:r>
      <w:r>
        <w:t>о</w:t>
      </w:r>
      <w:r>
        <w:t>страдавших в результате сексуальных преступлений несколько уменьшилась, но этот показатель по-прежнему высок. В общей сложности было совершено 984 таких преступления, причем 798 преступлений, или 80,2% были соверш</w:t>
      </w:r>
      <w:r>
        <w:t>е</w:t>
      </w:r>
      <w:r>
        <w:t>ны в отношении женщин. Доля женщин среди пострадавших в результате актов насилия существенно возросла (в 1997 году она составила 26,5%, а в 2001 году – 60,1%), что объясняется внесением упомянутых выше изменений в уголовное законодательство, в частности, включением актов насилия в семье в состав преступления, связанного с насилием.</w:t>
      </w:r>
    </w:p>
    <w:p w:rsidR="00000000" w:rsidRDefault="00000000">
      <w:pPr>
        <w:pStyle w:val="SingleTxt"/>
        <w:keepNext/>
        <w:ind w:firstLine="0"/>
        <w:jc w:val="left"/>
        <w:rPr>
          <w:b/>
        </w:rPr>
      </w:pPr>
      <w:r>
        <w:rPr>
          <w:b/>
        </w:rPr>
        <w:t xml:space="preserve">Таблица 1: Преступления против жизни и здоровья личности </w:t>
      </w:r>
      <w:r>
        <w:rPr>
          <w:b/>
        </w:rPr>
        <w:br/>
        <w:t>и доля же</w:t>
      </w:r>
      <w:r>
        <w:rPr>
          <w:b/>
        </w:rPr>
        <w:t>н</w:t>
      </w:r>
      <w:r>
        <w:rPr>
          <w:b/>
        </w:rPr>
        <w:t xml:space="preserve">щин среди пострадавших в результате таких преступлений, </w:t>
      </w:r>
      <w:r>
        <w:rPr>
          <w:b/>
        </w:rPr>
        <w:br/>
        <w:t>1997–2001 годы</w:t>
      </w:r>
    </w:p>
    <w:tbl>
      <w:tblPr>
        <w:tblW w:w="0" w:type="auto"/>
        <w:tblInd w:w="1278" w:type="dxa"/>
        <w:tblLayout w:type="fixed"/>
        <w:tblLook w:val="01E0" w:firstRow="1" w:lastRow="1" w:firstColumn="1" w:lastColumn="1" w:noHBand="0" w:noVBand="0"/>
      </w:tblPr>
      <w:tblGrid>
        <w:gridCol w:w="992"/>
        <w:gridCol w:w="851"/>
        <w:gridCol w:w="1105"/>
        <w:gridCol w:w="1106"/>
        <w:gridCol w:w="1105"/>
        <w:gridCol w:w="1106"/>
        <w:gridCol w:w="1106"/>
      </w:tblGrid>
      <w:tr w:rsidR="00000000">
        <w:tblPrEx>
          <w:tblCellMar>
            <w:top w:w="0" w:type="dxa"/>
            <w:bottom w:w="0" w:type="dxa"/>
          </w:tblCellMar>
        </w:tblPrEx>
        <w:trPr>
          <w:tblHeader/>
        </w:trPr>
        <w:tc>
          <w:tcPr>
            <w:tcW w:w="992" w:type="dxa"/>
            <w:tcBorders>
              <w:top w:val="single" w:sz="4"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Год</w:t>
            </w:r>
          </w:p>
        </w:tc>
        <w:tc>
          <w:tcPr>
            <w:tcW w:w="851" w:type="dxa"/>
            <w:tcBorders>
              <w:top w:val="single" w:sz="4"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p>
        </w:tc>
        <w:tc>
          <w:tcPr>
            <w:tcW w:w="1105" w:type="dxa"/>
            <w:tcBorders>
              <w:top w:val="single" w:sz="4"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Уби</w:t>
            </w:r>
            <w:r>
              <w:rPr>
                <w:i/>
                <w:sz w:val="17"/>
              </w:rPr>
              <w:t>й</w:t>
            </w:r>
            <w:r>
              <w:rPr>
                <w:i/>
                <w:sz w:val="17"/>
              </w:rPr>
              <w:t>ство</w:t>
            </w:r>
          </w:p>
        </w:tc>
        <w:tc>
          <w:tcPr>
            <w:tcW w:w="1106" w:type="dxa"/>
            <w:tcBorders>
              <w:top w:val="single" w:sz="4"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Особо тяжкие телесные поврежд</w:t>
            </w:r>
            <w:r>
              <w:rPr>
                <w:i/>
                <w:sz w:val="17"/>
              </w:rPr>
              <w:t>е</w:t>
            </w:r>
            <w:r>
              <w:rPr>
                <w:i/>
                <w:sz w:val="17"/>
              </w:rPr>
              <w:t>ния</w:t>
            </w:r>
          </w:p>
        </w:tc>
        <w:tc>
          <w:tcPr>
            <w:tcW w:w="1105" w:type="dxa"/>
            <w:tcBorders>
              <w:top w:val="single" w:sz="4"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Тяжкие телесные поврежд</w:t>
            </w:r>
            <w:r>
              <w:rPr>
                <w:i/>
                <w:sz w:val="17"/>
              </w:rPr>
              <w:t>е</w:t>
            </w:r>
            <w:r>
              <w:rPr>
                <w:i/>
                <w:sz w:val="17"/>
              </w:rPr>
              <w:t>ния</w:t>
            </w:r>
          </w:p>
        </w:tc>
        <w:tc>
          <w:tcPr>
            <w:tcW w:w="1106" w:type="dxa"/>
            <w:tcBorders>
              <w:top w:val="single" w:sz="4"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Легкие т</w:t>
            </w:r>
            <w:r>
              <w:rPr>
                <w:i/>
                <w:sz w:val="17"/>
              </w:rPr>
              <w:t>е</w:t>
            </w:r>
            <w:r>
              <w:rPr>
                <w:i/>
                <w:sz w:val="17"/>
              </w:rPr>
              <w:t>лесные п</w:t>
            </w:r>
            <w:r>
              <w:rPr>
                <w:i/>
                <w:sz w:val="17"/>
              </w:rPr>
              <w:t>о</w:t>
            </w:r>
            <w:r>
              <w:rPr>
                <w:i/>
                <w:sz w:val="17"/>
              </w:rPr>
              <w:t>вреждения</w:t>
            </w:r>
          </w:p>
        </w:tc>
        <w:tc>
          <w:tcPr>
            <w:tcW w:w="1106" w:type="dxa"/>
            <w:tcBorders>
              <w:top w:val="single" w:sz="4"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Угроза с примен</w:t>
            </w:r>
            <w:r>
              <w:rPr>
                <w:i/>
                <w:sz w:val="17"/>
              </w:rPr>
              <w:t>е</w:t>
            </w:r>
            <w:r>
              <w:rPr>
                <w:i/>
                <w:sz w:val="17"/>
              </w:rPr>
              <w:t>нием опа</w:t>
            </w:r>
            <w:r>
              <w:rPr>
                <w:i/>
                <w:sz w:val="17"/>
              </w:rPr>
              <w:t>с</w:t>
            </w:r>
            <w:r>
              <w:rPr>
                <w:i/>
                <w:sz w:val="17"/>
              </w:rPr>
              <w:t>ного для жизни оружия</w:t>
            </w:r>
          </w:p>
        </w:tc>
      </w:tr>
      <w:tr w:rsidR="00000000">
        <w:tblPrEx>
          <w:tblCellMar>
            <w:top w:w="0" w:type="dxa"/>
            <w:bottom w:w="0" w:type="dxa"/>
          </w:tblCellMar>
        </w:tblPrEx>
        <w:trPr>
          <w:cantSplit/>
        </w:trPr>
        <w:tc>
          <w:tcPr>
            <w:tcW w:w="992" w:type="dxa"/>
            <w:vMerge w:val="restart"/>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1997 год</w:t>
            </w:r>
          </w:p>
        </w:tc>
        <w:tc>
          <w:tcPr>
            <w:tcW w:w="851" w:type="dxa"/>
            <w:tcBorders>
              <w:top w:val="single" w:sz="12" w:space="0" w:color="auto"/>
            </w:tcBorders>
          </w:tcPr>
          <w:p w:rsidR="00000000" w:rsidRDefault="00000000">
            <w:pPr>
              <w:pStyle w:val="SingleTxt"/>
              <w:keepNext/>
              <w:spacing w:before="40" w:after="40" w:line="240" w:lineRule="auto"/>
              <w:ind w:left="0" w:right="0" w:firstLine="0"/>
              <w:rPr>
                <w:sz w:val="17"/>
              </w:rPr>
            </w:pPr>
            <w:r>
              <w:rPr>
                <w:sz w:val="17"/>
              </w:rPr>
              <w:t>всего</w:t>
            </w:r>
          </w:p>
        </w:tc>
        <w:tc>
          <w:tcPr>
            <w:tcW w:w="1105"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78</w:t>
            </w:r>
          </w:p>
        </w:tc>
        <w:tc>
          <w:tcPr>
            <w:tcW w:w="110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20</w:t>
            </w:r>
          </w:p>
        </w:tc>
        <w:tc>
          <w:tcPr>
            <w:tcW w:w="1105"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402</w:t>
            </w:r>
          </w:p>
        </w:tc>
        <w:tc>
          <w:tcPr>
            <w:tcW w:w="110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1018</w:t>
            </w:r>
          </w:p>
        </w:tc>
        <w:tc>
          <w:tcPr>
            <w:tcW w:w="110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347</w:t>
            </w:r>
          </w:p>
        </w:tc>
      </w:tr>
      <w:tr w:rsidR="00000000">
        <w:tblPrEx>
          <w:tblCellMar>
            <w:top w:w="0" w:type="dxa"/>
            <w:bottom w:w="0" w:type="dxa"/>
          </w:tblCellMar>
        </w:tblPrEx>
        <w:trPr>
          <w:cantSplit/>
        </w:trPr>
        <w:tc>
          <w:tcPr>
            <w:tcW w:w="992" w:type="dxa"/>
            <w:vMerge/>
          </w:tcPr>
          <w:p w:rsidR="00000000" w:rsidRDefault="00000000">
            <w:pPr>
              <w:pStyle w:val="SingleTxt"/>
              <w:keepNext/>
              <w:spacing w:before="40" w:after="40" w:line="240" w:lineRule="auto"/>
              <w:ind w:left="0" w:right="0" w:firstLine="0"/>
              <w:jc w:val="center"/>
              <w:rPr>
                <w:sz w:val="17"/>
              </w:rPr>
            </w:pPr>
          </w:p>
        </w:tc>
        <w:tc>
          <w:tcPr>
            <w:tcW w:w="851" w:type="dxa"/>
          </w:tcPr>
          <w:p w:rsidR="00000000" w:rsidRDefault="00000000">
            <w:pPr>
              <w:pStyle w:val="SingleTxt"/>
              <w:keepNext/>
              <w:spacing w:before="40" w:after="40" w:line="240" w:lineRule="auto"/>
              <w:ind w:left="0" w:right="0" w:firstLine="0"/>
              <w:rPr>
                <w:sz w:val="17"/>
              </w:rPr>
            </w:pPr>
            <w:r>
              <w:rPr>
                <w:sz w:val="17"/>
              </w:rPr>
              <w:t>против же</w:t>
            </w:r>
            <w:r>
              <w:rPr>
                <w:sz w:val="17"/>
              </w:rPr>
              <w:t>н</w:t>
            </w:r>
            <w:r>
              <w:rPr>
                <w:sz w:val="17"/>
              </w:rPr>
              <w:t>щин</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21</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76</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219</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78</w:t>
            </w:r>
          </w:p>
        </w:tc>
      </w:tr>
      <w:tr w:rsidR="00000000">
        <w:tblPrEx>
          <w:tblCellMar>
            <w:top w:w="0" w:type="dxa"/>
            <w:bottom w:w="0" w:type="dxa"/>
          </w:tblCellMar>
        </w:tblPrEx>
        <w:trPr>
          <w:cantSplit/>
        </w:trPr>
        <w:tc>
          <w:tcPr>
            <w:tcW w:w="992" w:type="dxa"/>
            <w:vMerge/>
          </w:tcPr>
          <w:p w:rsidR="00000000" w:rsidRDefault="00000000">
            <w:pPr>
              <w:pStyle w:val="SingleTxt"/>
              <w:keepNext/>
              <w:spacing w:before="40" w:after="40" w:line="240" w:lineRule="auto"/>
              <w:ind w:left="0" w:right="0" w:firstLine="0"/>
              <w:jc w:val="center"/>
              <w:rPr>
                <w:sz w:val="17"/>
              </w:rPr>
            </w:pPr>
          </w:p>
        </w:tc>
        <w:tc>
          <w:tcPr>
            <w:tcW w:w="851" w:type="dxa"/>
          </w:tcPr>
          <w:p w:rsidR="00000000" w:rsidRDefault="00000000">
            <w:pPr>
              <w:pStyle w:val="SingleTxt"/>
              <w:keepNext/>
              <w:spacing w:before="40" w:after="40" w:line="240" w:lineRule="auto"/>
              <w:ind w:left="0" w:right="0" w:firstLine="0"/>
              <w:rPr>
                <w:sz w:val="17"/>
              </w:rPr>
            </w:pPr>
            <w:r>
              <w:rPr>
                <w:sz w:val="17"/>
              </w:rPr>
              <w:t>доля же</w:t>
            </w:r>
            <w:r>
              <w:rPr>
                <w:sz w:val="17"/>
              </w:rPr>
              <w:t>н</w:t>
            </w:r>
            <w:r>
              <w:rPr>
                <w:sz w:val="17"/>
              </w:rPr>
              <w:t>щин</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26,9</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15,0</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18,9</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21,5</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22,5</w:t>
            </w:r>
          </w:p>
        </w:tc>
      </w:tr>
      <w:tr w:rsidR="00000000">
        <w:tblPrEx>
          <w:tblCellMar>
            <w:top w:w="0" w:type="dxa"/>
            <w:bottom w:w="0" w:type="dxa"/>
          </w:tblCellMar>
        </w:tblPrEx>
        <w:trPr>
          <w:cantSplit/>
        </w:trPr>
        <w:tc>
          <w:tcPr>
            <w:tcW w:w="992" w:type="dxa"/>
            <w:vMerge w:val="restart"/>
          </w:tcPr>
          <w:p w:rsidR="00000000" w:rsidRDefault="00000000">
            <w:pPr>
              <w:pStyle w:val="SingleTxt"/>
              <w:keepNext/>
              <w:spacing w:before="40" w:after="40" w:line="240" w:lineRule="auto"/>
              <w:ind w:left="0" w:right="0" w:firstLine="0"/>
              <w:jc w:val="center"/>
              <w:rPr>
                <w:sz w:val="17"/>
              </w:rPr>
            </w:pPr>
            <w:r>
              <w:rPr>
                <w:sz w:val="17"/>
              </w:rPr>
              <w:t>1998 год</w:t>
            </w:r>
          </w:p>
        </w:tc>
        <w:tc>
          <w:tcPr>
            <w:tcW w:w="851" w:type="dxa"/>
          </w:tcPr>
          <w:p w:rsidR="00000000" w:rsidRDefault="00000000">
            <w:pPr>
              <w:pStyle w:val="SingleTxt"/>
              <w:keepNext/>
              <w:spacing w:before="40" w:after="40" w:line="240" w:lineRule="auto"/>
              <w:ind w:left="0" w:right="0" w:firstLine="0"/>
              <w:rPr>
                <w:sz w:val="17"/>
              </w:rPr>
            </w:pPr>
            <w:r>
              <w:rPr>
                <w:sz w:val="17"/>
              </w:rPr>
              <w:t>всего</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60</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12</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377</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1149</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407</w:t>
            </w:r>
          </w:p>
        </w:tc>
      </w:tr>
      <w:tr w:rsidR="00000000">
        <w:tblPrEx>
          <w:tblCellMar>
            <w:top w:w="0" w:type="dxa"/>
            <w:bottom w:w="0" w:type="dxa"/>
          </w:tblCellMar>
        </w:tblPrEx>
        <w:trPr>
          <w:cantSplit/>
        </w:trPr>
        <w:tc>
          <w:tcPr>
            <w:tcW w:w="992" w:type="dxa"/>
            <w:vMerge/>
          </w:tcPr>
          <w:p w:rsidR="00000000" w:rsidRDefault="00000000">
            <w:pPr>
              <w:pStyle w:val="SingleTxt"/>
              <w:keepNext/>
              <w:spacing w:before="40" w:after="40" w:line="240" w:lineRule="auto"/>
              <w:ind w:left="0" w:right="0" w:firstLine="0"/>
              <w:jc w:val="center"/>
              <w:rPr>
                <w:sz w:val="17"/>
              </w:rPr>
            </w:pPr>
          </w:p>
        </w:tc>
        <w:tc>
          <w:tcPr>
            <w:tcW w:w="851" w:type="dxa"/>
          </w:tcPr>
          <w:p w:rsidR="00000000" w:rsidRDefault="00000000">
            <w:pPr>
              <w:pStyle w:val="SingleTxt"/>
              <w:keepNext/>
              <w:spacing w:before="40" w:after="40" w:line="240" w:lineRule="auto"/>
              <w:ind w:left="0" w:right="0" w:firstLine="0"/>
              <w:rPr>
                <w:sz w:val="17"/>
              </w:rPr>
            </w:pPr>
            <w:r>
              <w:rPr>
                <w:sz w:val="17"/>
              </w:rPr>
              <w:t>против же</w:t>
            </w:r>
            <w:r>
              <w:rPr>
                <w:sz w:val="17"/>
              </w:rPr>
              <w:t>н</w:t>
            </w:r>
            <w:r>
              <w:rPr>
                <w:sz w:val="17"/>
              </w:rPr>
              <w:t>щин</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15</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61</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272</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73</w:t>
            </w:r>
          </w:p>
        </w:tc>
      </w:tr>
      <w:tr w:rsidR="00000000">
        <w:tblPrEx>
          <w:tblCellMar>
            <w:top w:w="0" w:type="dxa"/>
            <w:bottom w:w="0" w:type="dxa"/>
          </w:tblCellMar>
        </w:tblPrEx>
        <w:trPr>
          <w:cantSplit/>
        </w:trPr>
        <w:tc>
          <w:tcPr>
            <w:tcW w:w="992" w:type="dxa"/>
            <w:vMerge/>
          </w:tcPr>
          <w:p w:rsidR="00000000" w:rsidRDefault="00000000">
            <w:pPr>
              <w:pStyle w:val="SingleTxt"/>
              <w:keepNext/>
              <w:spacing w:before="40" w:after="40" w:line="240" w:lineRule="auto"/>
              <w:ind w:left="0" w:right="0" w:firstLine="0"/>
              <w:jc w:val="center"/>
              <w:rPr>
                <w:sz w:val="17"/>
              </w:rPr>
            </w:pPr>
          </w:p>
        </w:tc>
        <w:tc>
          <w:tcPr>
            <w:tcW w:w="851" w:type="dxa"/>
          </w:tcPr>
          <w:p w:rsidR="00000000" w:rsidRDefault="00000000">
            <w:pPr>
              <w:pStyle w:val="SingleTxt"/>
              <w:keepNext/>
              <w:spacing w:before="40" w:after="40" w:line="240" w:lineRule="auto"/>
              <w:ind w:left="0" w:right="0" w:firstLine="0"/>
              <w:rPr>
                <w:sz w:val="17"/>
              </w:rPr>
            </w:pPr>
            <w:r>
              <w:rPr>
                <w:sz w:val="17"/>
              </w:rPr>
              <w:t>доля же</w:t>
            </w:r>
            <w:r>
              <w:rPr>
                <w:sz w:val="17"/>
              </w:rPr>
              <w:t>н</w:t>
            </w:r>
            <w:r>
              <w:rPr>
                <w:sz w:val="17"/>
              </w:rPr>
              <w:t>щин</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25,0</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16,7</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16,2</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23,7</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17,9</w:t>
            </w:r>
          </w:p>
        </w:tc>
      </w:tr>
      <w:tr w:rsidR="00000000">
        <w:tblPrEx>
          <w:tblCellMar>
            <w:top w:w="0" w:type="dxa"/>
            <w:bottom w:w="0" w:type="dxa"/>
          </w:tblCellMar>
        </w:tblPrEx>
        <w:trPr>
          <w:cantSplit/>
        </w:trPr>
        <w:tc>
          <w:tcPr>
            <w:tcW w:w="992" w:type="dxa"/>
            <w:vMerge w:val="restart"/>
          </w:tcPr>
          <w:p w:rsidR="00000000" w:rsidRDefault="00000000">
            <w:pPr>
              <w:pStyle w:val="SingleTxt"/>
              <w:keepNext/>
              <w:spacing w:before="40" w:after="40" w:line="240" w:lineRule="auto"/>
              <w:ind w:left="0" w:right="0" w:firstLine="0"/>
              <w:jc w:val="center"/>
              <w:rPr>
                <w:sz w:val="17"/>
              </w:rPr>
            </w:pPr>
            <w:r>
              <w:rPr>
                <w:sz w:val="17"/>
              </w:rPr>
              <w:t>1999 год</w:t>
            </w:r>
          </w:p>
        </w:tc>
        <w:tc>
          <w:tcPr>
            <w:tcW w:w="851" w:type="dxa"/>
          </w:tcPr>
          <w:p w:rsidR="00000000" w:rsidRDefault="00000000">
            <w:pPr>
              <w:pStyle w:val="SingleTxt"/>
              <w:keepNext/>
              <w:spacing w:before="40" w:after="40" w:line="240" w:lineRule="auto"/>
              <w:ind w:left="0" w:right="0" w:firstLine="0"/>
              <w:rPr>
                <w:sz w:val="17"/>
              </w:rPr>
            </w:pPr>
            <w:r>
              <w:rPr>
                <w:sz w:val="17"/>
              </w:rPr>
              <w:t>всего</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70</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22</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385</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1223</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397</w:t>
            </w:r>
          </w:p>
        </w:tc>
      </w:tr>
      <w:tr w:rsidR="00000000">
        <w:tblPrEx>
          <w:tblCellMar>
            <w:top w:w="0" w:type="dxa"/>
            <w:bottom w:w="0" w:type="dxa"/>
          </w:tblCellMar>
        </w:tblPrEx>
        <w:trPr>
          <w:cantSplit/>
        </w:trPr>
        <w:tc>
          <w:tcPr>
            <w:tcW w:w="992" w:type="dxa"/>
            <w:vMerge/>
          </w:tcPr>
          <w:p w:rsidR="00000000" w:rsidRDefault="00000000">
            <w:pPr>
              <w:pStyle w:val="SingleTxt"/>
              <w:keepNext/>
              <w:spacing w:before="40" w:after="40" w:line="240" w:lineRule="auto"/>
              <w:ind w:left="0" w:right="0" w:firstLine="0"/>
              <w:jc w:val="center"/>
              <w:rPr>
                <w:sz w:val="17"/>
              </w:rPr>
            </w:pPr>
          </w:p>
        </w:tc>
        <w:tc>
          <w:tcPr>
            <w:tcW w:w="851" w:type="dxa"/>
          </w:tcPr>
          <w:p w:rsidR="00000000" w:rsidRDefault="00000000">
            <w:pPr>
              <w:pStyle w:val="SingleTxt"/>
              <w:keepNext/>
              <w:spacing w:before="40" w:after="40" w:line="240" w:lineRule="auto"/>
              <w:ind w:left="0" w:right="0" w:firstLine="0"/>
              <w:rPr>
                <w:sz w:val="17"/>
              </w:rPr>
            </w:pPr>
            <w:r>
              <w:rPr>
                <w:sz w:val="17"/>
              </w:rPr>
              <w:t>против же</w:t>
            </w:r>
            <w:r>
              <w:rPr>
                <w:sz w:val="17"/>
              </w:rPr>
              <w:t>н</w:t>
            </w:r>
            <w:r>
              <w:rPr>
                <w:sz w:val="17"/>
              </w:rPr>
              <w:t>щин</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16</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66</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285</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77</w:t>
            </w:r>
          </w:p>
        </w:tc>
      </w:tr>
      <w:tr w:rsidR="00000000">
        <w:tblPrEx>
          <w:tblCellMar>
            <w:top w:w="0" w:type="dxa"/>
            <w:bottom w:w="0" w:type="dxa"/>
          </w:tblCellMar>
        </w:tblPrEx>
        <w:trPr>
          <w:cantSplit/>
        </w:trPr>
        <w:tc>
          <w:tcPr>
            <w:tcW w:w="992" w:type="dxa"/>
            <w:vMerge/>
          </w:tcPr>
          <w:p w:rsidR="00000000" w:rsidRDefault="00000000">
            <w:pPr>
              <w:pStyle w:val="SingleTxt"/>
              <w:keepNext/>
              <w:spacing w:before="40" w:after="40" w:line="240" w:lineRule="auto"/>
              <w:ind w:left="0" w:right="0" w:firstLine="0"/>
              <w:jc w:val="center"/>
              <w:rPr>
                <w:sz w:val="17"/>
              </w:rPr>
            </w:pPr>
          </w:p>
        </w:tc>
        <w:tc>
          <w:tcPr>
            <w:tcW w:w="851" w:type="dxa"/>
          </w:tcPr>
          <w:p w:rsidR="00000000" w:rsidRDefault="00000000">
            <w:pPr>
              <w:pStyle w:val="SingleTxt"/>
              <w:keepNext/>
              <w:spacing w:before="40" w:after="40" w:line="240" w:lineRule="auto"/>
              <w:ind w:left="0" w:right="0" w:firstLine="0"/>
              <w:rPr>
                <w:sz w:val="17"/>
              </w:rPr>
            </w:pPr>
            <w:r>
              <w:rPr>
                <w:sz w:val="17"/>
              </w:rPr>
              <w:t>доля же</w:t>
            </w:r>
            <w:r>
              <w:rPr>
                <w:sz w:val="17"/>
              </w:rPr>
              <w:t>н</w:t>
            </w:r>
            <w:r>
              <w:rPr>
                <w:sz w:val="17"/>
              </w:rPr>
              <w:t>щин</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22,9</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31,8</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17,1</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23,3</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19,4</w:t>
            </w:r>
          </w:p>
        </w:tc>
      </w:tr>
      <w:tr w:rsidR="00000000">
        <w:tblPrEx>
          <w:tblCellMar>
            <w:top w:w="0" w:type="dxa"/>
            <w:bottom w:w="0" w:type="dxa"/>
          </w:tblCellMar>
        </w:tblPrEx>
        <w:trPr>
          <w:cantSplit/>
        </w:trPr>
        <w:tc>
          <w:tcPr>
            <w:tcW w:w="992" w:type="dxa"/>
            <w:vMerge w:val="restart"/>
          </w:tcPr>
          <w:p w:rsidR="00000000" w:rsidRDefault="00000000">
            <w:pPr>
              <w:pStyle w:val="SingleTxt"/>
              <w:keepNext/>
              <w:spacing w:before="40" w:after="40" w:line="240" w:lineRule="auto"/>
              <w:ind w:left="0" w:right="0" w:firstLine="0"/>
              <w:jc w:val="center"/>
              <w:rPr>
                <w:sz w:val="17"/>
              </w:rPr>
            </w:pPr>
            <w:r>
              <w:rPr>
                <w:sz w:val="17"/>
              </w:rPr>
              <w:t>2000 год</w:t>
            </w:r>
          </w:p>
        </w:tc>
        <w:tc>
          <w:tcPr>
            <w:tcW w:w="851" w:type="dxa"/>
          </w:tcPr>
          <w:p w:rsidR="00000000" w:rsidRDefault="00000000">
            <w:pPr>
              <w:pStyle w:val="SingleTxt"/>
              <w:keepNext/>
              <w:spacing w:before="40" w:after="40" w:line="240" w:lineRule="auto"/>
              <w:ind w:left="0" w:right="0" w:firstLine="0"/>
              <w:rPr>
                <w:sz w:val="17"/>
              </w:rPr>
            </w:pPr>
            <w:r>
              <w:rPr>
                <w:sz w:val="17"/>
              </w:rPr>
              <w:t>всего</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75</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21</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418</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1492</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329</w:t>
            </w:r>
          </w:p>
        </w:tc>
      </w:tr>
      <w:tr w:rsidR="00000000">
        <w:tblPrEx>
          <w:tblCellMar>
            <w:top w:w="0" w:type="dxa"/>
            <w:bottom w:w="0" w:type="dxa"/>
          </w:tblCellMar>
        </w:tblPrEx>
        <w:trPr>
          <w:cantSplit/>
        </w:trPr>
        <w:tc>
          <w:tcPr>
            <w:tcW w:w="992" w:type="dxa"/>
            <w:vMerge/>
          </w:tcPr>
          <w:p w:rsidR="00000000" w:rsidRDefault="00000000">
            <w:pPr>
              <w:pStyle w:val="SingleTxt"/>
              <w:keepNext/>
              <w:spacing w:before="40" w:after="40" w:line="240" w:lineRule="auto"/>
              <w:ind w:left="0" w:right="0" w:firstLine="0"/>
              <w:jc w:val="center"/>
              <w:rPr>
                <w:sz w:val="17"/>
              </w:rPr>
            </w:pPr>
          </w:p>
        </w:tc>
        <w:tc>
          <w:tcPr>
            <w:tcW w:w="851" w:type="dxa"/>
          </w:tcPr>
          <w:p w:rsidR="00000000" w:rsidRDefault="00000000">
            <w:pPr>
              <w:pStyle w:val="SingleTxt"/>
              <w:keepNext/>
              <w:spacing w:before="40" w:after="40" w:line="240" w:lineRule="auto"/>
              <w:ind w:left="0" w:right="0" w:firstLine="0"/>
              <w:rPr>
                <w:sz w:val="17"/>
              </w:rPr>
            </w:pPr>
            <w:r>
              <w:rPr>
                <w:sz w:val="17"/>
              </w:rPr>
              <w:t>против же</w:t>
            </w:r>
            <w:r>
              <w:rPr>
                <w:sz w:val="17"/>
              </w:rPr>
              <w:t>н</w:t>
            </w:r>
            <w:r>
              <w:rPr>
                <w:sz w:val="17"/>
              </w:rPr>
              <w:t>щин</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24</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72</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350</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78</w:t>
            </w:r>
          </w:p>
        </w:tc>
      </w:tr>
      <w:tr w:rsidR="00000000">
        <w:tblPrEx>
          <w:tblCellMar>
            <w:top w:w="0" w:type="dxa"/>
            <w:bottom w:w="0" w:type="dxa"/>
          </w:tblCellMar>
        </w:tblPrEx>
        <w:trPr>
          <w:cantSplit/>
        </w:trPr>
        <w:tc>
          <w:tcPr>
            <w:tcW w:w="992" w:type="dxa"/>
            <w:vMerge/>
          </w:tcPr>
          <w:p w:rsidR="00000000" w:rsidRDefault="00000000">
            <w:pPr>
              <w:pStyle w:val="SingleTxt"/>
              <w:keepNext/>
              <w:spacing w:before="40" w:after="40" w:line="240" w:lineRule="auto"/>
              <w:ind w:left="0" w:right="0" w:firstLine="0"/>
              <w:jc w:val="center"/>
              <w:rPr>
                <w:sz w:val="17"/>
              </w:rPr>
            </w:pPr>
          </w:p>
        </w:tc>
        <w:tc>
          <w:tcPr>
            <w:tcW w:w="851" w:type="dxa"/>
          </w:tcPr>
          <w:p w:rsidR="00000000" w:rsidRDefault="00000000">
            <w:pPr>
              <w:pStyle w:val="SingleTxt"/>
              <w:keepNext/>
              <w:spacing w:before="40" w:after="40" w:line="240" w:lineRule="auto"/>
              <w:ind w:left="0" w:right="0" w:firstLine="0"/>
              <w:rPr>
                <w:sz w:val="17"/>
              </w:rPr>
            </w:pPr>
            <w:r>
              <w:rPr>
                <w:sz w:val="17"/>
              </w:rPr>
              <w:t>доля же</w:t>
            </w:r>
            <w:r>
              <w:rPr>
                <w:sz w:val="17"/>
              </w:rPr>
              <w:t>н</w:t>
            </w:r>
            <w:r>
              <w:rPr>
                <w:sz w:val="17"/>
              </w:rPr>
              <w:t>щин</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32,0</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9,5</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17,2</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23,5</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23,7</w:t>
            </w:r>
          </w:p>
        </w:tc>
      </w:tr>
      <w:tr w:rsidR="00000000">
        <w:tblPrEx>
          <w:tblCellMar>
            <w:top w:w="0" w:type="dxa"/>
            <w:bottom w:w="0" w:type="dxa"/>
          </w:tblCellMar>
        </w:tblPrEx>
        <w:trPr>
          <w:cantSplit/>
        </w:trPr>
        <w:tc>
          <w:tcPr>
            <w:tcW w:w="992" w:type="dxa"/>
            <w:vMerge w:val="restart"/>
          </w:tcPr>
          <w:p w:rsidR="00000000" w:rsidRDefault="00000000">
            <w:pPr>
              <w:pStyle w:val="SingleTxt"/>
              <w:keepNext/>
              <w:spacing w:before="40" w:after="40" w:line="240" w:lineRule="auto"/>
              <w:ind w:left="0" w:right="0" w:firstLine="0"/>
              <w:jc w:val="center"/>
              <w:rPr>
                <w:sz w:val="17"/>
              </w:rPr>
            </w:pPr>
            <w:r>
              <w:rPr>
                <w:sz w:val="17"/>
              </w:rPr>
              <w:t>2001 год</w:t>
            </w:r>
          </w:p>
        </w:tc>
        <w:tc>
          <w:tcPr>
            <w:tcW w:w="851" w:type="dxa"/>
          </w:tcPr>
          <w:p w:rsidR="00000000" w:rsidRDefault="00000000">
            <w:pPr>
              <w:pStyle w:val="SingleTxt"/>
              <w:keepNext/>
              <w:spacing w:before="40" w:after="40" w:line="240" w:lineRule="auto"/>
              <w:ind w:left="0" w:right="0" w:firstLine="0"/>
              <w:rPr>
                <w:sz w:val="17"/>
              </w:rPr>
            </w:pPr>
            <w:r>
              <w:rPr>
                <w:sz w:val="17"/>
              </w:rPr>
              <w:t>всего</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68</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19</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408</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1796</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403</w:t>
            </w:r>
          </w:p>
        </w:tc>
      </w:tr>
      <w:tr w:rsidR="00000000">
        <w:tblPrEx>
          <w:tblCellMar>
            <w:top w:w="0" w:type="dxa"/>
            <w:bottom w:w="0" w:type="dxa"/>
          </w:tblCellMar>
        </w:tblPrEx>
        <w:trPr>
          <w:cantSplit/>
        </w:trPr>
        <w:tc>
          <w:tcPr>
            <w:tcW w:w="992" w:type="dxa"/>
            <w:vMerge/>
          </w:tcPr>
          <w:p w:rsidR="00000000" w:rsidRDefault="00000000">
            <w:pPr>
              <w:pStyle w:val="SingleTxt"/>
              <w:keepNext/>
              <w:spacing w:before="40" w:after="40" w:line="240" w:lineRule="auto"/>
              <w:ind w:left="0" w:right="0" w:firstLine="0"/>
              <w:jc w:val="center"/>
              <w:rPr>
                <w:sz w:val="17"/>
              </w:rPr>
            </w:pPr>
          </w:p>
        </w:tc>
        <w:tc>
          <w:tcPr>
            <w:tcW w:w="851" w:type="dxa"/>
          </w:tcPr>
          <w:p w:rsidR="00000000" w:rsidRDefault="00000000">
            <w:pPr>
              <w:pStyle w:val="SingleTxt"/>
              <w:keepNext/>
              <w:spacing w:before="40" w:after="40" w:line="240" w:lineRule="auto"/>
              <w:ind w:left="0" w:right="0" w:firstLine="0"/>
              <w:rPr>
                <w:sz w:val="17"/>
              </w:rPr>
            </w:pPr>
            <w:r>
              <w:rPr>
                <w:sz w:val="17"/>
              </w:rPr>
              <w:t>против же</w:t>
            </w:r>
            <w:r>
              <w:rPr>
                <w:sz w:val="17"/>
              </w:rPr>
              <w:t>н</w:t>
            </w:r>
            <w:r>
              <w:rPr>
                <w:sz w:val="17"/>
              </w:rPr>
              <w:t>щин</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15</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w:t>
            </w:r>
          </w:p>
        </w:tc>
        <w:tc>
          <w:tcPr>
            <w:tcW w:w="110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84</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421</w:t>
            </w:r>
          </w:p>
        </w:tc>
        <w:tc>
          <w:tcPr>
            <w:tcW w:w="11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98</w:t>
            </w:r>
          </w:p>
        </w:tc>
      </w:tr>
      <w:tr w:rsidR="00000000">
        <w:tblPrEx>
          <w:tblCellMar>
            <w:top w:w="0" w:type="dxa"/>
            <w:bottom w:w="0" w:type="dxa"/>
          </w:tblCellMar>
        </w:tblPrEx>
        <w:trPr>
          <w:cantSplit/>
        </w:trPr>
        <w:tc>
          <w:tcPr>
            <w:tcW w:w="992" w:type="dxa"/>
            <w:vMerge/>
            <w:tcBorders>
              <w:bottom w:val="single" w:sz="12" w:space="0" w:color="auto"/>
            </w:tcBorders>
          </w:tcPr>
          <w:p w:rsidR="00000000" w:rsidRDefault="00000000">
            <w:pPr>
              <w:pStyle w:val="SingleTxt"/>
              <w:keepNext/>
              <w:spacing w:before="40" w:after="40" w:line="240" w:lineRule="auto"/>
              <w:ind w:left="0" w:right="0" w:firstLine="0"/>
              <w:jc w:val="center"/>
              <w:rPr>
                <w:sz w:val="17"/>
              </w:rPr>
            </w:pPr>
          </w:p>
        </w:tc>
        <w:tc>
          <w:tcPr>
            <w:tcW w:w="851" w:type="dxa"/>
            <w:tcBorders>
              <w:bottom w:val="single" w:sz="12" w:space="0" w:color="auto"/>
            </w:tcBorders>
          </w:tcPr>
          <w:p w:rsidR="00000000" w:rsidRDefault="00000000">
            <w:pPr>
              <w:pStyle w:val="SingleTxt"/>
              <w:keepNext/>
              <w:spacing w:before="40" w:after="40" w:line="240" w:lineRule="auto"/>
              <w:ind w:left="0" w:right="0" w:firstLine="0"/>
              <w:rPr>
                <w:sz w:val="17"/>
              </w:rPr>
            </w:pPr>
            <w:r>
              <w:rPr>
                <w:sz w:val="17"/>
              </w:rPr>
              <w:t>доля же</w:t>
            </w:r>
            <w:r>
              <w:rPr>
                <w:sz w:val="17"/>
              </w:rPr>
              <w:t>н</w:t>
            </w:r>
            <w:r>
              <w:rPr>
                <w:sz w:val="17"/>
              </w:rPr>
              <w:t>щин</w:t>
            </w:r>
          </w:p>
        </w:tc>
        <w:tc>
          <w:tcPr>
            <w:tcW w:w="1105"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22,1</w:t>
            </w:r>
          </w:p>
        </w:tc>
        <w:tc>
          <w:tcPr>
            <w:tcW w:w="1106"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21,1</w:t>
            </w:r>
          </w:p>
        </w:tc>
        <w:tc>
          <w:tcPr>
            <w:tcW w:w="1105"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20,6</w:t>
            </w:r>
          </w:p>
        </w:tc>
        <w:tc>
          <w:tcPr>
            <w:tcW w:w="1106"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23,4</w:t>
            </w:r>
          </w:p>
        </w:tc>
        <w:tc>
          <w:tcPr>
            <w:tcW w:w="1106"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24,3</w:t>
            </w:r>
          </w:p>
        </w:tc>
      </w:tr>
    </w:tbl>
    <w:p w:rsidR="00000000" w:rsidRDefault="00000000">
      <w:pPr>
        <w:pStyle w:val="SingleTxt"/>
        <w:ind w:firstLine="0"/>
        <w:jc w:val="left"/>
      </w:pPr>
      <w:r>
        <w:rPr>
          <w:i/>
        </w:rPr>
        <w:t>Источник</w:t>
      </w:r>
      <w:r>
        <w:t>: Министерство внутренних дел, сентябрь 2002 года</w:t>
      </w:r>
    </w:p>
    <w:p w:rsidR="00000000" w:rsidRDefault="00000000">
      <w:pPr>
        <w:pStyle w:val="SingleTxt"/>
      </w:pPr>
      <w:r>
        <w:t>В последнее время доля женщин среди пострадавших в результате нар</w:t>
      </w:r>
      <w:r>
        <w:t>у</w:t>
      </w:r>
      <w:r>
        <w:t>шений общественного порядка и спокойствия увеличилась: в 1997 году она с</w:t>
      </w:r>
      <w:r>
        <w:t>о</w:t>
      </w:r>
      <w:r>
        <w:t>ставила 29,4%, в 1999 году – 37,4%, а в 2001 году – 42,3%. Начиная с 1999 года насилие в семье также квалифицируется как насилие. В 1999 году было сове</w:t>
      </w:r>
      <w:r>
        <w:t>р</w:t>
      </w:r>
      <w:r>
        <w:t>шено 2345 или 11,7% таких связанных с насилием в семье преступлений, в 2000 году – 2750 или 16,9%, а в 2001 году – 2553 или 15,4%. Большая часть т</w:t>
      </w:r>
      <w:r>
        <w:t>а</w:t>
      </w:r>
      <w:r>
        <w:t>ких преступлений была совершена в домашних условиях (в 1999 году – 84,1%, в 2000 году – 89,1% и в 2001 году – 89,9%), другие преступления совершались в общ</w:t>
      </w:r>
      <w:r>
        <w:t>е</w:t>
      </w:r>
      <w:r>
        <w:t>ственных местах (на дорогах, рынках, в ресторанах, кафе и т.д.).</w:t>
      </w:r>
    </w:p>
    <w:p w:rsidR="00000000" w:rsidRDefault="00000000">
      <w:pPr>
        <w:pStyle w:val="SingleTxt"/>
        <w:keepNext/>
        <w:ind w:firstLine="0"/>
        <w:jc w:val="left"/>
        <w:rPr>
          <w:b/>
        </w:rPr>
      </w:pPr>
      <w:r>
        <w:rPr>
          <w:b/>
        </w:rPr>
        <w:t xml:space="preserve">Таблица 2: Нарушения общественного порядка и спокойствия </w:t>
      </w:r>
      <w:r>
        <w:rPr>
          <w:b/>
        </w:rPr>
        <w:br/>
        <w:t xml:space="preserve">и доля женщин среди пострадавших в результате таких нарушений, </w:t>
      </w:r>
      <w:r>
        <w:rPr>
          <w:b/>
        </w:rPr>
        <w:br/>
        <w:t>1996–2001 годы</w:t>
      </w:r>
    </w:p>
    <w:tbl>
      <w:tblPr>
        <w:tblW w:w="0" w:type="auto"/>
        <w:tblInd w:w="1278" w:type="dxa"/>
        <w:tblLayout w:type="fixed"/>
        <w:tblLook w:val="01E0" w:firstRow="1" w:lastRow="1" w:firstColumn="1" w:lastColumn="1" w:noHBand="0" w:noVBand="0"/>
      </w:tblPr>
      <w:tblGrid>
        <w:gridCol w:w="992"/>
        <w:gridCol w:w="2126"/>
        <w:gridCol w:w="2126"/>
        <w:gridCol w:w="2127"/>
      </w:tblGrid>
      <w:tr w:rsidR="00000000">
        <w:tblPrEx>
          <w:tblCellMar>
            <w:top w:w="0" w:type="dxa"/>
            <w:bottom w:w="0" w:type="dxa"/>
          </w:tblCellMar>
        </w:tblPrEx>
        <w:tc>
          <w:tcPr>
            <w:tcW w:w="992" w:type="dxa"/>
            <w:tcBorders>
              <w:top w:val="single" w:sz="6" w:space="0" w:color="auto"/>
              <w:bottom w:val="single" w:sz="12" w:space="0" w:color="auto"/>
            </w:tcBorders>
          </w:tcPr>
          <w:p w:rsidR="00000000" w:rsidRDefault="00000000">
            <w:pPr>
              <w:pStyle w:val="SingleTxt"/>
              <w:keepNext/>
              <w:spacing w:before="40" w:after="40" w:line="240" w:lineRule="auto"/>
              <w:ind w:left="0" w:right="0" w:firstLine="0"/>
              <w:rPr>
                <w:sz w:val="17"/>
              </w:rPr>
            </w:pPr>
          </w:p>
        </w:tc>
        <w:tc>
          <w:tcPr>
            <w:tcW w:w="2126"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Число нарушений общ</w:t>
            </w:r>
            <w:r>
              <w:rPr>
                <w:i/>
                <w:sz w:val="17"/>
              </w:rPr>
              <w:t>е</w:t>
            </w:r>
            <w:r>
              <w:rPr>
                <w:i/>
                <w:sz w:val="17"/>
              </w:rPr>
              <w:t>ственного п</w:t>
            </w:r>
            <w:r>
              <w:rPr>
                <w:i/>
                <w:sz w:val="17"/>
              </w:rPr>
              <w:t>о</w:t>
            </w:r>
            <w:r>
              <w:rPr>
                <w:i/>
                <w:sz w:val="17"/>
              </w:rPr>
              <w:t xml:space="preserve">рядка </w:t>
            </w:r>
            <w:r>
              <w:rPr>
                <w:i/>
                <w:sz w:val="17"/>
              </w:rPr>
              <w:br/>
              <w:t>и спокойс</w:t>
            </w:r>
            <w:r>
              <w:rPr>
                <w:i/>
                <w:sz w:val="17"/>
              </w:rPr>
              <w:t>т</w:t>
            </w:r>
            <w:r>
              <w:rPr>
                <w:i/>
                <w:sz w:val="17"/>
              </w:rPr>
              <w:t>вия</w:t>
            </w:r>
          </w:p>
        </w:tc>
        <w:tc>
          <w:tcPr>
            <w:tcW w:w="2126"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Число пострадавших же</w:t>
            </w:r>
            <w:r>
              <w:rPr>
                <w:i/>
                <w:sz w:val="17"/>
              </w:rPr>
              <w:t>н</w:t>
            </w:r>
            <w:r>
              <w:rPr>
                <w:i/>
                <w:sz w:val="17"/>
              </w:rPr>
              <w:t>щин</w:t>
            </w:r>
          </w:p>
        </w:tc>
        <w:tc>
          <w:tcPr>
            <w:tcW w:w="2127"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 xml:space="preserve">Доля женщин среди </w:t>
            </w:r>
            <w:r>
              <w:rPr>
                <w:i/>
                <w:sz w:val="17"/>
              </w:rPr>
              <w:br/>
              <w:t>пострада</w:t>
            </w:r>
            <w:r>
              <w:rPr>
                <w:i/>
                <w:sz w:val="17"/>
              </w:rPr>
              <w:t>в</w:t>
            </w:r>
            <w:r>
              <w:rPr>
                <w:i/>
                <w:sz w:val="17"/>
              </w:rPr>
              <w:t>ших</w:t>
            </w:r>
          </w:p>
        </w:tc>
      </w:tr>
      <w:tr w:rsidR="00000000">
        <w:tblPrEx>
          <w:tblCellMar>
            <w:top w:w="0" w:type="dxa"/>
            <w:bottom w:w="0" w:type="dxa"/>
          </w:tblCellMar>
        </w:tblPrEx>
        <w:tc>
          <w:tcPr>
            <w:tcW w:w="992" w:type="dxa"/>
            <w:tcBorders>
              <w:top w:val="single" w:sz="12" w:space="0" w:color="auto"/>
            </w:tcBorders>
          </w:tcPr>
          <w:p w:rsidR="00000000" w:rsidRDefault="00000000">
            <w:pPr>
              <w:pStyle w:val="SingleTxt"/>
              <w:keepNext/>
              <w:spacing w:before="40" w:after="40" w:line="240" w:lineRule="auto"/>
              <w:ind w:left="0" w:right="0" w:firstLine="0"/>
              <w:rPr>
                <w:sz w:val="17"/>
              </w:rPr>
            </w:pPr>
            <w:r>
              <w:rPr>
                <w:sz w:val="17"/>
              </w:rPr>
              <w:t>1996 год</w:t>
            </w:r>
          </w:p>
        </w:tc>
        <w:tc>
          <w:tcPr>
            <w:tcW w:w="2126"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30817</w:t>
            </w:r>
          </w:p>
        </w:tc>
        <w:tc>
          <w:tcPr>
            <w:tcW w:w="2126"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8708</w:t>
            </w:r>
          </w:p>
        </w:tc>
        <w:tc>
          <w:tcPr>
            <w:tcW w:w="2127"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28,3</w:t>
            </w:r>
          </w:p>
        </w:tc>
      </w:tr>
      <w:tr w:rsidR="00000000">
        <w:tblPrEx>
          <w:tblCellMar>
            <w:top w:w="0" w:type="dxa"/>
            <w:bottom w:w="0" w:type="dxa"/>
          </w:tblCellMar>
        </w:tblPrEx>
        <w:tc>
          <w:tcPr>
            <w:tcW w:w="992" w:type="dxa"/>
          </w:tcPr>
          <w:p w:rsidR="00000000" w:rsidRDefault="00000000">
            <w:pPr>
              <w:pStyle w:val="SingleTxt"/>
              <w:keepNext/>
              <w:spacing w:before="40" w:after="40" w:line="240" w:lineRule="auto"/>
              <w:ind w:left="0" w:right="0" w:firstLine="0"/>
              <w:rPr>
                <w:sz w:val="17"/>
              </w:rPr>
            </w:pPr>
            <w:r>
              <w:rPr>
                <w:sz w:val="17"/>
              </w:rPr>
              <w:t>1997 год</w:t>
            </w:r>
          </w:p>
        </w:tc>
        <w:tc>
          <w:tcPr>
            <w:tcW w:w="2126" w:type="dxa"/>
          </w:tcPr>
          <w:p w:rsidR="00000000" w:rsidRDefault="00000000">
            <w:pPr>
              <w:pStyle w:val="SingleTxt"/>
              <w:keepNext/>
              <w:spacing w:before="40" w:after="40" w:line="240" w:lineRule="auto"/>
              <w:ind w:left="0" w:right="0" w:firstLine="0"/>
              <w:jc w:val="center"/>
              <w:rPr>
                <w:sz w:val="17"/>
              </w:rPr>
            </w:pPr>
            <w:r>
              <w:rPr>
                <w:sz w:val="17"/>
              </w:rPr>
              <w:t>30106</w:t>
            </w:r>
          </w:p>
        </w:tc>
        <w:tc>
          <w:tcPr>
            <w:tcW w:w="2126" w:type="dxa"/>
          </w:tcPr>
          <w:p w:rsidR="00000000" w:rsidRDefault="00000000">
            <w:pPr>
              <w:pStyle w:val="SingleTxt"/>
              <w:keepNext/>
              <w:spacing w:before="40" w:after="40" w:line="240" w:lineRule="auto"/>
              <w:ind w:left="0" w:right="0" w:firstLine="0"/>
              <w:jc w:val="center"/>
              <w:rPr>
                <w:sz w:val="17"/>
              </w:rPr>
            </w:pPr>
            <w:r>
              <w:rPr>
                <w:sz w:val="17"/>
              </w:rPr>
              <w:t>8866</w:t>
            </w:r>
          </w:p>
        </w:tc>
        <w:tc>
          <w:tcPr>
            <w:tcW w:w="2127" w:type="dxa"/>
          </w:tcPr>
          <w:p w:rsidR="00000000" w:rsidRDefault="00000000">
            <w:pPr>
              <w:pStyle w:val="SingleTxt"/>
              <w:keepNext/>
              <w:spacing w:before="40" w:after="40" w:line="240" w:lineRule="auto"/>
              <w:ind w:left="0" w:right="0" w:firstLine="0"/>
              <w:jc w:val="center"/>
              <w:rPr>
                <w:sz w:val="17"/>
              </w:rPr>
            </w:pPr>
            <w:r>
              <w:rPr>
                <w:sz w:val="17"/>
              </w:rPr>
              <w:t>29,4</w:t>
            </w:r>
          </w:p>
        </w:tc>
      </w:tr>
      <w:tr w:rsidR="00000000">
        <w:tblPrEx>
          <w:tblCellMar>
            <w:top w:w="0" w:type="dxa"/>
            <w:bottom w:w="0" w:type="dxa"/>
          </w:tblCellMar>
        </w:tblPrEx>
        <w:tc>
          <w:tcPr>
            <w:tcW w:w="992" w:type="dxa"/>
          </w:tcPr>
          <w:p w:rsidR="00000000" w:rsidRDefault="00000000">
            <w:pPr>
              <w:pStyle w:val="SingleTxt"/>
              <w:keepNext/>
              <w:spacing w:before="40" w:after="40" w:line="240" w:lineRule="auto"/>
              <w:ind w:left="0" w:right="0" w:firstLine="0"/>
              <w:rPr>
                <w:sz w:val="17"/>
              </w:rPr>
            </w:pPr>
            <w:r>
              <w:rPr>
                <w:sz w:val="17"/>
              </w:rPr>
              <w:t>1998 год</w:t>
            </w:r>
          </w:p>
        </w:tc>
        <w:tc>
          <w:tcPr>
            <w:tcW w:w="2126" w:type="dxa"/>
          </w:tcPr>
          <w:p w:rsidR="00000000" w:rsidRDefault="00000000">
            <w:pPr>
              <w:pStyle w:val="SingleTxt"/>
              <w:keepNext/>
              <w:spacing w:before="40" w:after="40" w:line="240" w:lineRule="auto"/>
              <w:ind w:left="0" w:right="0" w:firstLine="0"/>
              <w:jc w:val="center"/>
              <w:rPr>
                <w:sz w:val="17"/>
              </w:rPr>
            </w:pPr>
            <w:r>
              <w:rPr>
                <w:sz w:val="17"/>
              </w:rPr>
              <w:t>29581</w:t>
            </w:r>
          </w:p>
        </w:tc>
        <w:tc>
          <w:tcPr>
            <w:tcW w:w="2126" w:type="dxa"/>
          </w:tcPr>
          <w:p w:rsidR="00000000" w:rsidRDefault="00000000">
            <w:pPr>
              <w:pStyle w:val="SingleTxt"/>
              <w:keepNext/>
              <w:spacing w:before="40" w:after="40" w:line="240" w:lineRule="auto"/>
              <w:ind w:left="0" w:right="0" w:firstLine="0"/>
              <w:jc w:val="center"/>
              <w:rPr>
                <w:sz w:val="17"/>
              </w:rPr>
            </w:pPr>
            <w:r>
              <w:rPr>
                <w:sz w:val="17"/>
              </w:rPr>
              <w:t>8754</w:t>
            </w:r>
          </w:p>
        </w:tc>
        <w:tc>
          <w:tcPr>
            <w:tcW w:w="2127" w:type="dxa"/>
          </w:tcPr>
          <w:p w:rsidR="00000000" w:rsidRDefault="00000000">
            <w:pPr>
              <w:pStyle w:val="SingleTxt"/>
              <w:keepNext/>
              <w:spacing w:before="40" w:after="40" w:line="240" w:lineRule="auto"/>
              <w:ind w:left="0" w:right="0" w:firstLine="0"/>
              <w:jc w:val="center"/>
              <w:rPr>
                <w:sz w:val="17"/>
              </w:rPr>
            </w:pPr>
            <w:r>
              <w:rPr>
                <w:sz w:val="17"/>
              </w:rPr>
              <w:t>29,6</w:t>
            </w:r>
          </w:p>
        </w:tc>
      </w:tr>
      <w:tr w:rsidR="00000000">
        <w:tblPrEx>
          <w:tblCellMar>
            <w:top w:w="0" w:type="dxa"/>
            <w:bottom w:w="0" w:type="dxa"/>
          </w:tblCellMar>
        </w:tblPrEx>
        <w:tc>
          <w:tcPr>
            <w:tcW w:w="992" w:type="dxa"/>
          </w:tcPr>
          <w:p w:rsidR="00000000" w:rsidRDefault="00000000">
            <w:pPr>
              <w:pStyle w:val="SingleTxt"/>
              <w:keepNext/>
              <w:spacing w:before="40" w:after="40" w:line="240" w:lineRule="auto"/>
              <w:ind w:left="0" w:right="0" w:firstLine="0"/>
              <w:rPr>
                <w:sz w:val="17"/>
              </w:rPr>
            </w:pPr>
            <w:r>
              <w:rPr>
                <w:sz w:val="17"/>
              </w:rPr>
              <w:t>1999 год</w:t>
            </w:r>
          </w:p>
        </w:tc>
        <w:tc>
          <w:tcPr>
            <w:tcW w:w="2126" w:type="dxa"/>
          </w:tcPr>
          <w:p w:rsidR="00000000" w:rsidRDefault="00000000">
            <w:pPr>
              <w:pStyle w:val="SingleTxt"/>
              <w:keepNext/>
              <w:spacing w:before="40" w:after="40" w:line="240" w:lineRule="auto"/>
              <w:ind w:left="0" w:right="0" w:firstLine="0"/>
              <w:jc w:val="center"/>
              <w:rPr>
                <w:sz w:val="17"/>
              </w:rPr>
            </w:pPr>
            <w:r>
              <w:rPr>
                <w:sz w:val="17"/>
              </w:rPr>
              <w:t>20076</w:t>
            </w:r>
          </w:p>
        </w:tc>
        <w:tc>
          <w:tcPr>
            <w:tcW w:w="2126" w:type="dxa"/>
          </w:tcPr>
          <w:p w:rsidR="00000000" w:rsidRDefault="00000000">
            <w:pPr>
              <w:pStyle w:val="SingleTxt"/>
              <w:keepNext/>
              <w:spacing w:before="40" w:after="40" w:line="240" w:lineRule="auto"/>
              <w:ind w:left="0" w:right="0" w:firstLine="0"/>
              <w:jc w:val="center"/>
              <w:rPr>
                <w:sz w:val="17"/>
              </w:rPr>
            </w:pPr>
            <w:r>
              <w:rPr>
                <w:sz w:val="17"/>
              </w:rPr>
              <w:t>7518</w:t>
            </w:r>
          </w:p>
        </w:tc>
        <w:tc>
          <w:tcPr>
            <w:tcW w:w="2127" w:type="dxa"/>
          </w:tcPr>
          <w:p w:rsidR="00000000" w:rsidRDefault="00000000">
            <w:pPr>
              <w:pStyle w:val="SingleTxt"/>
              <w:keepNext/>
              <w:spacing w:before="40" w:after="40" w:line="240" w:lineRule="auto"/>
              <w:ind w:left="0" w:right="0" w:firstLine="0"/>
              <w:jc w:val="center"/>
              <w:rPr>
                <w:sz w:val="17"/>
              </w:rPr>
            </w:pPr>
            <w:r>
              <w:rPr>
                <w:sz w:val="17"/>
              </w:rPr>
              <w:t>37,4</w:t>
            </w:r>
          </w:p>
        </w:tc>
      </w:tr>
      <w:tr w:rsidR="00000000">
        <w:tblPrEx>
          <w:tblCellMar>
            <w:top w:w="0" w:type="dxa"/>
            <w:bottom w:w="0" w:type="dxa"/>
          </w:tblCellMar>
        </w:tblPrEx>
        <w:tc>
          <w:tcPr>
            <w:tcW w:w="992" w:type="dxa"/>
          </w:tcPr>
          <w:p w:rsidR="00000000" w:rsidRDefault="00000000">
            <w:pPr>
              <w:pStyle w:val="SingleTxt"/>
              <w:keepNext/>
              <w:spacing w:before="40" w:after="40" w:line="240" w:lineRule="auto"/>
              <w:ind w:left="0" w:right="0" w:firstLine="0"/>
              <w:rPr>
                <w:sz w:val="17"/>
              </w:rPr>
            </w:pPr>
            <w:r>
              <w:rPr>
                <w:sz w:val="17"/>
              </w:rPr>
              <w:t>2000 год</w:t>
            </w:r>
          </w:p>
        </w:tc>
        <w:tc>
          <w:tcPr>
            <w:tcW w:w="2126" w:type="dxa"/>
          </w:tcPr>
          <w:p w:rsidR="00000000" w:rsidRDefault="00000000">
            <w:pPr>
              <w:pStyle w:val="SingleTxt"/>
              <w:keepNext/>
              <w:spacing w:before="40" w:after="40" w:line="240" w:lineRule="auto"/>
              <w:ind w:left="0" w:right="0" w:firstLine="0"/>
              <w:jc w:val="center"/>
              <w:rPr>
                <w:sz w:val="17"/>
              </w:rPr>
            </w:pPr>
            <w:r>
              <w:rPr>
                <w:sz w:val="17"/>
              </w:rPr>
              <w:t>16236</w:t>
            </w:r>
          </w:p>
        </w:tc>
        <w:tc>
          <w:tcPr>
            <w:tcW w:w="2126" w:type="dxa"/>
          </w:tcPr>
          <w:p w:rsidR="00000000" w:rsidRDefault="00000000">
            <w:pPr>
              <w:pStyle w:val="SingleTxt"/>
              <w:keepNext/>
              <w:spacing w:before="40" w:after="40" w:line="240" w:lineRule="auto"/>
              <w:ind w:left="0" w:right="0" w:firstLine="0"/>
              <w:jc w:val="center"/>
              <w:rPr>
                <w:sz w:val="17"/>
              </w:rPr>
            </w:pPr>
            <w:r>
              <w:rPr>
                <w:sz w:val="17"/>
              </w:rPr>
              <w:t>6800</w:t>
            </w:r>
          </w:p>
        </w:tc>
        <w:tc>
          <w:tcPr>
            <w:tcW w:w="2127" w:type="dxa"/>
          </w:tcPr>
          <w:p w:rsidR="00000000" w:rsidRDefault="00000000">
            <w:pPr>
              <w:pStyle w:val="SingleTxt"/>
              <w:keepNext/>
              <w:spacing w:before="40" w:after="40" w:line="240" w:lineRule="auto"/>
              <w:ind w:left="0" w:right="0" w:firstLine="0"/>
              <w:jc w:val="center"/>
              <w:rPr>
                <w:sz w:val="17"/>
              </w:rPr>
            </w:pPr>
            <w:r>
              <w:rPr>
                <w:sz w:val="17"/>
              </w:rPr>
              <w:t>41,9</w:t>
            </w:r>
          </w:p>
        </w:tc>
      </w:tr>
      <w:tr w:rsidR="00000000">
        <w:tblPrEx>
          <w:tblCellMar>
            <w:top w:w="0" w:type="dxa"/>
            <w:bottom w:w="0" w:type="dxa"/>
          </w:tblCellMar>
        </w:tblPrEx>
        <w:tc>
          <w:tcPr>
            <w:tcW w:w="992" w:type="dxa"/>
            <w:tcBorders>
              <w:bottom w:val="single" w:sz="12" w:space="0" w:color="auto"/>
            </w:tcBorders>
          </w:tcPr>
          <w:p w:rsidR="00000000" w:rsidRDefault="00000000">
            <w:pPr>
              <w:pStyle w:val="SingleTxt"/>
              <w:keepNext/>
              <w:spacing w:before="40" w:after="40" w:line="240" w:lineRule="auto"/>
              <w:ind w:left="0" w:right="0" w:firstLine="0"/>
              <w:rPr>
                <w:sz w:val="17"/>
              </w:rPr>
            </w:pPr>
            <w:r>
              <w:rPr>
                <w:sz w:val="17"/>
              </w:rPr>
              <w:t>2001 год</w:t>
            </w:r>
          </w:p>
        </w:tc>
        <w:tc>
          <w:tcPr>
            <w:tcW w:w="2126"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16540</w:t>
            </w:r>
          </w:p>
        </w:tc>
        <w:tc>
          <w:tcPr>
            <w:tcW w:w="2126"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6999</w:t>
            </w:r>
          </w:p>
        </w:tc>
        <w:tc>
          <w:tcPr>
            <w:tcW w:w="2127"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42,3</w:t>
            </w:r>
          </w:p>
        </w:tc>
      </w:tr>
    </w:tbl>
    <w:p w:rsidR="00000000" w:rsidRDefault="00000000">
      <w:pPr>
        <w:pStyle w:val="SingleTxt"/>
        <w:ind w:firstLine="0"/>
      </w:pPr>
      <w:r>
        <w:rPr>
          <w:i/>
        </w:rPr>
        <w:t>Источник</w:t>
      </w:r>
      <w:r>
        <w:t>: Министерство внутренних дел, сентябрь 2002 года</w:t>
      </w:r>
    </w:p>
    <w:p w:rsidR="00000000" w:rsidRDefault="00000000">
      <w:pPr>
        <w:pStyle w:val="SingleTxt"/>
      </w:pPr>
      <w:r>
        <w:t>В Словении функционирует ряд организаций, в которые женщины с дет</w:t>
      </w:r>
      <w:r>
        <w:t>ь</w:t>
      </w:r>
      <w:r>
        <w:t>ми могут обратиться за помощью в случае оказания на них давления. Среди них следует назвать приюты, дома матери и ребенка и другие соответствующие организации. Приюты (прибежища и кризисные центры) предназначены для женщин и детей, пострадавших в результате всех форм насилия, которые ну</w:t>
      </w:r>
      <w:r>
        <w:t>ж</w:t>
      </w:r>
      <w:r>
        <w:t>даются в немедленном помещении в безопасные условия. Жилье в приютах предоставляется на срок от 3 месяцев до одного года, в кризисных центрах – на два дня. Дома для матери и ребенка предназначены для беременных женщин и женщин с новорожденными детьми, а также женщин с маленькими детьми, к</w:t>
      </w:r>
      <w:r>
        <w:t>о</w:t>
      </w:r>
      <w:r>
        <w:t>торые испытывают социальные или материальные затруднения, а в последнее время все чаще становятся жертвами различных форм насилия. В таких домах женщины могут находиться до одного года с возможным продлением до двух лет. Существуют также так называемые смежные организации, которые допо</w:t>
      </w:r>
      <w:r>
        <w:t>л</w:t>
      </w:r>
      <w:r>
        <w:t>няют деятельность домов матери и ребенка и приютов. Примером таких орг</w:t>
      </w:r>
      <w:r>
        <w:t>а</w:t>
      </w:r>
      <w:r>
        <w:t>низаций служат центры оказания помощи пострадавшим от любых преступл</w:t>
      </w:r>
      <w:r>
        <w:t>е</w:t>
      </w:r>
      <w:r>
        <w:t>ний, которые консультируют пострадавших и направляют их в соответству</w:t>
      </w:r>
      <w:r>
        <w:t>ю</w:t>
      </w:r>
      <w:r>
        <w:t>щие организации, где они могут получить помощь, поддержку и квалифицир</w:t>
      </w:r>
      <w:r>
        <w:t>о</w:t>
      </w:r>
      <w:r>
        <w:t>ванные советы. В рамках Национальной программы социальной защиты на п</w:t>
      </w:r>
      <w:r>
        <w:t>е</w:t>
      </w:r>
      <w:r>
        <w:t>риод до 2005 года, фигурирующей в числе других программ, которые госуда</w:t>
      </w:r>
      <w:r>
        <w:t>р</w:t>
      </w:r>
      <w:r>
        <w:t>ство будет поддерживать в этот период, намечено создать сеть домов для мат</w:t>
      </w:r>
      <w:r>
        <w:t>е</w:t>
      </w:r>
      <w:r>
        <w:t>ри и ребенка и приютов для женщин общей вместимостью 250 мест, а также сеть центров психологической помощи пострадавшим в р</w:t>
      </w:r>
      <w:r>
        <w:t>е</w:t>
      </w:r>
      <w:r>
        <w:t>зультате насилия.</w:t>
      </w:r>
    </w:p>
    <w:p w:rsidR="00000000" w:rsidRDefault="00000000">
      <w:pPr>
        <w:pStyle w:val="SingleTxt"/>
      </w:pPr>
      <w:r>
        <w:t>В 2001 году при министерстве труда, по делам семьи и социальным в</w:t>
      </w:r>
      <w:r>
        <w:t>о</w:t>
      </w:r>
      <w:r>
        <w:t>просам был создан Совет экспертов по проблемам насилия в отношении же</w:t>
      </w:r>
      <w:r>
        <w:t>н</w:t>
      </w:r>
      <w:r>
        <w:t>щин со статусом консультативного органа. Он был создан по инициативе н</w:t>
      </w:r>
      <w:r>
        <w:t>е</w:t>
      </w:r>
      <w:r>
        <w:t>правительственных организаций, занимающихся названными вопросами, и ему поручено выполнять такие задачи, как подготовка научной базы и разработка руководящих принципов для принятия надлежащего законодательства по бор</w:t>
      </w:r>
      <w:r>
        <w:t>ь</w:t>
      </w:r>
      <w:r>
        <w:t>бе с насилием в отношении женщин, включая надзор за его применением. С</w:t>
      </w:r>
      <w:r>
        <w:t>о</w:t>
      </w:r>
      <w:r>
        <w:t>вет экспертов уже подготовил ряд предложений о внесении изменений в Уг</w:t>
      </w:r>
      <w:r>
        <w:t>о</w:t>
      </w:r>
      <w:r>
        <w:t>ловный кодекс, касающихся насилия в отношении женщин и насилия в семье, в том числе предложения о том, чтобы насилие в семье квалифицировалось в к</w:t>
      </w:r>
      <w:r>
        <w:t>а</w:t>
      </w:r>
      <w:r>
        <w:t>честве отдельного преступления. Деятельность неправительственных орган</w:t>
      </w:r>
      <w:r>
        <w:t>и</w:t>
      </w:r>
      <w:r>
        <w:t>заций в этой области также имеет важное значение, поскольку они руководят работой большинства приютов в Словении и осуществляют другие различные мероприятия, например, в области обучения сотрудников полиции, обвинит</w:t>
      </w:r>
      <w:r>
        <w:t>е</w:t>
      </w:r>
      <w:r>
        <w:t>лей, социальных работников, осуществляют программы оказания помощи п</w:t>
      </w:r>
      <w:r>
        <w:t>о</w:t>
      </w:r>
      <w:r>
        <w:t>страдавшим в результате насилия, а также оказывают консультативные услуги и т. д.</w:t>
      </w:r>
    </w:p>
    <w:p w:rsidR="00000000" w:rsidRDefault="00000000">
      <w:pPr>
        <w:pStyle w:val="SingleTxt"/>
      </w:pPr>
      <w:r>
        <w:t>Управление по вопросам равных возможностей проделало определенную работу по проблемам, связанным с насилием в отношении женщин, в частности занималось организацией проведения консультативных совещаний и различных кампаний, совместным финансированием проектов неправительственных орг</w:t>
      </w:r>
      <w:r>
        <w:t>а</w:t>
      </w:r>
      <w:r>
        <w:t>низаций и т.д. Начиная с 1999 года Управление активно участвовало в мер</w:t>
      </w:r>
      <w:r>
        <w:t>о</w:t>
      </w:r>
      <w:r>
        <w:t>приятиях, направленных на защиту пострадавших в результате насилия же</w:t>
      </w:r>
      <w:r>
        <w:t>н</w:t>
      </w:r>
      <w:r>
        <w:t>щин. Эти мероприятия осуществлялись в истекший период в рамках объед</w:t>
      </w:r>
      <w:r>
        <w:t>и</w:t>
      </w:r>
      <w:r>
        <w:t>ненного проекта, в котором, кроме Управления и Комиссии Государственного собрания по вопросам равных возможностей, ряда министерств, участвовали и неправительственные организации, занимающиеся проблемами насилия в о</w:t>
      </w:r>
      <w:r>
        <w:t>т</w:t>
      </w:r>
      <w:r>
        <w:t>ношении женщин. В ходе проведения международных дней борьбы с насилием в отношении женщин (25.11–10.12) проводилась широкомасштабная кампания в средствах массовой информации в рамках совместного проекта. Так, на те</w:t>
      </w:r>
      <w:r>
        <w:t>р</w:t>
      </w:r>
      <w:r>
        <w:t>ритории всей страны расклеивались плакаты, призывающие заострить вним</w:t>
      </w:r>
      <w:r>
        <w:t>а</w:t>
      </w:r>
      <w:r>
        <w:t>ние к проблеме насилия в отношении женщин. В Государственном собрании была организована выставка плакатов, лучшие из которых были направлены на конкурс под лозунгом «Как ваши дела, девушки?». Эта выставка стала пер</w:t>
      </w:r>
      <w:r>
        <w:t>е</w:t>
      </w:r>
      <w:r>
        <w:t>движной, и ее экспозиции демонстрировались в различных словенских гор</w:t>
      </w:r>
      <w:r>
        <w:t>о</w:t>
      </w:r>
      <w:r>
        <w:t>дах. Кроме того, эта проблема обсуждалась в городских и муниципальных с</w:t>
      </w:r>
      <w:r>
        <w:t>о</w:t>
      </w:r>
      <w:r>
        <w:t>ветах, организовывались дискуссии за круглым столом и дискуссии общес</w:t>
      </w:r>
      <w:r>
        <w:t>т</w:t>
      </w:r>
      <w:r>
        <w:t>венности. Кампания проводится и по сей день, знаменуя собой важный шаг в информировании широкой общественности по проблеме насилия в отношении женщин, ее масштабах и формах проявления. Следует отметить, что кампания приносит положительные результаты. Так, изменилась тональность материалов в средствах массовой информации. В прошлом в ежедневных газетах случаи насилия в отношении женщин освещались в «черной хронике», причем нередко с намеками на то, что женщины сами провоцируют насилие. Сейчас нельзя ск</w:t>
      </w:r>
      <w:r>
        <w:t>а</w:t>
      </w:r>
      <w:r>
        <w:t>зать, что такие намеки исчезли со страниц газет полностью, однако хорошо уже то, что сообщения стали, по крайней мере, нейтральными. В 2001 году Упра</w:t>
      </w:r>
      <w:r>
        <w:t>в</w:t>
      </w:r>
      <w:r>
        <w:t>ление провело публичную акцию по распространению среди широкой общес</w:t>
      </w:r>
      <w:r>
        <w:t>т</w:t>
      </w:r>
      <w:r>
        <w:t>венности текста одного из федеральных и местных законодательных актов Ге</w:t>
      </w:r>
      <w:r>
        <w:t>р</w:t>
      </w:r>
      <w:r>
        <w:t>мании по борьбе с насилием и плана действий по борьбе с насилием в отнош</w:t>
      </w:r>
      <w:r>
        <w:t>е</w:t>
      </w:r>
      <w:r>
        <w:t>нии женщин и оказало поддержку переводу и публикации книги под названием «Насилие в отношении женщин – ответственность органов полиции». Это пе</w:t>
      </w:r>
      <w:r>
        <w:t>р</w:t>
      </w:r>
      <w:r>
        <w:t xml:space="preserve">вая книга на словенском языке, в которой изложены директивные принципы работы с женщинами, пострадавшими в результате насилия. </w:t>
      </w:r>
    </w:p>
    <w:p w:rsidR="00000000" w:rsidRDefault="00000000">
      <w:pPr>
        <w:pStyle w:val="H23"/>
      </w:pPr>
      <w:r>
        <w:t xml:space="preserve">5. </w:t>
      </w:r>
      <w:r>
        <w:rPr>
          <w:lang w:val="en-US"/>
        </w:rPr>
        <w:tab/>
      </w:r>
      <w:r>
        <w:t>Сексуальные домогательства на рабочем месте</w:t>
      </w:r>
    </w:p>
    <w:p w:rsidR="00000000" w:rsidRDefault="00000000">
      <w:pPr>
        <w:pStyle w:val="SingleTxt"/>
      </w:pPr>
      <w:r>
        <w:t>Новый Закон об отношениях в сфере занятости обязывает работодателя обеспечивать условия труда, ограждающие работников от сексуальных домог</w:t>
      </w:r>
      <w:r>
        <w:t>а</w:t>
      </w:r>
      <w:r>
        <w:t>тельств. В статье 45 Закона говорится, что работодатель обязан обеспечивать условия работы, в которых ни один работник не будет подвергаться нежел</w:t>
      </w:r>
      <w:r>
        <w:t>а</w:t>
      </w:r>
      <w:r>
        <w:t>тельным притязаниям сексуального характера, включая нежелательные физ</w:t>
      </w:r>
      <w:r>
        <w:t>и</w:t>
      </w:r>
      <w:r>
        <w:t>ческие действия, словесные и письменные притязания и другие действия, св</w:t>
      </w:r>
      <w:r>
        <w:t>я</w:t>
      </w:r>
      <w:r>
        <w:t>занные с половой принадлежностью, порождающие атмосферу запуганности, вражды или унижений в рабочих отношениях и унижающих достоинство му</w:t>
      </w:r>
      <w:r>
        <w:t>ж</w:t>
      </w:r>
      <w:r>
        <w:t>чин и женщин на рабочем месте. Предотвращение названных действий не м</w:t>
      </w:r>
      <w:r>
        <w:t>о</w:t>
      </w:r>
      <w:r>
        <w:t>жет рассматриваться как факт дискриминации в области занятости. Если раб</w:t>
      </w:r>
      <w:r>
        <w:t>о</w:t>
      </w:r>
      <w:r>
        <w:t>тодатель нарушает установленные законом положения, то в случае возникнов</w:t>
      </w:r>
      <w:r>
        <w:t>е</w:t>
      </w:r>
      <w:r>
        <w:t>ния спора относительно их соблюдения бремя доказывания ложится на работ</w:t>
      </w:r>
      <w:r>
        <w:t>о</w:t>
      </w:r>
      <w:r>
        <w:t>дателя. Если работодатель не обеспечивает защиту против сексуальных дом</w:t>
      </w:r>
      <w:r>
        <w:t>о</w:t>
      </w:r>
      <w:r>
        <w:t>гательств, работник может расторгнуть трудовое соглашение по истечении восьми дней после предварительного уведомления работодателя о прекращ</w:t>
      </w:r>
      <w:r>
        <w:t>е</w:t>
      </w:r>
      <w:r>
        <w:t>нии своих служебных обязанностей и письменного уведомления о нарушении закона, представляемого инспектором по вопросам труда. Закон предусматр</w:t>
      </w:r>
      <w:r>
        <w:t>и</w:t>
      </w:r>
      <w:r>
        <w:t>вает, что в случае такого расторжения трудового соглашения работник имеет право на увольнение в обычном порядке расторжения трудового соглашения по производственным причинам с выплатой компенсации, по крайней мере, в ра</w:t>
      </w:r>
      <w:r>
        <w:t>з</w:t>
      </w:r>
      <w:r>
        <w:t>мере суммы, причитающейся за период уведомления (статья 112). Работод</w:t>
      </w:r>
      <w:r>
        <w:t>а</w:t>
      </w:r>
      <w:r>
        <w:t>тель, не обеспечивающий защиту против сексуальных домогательств, наказ</w:t>
      </w:r>
      <w:r>
        <w:t>ы</w:t>
      </w:r>
      <w:r>
        <w:t>вается штрафом, и надзор за уплатой такого штрафа осуществляется инспекц</w:t>
      </w:r>
      <w:r>
        <w:t>и</w:t>
      </w:r>
      <w:r>
        <w:t>ей по вопросам труда.</w:t>
      </w:r>
    </w:p>
    <w:p w:rsidR="00000000" w:rsidRDefault="00000000">
      <w:pPr>
        <w:pStyle w:val="H1"/>
        <w:ind w:left="1264" w:firstLine="0"/>
      </w:pPr>
      <w:r>
        <w:t>Статья 6</w:t>
      </w:r>
      <w:r>
        <w:br/>
        <w:t>Торговля женщинами и проституция</w:t>
      </w:r>
    </w:p>
    <w:p w:rsidR="00000000" w:rsidRDefault="00000000">
      <w:pPr>
        <w:pStyle w:val="SingleTxt"/>
      </w:pPr>
      <w:r>
        <w:t>На основании поправок к Уголовному кодексу в 1999 году были внесены изменения в определение преступления в форме сутенерства (статья 185) и преступления в форме оказания посреднических услуг в сфере проституции (статья 186). В настоящее время под сутенерством понимается преступление, совершенное любым лицом, которое за денежное вознаграждение организует половые сношения или другие действия сексуального характера. Соответс</w:t>
      </w:r>
      <w:r>
        <w:t>т</w:t>
      </w:r>
      <w:r>
        <w:t>вующая мера наказания была ужесточена, и виновное в совершении этого пр</w:t>
      </w:r>
      <w:r>
        <w:t>е</w:t>
      </w:r>
      <w:r>
        <w:t>ступления лицо наказывается лишением свободы на срок от трех месяцев до пяти лет. Если виновное лицо вовлекает в проституцию несовершеннолетнее лицо, то ему определяется наказание в виде лишения свободы на срок от одн</w:t>
      </w:r>
      <w:r>
        <w:t>о</w:t>
      </w:r>
      <w:r>
        <w:t>го года до десяти лет. Преступлением в форме сутенерства квалифицируется деяние, совершаемое любым лицом, которое нанимает другое лицо для занятия проституцией, вовлекает другое лицо в занятие проституцией или склоняет и приобщает другое лицо к занятию проституцией, или любым иным образом передает его другому лицу для занятия проституцией, или сотрудничает в деле организации проституции или управления ею. Эти изменения прежде всего имеют своей целью наказать виновное лицо за совершение хотя бы одного из перечисленных деяний.</w:t>
      </w:r>
    </w:p>
    <w:p w:rsidR="00000000" w:rsidRDefault="00000000">
      <w:pPr>
        <w:pStyle w:val="SingleTxt"/>
      </w:pPr>
      <w:r>
        <w:t>Сообщения о преступлениях, связанных с проституцией и торговлей людьми, поступают весьма редко. Поэтому раскрытие таких преступлений, как правило, является результатом законспирированных оперативно-следственных мероприятий полиции. В 2001 году полиции на основании собранных доказ</w:t>
      </w:r>
      <w:r>
        <w:t>а</w:t>
      </w:r>
      <w:r>
        <w:t>тельств удалось раскрыть 4 преступления организованных преступных групп</w:t>
      </w:r>
      <w:r>
        <w:t>и</w:t>
      </w:r>
      <w:r>
        <w:t>ровок, связанных с проституцией и торговлей людьми. По фактам сутенерства и другим связанным с проституцией противоправным деяниям были раскрыты двадцать преступлений (в 2000 году – 11 преступлений). Восемь таких прест</w:t>
      </w:r>
      <w:r>
        <w:t>у</w:t>
      </w:r>
      <w:r>
        <w:t>плений были совершены организованными преступными группировками, пр</w:t>
      </w:r>
      <w:r>
        <w:t>и</w:t>
      </w:r>
      <w:r>
        <w:t>чем два из них (в 2000 году) были связаны с обращением в рабство. В 2001 году полиция раскрыла 4 преступления, связанные с обращением в рабс</w:t>
      </w:r>
      <w:r>
        <w:t>т</w:t>
      </w:r>
      <w:r>
        <w:t>во четырех женщин, а в 2000 году – одно такое преступление.</w:t>
      </w:r>
    </w:p>
    <w:p w:rsidR="00000000" w:rsidRDefault="00000000">
      <w:pPr>
        <w:pStyle w:val="SingleTxt"/>
      </w:pPr>
      <w:r>
        <w:t>В декабре 2001 года правительство Республики Словении приняло реш</w:t>
      </w:r>
      <w:r>
        <w:t>е</w:t>
      </w:r>
      <w:r>
        <w:t>ние создать межведомственную рабочую группу по борьбе с торговлей людьми и наделить ее статусом консультативного органа. В январе 2002 года была со</w:t>
      </w:r>
      <w:r>
        <w:t>з</w:t>
      </w:r>
      <w:r>
        <w:t>дана рабочая группа по вопросу добровольного занятия проституцией, в задачу которой входит изучение проблемы проституции в Словении. Эта рабочая группа должна ежемесячно представлять свой доклад правительству и к дека</w:t>
      </w:r>
      <w:r>
        <w:t>б</w:t>
      </w:r>
      <w:r>
        <w:t>рю 2002 года должна была сформулировать предложение, касающееся урегул</w:t>
      </w:r>
      <w:r>
        <w:t>и</w:t>
      </w:r>
      <w:r>
        <w:t>рования положения дел в этой области.</w:t>
      </w:r>
    </w:p>
    <w:p w:rsidR="00000000" w:rsidRDefault="00000000">
      <w:pPr>
        <w:pStyle w:val="SingleTxt"/>
      </w:pPr>
      <w:r>
        <w:t>В 2001 году была основана неправительственная организация «Клью» (Центр по борьбе против торговли людьми), в задачу которой входит разрабо</w:t>
      </w:r>
      <w:r>
        <w:t>т</w:t>
      </w:r>
      <w:r>
        <w:t>ка и осуществление профилактических и реабилитационных программ, н</w:t>
      </w:r>
      <w:r>
        <w:t>а</w:t>
      </w:r>
      <w:r>
        <w:t>правленных на повышение информированности широкой общественности и различных экспертов, а также потенциальных и фактических жертв торговли людьми, преимущественно женщин и детей, жертв работорговли и сексуальной эксплуатации, торговли человеческими органами и кровью и жертв всех форм принудительного труда. Кроме того, эта организация оказывает необходимую помощь жертвам торговли людьми, помощь в деле их возвращения в страну происхождения, обеспечивает бесплатное консультирование пострадавших, п</w:t>
      </w:r>
      <w:r>
        <w:t>о</w:t>
      </w:r>
      <w:r>
        <w:t>ощряет и организует их сотрудничество с правоохранительными органами и оказывает помощь в реализации программ защиты свидетелей.</w:t>
      </w:r>
    </w:p>
    <w:p w:rsidR="00000000" w:rsidRDefault="00000000">
      <w:pPr>
        <w:pStyle w:val="H1"/>
        <w:ind w:left="1264" w:firstLine="0"/>
      </w:pPr>
      <w:r>
        <w:t>Статья 7</w:t>
      </w:r>
      <w:r>
        <w:br/>
        <w:t>Женщины в политической и общественной жизни</w:t>
      </w:r>
    </w:p>
    <w:p w:rsidR="00000000" w:rsidRDefault="00000000">
      <w:pPr>
        <w:pStyle w:val="SingleTxt"/>
      </w:pPr>
      <w:r>
        <w:t>Положения Конституции, касающиеся права избирать и быть избранным на выборах, остались без изменения, однако в стадии рассмотрения находится поправка, связанная с усилиями в области установления более справедливого соотношения численности мужчин и женщин в сфере политической деятельн</w:t>
      </w:r>
      <w:r>
        <w:t>о</w:t>
      </w:r>
      <w:r>
        <w:t>сти. Статья 44 Конституции Республики Словении предусматривает право пр</w:t>
      </w:r>
      <w:r>
        <w:t>и</w:t>
      </w:r>
      <w:r>
        <w:t>нимать участие в ведении государственных дел, и согласно положениям этой статьи все граждане имеют право на законных основаниях принимать неп</w:t>
      </w:r>
      <w:r>
        <w:t>о</w:t>
      </w:r>
      <w:r>
        <w:t>средственное участие или через выборных представителей в ведении госуда</w:t>
      </w:r>
      <w:r>
        <w:t>р</w:t>
      </w:r>
      <w:r>
        <w:t>ственных дел. Одна группа членов парламента 30 декабря 2001 года предст</w:t>
      </w:r>
      <w:r>
        <w:t>а</w:t>
      </w:r>
      <w:r>
        <w:t>вила на рассмотрение Государственного собрания поправку к Конституции, в частности новый второй пункт к статье 44, с тем чтобы в законодательном п</w:t>
      </w:r>
      <w:r>
        <w:t>о</w:t>
      </w:r>
      <w:r>
        <w:t>рядке были приняты меры, поощряющие равные возможности мужчин и же</w:t>
      </w:r>
      <w:r>
        <w:t>н</w:t>
      </w:r>
      <w:r>
        <w:t>щин баллотироваться в качестве кандидатов на выборах в государственные о</w:t>
      </w:r>
      <w:r>
        <w:t>р</w:t>
      </w:r>
      <w:r>
        <w:t>ганы и органы местного сам</w:t>
      </w:r>
      <w:r>
        <w:t>о</w:t>
      </w:r>
      <w:r>
        <w:t>управления.</w:t>
      </w:r>
    </w:p>
    <w:p w:rsidR="00000000" w:rsidRDefault="00000000">
      <w:pPr>
        <w:pStyle w:val="SingleTxt"/>
      </w:pPr>
      <w:r>
        <w:t>В новом Законе о равных возможностях для женщин и мужчин также с</w:t>
      </w:r>
      <w:r>
        <w:t>о</w:t>
      </w:r>
      <w:r>
        <w:t>держатся положения, касающиеся участия женщин в политической и общес</w:t>
      </w:r>
      <w:r>
        <w:t>т</w:t>
      </w:r>
      <w:r>
        <w:t>венной жизни. Статья 31, в частности, обязывает политические партии регис</w:t>
      </w:r>
      <w:r>
        <w:t>т</w:t>
      </w:r>
      <w:r>
        <w:t>рироваться в списке партий. Каждые четыре года партии должны принимать план с указанием позиции по вопросу сбалансированной представленности женщин и мужчин и в соответствии с этой позицией определять методы и меры содействия достижению более справедливой представленности мужчин и же</w:t>
      </w:r>
      <w:r>
        <w:t>н</w:t>
      </w:r>
      <w:r>
        <w:t>щин в органах партии, списках кандидатов на выборах в Государственное со</w:t>
      </w:r>
      <w:r>
        <w:t>б</w:t>
      </w:r>
      <w:r>
        <w:t>рание и органы местного самоуправления, а также на выборах президента Ре</w:t>
      </w:r>
      <w:r>
        <w:t>с</w:t>
      </w:r>
      <w:r>
        <w:t>публики. Политические партии должны представлять эти планы Управлению по вопросам равных возможностей в течение трех месяцев после их принятия. Та или иная политическая партия, которая не представляет такого плана, нак</w:t>
      </w:r>
      <w:r>
        <w:t>а</w:t>
      </w:r>
      <w:r>
        <w:t>зывается за такое н</w:t>
      </w:r>
      <w:r>
        <w:t>а</w:t>
      </w:r>
      <w:r>
        <w:t>рушение штрафом.</w:t>
      </w:r>
    </w:p>
    <w:p w:rsidR="00000000" w:rsidRDefault="00000000">
      <w:pPr>
        <w:pStyle w:val="SingleTxt"/>
      </w:pPr>
      <w:r>
        <w:t>Кроме того, в Законе о равных возможностях для женщин и мужчин с</w:t>
      </w:r>
      <w:r>
        <w:t>о</w:t>
      </w:r>
      <w:r>
        <w:t>держатся два положения, касающиеся представленности женщин и мужчин в рабочих и других органах Государственного собрания, в правительстве и мин</w:t>
      </w:r>
      <w:r>
        <w:t>и</w:t>
      </w:r>
      <w:r>
        <w:t>стерствах. В статье 10 этого Закона говорится, что Государственное собрание, исходя из фактических возможностей, должно в максимально возможной ст</w:t>
      </w:r>
      <w:r>
        <w:t>е</w:t>
      </w:r>
      <w:r>
        <w:t>пени соблюдать принцип равной в гендерном отношении представленности при формировании рабочих органов и состава делегаций в соответствии со своим уставом. Та же самая обязанность возлагается на правительство, которое дол</w:t>
      </w:r>
      <w:r>
        <w:t>ж</w:t>
      </w:r>
      <w:r>
        <w:t>но соблюдать принцип сбалансированной в гендерном отношении предста</w:t>
      </w:r>
      <w:r>
        <w:t>в</w:t>
      </w:r>
      <w:r>
        <w:t>ленности при формировании консультативных и координационных органов, других рабочих органов и состава делегаций согласно Закону Республики Сл</w:t>
      </w:r>
      <w:r>
        <w:t>о</w:t>
      </w:r>
      <w:r>
        <w:t>вении о деятельности правительства и уставу правительства. Этот же принцип должен применяться в процессе назначения представителей правительства в государственные предприятия и другие государственные органы, если только это не представляется возможным по объективным причинам (статья 14). Этот принцип должны соблюдать также министерства в процессе формирования с</w:t>
      </w:r>
      <w:r>
        <w:t>о</w:t>
      </w:r>
      <w:r>
        <w:t>ветов экспертов.</w:t>
      </w:r>
    </w:p>
    <w:p w:rsidR="00000000" w:rsidRDefault="00000000">
      <w:pPr>
        <w:pStyle w:val="H23"/>
      </w:pPr>
      <w:r>
        <w:t xml:space="preserve">1. </w:t>
      </w:r>
      <w:r>
        <w:rPr>
          <w:lang w:val="en-US"/>
        </w:rPr>
        <w:tab/>
      </w:r>
      <w:r>
        <w:t>Женщины в политических партиях</w:t>
      </w:r>
    </w:p>
    <w:p w:rsidR="00000000" w:rsidRDefault="00000000">
      <w:pPr>
        <w:pStyle w:val="SingleTxt"/>
      </w:pPr>
      <w:r>
        <w:t>Доля женщин в составе Государственного собрания Республики Словении в результате выборов в 1992 году составила 13,3%, в 1996 году – всего лишь 7,8%, а в 2000 году эта доля опять возросла до 13,3%. Такая же статистика х</w:t>
      </w:r>
      <w:r>
        <w:t>а</w:t>
      </w:r>
      <w:r>
        <w:t>рактеризует динамику представленности женщин в Государственном совете. На выборах в Государственный совет Республики Словении в 1992 году в его с</w:t>
      </w:r>
      <w:r>
        <w:t>о</w:t>
      </w:r>
      <w:r>
        <w:t>став, насчитывающий 40 членов, была избрана одна женщина, а в 1997 году было избрано 5 женщин.</w:t>
      </w:r>
    </w:p>
    <w:p w:rsidR="00000000" w:rsidRDefault="00000000">
      <w:pPr>
        <w:pStyle w:val="SingleTxt"/>
        <w:keepNext/>
        <w:ind w:firstLine="0"/>
        <w:jc w:val="left"/>
        <w:rPr>
          <w:b/>
        </w:rPr>
      </w:pPr>
      <w:r>
        <w:rPr>
          <w:b/>
        </w:rPr>
        <w:t xml:space="preserve">Таблица 3: Результаты голосования, количество полученных мест </w:t>
      </w:r>
      <w:r>
        <w:rPr>
          <w:b/>
        </w:rPr>
        <w:br/>
        <w:t xml:space="preserve">и доля женщин, избранных членами Государственного собрания, </w:t>
      </w:r>
      <w:r>
        <w:rPr>
          <w:b/>
        </w:rPr>
        <w:br/>
        <w:t>в разбивке по па</w:t>
      </w:r>
      <w:r>
        <w:rPr>
          <w:b/>
        </w:rPr>
        <w:t>р</w:t>
      </w:r>
      <w:r>
        <w:rPr>
          <w:b/>
        </w:rPr>
        <w:t>тийной принадлежности на выборах 2000 года</w:t>
      </w:r>
    </w:p>
    <w:tbl>
      <w:tblPr>
        <w:tblW w:w="0" w:type="auto"/>
        <w:tblInd w:w="1278" w:type="dxa"/>
        <w:tblLayout w:type="fixed"/>
        <w:tblCellMar>
          <w:left w:w="28" w:type="dxa"/>
          <w:right w:w="28" w:type="dxa"/>
        </w:tblCellMar>
        <w:tblLook w:val="0000" w:firstRow="0" w:lastRow="0" w:firstColumn="0" w:lastColumn="0" w:noHBand="0" w:noVBand="0"/>
      </w:tblPr>
      <w:tblGrid>
        <w:gridCol w:w="2552"/>
        <w:gridCol w:w="1204"/>
        <w:gridCol w:w="1205"/>
        <w:gridCol w:w="1205"/>
        <w:gridCol w:w="1205"/>
      </w:tblGrid>
      <w:tr w:rsidR="00000000">
        <w:tblPrEx>
          <w:tblCellMar>
            <w:top w:w="0" w:type="dxa"/>
            <w:bottom w:w="0" w:type="dxa"/>
          </w:tblCellMar>
        </w:tblPrEx>
        <w:trPr>
          <w:cantSplit/>
          <w:tblHeader/>
        </w:trPr>
        <w:tc>
          <w:tcPr>
            <w:tcW w:w="2552" w:type="dxa"/>
            <w:vMerge w:val="restart"/>
            <w:tcBorders>
              <w:top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Партия</w:t>
            </w:r>
          </w:p>
        </w:tc>
        <w:tc>
          <w:tcPr>
            <w:tcW w:w="4819" w:type="dxa"/>
            <w:gridSpan w:val="4"/>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Результаты выборов</w:t>
            </w:r>
          </w:p>
        </w:tc>
      </w:tr>
      <w:tr w:rsidR="00000000">
        <w:tblPrEx>
          <w:tblCellMar>
            <w:top w:w="0" w:type="dxa"/>
            <w:bottom w:w="0" w:type="dxa"/>
          </w:tblCellMar>
        </w:tblPrEx>
        <w:trPr>
          <w:cantSplit/>
          <w:tblHeader/>
        </w:trPr>
        <w:tc>
          <w:tcPr>
            <w:tcW w:w="2552" w:type="dxa"/>
            <w:vMerge/>
            <w:tcBorders>
              <w:bottom w:val="single" w:sz="12" w:space="0" w:color="auto"/>
            </w:tcBorders>
            <w:vAlign w:val="center"/>
          </w:tcPr>
          <w:p w:rsidR="00000000" w:rsidRDefault="00000000">
            <w:pPr>
              <w:pStyle w:val="SingleTxt"/>
              <w:spacing w:before="40" w:after="40" w:line="240" w:lineRule="auto"/>
              <w:ind w:left="0" w:right="0" w:firstLine="0"/>
              <w:jc w:val="center"/>
              <w:rPr>
                <w:i/>
                <w:sz w:val="17"/>
              </w:rPr>
            </w:pPr>
          </w:p>
        </w:tc>
        <w:tc>
          <w:tcPr>
            <w:tcW w:w="1204"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Количество полученных гол</w:t>
            </w:r>
            <w:r>
              <w:rPr>
                <w:i/>
                <w:sz w:val="17"/>
              </w:rPr>
              <w:t>о</w:t>
            </w:r>
            <w:r>
              <w:rPr>
                <w:i/>
                <w:sz w:val="17"/>
              </w:rPr>
              <w:t>сов в %</w:t>
            </w:r>
          </w:p>
        </w:tc>
        <w:tc>
          <w:tcPr>
            <w:tcW w:w="1205"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Количество полученных мест</w:t>
            </w:r>
          </w:p>
        </w:tc>
        <w:tc>
          <w:tcPr>
            <w:tcW w:w="1205"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 xml:space="preserve">Число </w:t>
            </w:r>
            <w:r>
              <w:rPr>
                <w:i/>
                <w:sz w:val="17"/>
                <w:lang w:val="en-US"/>
              </w:rPr>
              <w:br/>
            </w:r>
            <w:r>
              <w:rPr>
                <w:i/>
                <w:sz w:val="17"/>
              </w:rPr>
              <w:t>же</w:t>
            </w:r>
            <w:r>
              <w:rPr>
                <w:i/>
                <w:sz w:val="17"/>
              </w:rPr>
              <w:t>н</w:t>
            </w:r>
            <w:r>
              <w:rPr>
                <w:i/>
                <w:sz w:val="17"/>
              </w:rPr>
              <w:t>щин</w:t>
            </w:r>
          </w:p>
        </w:tc>
        <w:tc>
          <w:tcPr>
            <w:tcW w:w="1205"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Доля женщин в %</w:t>
            </w:r>
          </w:p>
        </w:tc>
      </w:tr>
      <w:tr w:rsidR="00000000">
        <w:tblPrEx>
          <w:tblCellMar>
            <w:top w:w="0" w:type="dxa"/>
            <w:bottom w:w="0" w:type="dxa"/>
          </w:tblCellMar>
        </w:tblPrEx>
        <w:tc>
          <w:tcPr>
            <w:tcW w:w="2552" w:type="dxa"/>
            <w:tcBorders>
              <w:top w:val="single" w:sz="12" w:space="0" w:color="auto"/>
            </w:tcBorders>
          </w:tcPr>
          <w:p w:rsidR="00000000" w:rsidRDefault="00000000">
            <w:pPr>
              <w:pStyle w:val="SingleTxt"/>
              <w:spacing w:before="40" w:after="40" w:line="240" w:lineRule="auto"/>
              <w:ind w:left="0" w:right="0" w:firstLine="0"/>
              <w:jc w:val="left"/>
              <w:rPr>
                <w:sz w:val="17"/>
              </w:rPr>
            </w:pPr>
            <w:r>
              <w:rPr>
                <w:sz w:val="17"/>
              </w:rPr>
              <w:t>Либерально-демократическая партия Сл</w:t>
            </w:r>
            <w:r>
              <w:rPr>
                <w:sz w:val="17"/>
              </w:rPr>
              <w:t>о</w:t>
            </w:r>
            <w:r>
              <w:rPr>
                <w:sz w:val="17"/>
              </w:rPr>
              <w:t>вении ЛДП</w:t>
            </w:r>
          </w:p>
        </w:tc>
        <w:tc>
          <w:tcPr>
            <w:tcW w:w="120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36,21</w:t>
            </w:r>
          </w:p>
        </w:tc>
        <w:tc>
          <w:tcPr>
            <w:tcW w:w="120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34</w:t>
            </w:r>
          </w:p>
        </w:tc>
        <w:tc>
          <w:tcPr>
            <w:tcW w:w="120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w:t>
            </w:r>
          </w:p>
        </w:tc>
        <w:tc>
          <w:tcPr>
            <w:tcW w:w="120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14,7</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Социал-демократическая па</w:t>
            </w:r>
            <w:r>
              <w:rPr>
                <w:sz w:val="17"/>
              </w:rPr>
              <w:t>р</w:t>
            </w:r>
            <w:r>
              <w:rPr>
                <w:sz w:val="17"/>
              </w:rPr>
              <w:t>тия Слов</w:t>
            </w:r>
            <w:r>
              <w:rPr>
                <w:sz w:val="17"/>
              </w:rPr>
              <w:t>е</w:t>
            </w:r>
            <w:r>
              <w:rPr>
                <w:sz w:val="17"/>
              </w:rPr>
              <w:t>нии СДПС</w:t>
            </w:r>
          </w:p>
        </w:tc>
        <w:tc>
          <w:tcPr>
            <w:tcW w:w="120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15,80</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14</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0</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0</w:t>
            </w:r>
          </w:p>
        </w:tc>
      </w:tr>
      <w:tr w:rsidR="00000000">
        <w:tblPrEx>
          <w:tblCellMar>
            <w:top w:w="0" w:type="dxa"/>
            <w:bottom w:w="0" w:type="dxa"/>
          </w:tblCellMar>
        </w:tblPrEx>
        <w:tc>
          <w:tcPr>
            <w:tcW w:w="2552" w:type="dxa"/>
          </w:tcPr>
          <w:p w:rsidR="00000000" w:rsidRDefault="00000000">
            <w:pPr>
              <w:pStyle w:val="SingleTxt"/>
              <w:keepNext/>
              <w:spacing w:before="40" w:after="40" w:line="240" w:lineRule="auto"/>
              <w:ind w:left="0" w:right="0" w:firstLine="0"/>
              <w:jc w:val="left"/>
              <w:rPr>
                <w:sz w:val="17"/>
              </w:rPr>
            </w:pPr>
            <w:r>
              <w:rPr>
                <w:sz w:val="17"/>
              </w:rPr>
              <w:t>Единый список соц</w:t>
            </w:r>
            <w:r>
              <w:rPr>
                <w:sz w:val="17"/>
              </w:rPr>
              <w:t>и</w:t>
            </w:r>
            <w:r>
              <w:rPr>
                <w:sz w:val="17"/>
              </w:rPr>
              <w:t>ал-демократов ЕССД</w:t>
            </w:r>
          </w:p>
        </w:tc>
        <w:tc>
          <w:tcPr>
            <w:tcW w:w="120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12,07</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11</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27,2</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Словенская народная партия СНП</w:t>
            </w:r>
          </w:p>
        </w:tc>
        <w:tc>
          <w:tcPr>
            <w:tcW w:w="120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9,53</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9</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0</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0</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Новая Словения НС</w:t>
            </w:r>
          </w:p>
        </w:tc>
        <w:tc>
          <w:tcPr>
            <w:tcW w:w="120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8,76</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8</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25,0</w:t>
            </w:r>
          </w:p>
        </w:tc>
      </w:tr>
      <w:tr w:rsidR="00000000">
        <w:tblPrEx>
          <w:tblCellMar>
            <w:top w:w="0" w:type="dxa"/>
            <w:bottom w:w="0" w:type="dxa"/>
          </w:tblCellMar>
        </w:tblPrEx>
        <w:tc>
          <w:tcPr>
            <w:tcW w:w="2552" w:type="dxa"/>
          </w:tcPr>
          <w:p w:rsidR="00000000" w:rsidRDefault="00000000">
            <w:pPr>
              <w:pStyle w:val="SingleTxt"/>
              <w:keepNext/>
              <w:spacing w:before="40" w:after="40" w:line="240" w:lineRule="auto"/>
              <w:ind w:left="0" w:right="0" w:firstLine="0"/>
              <w:jc w:val="left"/>
              <w:rPr>
                <w:sz w:val="17"/>
              </w:rPr>
            </w:pPr>
            <w:r>
              <w:rPr>
                <w:sz w:val="17"/>
              </w:rPr>
              <w:t>Демократическая партия пе</w:t>
            </w:r>
            <w:r>
              <w:rPr>
                <w:sz w:val="17"/>
              </w:rPr>
              <w:t>н</w:t>
            </w:r>
            <w:r>
              <w:rPr>
                <w:sz w:val="17"/>
              </w:rPr>
              <w:t>сионеров Сл</w:t>
            </w:r>
            <w:r>
              <w:rPr>
                <w:sz w:val="17"/>
              </w:rPr>
              <w:t>о</w:t>
            </w:r>
            <w:r>
              <w:rPr>
                <w:sz w:val="17"/>
              </w:rPr>
              <w:t>вении ДППС</w:t>
            </w:r>
          </w:p>
        </w:tc>
        <w:tc>
          <w:tcPr>
            <w:tcW w:w="120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5,16</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0</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0</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Словенская национальная па</w:t>
            </w:r>
            <w:r>
              <w:rPr>
                <w:sz w:val="17"/>
              </w:rPr>
              <w:t>р</w:t>
            </w:r>
            <w:r>
              <w:rPr>
                <w:sz w:val="17"/>
              </w:rPr>
              <w:t>тия СНП</w:t>
            </w:r>
          </w:p>
        </w:tc>
        <w:tc>
          <w:tcPr>
            <w:tcW w:w="120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4,38</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25,0</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Партия молодежи Словении ПМС</w:t>
            </w:r>
          </w:p>
        </w:tc>
        <w:tc>
          <w:tcPr>
            <w:tcW w:w="120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4,33</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0</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0</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Представители национальных мен</w:t>
            </w:r>
            <w:r>
              <w:rPr>
                <w:sz w:val="17"/>
              </w:rPr>
              <w:t>ь</w:t>
            </w:r>
            <w:r>
              <w:rPr>
                <w:sz w:val="17"/>
              </w:rPr>
              <w:t>шинств</w:t>
            </w:r>
          </w:p>
        </w:tc>
        <w:tc>
          <w:tcPr>
            <w:tcW w:w="120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w:t>
            </w:r>
          </w:p>
        </w:tc>
        <w:tc>
          <w:tcPr>
            <w:tcW w:w="120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50,0</w:t>
            </w:r>
          </w:p>
        </w:tc>
      </w:tr>
      <w:tr w:rsidR="00000000">
        <w:tblPrEx>
          <w:tblCellMar>
            <w:top w:w="0" w:type="dxa"/>
            <w:bottom w:w="0" w:type="dxa"/>
          </w:tblCellMar>
        </w:tblPrEx>
        <w:tc>
          <w:tcPr>
            <w:tcW w:w="2552" w:type="dxa"/>
            <w:tcBorders>
              <w:bottom w:val="single" w:sz="12" w:space="0" w:color="auto"/>
            </w:tcBorders>
          </w:tcPr>
          <w:p w:rsidR="00000000" w:rsidRDefault="00000000">
            <w:pPr>
              <w:pStyle w:val="SingleTxt"/>
              <w:spacing w:before="40" w:after="40" w:line="240" w:lineRule="auto"/>
              <w:ind w:left="0" w:right="0" w:firstLine="0"/>
              <w:jc w:val="left"/>
              <w:rPr>
                <w:sz w:val="17"/>
              </w:rPr>
            </w:pPr>
            <w:r>
              <w:rPr>
                <w:sz w:val="17"/>
              </w:rPr>
              <w:t>ВСЕГО</w:t>
            </w:r>
          </w:p>
        </w:tc>
        <w:tc>
          <w:tcPr>
            <w:tcW w:w="120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w:t>
            </w:r>
          </w:p>
        </w:tc>
        <w:tc>
          <w:tcPr>
            <w:tcW w:w="120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90</w:t>
            </w:r>
          </w:p>
        </w:tc>
        <w:tc>
          <w:tcPr>
            <w:tcW w:w="120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12</w:t>
            </w:r>
          </w:p>
        </w:tc>
        <w:tc>
          <w:tcPr>
            <w:tcW w:w="120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13,3</w:t>
            </w:r>
          </w:p>
        </w:tc>
      </w:tr>
    </w:tbl>
    <w:p w:rsidR="00000000" w:rsidRDefault="00000000">
      <w:pPr>
        <w:pStyle w:val="SingleTxt"/>
        <w:ind w:firstLine="0"/>
      </w:pPr>
      <w:r>
        <w:rPr>
          <w:i/>
        </w:rPr>
        <w:t>Источник</w:t>
      </w:r>
      <w:r>
        <w:t>: Управление по вопросам равных возможностей – данные об избр</w:t>
      </w:r>
      <w:r>
        <w:t>а</w:t>
      </w:r>
      <w:r>
        <w:t>нии женщин были заимствованы из официальных данных Комиссии по выб</w:t>
      </w:r>
      <w:r>
        <w:t>о</w:t>
      </w:r>
      <w:r>
        <w:t>рам Республики Словении.</w:t>
      </w:r>
    </w:p>
    <w:p w:rsidR="00000000" w:rsidRDefault="00000000">
      <w:pPr>
        <w:pStyle w:val="SingleTxt"/>
      </w:pPr>
      <w:r>
        <w:t>Доля женщин в партийных списках кандидатов в депутаты Государстве</w:t>
      </w:r>
      <w:r>
        <w:t>н</w:t>
      </w:r>
      <w:r>
        <w:t>ного собрания постепенно возрастает: в 1992 году она составляла 16%, а в 2000 году – 23,5%.</w:t>
      </w:r>
    </w:p>
    <w:p w:rsidR="00000000" w:rsidRDefault="00000000">
      <w:pPr>
        <w:pStyle w:val="SingleTxt"/>
        <w:keepNext/>
        <w:ind w:firstLine="0"/>
        <w:jc w:val="left"/>
        <w:rPr>
          <w:b/>
        </w:rPr>
      </w:pPr>
      <w:r>
        <w:rPr>
          <w:b/>
        </w:rPr>
        <w:t xml:space="preserve">Таблица 4: Доля женщин в списках кандидатов всех партий, которые </w:t>
      </w:r>
      <w:r>
        <w:rPr>
          <w:b/>
        </w:rPr>
        <w:br/>
        <w:t>баллотировались в депутаты Государс</w:t>
      </w:r>
      <w:r>
        <w:rPr>
          <w:b/>
        </w:rPr>
        <w:t>т</w:t>
      </w:r>
      <w:r>
        <w:rPr>
          <w:b/>
        </w:rPr>
        <w:t xml:space="preserve">венного собрания </w:t>
      </w:r>
      <w:r>
        <w:rPr>
          <w:b/>
        </w:rPr>
        <w:br/>
        <w:t>на выборах 2000 года</w:t>
      </w:r>
    </w:p>
    <w:tbl>
      <w:tblPr>
        <w:tblW w:w="0" w:type="auto"/>
        <w:tblInd w:w="1278" w:type="dxa"/>
        <w:tblLayout w:type="fixed"/>
        <w:tblCellMar>
          <w:left w:w="28" w:type="dxa"/>
          <w:right w:w="28" w:type="dxa"/>
        </w:tblCellMar>
        <w:tblLook w:val="0000" w:firstRow="0" w:lastRow="0" w:firstColumn="0" w:lastColumn="0" w:noHBand="0" w:noVBand="0"/>
      </w:tblPr>
      <w:tblGrid>
        <w:gridCol w:w="2552"/>
        <w:gridCol w:w="1606"/>
        <w:gridCol w:w="1606"/>
        <w:gridCol w:w="1607"/>
      </w:tblGrid>
      <w:tr w:rsidR="00000000">
        <w:tblPrEx>
          <w:tblCellMar>
            <w:top w:w="0" w:type="dxa"/>
            <w:bottom w:w="0" w:type="dxa"/>
          </w:tblCellMar>
        </w:tblPrEx>
        <w:trPr>
          <w:cantSplit/>
          <w:tblHeader/>
        </w:trPr>
        <w:tc>
          <w:tcPr>
            <w:tcW w:w="2552" w:type="dxa"/>
            <w:vMerge w:val="restart"/>
            <w:tcBorders>
              <w:top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Партия</w:t>
            </w:r>
          </w:p>
        </w:tc>
        <w:tc>
          <w:tcPr>
            <w:tcW w:w="4819" w:type="dxa"/>
            <w:gridSpan w:val="3"/>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Кандидаты</w:t>
            </w:r>
          </w:p>
        </w:tc>
      </w:tr>
      <w:tr w:rsidR="00000000">
        <w:tblPrEx>
          <w:tblCellMar>
            <w:top w:w="0" w:type="dxa"/>
            <w:bottom w:w="0" w:type="dxa"/>
          </w:tblCellMar>
        </w:tblPrEx>
        <w:trPr>
          <w:cantSplit/>
          <w:tblHeader/>
        </w:trPr>
        <w:tc>
          <w:tcPr>
            <w:tcW w:w="2552" w:type="dxa"/>
            <w:vMerge/>
            <w:tcBorders>
              <w:bottom w:val="single" w:sz="12" w:space="0" w:color="auto"/>
            </w:tcBorders>
            <w:vAlign w:val="center"/>
          </w:tcPr>
          <w:p w:rsidR="00000000" w:rsidRDefault="00000000">
            <w:pPr>
              <w:pStyle w:val="SingleTxt"/>
              <w:spacing w:before="40" w:after="40" w:line="240" w:lineRule="auto"/>
              <w:ind w:left="0" w:right="0" w:firstLine="0"/>
              <w:jc w:val="center"/>
              <w:rPr>
                <w:i/>
                <w:sz w:val="17"/>
              </w:rPr>
            </w:pPr>
          </w:p>
        </w:tc>
        <w:tc>
          <w:tcPr>
            <w:tcW w:w="1606"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Общее число</w:t>
            </w:r>
          </w:p>
        </w:tc>
        <w:tc>
          <w:tcPr>
            <w:tcW w:w="1606"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Число женщин</w:t>
            </w:r>
          </w:p>
        </w:tc>
        <w:tc>
          <w:tcPr>
            <w:tcW w:w="1607"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Доля же</w:t>
            </w:r>
            <w:r>
              <w:rPr>
                <w:i/>
                <w:sz w:val="17"/>
              </w:rPr>
              <w:t>н</w:t>
            </w:r>
            <w:r>
              <w:rPr>
                <w:i/>
                <w:sz w:val="17"/>
              </w:rPr>
              <w:t>щин в %</w:t>
            </w:r>
          </w:p>
        </w:tc>
      </w:tr>
      <w:tr w:rsidR="00000000">
        <w:tblPrEx>
          <w:tblCellMar>
            <w:top w:w="0" w:type="dxa"/>
            <w:bottom w:w="0" w:type="dxa"/>
          </w:tblCellMar>
        </w:tblPrEx>
        <w:tc>
          <w:tcPr>
            <w:tcW w:w="2552" w:type="dxa"/>
            <w:tcBorders>
              <w:top w:val="single" w:sz="12" w:space="0" w:color="auto"/>
            </w:tcBorders>
          </w:tcPr>
          <w:p w:rsidR="00000000" w:rsidRDefault="00000000">
            <w:pPr>
              <w:pStyle w:val="SingleTxt"/>
              <w:spacing w:before="40" w:after="40" w:line="240" w:lineRule="auto"/>
              <w:ind w:left="0" w:right="0" w:firstLine="0"/>
              <w:jc w:val="left"/>
              <w:rPr>
                <w:sz w:val="17"/>
              </w:rPr>
            </w:pPr>
            <w:r>
              <w:rPr>
                <w:sz w:val="17"/>
              </w:rPr>
              <w:t>Единая партия «з</w:t>
            </w:r>
            <w:r>
              <w:rPr>
                <w:sz w:val="17"/>
              </w:rPr>
              <w:t>е</w:t>
            </w:r>
            <w:r>
              <w:rPr>
                <w:sz w:val="17"/>
              </w:rPr>
              <w:t>леных»</w:t>
            </w:r>
          </w:p>
        </w:tc>
        <w:tc>
          <w:tcPr>
            <w:tcW w:w="160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68</w:t>
            </w:r>
          </w:p>
        </w:tc>
        <w:tc>
          <w:tcPr>
            <w:tcW w:w="160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10</w:t>
            </w:r>
          </w:p>
        </w:tc>
        <w:tc>
          <w:tcPr>
            <w:tcW w:w="160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14,7</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Либерально-демократическая партия Слов</w:t>
            </w:r>
            <w:r>
              <w:rPr>
                <w:sz w:val="17"/>
              </w:rPr>
              <w:t>е</w:t>
            </w:r>
            <w:r>
              <w:rPr>
                <w:sz w:val="17"/>
              </w:rPr>
              <w:t>нии ЛДП</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83</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21</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25,3</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Дем</w:t>
            </w:r>
            <w:r>
              <w:rPr>
                <w:sz w:val="17"/>
              </w:rPr>
              <w:t>о</w:t>
            </w:r>
            <w:r>
              <w:rPr>
                <w:sz w:val="17"/>
              </w:rPr>
              <w:t>кратическая партия ДП</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77</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11</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14,2</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Новая партия НОВА</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64</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44</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68,7</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Партия демократических де</w:t>
            </w:r>
            <w:r>
              <w:rPr>
                <w:sz w:val="17"/>
              </w:rPr>
              <w:t>й</w:t>
            </w:r>
            <w:r>
              <w:rPr>
                <w:sz w:val="17"/>
              </w:rPr>
              <w:t>ствий Сл</w:t>
            </w:r>
            <w:r>
              <w:rPr>
                <w:sz w:val="17"/>
              </w:rPr>
              <w:t>о</w:t>
            </w:r>
            <w:r>
              <w:rPr>
                <w:sz w:val="17"/>
              </w:rPr>
              <w:t>вении</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36</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3</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8,3</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Славянская национальная па</w:t>
            </w:r>
            <w:r>
              <w:rPr>
                <w:sz w:val="17"/>
              </w:rPr>
              <w:t>р</w:t>
            </w:r>
            <w:r>
              <w:rPr>
                <w:sz w:val="17"/>
              </w:rPr>
              <w:t>тия СНП</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59</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12</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20,3</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Единый список с</w:t>
            </w:r>
            <w:r>
              <w:rPr>
                <w:sz w:val="17"/>
              </w:rPr>
              <w:t>о</w:t>
            </w:r>
            <w:r>
              <w:rPr>
                <w:sz w:val="17"/>
              </w:rPr>
              <w:t>циал-демократов ЕССД</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87</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29</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33,3</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Партия молодежи Словении ПМС</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71</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13</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18,3</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Коммунистическая партия Словении КПС</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18</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3</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16,6</w:t>
            </w:r>
          </w:p>
        </w:tc>
      </w:tr>
      <w:tr w:rsidR="00000000">
        <w:tblPrEx>
          <w:tblCellMar>
            <w:top w:w="0" w:type="dxa"/>
            <w:bottom w:w="0" w:type="dxa"/>
          </w:tblCellMar>
        </w:tblPrEx>
        <w:tc>
          <w:tcPr>
            <w:tcW w:w="2552" w:type="dxa"/>
          </w:tcPr>
          <w:p w:rsidR="00000000" w:rsidRDefault="00000000">
            <w:pPr>
              <w:pStyle w:val="SingleTxt"/>
              <w:keepNext/>
              <w:spacing w:before="40" w:after="40" w:line="240" w:lineRule="auto"/>
              <w:ind w:left="0" w:right="0" w:firstLine="0"/>
              <w:jc w:val="left"/>
              <w:rPr>
                <w:sz w:val="17"/>
              </w:rPr>
            </w:pPr>
            <w:r>
              <w:rPr>
                <w:sz w:val="17"/>
              </w:rPr>
              <w:t>Социал-демократическая па</w:t>
            </w:r>
            <w:r>
              <w:rPr>
                <w:sz w:val="17"/>
              </w:rPr>
              <w:t>р</w:t>
            </w:r>
            <w:r>
              <w:rPr>
                <w:sz w:val="17"/>
              </w:rPr>
              <w:t>тия Слов</w:t>
            </w:r>
            <w:r>
              <w:rPr>
                <w:sz w:val="17"/>
              </w:rPr>
              <w:t>е</w:t>
            </w:r>
            <w:r>
              <w:rPr>
                <w:sz w:val="17"/>
              </w:rPr>
              <w:t>нии СДП</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86</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11</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12,7</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Новая Словения НС</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87</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14</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16,0</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Словенская народная партия СНП</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86</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11</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12,7</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Голос женщин Словении</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22</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22</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100,0</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Демократическая партия пе</w:t>
            </w:r>
            <w:r>
              <w:rPr>
                <w:sz w:val="17"/>
              </w:rPr>
              <w:t>н</w:t>
            </w:r>
            <w:r>
              <w:rPr>
                <w:sz w:val="17"/>
              </w:rPr>
              <w:t>сионеров ДПП</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88</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15</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17,0</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Вперед Словения</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42</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9</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21,4</w:t>
            </w: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Стае</w:t>
            </w:r>
            <w:r>
              <w:rPr>
                <w:sz w:val="17"/>
              </w:rPr>
              <w:t>р</w:t>
            </w:r>
            <w:r>
              <w:rPr>
                <w:sz w:val="17"/>
              </w:rPr>
              <w:t>ска сельская партия</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14</w:t>
            </w:r>
          </w:p>
        </w:tc>
        <w:tc>
          <w:tcPr>
            <w:tcW w:w="16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5</w:t>
            </w:r>
          </w:p>
        </w:tc>
        <w:tc>
          <w:tcPr>
            <w:tcW w:w="16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35,7</w:t>
            </w:r>
          </w:p>
        </w:tc>
      </w:tr>
      <w:tr w:rsidR="00000000">
        <w:tblPrEx>
          <w:tblCellMar>
            <w:top w:w="0" w:type="dxa"/>
            <w:bottom w:w="0" w:type="dxa"/>
          </w:tblCellMar>
        </w:tblPrEx>
        <w:tc>
          <w:tcPr>
            <w:tcW w:w="2552" w:type="dxa"/>
            <w:tcBorders>
              <w:bottom w:val="single" w:sz="6" w:space="0" w:color="auto"/>
            </w:tcBorders>
          </w:tcPr>
          <w:p w:rsidR="00000000" w:rsidRDefault="00000000">
            <w:pPr>
              <w:pStyle w:val="SingleTxt"/>
              <w:spacing w:before="40" w:after="40" w:line="240" w:lineRule="auto"/>
              <w:ind w:left="0" w:right="0" w:firstLine="0"/>
              <w:jc w:val="left"/>
              <w:rPr>
                <w:sz w:val="17"/>
              </w:rPr>
            </w:pPr>
            <w:r>
              <w:rPr>
                <w:sz w:val="17"/>
              </w:rPr>
              <w:t>Независимые кандидаты (о</w:t>
            </w:r>
            <w:r>
              <w:rPr>
                <w:sz w:val="17"/>
              </w:rPr>
              <w:t>д</w:t>
            </w:r>
            <w:r>
              <w:rPr>
                <w:sz w:val="17"/>
              </w:rPr>
              <w:t>ним сп</w:t>
            </w:r>
            <w:r>
              <w:rPr>
                <w:sz w:val="17"/>
              </w:rPr>
              <w:t>и</w:t>
            </w:r>
            <w:r>
              <w:rPr>
                <w:sz w:val="17"/>
              </w:rPr>
              <w:t>ском)</w:t>
            </w:r>
          </w:p>
        </w:tc>
        <w:tc>
          <w:tcPr>
            <w:tcW w:w="1606"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7</w:t>
            </w:r>
          </w:p>
        </w:tc>
        <w:tc>
          <w:tcPr>
            <w:tcW w:w="1606"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w:t>
            </w:r>
          </w:p>
        </w:tc>
        <w:tc>
          <w:tcPr>
            <w:tcW w:w="1607"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14,2</w:t>
            </w:r>
          </w:p>
        </w:tc>
      </w:tr>
      <w:tr w:rsidR="00000000">
        <w:tblPrEx>
          <w:tblCellMar>
            <w:top w:w="0" w:type="dxa"/>
            <w:bottom w:w="0" w:type="dxa"/>
          </w:tblCellMar>
        </w:tblPrEx>
        <w:tc>
          <w:tcPr>
            <w:tcW w:w="2552" w:type="dxa"/>
            <w:tcBorders>
              <w:top w:val="single" w:sz="6" w:space="0" w:color="auto"/>
              <w:bottom w:val="single" w:sz="6" w:space="0" w:color="auto"/>
            </w:tcBorders>
          </w:tcPr>
          <w:p w:rsidR="00000000" w:rsidRDefault="00000000">
            <w:pPr>
              <w:pStyle w:val="SingleTxt"/>
              <w:spacing w:before="40" w:after="40" w:line="240" w:lineRule="auto"/>
              <w:ind w:left="0" w:right="0" w:firstLine="0"/>
              <w:jc w:val="left"/>
              <w:rPr>
                <w:sz w:val="17"/>
              </w:rPr>
            </w:pPr>
            <w:r>
              <w:rPr>
                <w:sz w:val="17"/>
              </w:rPr>
              <w:t>ИТОГО</w:t>
            </w:r>
          </w:p>
        </w:tc>
        <w:tc>
          <w:tcPr>
            <w:tcW w:w="1606" w:type="dxa"/>
            <w:tcBorders>
              <w:top w:val="single" w:sz="6" w:space="0" w:color="auto"/>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995</w:t>
            </w:r>
          </w:p>
        </w:tc>
        <w:tc>
          <w:tcPr>
            <w:tcW w:w="1606" w:type="dxa"/>
            <w:tcBorders>
              <w:top w:val="single" w:sz="6" w:space="0" w:color="auto"/>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234</w:t>
            </w:r>
          </w:p>
        </w:tc>
        <w:tc>
          <w:tcPr>
            <w:tcW w:w="1607" w:type="dxa"/>
            <w:tcBorders>
              <w:top w:val="single" w:sz="6" w:space="0" w:color="auto"/>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23,5</w:t>
            </w:r>
          </w:p>
        </w:tc>
      </w:tr>
      <w:tr w:rsidR="00000000">
        <w:tblPrEx>
          <w:tblCellMar>
            <w:top w:w="0" w:type="dxa"/>
            <w:bottom w:w="0" w:type="dxa"/>
          </w:tblCellMar>
        </w:tblPrEx>
        <w:tc>
          <w:tcPr>
            <w:tcW w:w="2552" w:type="dxa"/>
            <w:tcBorders>
              <w:top w:val="single" w:sz="6" w:space="0" w:color="auto"/>
            </w:tcBorders>
          </w:tcPr>
          <w:p w:rsidR="00000000" w:rsidRDefault="00000000">
            <w:pPr>
              <w:pStyle w:val="SingleTxt"/>
              <w:spacing w:before="40" w:after="40" w:line="240" w:lineRule="auto"/>
              <w:ind w:left="0" w:right="0" w:firstLine="0"/>
              <w:jc w:val="left"/>
              <w:rPr>
                <w:sz w:val="17"/>
              </w:rPr>
            </w:pPr>
            <w:r>
              <w:rPr>
                <w:sz w:val="17"/>
              </w:rPr>
              <w:t>Итальянская о</w:t>
            </w:r>
            <w:r>
              <w:rPr>
                <w:sz w:val="17"/>
              </w:rPr>
              <w:t>б</w:t>
            </w:r>
            <w:r>
              <w:rPr>
                <w:sz w:val="17"/>
              </w:rPr>
              <w:t>щина</w:t>
            </w:r>
          </w:p>
        </w:tc>
        <w:tc>
          <w:tcPr>
            <w:tcW w:w="1606" w:type="dxa"/>
            <w:tcBorders>
              <w:top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w:t>
            </w:r>
          </w:p>
        </w:tc>
        <w:tc>
          <w:tcPr>
            <w:tcW w:w="1606" w:type="dxa"/>
            <w:tcBorders>
              <w:top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0</w:t>
            </w:r>
          </w:p>
        </w:tc>
        <w:tc>
          <w:tcPr>
            <w:tcW w:w="1607" w:type="dxa"/>
            <w:tcBorders>
              <w:top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0</w:t>
            </w:r>
          </w:p>
        </w:tc>
      </w:tr>
      <w:tr w:rsidR="00000000">
        <w:tblPrEx>
          <w:tblCellMar>
            <w:top w:w="0" w:type="dxa"/>
            <w:bottom w:w="0" w:type="dxa"/>
          </w:tblCellMar>
        </w:tblPrEx>
        <w:tc>
          <w:tcPr>
            <w:tcW w:w="2552" w:type="dxa"/>
            <w:tcBorders>
              <w:bottom w:val="single" w:sz="6" w:space="0" w:color="auto"/>
            </w:tcBorders>
          </w:tcPr>
          <w:p w:rsidR="00000000" w:rsidRDefault="00000000">
            <w:pPr>
              <w:pStyle w:val="SingleTxt"/>
              <w:spacing w:before="40" w:after="40" w:line="240" w:lineRule="auto"/>
              <w:ind w:left="0" w:right="0" w:firstLine="0"/>
              <w:jc w:val="left"/>
              <w:rPr>
                <w:sz w:val="17"/>
              </w:rPr>
            </w:pPr>
            <w:r>
              <w:rPr>
                <w:sz w:val="17"/>
              </w:rPr>
              <w:t>Венге</w:t>
            </w:r>
            <w:r>
              <w:rPr>
                <w:sz w:val="17"/>
              </w:rPr>
              <w:t>р</w:t>
            </w:r>
            <w:r>
              <w:rPr>
                <w:sz w:val="17"/>
              </w:rPr>
              <w:t>ская община</w:t>
            </w:r>
          </w:p>
        </w:tc>
        <w:tc>
          <w:tcPr>
            <w:tcW w:w="1606"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5</w:t>
            </w:r>
          </w:p>
        </w:tc>
        <w:tc>
          <w:tcPr>
            <w:tcW w:w="1606"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w:t>
            </w:r>
          </w:p>
        </w:tc>
        <w:tc>
          <w:tcPr>
            <w:tcW w:w="1607"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20,0</w:t>
            </w:r>
          </w:p>
        </w:tc>
      </w:tr>
      <w:tr w:rsidR="00000000">
        <w:tblPrEx>
          <w:tblCellMar>
            <w:top w:w="0" w:type="dxa"/>
            <w:bottom w:w="0" w:type="dxa"/>
          </w:tblCellMar>
        </w:tblPrEx>
        <w:tc>
          <w:tcPr>
            <w:tcW w:w="2552"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left"/>
              <w:rPr>
                <w:sz w:val="17"/>
              </w:rPr>
            </w:pPr>
            <w:r>
              <w:rPr>
                <w:sz w:val="17"/>
              </w:rPr>
              <w:t>ВСЕГО</w:t>
            </w:r>
          </w:p>
        </w:tc>
        <w:tc>
          <w:tcPr>
            <w:tcW w:w="1606"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1001</w:t>
            </w:r>
          </w:p>
        </w:tc>
        <w:tc>
          <w:tcPr>
            <w:tcW w:w="1606"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235</w:t>
            </w:r>
          </w:p>
        </w:tc>
        <w:tc>
          <w:tcPr>
            <w:tcW w:w="1607"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22"/>
              </w:tabs>
              <w:spacing w:before="40" w:after="40" w:line="240" w:lineRule="auto"/>
              <w:ind w:left="0" w:right="0" w:firstLine="0"/>
              <w:jc w:val="left"/>
              <w:rPr>
                <w:sz w:val="17"/>
              </w:rPr>
            </w:pPr>
            <w:r>
              <w:rPr>
                <w:sz w:val="17"/>
              </w:rPr>
              <w:t>23,4</w:t>
            </w:r>
          </w:p>
        </w:tc>
      </w:tr>
    </w:tbl>
    <w:p w:rsidR="00000000" w:rsidRDefault="00000000">
      <w:pPr>
        <w:pStyle w:val="SingleTxt"/>
        <w:ind w:firstLine="0"/>
      </w:pPr>
      <w:r>
        <w:rPr>
          <w:i/>
        </w:rPr>
        <w:t>Источник</w:t>
      </w:r>
      <w:r>
        <w:t>: Управление по вопросам равных возможностей – данные о кандид</w:t>
      </w:r>
      <w:r>
        <w:t>а</w:t>
      </w:r>
      <w:r>
        <w:t>тах заимствованы из официального бюллетеня, содержащего списки утве</w:t>
      </w:r>
      <w:r>
        <w:t>р</w:t>
      </w:r>
      <w:r>
        <w:t>жденных кандидатов, «Дневник» 30.9.2000</w:t>
      </w:r>
    </w:p>
    <w:p w:rsidR="00000000" w:rsidRDefault="00000000">
      <w:pPr>
        <w:pStyle w:val="SingleTxt"/>
      </w:pPr>
      <w:r>
        <w:t>Женщины недостаточно представлены также на местном уровне: на выб</w:t>
      </w:r>
      <w:r>
        <w:t>о</w:t>
      </w:r>
      <w:r>
        <w:t>рах в органы местного самоуправления в 1994 году доля женщин среди избра</w:t>
      </w:r>
      <w:r>
        <w:t>н</w:t>
      </w:r>
      <w:r>
        <w:t>ных членов местных советов и муниципальных советов составила 10,7%, м</w:t>
      </w:r>
      <w:r>
        <w:t>э</w:t>
      </w:r>
      <w:r>
        <w:t>рами были выбраны 5 женщин (3,4%), а на выборах в органы местного сам</w:t>
      </w:r>
      <w:r>
        <w:t>о</w:t>
      </w:r>
      <w:r>
        <w:t>управления в 1998 году доля женщин, избранных членами местных советов, составила 11,7%, и 8 женщин (4,2%) были избраны м</w:t>
      </w:r>
      <w:r>
        <w:t>э</w:t>
      </w:r>
      <w:r>
        <w:t>рами.</w:t>
      </w:r>
    </w:p>
    <w:p w:rsidR="00000000" w:rsidRDefault="00000000">
      <w:pPr>
        <w:pStyle w:val="H23"/>
      </w:pPr>
      <w:r>
        <w:t xml:space="preserve">2. </w:t>
      </w:r>
      <w:r>
        <w:rPr>
          <w:lang w:val="en-US"/>
        </w:rPr>
        <w:tab/>
      </w:r>
      <w:r>
        <w:t>Женщины в правительстве</w:t>
      </w:r>
    </w:p>
    <w:p w:rsidR="00000000" w:rsidRDefault="00000000">
      <w:pPr>
        <w:pStyle w:val="SingleTxt"/>
      </w:pPr>
      <w:r>
        <w:t>В составе правительства Республики Словении доля женщин также нев</w:t>
      </w:r>
      <w:r>
        <w:t>е</w:t>
      </w:r>
      <w:r>
        <w:t>лика. В 1992 году министрами были назначены две женщины, в 1996 – ни о</w:t>
      </w:r>
      <w:r>
        <w:t>д</w:t>
      </w:r>
      <w:r>
        <w:t>ной (за исключением случая, когда на протяжении четырех месяцев до новых парламентских выборов одна женщина занимала пост министра в правительс</w:t>
      </w:r>
      <w:r>
        <w:t>т</w:t>
      </w:r>
      <w:r>
        <w:t>ве), а после выборов 2000 года министрами правительства были назначены три женщины (20%). Доля женщин, занимающих посты должностных лиц в прав</w:t>
      </w:r>
      <w:r>
        <w:t>и</w:t>
      </w:r>
      <w:r>
        <w:t>тельстве, составляет 19%, а 51% женщин занимают старшие руководящие должности. Несмотря на то, что на старших административных должностях доля женщин превышает долю мужчин, на высших должностях доля женщин весьма невелика, например, на должности генерального секретаря – 29%, з</w:t>
      </w:r>
      <w:r>
        <w:t>а</w:t>
      </w:r>
      <w:r>
        <w:t>местителя государственного секретаря – 37%. Такая же низкая представле</w:t>
      </w:r>
      <w:r>
        <w:t>н</w:t>
      </w:r>
      <w:r>
        <w:t>ность женщин наблюдается в составах комиссий и других рабочих органов правительства Республики Словении. В состав 40 комиссий правительства в</w:t>
      </w:r>
      <w:r>
        <w:t>о</w:t>
      </w:r>
      <w:r>
        <w:t>шли в общей сложности 462 члена, из которых 159 или 34,5% – женщины.</w:t>
      </w:r>
    </w:p>
    <w:p w:rsidR="00000000" w:rsidRDefault="00000000">
      <w:pPr>
        <w:pStyle w:val="H23"/>
      </w:pPr>
      <w:r>
        <w:t xml:space="preserve">3. </w:t>
      </w:r>
      <w:r>
        <w:rPr>
          <w:lang w:val="en-US"/>
        </w:rPr>
        <w:tab/>
      </w:r>
      <w:r>
        <w:t>Женщины в судебных органах</w:t>
      </w:r>
    </w:p>
    <w:p w:rsidR="00000000" w:rsidRDefault="00000000">
      <w:pPr>
        <w:pStyle w:val="SingleTxt"/>
      </w:pPr>
      <w:r>
        <w:t>Доля женщин, работающих судьями в рамках судебной ветви власти, пр</w:t>
      </w:r>
      <w:r>
        <w:t>е</w:t>
      </w:r>
      <w:r>
        <w:t>вышает долю мужчин и составляет 66,7%. Доля женщин в Верховном суде с</w:t>
      </w:r>
      <w:r>
        <w:t>а</w:t>
      </w:r>
      <w:r>
        <w:t>мая низкая и составляет 34,3%, а в районных судах она самая высокая и с</w:t>
      </w:r>
      <w:r>
        <w:t>о</w:t>
      </w:r>
      <w:r>
        <w:t>ставляет 76,2%. Хотя судьи из числа женщин и преобладают в судах, за искл</w:t>
      </w:r>
      <w:r>
        <w:t>ю</w:t>
      </w:r>
      <w:r>
        <w:t>чением членов Верховного суда и Высокого суда и Суда по социальным вопр</w:t>
      </w:r>
      <w:r>
        <w:t>о</w:t>
      </w:r>
      <w:r>
        <w:t xml:space="preserve">сам, они председательствуют только в окружных и районных судах, а также в судах по трудовым и социальным вопросам. </w:t>
      </w:r>
    </w:p>
    <w:p w:rsidR="00000000" w:rsidRDefault="00000000">
      <w:pPr>
        <w:pStyle w:val="SingleTxt"/>
        <w:keepNext/>
        <w:ind w:firstLine="0"/>
        <w:jc w:val="left"/>
        <w:rPr>
          <w:b/>
        </w:rPr>
      </w:pPr>
      <w:r>
        <w:rPr>
          <w:b/>
        </w:rPr>
        <w:t xml:space="preserve">Таблица 5: Численность судей в разбивке по категории судов, </w:t>
      </w:r>
      <w:r>
        <w:rPr>
          <w:b/>
        </w:rPr>
        <w:br/>
        <w:t>1998–2001 годы</w:t>
      </w:r>
    </w:p>
    <w:tbl>
      <w:tblPr>
        <w:tblW w:w="0" w:type="auto"/>
        <w:tblInd w:w="1278" w:type="dxa"/>
        <w:tblLayout w:type="fixed"/>
        <w:tblCellMar>
          <w:left w:w="28" w:type="dxa"/>
          <w:right w:w="28" w:type="dxa"/>
        </w:tblCellMar>
        <w:tblLook w:val="0000" w:firstRow="0" w:lastRow="0" w:firstColumn="0" w:lastColumn="0" w:noHBand="0" w:noVBand="0"/>
      </w:tblPr>
      <w:tblGrid>
        <w:gridCol w:w="851"/>
        <w:gridCol w:w="550"/>
        <w:gridCol w:w="551"/>
        <w:gridCol w:w="600"/>
        <w:gridCol w:w="502"/>
        <w:gridCol w:w="550"/>
        <w:gridCol w:w="507"/>
        <w:gridCol w:w="595"/>
        <w:gridCol w:w="551"/>
        <w:gridCol w:w="555"/>
        <w:gridCol w:w="546"/>
        <w:gridCol w:w="551"/>
        <w:gridCol w:w="551"/>
      </w:tblGrid>
      <w:tr w:rsidR="00000000">
        <w:tblPrEx>
          <w:tblCellMar>
            <w:top w:w="0" w:type="dxa"/>
            <w:bottom w:w="0" w:type="dxa"/>
          </w:tblCellMar>
        </w:tblPrEx>
        <w:trPr>
          <w:cantSplit/>
        </w:trPr>
        <w:tc>
          <w:tcPr>
            <w:tcW w:w="851" w:type="dxa"/>
            <w:vMerge w:val="restart"/>
            <w:tcBorders>
              <w:top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Суд</w:t>
            </w:r>
          </w:p>
        </w:tc>
        <w:tc>
          <w:tcPr>
            <w:tcW w:w="1701" w:type="dxa"/>
            <w:gridSpan w:val="3"/>
            <w:tcBorders>
              <w:top w:val="single" w:sz="6" w:space="0" w:color="auto"/>
              <w:bottom w:val="single" w:sz="6" w:space="0" w:color="auto"/>
            </w:tcBorders>
          </w:tcPr>
          <w:p w:rsidR="00000000" w:rsidRDefault="00000000">
            <w:pPr>
              <w:pStyle w:val="SingleTxt"/>
              <w:spacing w:before="40" w:after="40" w:line="240" w:lineRule="auto"/>
              <w:ind w:left="0" w:right="0" w:firstLine="0"/>
              <w:jc w:val="center"/>
              <w:rPr>
                <w:i/>
                <w:sz w:val="17"/>
              </w:rPr>
            </w:pPr>
            <w:r>
              <w:rPr>
                <w:i/>
                <w:sz w:val="17"/>
              </w:rPr>
              <w:t>1998 год</w:t>
            </w:r>
          </w:p>
        </w:tc>
        <w:tc>
          <w:tcPr>
            <w:tcW w:w="1559" w:type="dxa"/>
            <w:gridSpan w:val="3"/>
            <w:tcBorders>
              <w:top w:val="single" w:sz="6" w:space="0" w:color="auto"/>
              <w:bottom w:val="single" w:sz="6" w:space="0" w:color="auto"/>
            </w:tcBorders>
          </w:tcPr>
          <w:p w:rsidR="00000000" w:rsidRDefault="00000000">
            <w:pPr>
              <w:pStyle w:val="SingleTxt"/>
              <w:spacing w:before="40" w:after="40" w:line="240" w:lineRule="auto"/>
              <w:ind w:left="0" w:right="0" w:firstLine="0"/>
              <w:jc w:val="center"/>
              <w:rPr>
                <w:i/>
                <w:sz w:val="17"/>
              </w:rPr>
            </w:pPr>
            <w:r>
              <w:rPr>
                <w:i/>
                <w:sz w:val="17"/>
              </w:rPr>
              <w:t>1999 год</w:t>
            </w:r>
          </w:p>
        </w:tc>
        <w:tc>
          <w:tcPr>
            <w:tcW w:w="1701" w:type="dxa"/>
            <w:gridSpan w:val="3"/>
            <w:tcBorders>
              <w:top w:val="single" w:sz="6" w:space="0" w:color="auto"/>
              <w:bottom w:val="single" w:sz="6" w:space="0" w:color="auto"/>
            </w:tcBorders>
          </w:tcPr>
          <w:p w:rsidR="00000000" w:rsidRDefault="00000000">
            <w:pPr>
              <w:pStyle w:val="SingleTxt"/>
              <w:spacing w:before="40" w:after="40" w:line="240" w:lineRule="auto"/>
              <w:ind w:left="0" w:right="0" w:firstLine="0"/>
              <w:jc w:val="center"/>
              <w:rPr>
                <w:i/>
                <w:sz w:val="17"/>
              </w:rPr>
            </w:pPr>
            <w:r>
              <w:rPr>
                <w:i/>
                <w:sz w:val="17"/>
              </w:rPr>
              <w:t>2000 год</w:t>
            </w:r>
          </w:p>
        </w:tc>
        <w:tc>
          <w:tcPr>
            <w:tcW w:w="1648" w:type="dxa"/>
            <w:gridSpan w:val="3"/>
            <w:tcBorders>
              <w:top w:val="single" w:sz="6" w:space="0" w:color="auto"/>
              <w:bottom w:val="single" w:sz="6" w:space="0" w:color="auto"/>
            </w:tcBorders>
          </w:tcPr>
          <w:p w:rsidR="00000000" w:rsidRDefault="00000000">
            <w:pPr>
              <w:pStyle w:val="SingleTxt"/>
              <w:spacing w:before="40" w:after="40" w:line="240" w:lineRule="auto"/>
              <w:ind w:left="0" w:right="0" w:firstLine="0"/>
              <w:jc w:val="center"/>
              <w:rPr>
                <w:i/>
                <w:sz w:val="17"/>
              </w:rPr>
            </w:pPr>
            <w:r>
              <w:rPr>
                <w:i/>
                <w:sz w:val="17"/>
              </w:rPr>
              <w:t>2001 год</w:t>
            </w:r>
          </w:p>
        </w:tc>
      </w:tr>
      <w:tr w:rsidR="00000000">
        <w:tblPrEx>
          <w:tblCellMar>
            <w:top w:w="0" w:type="dxa"/>
            <w:bottom w:w="0" w:type="dxa"/>
          </w:tblCellMar>
        </w:tblPrEx>
        <w:trPr>
          <w:cantSplit/>
          <w:trHeight w:val="1134"/>
        </w:trPr>
        <w:tc>
          <w:tcPr>
            <w:tcW w:w="851" w:type="dxa"/>
            <w:vMerge/>
            <w:tcBorders>
              <w:bottom w:val="single" w:sz="12" w:space="0" w:color="auto"/>
            </w:tcBorders>
          </w:tcPr>
          <w:p w:rsidR="00000000" w:rsidRDefault="00000000">
            <w:pPr>
              <w:pStyle w:val="SingleTxt"/>
              <w:spacing w:before="40" w:after="40" w:line="240" w:lineRule="auto"/>
              <w:ind w:left="0" w:right="0" w:firstLine="0"/>
              <w:rPr>
                <w:i/>
                <w:sz w:val="17"/>
              </w:rPr>
            </w:pPr>
          </w:p>
        </w:tc>
        <w:tc>
          <w:tcPr>
            <w:tcW w:w="550"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Ит</w:t>
            </w:r>
            <w:r>
              <w:rPr>
                <w:i/>
                <w:sz w:val="16"/>
              </w:rPr>
              <w:t>о</w:t>
            </w:r>
            <w:r>
              <w:rPr>
                <w:i/>
                <w:sz w:val="16"/>
              </w:rPr>
              <w:t>го</w:t>
            </w:r>
          </w:p>
        </w:tc>
        <w:tc>
          <w:tcPr>
            <w:tcW w:w="551"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Судьи из числа же</w:t>
            </w:r>
            <w:r>
              <w:rPr>
                <w:i/>
                <w:sz w:val="16"/>
              </w:rPr>
              <w:t>н</w:t>
            </w:r>
            <w:r>
              <w:rPr>
                <w:i/>
                <w:sz w:val="16"/>
              </w:rPr>
              <w:t>щин</w:t>
            </w:r>
          </w:p>
        </w:tc>
        <w:tc>
          <w:tcPr>
            <w:tcW w:w="600"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Доля же</w:t>
            </w:r>
            <w:r>
              <w:rPr>
                <w:i/>
                <w:sz w:val="16"/>
              </w:rPr>
              <w:t>н</w:t>
            </w:r>
            <w:r>
              <w:rPr>
                <w:i/>
                <w:sz w:val="16"/>
              </w:rPr>
              <w:t>щин-судей в %</w:t>
            </w:r>
          </w:p>
        </w:tc>
        <w:tc>
          <w:tcPr>
            <w:tcW w:w="502"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Ит</w:t>
            </w:r>
            <w:r>
              <w:rPr>
                <w:i/>
                <w:sz w:val="16"/>
              </w:rPr>
              <w:t>о</w:t>
            </w:r>
            <w:r>
              <w:rPr>
                <w:i/>
                <w:sz w:val="16"/>
              </w:rPr>
              <w:t>го</w:t>
            </w:r>
          </w:p>
        </w:tc>
        <w:tc>
          <w:tcPr>
            <w:tcW w:w="550"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Судьи из числа же</w:t>
            </w:r>
            <w:r>
              <w:rPr>
                <w:i/>
                <w:sz w:val="16"/>
              </w:rPr>
              <w:t>н</w:t>
            </w:r>
            <w:r>
              <w:rPr>
                <w:i/>
                <w:sz w:val="16"/>
              </w:rPr>
              <w:t>щин</w:t>
            </w:r>
          </w:p>
        </w:tc>
        <w:tc>
          <w:tcPr>
            <w:tcW w:w="507"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Доля же</w:t>
            </w:r>
            <w:r>
              <w:rPr>
                <w:i/>
                <w:sz w:val="16"/>
              </w:rPr>
              <w:t>н</w:t>
            </w:r>
            <w:r>
              <w:rPr>
                <w:i/>
                <w:sz w:val="16"/>
              </w:rPr>
              <w:t>щин-судей в %</w:t>
            </w:r>
          </w:p>
        </w:tc>
        <w:tc>
          <w:tcPr>
            <w:tcW w:w="595"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Ит</w:t>
            </w:r>
            <w:r>
              <w:rPr>
                <w:i/>
                <w:sz w:val="16"/>
              </w:rPr>
              <w:t>о</w:t>
            </w:r>
            <w:r>
              <w:rPr>
                <w:i/>
                <w:sz w:val="16"/>
              </w:rPr>
              <w:t>го</w:t>
            </w:r>
          </w:p>
        </w:tc>
        <w:tc>
          <w:tcPr>
            <w:tcW w:w="551"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Судьи из числа же</w:t>
            </w:r>
            <w:r>
              <w:rPr>
                <w:i/>
                <w:sz w:val="16"/>
              </w:rPr>
              <w:t>н</w:t>
            </w:r>
            <w:r>
              <w:rPr>
                <w:i/>
                <w:sz w:val="16"/>
              </w:rPr>
              <w:t>щин</w:t>
            </w:r>
          </w:p>
        </w:tc>
        <w:tc>
          <w:tcPr>
            <w:tcW w:w="555"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Доля же</w:t>
            </w:r>
            <w:r>
              <w:rPr>
                <w:i/>
                <w:sz w:val="16"/>
              </w:rPr>
              <w:t>н</w:t>
            </w:r>
            <w:r>
              <w:rPr>
                <w:i/>
                <w:sz w:val="16"/>
              </w:rPr>
              <w:t>щин-судей в %</w:t>
            </w:r>
          </w:p>
        </w:tc>
        <w:tc>
          <w:tcPr>
            <w:tcW w:w="546"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Все суды</w:t>
            </w:r>
          </w:p>
        </w:tc>
        <w:tc>
          <w:tcPr>
            <w:tcW w:w="551"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Ит</w:t>
            </w:r>
            <w:r>
              <w:rPr>
                <w:i/>
                <w:sz w:val="16"/>
              </w:rPr>
              <w:t>о</w:t>
            </w:r>
            <w:r>
              <w:rPr>
                <w:i/>
                <w:sz w:val="16"/>
              </w:rPr>
              <w:t>го</w:t>
            </w:r>
          </w:p>
        </w:tc>
        <w:tc>
          <w:tcPr>
            <w:tcW w:w="551" w:type="dxa"/>
            <w:tcBorders>
              <w:top w:val="single" w:sz="6" w:space="0" w:color="auto"/>
              <w:bottom w:val="single" w:sz="12" w:space="0" w:color="auto"/>
            </w:tcBorders>
            <w:textDirection w:val="btLr"/>
            <w:vAlign w:val="center"/>
          </w:tcPr>
          <w:p w:rsidR="00000000" w:rsidRDefault="00000000">
            <w:pPr>
              <w:pStyle w:val="SingleTxt"/>
              <w:spacing w:before="40" w:after="40" w:line="180" w:lineRule="exact"/>
              <w:ind w:left="0" w:right="0" w:firstLine="0"/>
              <w:jc w:val="center"/>
              <w:rPr>
                <w:i/>
                <w:sz w:val="16"/>
              </w:rPr>
            </w:pPr>
            <w:r>
              <w:rPr>
                <w:i/>
                <w:sz w:val="16"/>
              </w:rPr>
              <w:t>Доля же</w:t>
            </w:r>
            <w:r>
              <w:rPr>
                <w:i/>
                <w:sz w:val="16"/>
              </w:rPr>
              <w:t>н</w:t>
            </w:r>
            <w:r>
              <w:rPr>
                <w:i/>
                <w:sz w:val="16"/>
              </w:rPr>
              <w:t>щин-судей в %</w:t>
            </w:r>
          </w:p>
        </w:tc>
      </w:tr>
      <w:tr w:rsidR="00000000">
        <w:tblPrEx>
          <w:tblCellMar>
            <w:top w:w="0" w:type="dxa"/>
            <w:bottom w:w="0" w:type="dxa"/>
          </w:tblCellMar>
        </w:tblPrEx>
        <w:tc>
          <w:tcPr>
            <w:tcW w:w="851" w:type="dxa"/>
            <w:tcBorders>
              <w:top w:val="single" w:sz="12" w:space="0" w:color="auto"/>
            </w:tcBorders>
          </w:tcPr>
          <w:p w:rsidR="00000000" w:rsidRDefault="00000000">
            <w:pPr>
              <w:pStyle w:val="SingleTxt"/>
              <w:spacing w:before="40" w:after="40" w:line="240" w:lineRule="auto"/>
              <w:ind w:left="0" w:right="0" w:firstLine="0"/>
              <w:jc w:val="left"/>
              <w:rPr>
                <w:sz w:val="17"/>
              </w:rPr>
            </w:pPr>
            <w:r>
              <w:rPr>
                <w:sz w:val="17"/>
              </w:rPr>
              <w:t>Районные суды</w:t>
            </w:r>
          </w:p>
        </w:tc>
        <w:tc>
          <w:tcPr>
            <w:tcW w:w="55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272</w:t>
            </w:r>
          </w:p>
        </w:tc>
        <w:tc>
          <w:tcPr>
            <w:tcW w:w="5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195</w:t>
            </w:r>
          </w:p>
        </w:tc>
        <w:tc>
          <w:tcPr>
            <w:tcW w:w="60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77,7</w:t>
            </w:r>
          </w:p>
        </w:tc>
        <w:tc>
          <w:tcPr>
            <w:tcW w:w="50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277</w:t>
            </w:r>
          </w:p>
        </w:tc>
        <w:tc>
          <w:tcPr>
            <w:tcW w:w="55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203</w:t>
            </w:r>
          </w:p>
        </w:tc>
        <w:tc>
          <w:tcPr>
            <w:tcW w:w="50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73,3</w:t>
            </w:r>
          </w:p>
        </w:tc>
        <w:tc>
          <w:tcPr>
            <w:tcW w:w="59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276</w:t>
            </w:r>
          </w:p>
        </w:tc>
        <w:tc>
          <w:tcPr>
            <w:tcW w:w="5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209</w:t>
            </w:r>
          </w:p>
        </w:tc>
        <w:tc>
          <w:tcPr>
            <w:tcW w:w="55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75,7</w:t>
            </w:r>
          </w:p>
        </w:tc>
        <w:tc>
          <w:tcPr>
            <w:tcW w:w="54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290</w:t>
            </w:r>
          </w:p>
        </w:tc>
        <w:tc>
          <w:tcPr>
            <w:tcW w:w="5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221</w:t>
            </w:r>
          </w:p>
        </w:tc>
        <w:tc>
          <w:tcPr>
            <w:tcW w:w="5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76,2</w:t>
            </w:r>
          </w:p>
        </w:tc>
      </w:tr>
      <w:tr w:rsidR="00000000">
        <w:tblPrEx>
          <w:tblCellMar>
            <w:top w:w="0" w:type="dxa"/>
            <w:bottom w:w="0" w:type="dxa"/>
          </w:tblCellMar>
        </w:tblPrEx>
        <w:tc>
          <w:tcPr>
            <w:tcW w:w="851" w:type="dxa"/>
          </w:tcPr>
          <w:p w:rsidR="00000000" w:rsidRDefault="00000000">
            <w:pPr>
              <w:pStyle w:val="SingleTxt"/>
              <w:spacing w:before="40" w:after="40" w:line="240" w:lineRule="auto"/>
              <w:ind w:left="0" w:right="0" w:firstLine="0"/>
              <w:jc w:val="left"/>
              <w:rPr>
                <w:sz w:val="17"/>
              </w:rPr>
            </w:pPr>
            <w:r>
              <w:rPr>
                <w:sz w:val="17"/>
              </w:rPr>
              <w:t>Окру</w:t>
            </w:r>
            <w:r>
              <w:rPr>
                <w:sz w:val="17"/>
              </w:rPr>
              <w:t>ж</w:t>
            </w:r>
            <w:r>
              <w:rPr>
                <w:sz w:val="17"/>
              </w:rPr>
              <w:t>ные суды</w:t>
            </w:r>
          </w:p>
        </w:tc>
        <w:tc>
          <w:tcPr>
            <w:tcW w:w="5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208</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134</w:t>
            </w:r>
          </w:p>
        </w:tc>
        <w:tc>
          <w:tcPr>
            <w:tcW w:w="6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64,4</w:t>
            </w:r>
          </w:p>
        </w:tc>
        <w:tc>
          <w:tcPr>
            <w:tcW w:w="5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221</w:t>
            </w:r>
          </w:p>
        </w:tc>
        <w:tc>
          <w:tcPr>
            <w:tcW w:w="5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144</w:t>
            </w:r>
          </w:p>
        </w:tc>
        <w:tc>
          <w:tcPr>
            <w:tcW w:w="5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65,2</w:t>
            </w:r>
          </w:p>
        </w:tc>
        <w:tc>
          <w:tcPr>
            <w:tcW w:w="5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229</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144</w:t>
            </w:r>
          </w:p>
        </w:tc>
        <w:tc>
          <w:tcPr>
            <w:tcW w:w="5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62,9</w:t>
            </w:r>
          </w:p>
        </w:tc>
        <w:tc>
          <w:tcPr>
            <w:tcW w:w="5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225</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143</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63,6</w:t>
            </w:r>
          </w:p>
        </w:tc>
      </w:tr>
      <w:tr w:rsidR="00000000">
        <w:tblPrEx>
          <w:tblCellMar>
            <w:top w:w="0" w:type="dxa"/>
            <w:bottom w:w="0" w:type="dxa"/>
          </w:tblCellMar>
        </w:tblPrEx>
        <w:tc>
          <w:tcPr>
            <w:tcW w:w="851" w:type="dxa"/>
          </w:tcPr>
          <w:p w:rsidR="00000000" w:rsidRDefault="00000000">
            <w:pPr>
              <w:pStyle w:val="SingleTxt"/>
              <w:spacing w:before="40" w:after="40" w:line="240" w:lineRule="auto"/>
              <w:ind w:left="0" w:right="0" w:firstLine="0"/>
              <w:jc w:val="left"/>
              <w:rPr>
                <w:sz w:val="17"/>
              </w:rPr>
            </w:pPr>
            <w:r>
              <w:rPr>
                <w:sz w:val="17"/>
              </w:rPr>
              <w:t>Высокие суды</w:t>
            </w:r>
          </w:p>
        </w:tc>
        <w:tc>
          <w:tcPr>
            <w:tcW w:w="5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85</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43</w:t>
            </w:r>
          </w:p>
        </w:tc>
        <w:tc>
          <w:tcPr>
            <w:tcW w:w="6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50,6</w:t>
            </w:r>
          </w:p>
        </w:tc>
        <w:tc>
          <w:tcPr>
            <w:tcW w:w="5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90</w:t>
            </w:r>
          </w:p>
        </w:tc>
        <w:tc>
          <w:tcPr>
            <w:tcW w:w="5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38</w:t>
            </w:r>
          </w:p>
        </w:tc>
        <w:tc>
          <w:tcPr>
            <w:tcW w:w="5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42,2</w:t>
            </w:r>
          </w:p>
        </w:tc>
        <w:tc>
          <w:tcPr>
            <w:tcW w:w="5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97</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54</w:t>
            </w:r>
          </w:p>
        </w:tc>
        <w:tc>
          <w:tcPr>
            <w:tcW w:w="5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55,7</w:t>
            </w:r>
          </w:p>
        </w:tc>
        <w:tc>
          <w:tcPr>
            <w:tcW w:w="5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99</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54</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54,5</w:t>
            </w:r>
          </w:p>
        </w:tc>
      </w:tr>
      <w:tr w:rsidR="00000000">
        <w:tblPrEx>
          <w:tblCellMar>
            <w:top w:w="0" w:type="dxa"/>
            <w:bottom w:w="0" w:type="dxa"/>
          </w:tblCellMar>
        </w:tblPrEx>
        <w:tc>
          <w:tcPr>
            <w:tcW w:w="851" w:type="dxa"/>
          </w:tcPr>
          <w:p w:rsidR="00000000" w:rsidRDefault="00000000">
            <w:pPr>
              <w:pStyle w:val="SingleTxt"/>
              <w:spacing w:before="40" w:after="40" w:line="240" w:lineRule="auto"/>
              <w:ind w:left="0" w:right="0" w:firstLine="0"/>
              <w:jc w:val="left"/>
              <w:rPr>
                <w:sz w:val="17"/>
              </w:rPr>
            </w:pPr>
            <w:r>
              <w:rPr>
                <w:sz w:val="17"/>
              </w:rPr>
              <w:t>Верхо</w:t>
            </w:r>
            <w:r>
              <w:rPr>
                <w:sz w:val="17"/>
              </w:rPr>
              <w:t>в</w:t>
            </w:r>
            <w:r>
              <w:rPr>
                <w:sz w:val="17"/>
              </w:rPr>
              <w:t>ный суд</w:t>
            </w:r>
          </w:p>
        </w:tc>
        <w:tc>
          <w:tcPr>
            <w:tcW w:w="5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31</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9</w:t>
            </w:r>
          </w:p>
        </w:tc>
        <w:tc>
          <w:tcPr>
            <w:tcW w:w="6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31,2</w:t>
            </w:r>
          </w:p>
        </w:tc>
        <w:tc>
          <w:tcPr>
            <w:tcW w:w="5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30</w:t>
            </w:r>
          </w:p>
        </w:tc>
        <w:tc>
          <w:tcPr>
            <w:tcW w:w="5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8</w:t>
            </w:r>
          </w:p>
        </w:tc>
        <w:tc>
          <w:tcPr>
            <w:tcW w:w="5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26,7</w:t>
            </w:r>
          </w:p>
        </w:tc>
        <w:tc>
          <w:tcPr>
            <w:tcW w:w="5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33</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11</w:t>
            </w:r>
          </w:p>
        </w:tc>
        <w:tc>
          <w:tcPr>
            <w:tcW w:w="5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33,3</w:t>
            </w:r>
          </w:p>
        </w:tc>
        <w:tc>
          <w:tcPr>
            <w:tcW w:w="5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35</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12</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34,3</w:t>
            </w:r>
          </w:p>
        </w:tc>
      </w:tr>
      <w:tr w:rsidR="00000000">
        <w:tblPrEx>
          <w:tblCellMar>
            <w:top w:w="0" w:type="dxa"/>
            <w:bottom w:w="0" w:type="dxa"/>
          </w:tblCellMar>
        </w:tblPrEx>
        <w:tc>
          <w:tcPr>
            <w:tcW w:w="851" w:type="dxa"/>
          </w:tcPr>
          <w:p w:rsidR="00000000" w:rsidRDefault="00000000">
            <w:pPr>
              <w:pStyle w:val="SingleTxt"/>
              <w:spacing w:before="40" w:after="40" w:line="240" w:lineRule="auto"/>
              <w:ind w:left="0" w:right="0" w:firstLine="0"/>
              <w:jc w:val="left"/>
              <w:rPr>
                <w:sz w:val="17"/>
              </w:rPr>
            </w:pPr>
            <w:r>
              <w:rPr>
                <w:sz w:val="17"/>
              </w:rPr>
              <w:t>Админ</w:t>
            </w:r>
            <w:r>
              <w:rPr>
                <w:sz w:val="17"/>
              </w:rPr>
              <w:t>и</w:t>
            </w:r>
            <w:r>
              <w:rPr>
                <w:sz w:val="17"/>
              </w:rPr>
              <w:t>страти</w:t>
            </w:r>
            <w:r>
              <w:rPr>
                <w:sz w:val="17"/>
              </w:rPr>
              <w:t>в</w:t>
            </w:r>
            <w:r>
              <w:rPr>
                <w:sz w:val="17"/>
              </w:rPr>
              <w:t>ный суд</w:t>
            </w:r>
          </w:p>
        </w:tc>
        <w:tc>
          <w:tcPr>
            <w:tcW w:w="5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23</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16</w:t>
            </w:r>
          </w:p>
        </w:tc>
        <w:tc>
          <w:tcPr>
            <w:tcW w:w="6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69,6</w:t>
            </w:r>
          </w:p>
        </w:tc>
        <w:tc>
          <w:tcPr>
            <w:tcW w:w="5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25</w:t>
            </w:r>
          </w:p>
        </w:tc>
        <w:tc>
          <w:tcPr>
            <w:tcW w:w="5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19</w:t>
            </w:r>
          </w:p>
        </w:tc>
        <w:tc>
          <w:tcPr>
            <w:tcW w:w="5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76,0</w:t>
            </w:r>
          </w:p>
        </w:tc>
        <w:tc>
          <w:tcPr>
            <w:tcW w:w="5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27</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20</w:t>
            </w:r>
          </w:p>
        </w:tc>
        <w:tc>
          <w:tcPr>
            <w:tcW w:w="5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74,1</w:t>
            </w:r>
          </w:p>
        </w:tc>
        <w:tc>
          <w:tcPr>
            <w:tcW w:w="5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28</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21</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75,0</w:t>
            </w:r>
          </w:p>
        </w:tc>
      </w:tr>
      <w:tr w:rsidR="00000000">
        <w:tblPrEx>
          <w:tblCellMar>
            <w:top w:w="0" w:type="dxa"/>
            <w:bottom w:w="0" w:type="dxa"/>
          </w:tblCellMar>
        </w:tblPrEx>
        <w:tc>
          <w:tcPr>
            <w:tcW w:w="851" w:type="dxa"/>
          </w:tcPr>
          <w:p w:rsidR="00000000" w:rsidRDefault="00000000">
            <w:pPr>
              <w:pStyle w:val="SingleTxt"/>
              <w:spacing w:before="40" w:after="40" w:line="240" w:lineRule="auto"/>
              <w:ind w:left="0" w:right="0" w:firstLine="0"/>
              <w:jc w:val="left"/>
              <w:rPr>
                <w:sz w:val="17"/>
              </w:rPr>
            </w:pPr>
            <w:r>
              <w:rPr>
                <w:sz w:val="17"/>
              </w:rPr>
              <w:t xml:space="preserve">Высокие суды </w:t>
            </w:r>
            <w:r>
              <w:rPr>
                <w:sz w:val="17"/>
                <w:lang w:val="en-US"/>
              </w:rPr>
              <w:t>DSS</w:t>
            </w:r>
          </w:p>
        </w:tc>
        <w:tc>
          <w:tcPr>
            <w:tcW w:w="5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14</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7</w:t>
            </w:r>
          </w:p>
        </w:tc>
        <w:tc>
          <w:tcPr>
            <w:tcW w:w="6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50,0</w:t>
            </w:r>
          </w:p>
        </w:tc>
        <w:tc>
          <w:tcPr>
            <w:tcW w:w="5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14</w:t>
            </w:r>
          </w:p>
        </w:tc>
        <w:tc>
          <w:tcPr>
            <w:tcW w:w="5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7</w:t>
            </w:r>
          </w:p>
        </w:tc>
        <w:tc>
          <w:tcPr>
            <w:tcW w:w="5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50,0</w:t>
            </w:r>
          </w:p>
        </w:tc>
        <w:tc>
          <w:tcPr>
            <w:tcW w:w="5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15</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7</w:t>
            </w:r>
          </w:p>
        </w:tc>
        <w:tc>
          <w:tcPr>
            <w:tcW w:w="5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46,7</w:t>
            </w:r>
          </w:p>
        </w:tc>
        <w:tc>
          <w:tcPr>
            <w:tcW w:w="5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17</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8</w:t>
            </w:r>
          </w:p>
        </w:tc>
        <w:tc>
          <w:tcPr>
            <w:tcW w:w="5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47,1</w:t>
            </w:r>
          </w:p>
        </w:tc>
      </w:tr>
      <w:tr w:rsidR="00000000">
        <w:tblPrEx>
          <w:tblCellMar>
            <w:top w:w="0" w:type="dxa"/>
            <w:bottom w:w="0" w:type="dxa"/>
          </w:tblCellMar>
        </w:tblPrEx>
        <w:tc>
          <w:tcPr>
            <w:tcW w:w="851" w:type="dxa"/>
            <w:tcBorders>
              <w:bottom w:val="single" w:sz="6" w:space="0" w:color="auto"/>
            </w:tcBorders>
          </w:tcPr>
          <w:p w:rsidR="00000000" w:rsidRDefault="00000000">
            <w:pPr>
              <w:pStyle w:val="SingleTxt"/>
              <w:spacing w:before="40" w:after="40" w:line="240" w:lineRule="auto"/>
              <w:ind w:left="0" w:right="0" w:firstLine="0"/>
              <w:jc w:val="left"/>
              <w:rPr>
                <w:sz w:val="17"/>
              </w:rPr>
            </w:pPr>
            <w:r>
              <w:rPr>
                <w:sz w:val="17"/>
                <w:lang w:val="en-US"/>
              </w:rPr>
              <w:t>DS</w:t>
            </w:r>
            <w:r>
              <w:rPr>
                <w:sz w:val="17"/>
              </w:rPr>
              <w:t xml:space="preserve"> и </w:t>
            </w:r>
            <w:r>
              <w:rPr>
                <w:sz w:val="17"/>
                <w:lang w:val="en-US"/>
              </w:rPr>
              <w:t>DSS</w:t>
            </w:r>
          </w:p>
        </w:tc>
        <w:tc>
          <w:tcPr>
            <w:tcW w:w="550"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49</w:t>
            </w:r>
          </w:p>
        </w:tc>
        <w:tc>
          <w:tcPr>
            <w:tcW w:w="551"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34</w:t>
            </w:r>
          </w:p>
        </w:tc>
        <w:tc>
          <w:tcPr>
            <w:tcW w:w="600"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69,4</w:t>
            </w:r>
          </w:p>
        </w:tc>
        <w:tc>
          <w:tcPr>
            <w:tcW w:w="502"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51</w:t>
            </w:r>
          </w:p>
        </w:tc>
        <w:tc>
          <w:tcPr>
            <w:tcW w:w="550"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35</w:t>
            </w:r>
          </w:p>
        </w:tc>
        <w:tc>
          <w:tcPr>
            <w:tcW w:w="507"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86,6</w:t>
            </w:r>
          </w:p>
        </w:tc>
        <w:tc>
          <w:tcPr>
            <w:tcW w:w="595"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51</w:t>
            </w:r>
          </w:p>
        </w:tc>
        <w:tc>
          <w:tcPr>
            <w:tcW w:w="551"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38</w:t>
            </w:r>
          </w:p>
        </w:tc>
        <w:tc>
          <w:tcPr>
            <w:tcW w:w="555"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74,5</w:t>
            </w:r>
          </w:p>
        </w:tc>
        <w:tc>
          <w:tcPr>
            <w:tcW w:w="546"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51</w:t>
            </w:r>
          </w:p>
        </w:tc>
        <w:tc>
          <w:tcPr>
            <w:tcW w:w="551"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38</w:t>
            </w:r>
          </w:p>
        </w:tc>
        <w:tc>
          <w:tcPr>
            <w:tcW w:w="551"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74,5</w:t>
            </w:r>
          </w:p>
        </w:tc>
      </w:tr>
      <w:tr w:rsidR="00000000">
        <w:tblPrEx>
          <w:tblCellMar>
            <w:top w:w="0" w:type="dxa"/>
            <w:bottom w:w="0" w:type="dxa"/>
          </w:tblCellMar>
        </w:tblPrEx>
        <w:tc>
          <w:tcPr>
            <w:tcW w:w="851"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left"/>
              <w:rPr>
                <w:sz w:val="17"/>
              </w:rPr>
            </w:pPr>
            <w:r>
              <w:rPr>
                <w:sz w:val="17"/>
              </w:rPr>
              <w:t>ВСЕГО</w:t>
            </w:r>
          </w:p>
        </w:tc>
        <w:tc>
          <w:tcPr>
            <w:tcW w:w="550"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682</w:t>
            </w:r>
          </w:p>
        </w:tc>
        <w:tc>
          <w:tcPr>
            <w:tcW w:w="551"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438</w:t>
            </w:r>
          </w:p>
        </w:tc>
        <w:tc>
          <w:tcPr>
            <w:tcW w:w="600"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64,2</w:t>
            </w:r>
          </w:p>
        </w:tc>
        <w:tc>
          <w:tcPr>
            <w:tcW w:w="502"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708</w:t>
            </w:r>
          </w:p>
        </w:tc>
        <w:tc>
          <w:tcPr>
            <w:tcW w:w="550"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454</w:t>
            </w:r>
          </w:p>
        </w:tc>
        <w:tc>
          <w:tcPr>
            <w:tcW w:w="507"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64,1</w:t>
            </w:r>
          </w:p>
        </w:tc>
        <w:tc>
          <w:tcPr>
            <w:tcW w:w="595"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728</w:t>
            </w:r>
          </w:p>
        </w:tc>
        <w:tc>
          <w:tcPr>
            <w:tcW w:w="551"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483</w:t>
            </w:r>
          </w:p>
        </w:tc>
        <w:tc>
          <w:tcPr>
            <w:tcW w:w="555"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66,3</w:t>
            </w:r>
          </w:p>
        </w:tc>
        <w:tc>
          <w:tcPr>
            <w:tcW w:w="546"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745</w:t>
            </w:r>
          </w:p>
        </w:tc>
        <w:tc>
          <w:tcPr>
            <w:tcW w:w="551"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97"/>
              </w:tabs>
              <w:spacing w:before="40" w:after="40" w:line="240" w:lineRule="auto"/>
              <w:ind w:left="0" w:right="0" w:firstLine="0"/>
              <w:jc w:val="left"/>
              <w:rPr>
                <w:sz w:val="17"/>
              </w:rPr>
            </w:pPr>
            <w:r>
              <w:rPr>
                <w:sz w:val="17"/>
              </w:rPr>
              <w:t>497</w:t>
            </w:r>
          </w:p>
        </w:tc>
        <w:tc>
          <w:tcPr>
            <w:tcW w:w="551" w:type="dxa"/>
            <w:tcBorders>
              <w:top w:val="single" w:sz="6"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255"/>
              </w:tabs>
              <w:spacing w:before="40" w:after="40" w:line="240" w:lineRule="auto"/>
              <w:ind w:left="0" w:right="0" w:firstLine="0"/>
              <w:jc w:val="left"/>
              <w:rPr>
                <w:sz w:val="17"/>
              </w:rPr>
            </w:pPr>
            <w:r>
              <w:rPr>
                <w:sz w:val="17"/>
              </w:rPr>
              <w:t>66,7</w:t>
            </w:r>
          </w:p>
        </w:tc>
      </w:tr>
    </w:tbl>
    <w:p w:rsidR="00000000" w:rsidRDefault="00000000">
      <w:pPr>
        <w:pStyle w:val="SingleTxt"/>
        <w:ind w:firstLine="0"/>
      </w:pPr>
      <w:r>
        <w:rPr>
          <w:i/>
        </w:rPr>
        <w:t>Источник</w:t>
      </w:r>
      <w:r>
        <w:t>: Министерство юстиции, 9.10.2002</w:t>
      </w:r>
    </w:p>
    <w:p w:rsidR="00000000" w:rsidRDefault="00000000">
      <w:pPr>
        <w:pStyle w:val="SingleTxt"/>
        <w:ind w:firstLine="0"/>
      </w:pPr>
      <w:r>
        <w:rPr>
          <w:i/>
        </w:rPr>
        <w:t>Примечание</w:t>
      </w:r>
      <w:r>
        <w:t>: DSS – суды по трудовым и социальным вопросам</w:t>
      </w:r>
    </w:p>
    <w:p w:rsidR="00000000" w:rsidRDefault="00000000">
      <w:pPr>
        <w:pStyle w:val="SingleTxt"/>
      </w:pPr>
      <w:r>
        <w:t>Доля женщин среди сотрудников прокуратуры составляет 49,7%, т.е. практически равна доле мужчин. Однако среди сотрудников прокуратуры старшего звена их доля становится меньше по мере движения вверх по сл</w:t>
      </w:r>
      <w:r>
        <w:t>у</w:t>
      </w:r>
      <w:r>
        <w:t>жебной лестнице. В окружных управлениях государственной прокуратуры доля женщин среди сотрудников старшего звена составляет 52,4%, однако в главном управлении государственной прокуратуры она исчисляется всего лишь 20%.</w:t>
      </w:r>
    </w:p>
    <w:p w:rsidR="00000000" w:rsidRDefault="00000000">
      <w:pPr>
        <w:pStyle w:val="H23"/>
      </w:pPr>
      <w:r>
        <w:t xml:space="preserve">4. </w:t>
      </w:r>
      <w:r>
        <w:rPr>
          <w:lang w:val="en-US"/>
        </w:rPr>
        <w:tab/>
      </w:r>
      <w:r>
        <w:t>Женщины в секторе экономики</w:t>
      </w:r>
    </w:p>
    <w:p w:rsidR="00000000" w:rsidRDefault="00000000">
      <w:pPr>
        <w:pStyle w:val="SingleTxt"/>
      </w:pPr>
      <w:r>
        <w:t>Женщины также составляют меньшинство на руководящих должностях в других сферах государственной жизни: в науке, культуре, экономике и т.д. В крупнейших компаниях и предпринимательских структурах Словении, согла</w:t>
      </w:r>
      <w:r>
        <w:t>с</w:t>
      </w:r>
      <w:r>
        <w:t>но проверенным и сводным балансовым отчетам за 2000 год, ни одна женщина не занимает должности председателя совета управляющих, и лишь 12,8% же</w:t>
      </w:r>
      <w:r>
        <w:t>н</w:t>
      </w:r>
      <w:r>
        <w:t>щин входят в их состав. Правительство Республики Словении назначило в о</w:t>
      </w:r>
      <w:r>
        <w:t>б</w:t>
      </w:r>
      <w:r>
        <w:t>щей сложности 187 членов в 42 контрольных совета, советы предпринимателей и советы управляющих субъектов предпринимательской деятельности (гос</w:t>
      </w:r>
      <w:r>
        <w:t>у</w:t>
      </w:r>
      <w:r>
        <w:t>дарственные компании, объединения, фонды и т.д.) на срок в четыре года. Ср</w:t>
      </w:r>
      <w:r>
        <w:t>е</w:t>
      </w:r>
      <w:r>
        <w:t>ди них всего лишь 42 женщины (22,3%).</w:t>
      </w:r>
    </w:p>
    <w:p w:rsidR="00000000" w:rsidRDefault="00000000">
      <w:pPr>
        <w:pStyle w:val="H23"/>
      </w:pPr>
      <w:r>
        <w:t xml:space="preserve">5. </w:t>
      </w:r>
      <w:r>
        <w:rPr>
          <w:lang w:val="en-US"/>
        </w:rPr>
        <w:tab/>
      </w:r>
      <w:r>
        <w:t>Инициативы гражданского общества</w:t>
      </w:r>
    </w:p>
    <w:p w:rsidR="00000000" w:rsidRDefault="00000000">
      <w:pPr>
        <w:pStyle w:val="SingleTxt"/>
      </w:pPr>
      <w:r>
        <w:t>В рамках усилий по расширению масштабов участия женщин в политич</w:t>
      </w:r>
      <w:r>
        <w:t>е</w:t>
      </w:r>
      <w:r>
        <w:t>ской и государственной жизни на основании инициативы гражданского общ</w:t>
      </w:r>
      <w:r>
        <w:t>е</w:t>
      </w:r>
      <w:r>
        <w:t>ства была создана Коалиция по вопросам обеспечения сбалансированной пре</w:t>
      </w:r>
      <w:r>
        <w:t>д</w:t>
      </w:r>
      <w:r>
        <w:t>ставленности женщин и мужчин в государственной жизни, которая объединяет членов неправительственных и правительственных организаций, парламен</w:t>
      </w:r>
      <w:r>
        <w:t>т</w:t>
      </w:r>
      <w:r>
        <w:t>ских и непарламентских политических партий, группы женщин в политических партиях, профессиональные союзы, другие субъекты организованного гра</w:t>
      </w:r>
      <w:r>
        <w:t>ж</w:t>
      </w:r>
      <w:r>
        <w:t>данского общества, государственные и частные учреждения и фонды. Основная задача этой Коалиции заключается в поощрении и обеспечении сбалансирова</w:t>
      </w:r>
      <w:r>
        <w:t>н</w:t>
      </w:r>
      <w:r>
        <w:t>ной представленности женщин и мужчин в государственной жизни, главным образом путем внесения изменений в избирательное право и введения в дейс</w:t>
      </w:r>
      <w:r>
        <w:t>т</w:t>
      </w:r>
      <w:r>
        <w:t>вие принципа сбалансированной представленности женщин и мужчин во всех органах власти и в других директивных органах. По мнению членов Коалиции, в законодательстве о выборах следует предусмотреть обеспечение в обязател</w:t>
      </w:r>
      <w:r>
        <w:t>ь</w:t>
      </w:r>
      <w:r>
        <w:t>ном порядке равной доли женщин и мужчин в списках кандидатов на выборах в местные органы власти и на всеобщих выборах (комплексная система). Первые результаты усилий этой Коалиции связаны с уже упоминавшимися предлож</w:t>
      </w:r>
      <w:r>
        <w:t>е</w:t>
      </w:r>
      <w:r>
        <w:t>ниями о внесении поправки в Конституцию, проект которой был представлен на рассмотрение парламента группой из семи парламентских партий (75 членами из 90 членов Государственного собрания).</w:t>
      </w:r>
    </w:p>
    <w:p w:rsidR="00000000" w:rsidRDefault="00000000">
      <w:pPr>
        <w:pStyle w:val="SingleTxt"/>
      </w:pPr>
      <w:r>
        <w:t>Для подготовки женщин к выборам в местные органы самоуправления в 2002 году Целевая группа по вопросам гендерного равенства, созданная в ра</w:t>
      </w:r>
      <w:r>
        <w:t>м</w:t>
      </w:r>
      <w:r>
        <w:t>ках Пакта стабильности, в сотрудничестве с Управлением по вопросам равных возможностей разработала проект под названием «Женщины могут сделать это, II». В рамках этого проекта были организованы шесть семинаров професси</w:t>
      </w:r>
      <w:r>
        <w:t>о</w:t>
      </w:r>
      <w:r>
        <w:t>нальной подготовки с учетом пожеланий и потребностей отдельных парл</w:t>
      </w:r>
      <w:r>
        <w:t>а</w:t>
      </w:r>
      <w:r>
        <w:t>ментских партий, которые являются участниками проекта. Основная цель этой профессиональной подготовки заключается в улучшении функционирования отдельных групп женщин внутри политических партий, с тем чтобы выявить проблемы, которые, по мнению женщин, остро стоят на политической повестке дня, а также найти конкретные решения этим проблемам, и разработать план действий для партий.</w:t>
      </w:r>
    </w:p>
    <w:p w:rsidR="00000000" w:rsidRDefault="00000000">
      <w:pPr>
        <w:pStyle w:val="H1"/>
        <w:ind w:left="1264" w:firstLine="0"/>
      </w:pPr>
      <w:r>
        <w:t>Статья 8</w:t>
      </w:r>
      <w:r>
        <w:br/>
        <w:t>Женщины, представляющие правительство в международных организациях, и женщины на дипломатической службе</w:t>
      </w:r>
    </w:p>
    <w:p w:rsidR="00000000" w:rsidRDefault="00000000">
      <w:pPr>
        <w:pStyle w:val="SingleTxt"/>
      </w:pPr>
      <w:r>
        <w:t>Закон 2001 года о внешних сношениях устанавливает условия найма на дипломатическую службу, которые одинаковы для мужчин и женщин. Согласно этому Закону дипломат является государственным служащим, постоянно раб</w:t>
      </w:r>
      <w:r>
        <w:t>о</w:t>
      </w:r>
      <w:r>
        <w:t>тающим в министерстве иностранных дел и выполняющим государственные задачи в области внешней политики (статья 34). При формировании состава международных делегаций важное значение имеет вопрос равенства женщин и мужчин – принцип, который обязывает Государственное собрание и правител</w:t>
      </w:r>
      <w:r>
        <w:t>ь</w:t>
      </w:r>
      <w:r>
        <w:t>ство соблюдать условие сбалансированной в гендерном отношении предста</w:t>
      </w:r>
      <w:r>
        <w:t>в</w:t>
      </w:r>
      <w:r>
        <w:t>ленности в этих делегациях.</w:t>
      </w:r>
    </w:p>
    <w:p w:rsidR="00000000" w:rsidRDefault="00000000">
      <w:pPr>
        <w:pStyle w:val="SingleTxt"/>
      </w:pPr>
      <w:r>
        <w:t>В 2001 году в посольствах и консульских учреждениях Республики Сл</w:t>
      </w:r>
      <w:r>
        <w:t>о</w:t>
      </w:r>
      <w:r>
        <w:t>вении работали в общей сложности 158 дипломатов, из которых 60 – женщины (38%). Общая численность дипломатических работников составляет 211 человек, из которых 89 или 42,2% – женщины.</w:t>
      </w:r>
    </w:p>
    <w:p w:rsidR="00000000" w:rsidRDefault="00000000">
      <w:pPr>
        <w:pStyle w:val="SingleTxt"/>
        <w:keepNext/>
        <w:ind w:firstLine="0"/>
        <w:rPr>
          <w:b/>
        </w:rPr>
      </w:pPr>
      <w:r>
        <w:rPr>
          <w:b/>
        </w:rPr>
        <w:t>Таблица 6: Дипломаты (26.11.2001)</w:t>
      </w:r>
    </w:p>
    <w:tbl>
      <w:tblPr>
        <w:tblW w:w="0" w:type="auto"/>
        <w:tblInd w:w="1278" w:type="dxa"/>
        <w:tblLayout w:type="fixed"/>
        <w:tblLook w:val="0000" w:firstRow="0" w:lastRow="0" w:firstColumn="0" w:lastColumn="0" w:noHBand="0" w:noVBand="0"/>
      </w:tblPr>
      <w:tblGrid>
        <w:gridCol w:w="2693"/>
        <w:gridCol w:w="1559"/>
        <w:gridCol w:w="1559"/>
        <w:gridCol w:w="1560"/>
      </w:tblGrid>
      <w:tr w:rsidR="00000000">
        <w:tblPrEx>
          <w:tblCellMar>
            <w:top w:w="0" w:type="dxa"/>
            <w:bottom w:w="0" w:type="dxa"/>
          </w:tblCellMar>
        </w:tblPrEx>
        <w:tc>
          <w:tcPr>
            <w:tcW w:w="2693"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Дол</w:t>
            </w:r>
            <w:r>
              <w:rPr>
                <w:i/>
                <w:sz w:val="17"/>
              </w:rPr>
              <w:t>ж</w:t>
            </w:r>
            <w:r>
              <w:rPr>
                <w:i/>
                <w:sz w:val="17"/>
              </w:rPr>
              <w:t>ность</w:t>
            </w:r>
          </w:p>
        </w:tc>
        <w:tc>
          <w:tcPr>
            <w:tcW w:w="155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Итого</w:t>
            </w:r>
          </w:p>
        </w:tc>
        <w:tc>
          <w:tcPr>
            <w:tcW w:w="155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Женщ</w:t>
            </w:r>
            <w:r>
              <w:rPr>
                <w:i/>
                <w:sz w:val="17"/>
              </w:rPr>
              <w:t>и</w:t>
            </w:r>
            <w:r>
              <w:rPr>
                <w:i/>
                <w:sz w:val="17"/>
              </w:rPr>
              <w:t>ны</w:t>
            </w:r>
          </w:p>
        </w:tc>
        <w:tc>
          <w:tcPr>
            <w:tcW w:w="1560"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Доля же</w:t>
            </w:r>
            <w:r>
              <w:rPr>
                <w:i/>
                <w:sz w:val="17"/>
              </w:rPr>
              <w:t>н</w:t>
            </w:r>
            <w:r>
              <w:rPr>
                <w:i/>
                <w:sz w:val="17"/>
              </w:rPr>
              <w:t xml:space="preserve">щин </w:t>
            </w:r>
            <w:r>
              <w:rPr>
                <w:i/>
                <w:sz w:val="17"/>
              </w:rPr>
              <w:br/>
              <w:t>в %</w:t>
            </w:r>
          </w:p>
        </w:tc>
      </w:tr>
      <w:tr w:rsidR="00000000">
        <w:tblPrEx>
          <w:tblCellMar>
            <w:top w:w="0" w:type="dxa"/>
            <w:bottom w:w="0" w:type="dxa"/>
          </w:tblCellMar>
        </w:tblPrEx>
        <w:tc>
          <w:tcPr>
            <w:tcW w:w="2693" w:type="dxa"/>
            <w:tcBorders>
              <w:top w:val="single" w:sz="12" w:space="0" w:color="auto"/>
            </w:tcBorders>
          </w:tcPr>
          <w:p w:rsidR="00000000" w:rsidRDefault="00000000">
            <w:pPr>
              <w:pStyle w:val="SingleTxt"/>
              <w:spacing w:before="40" w:after="40" w:line="240" w:lineRule="auto"/>
              <w:ind w:left="0" w:right="0" w:firstLine="0"/>
              <w:rPr>
                <w:sz w:val="17"/>
              </w:rPr>
            </w:pPr>
            <w:r>
              <w:rPr>
                <w:sz w:val="17"/>
              </w:rPr>
              <w:t>Послы</w:t>
            </w:r>
          </w:p>
        </w:tc>
        <w:tc>
          <w:tcPr>
            <w:tcW w:w="1559"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31</w:t>
            </w:r>
          </w:p>
        </w:tc>
        <w:tc>
          <w:tcPr>
            <w:tcW w:w="1559"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4</w:t>
            </w:r>
          </w:p>
        </w:tc>
        <w:tc>
          <w:tcPr>
            <w:tcW w:w="1560"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12,9</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rPr>
                <w:sz w:val="17"/>
              </w:rPr>
            </w:pPr>
            <w:r>
              <w:rPr>
                <w:sz w:val="17"/>
              </w:rPr>
              <w:t>Ген</w:t>
            </w:r>
            <w:r>
              <w:rPr>
                <w:sz w:val="17"/>
              </w:rPr>
              <w:t>е</w:t>
            </w:r>
            <w:r>
              <w:rPr>
                <w:sz w:val="17"/>
              </w:rPr>
              <w:t>ральные консулы</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7</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w:t>
            </w:r>
          </w:p>
        </w:tc>
        <w:tc>
          <w:tcPr>
            <w:tcW w:w="15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14,3</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rPr>
                <w:sz w:val="17"/>
              </w:rPr>
            </w:pPr>
            <w:r>
              <w:rPr>
                <w:sz w:val="17"/>
              </w:rPr>
              <w:t>Полномочные посла</w:t>
            </w:r>
            <w:r>
              <w:rPr>
                <w:sz w:val="17"/>
              </w:rPr>
              <w:t>н</w:t>
            </w:r>
            <w:r>
              <w:rPr>
                <w:sz w:val="17"/>
              </w:rPr>
              <w:t>ники</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13</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2</w:t>
            </w:r>
          </w:p>
        </w:tc>
        <w:tc>
          <w:tcPr>
            <w:tcW w:w="15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15,4</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rPr>
                <w:sz w:val="17"/>
              </w:rPr>
            </w:pPr>
            <w:r>
              <w:rPr>
                <w:sz w:val="17"/>
              </w:rPr>
              <w:t>Сове</w:t>
            </w:r>
            <w:r>
              <w:rPr>
                <w:sz w:val="17"/>
              </w:rPr>
              <w:t>т</w:t>
            </w:r>
            <w:r>
              <w:rPr>
                <w:sz w:val="17"/>
              </w:rPr>
              <w:t>ники</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40</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13</w:t>
            </w:r>
          </w:p>
        </w:tc>
        <w:tc>
          <w:tcPr>
            <w:tcW w:w="15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32,5</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rPr>
                <w:sz w:val="17"/>
              </w:rPr>
            </w:pPr>
            <w:r>
              <w:rPr>
                <w:sz w:val="17"/>
              </w:rPr>
              <w:t>Конс</w:t>
            </w:r>
            <w:r>
              <w:rPr>
                <w:sz w:val="17"/>
              </w:rPr>
              <w:t>у</w:t>
            </w:r>
            <w:r>
              <w:rPr>
                <w:sz w:val="17"/>
              </w:rPr>
              <w:t>лы</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6</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3</w:t>
            </w:r>
          </w:p>
        </w:tc>
        <w:tc>
          <w:tcPr>
            <w:tcW w:w="15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50,0</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rPr>
                <w:sz w:val="17"/>
              </w:rPr>
            </w:pPr>
            <w:r>
              <w:rPr>
                <w:sz w:val="17"/>
              </w:rPr>
              <w:t>Первые се</w:t>
            </w:r>
            <w:r>
              <w:rPr>
                <w:sz w:val="17"/>
              </w:rPr>
              <w:t>к</w:t>
            </w:r>
            <w:r>
              <w:rPr>
                <w:sz w:val="17"/>
              </w:rPr>
              <w:t>ретари</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19</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13</w:t>
            </w:r>
          </w:p>
        </w:tc>
        <w:tc>
          <w:tcPr>
            <w:tcW w:w="15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68,4</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rPr>
                <w:sz w:val="17"/>
              </w:rPr>
            </w:pPr>
            <w:r>
              <w:rPr>
                <w:sz w:val="17"/>
              </w:rPr>
              <w:t>Вторые се</w:t>
            </w:r>
            <w:r>
              <w:rPr>
                <w:sz w:val="17"/>
              </w:rPr>
              <w:t>к</w:t>
            </w:r>
            <w:r>
              <w:rPr>
                <w:sz w:val="17"/>
              </w:rPr>
              <w:t>ретари</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19</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11</w:t>
            </w:r>
          </w:p>
        </w:tc>
        <w:tc>
          <w:tcPr>
            <w:tcW w:w="15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57,9</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rPr>
                <w:sz w:val="17"/>
              </w:rPr>
            </w:pPr>
            <w:r>
              <w:rPr>
                <w:sz w:val="17"/>
              </w:rPr>
              <w:t>Третьи се</w:t>
            </w:r>
            <w:r>
              <w:rPr>
                <w:sz w:val="17"/>
              </w:rPr>
              <w:t>к</w:t>
            </w:r>
            <w:r>
              <w:rPr>
                <w:sz w:val="17"/>
              </w:rPr>
              <w:t>ретари</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22</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12</w:t>
            </w:r>
          </w:p>
        </w:tc>
        <w:tc>
          <w:tcPr>
            <w:tcW w:w="15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54,5</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rPr>
                <w:sz w:val="17"/>
              </w:rPr>
            </w:pPr>
            <w:r>
              <w:rPr>
                <w:sz w:val="17"/>
              </w:rPr>
              <w:t>Атташе</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w:t>
            </w:r>
          </w:p>
        </w:tc>
        <w:tc>
          <w:tcPr>
            <w:tcW w:w="15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w:t>
            </w:r>
          </w:p>
        </w:tc>
        <w:tc>
          <w:tcPr>
            <w:tcW w:w="15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100,0</w:t>
            </w:r>
          </w:p>
        </w:tc>
      </w:tr>
      <w:tr w:rsidR="00000000">
        <w:tblPrEx>
          <w:tblCellMar>
            <w:top w:w="0" w:type="dxa"/>
            <w:bottom w:w="0" w:type="dxa"/>
          </w:tblCellMar>
        </w:tblPrEx>
        <w:tc>
          <w:tcPr>
            <w:tcW w:w="2693" w:type="dxa"/>
            <w:tcBorders>
              <w:bottom w:val="single" w:sz="12" w:space="0" w:color="auto"/>
            </w:tcBorders>
          </w:tcPr>
          <w:p w:rsidR="00000000" w:rsidRDefault="00000000">
            <w:pPr>
              <w:pStyle w:val="SingleTxt"/>
              <w:spacing w:before="40" w:after="40" w:line="240" w:lineRule="auto"/>
              <w:ind w:left="0" w:right="0" w:firstLine="0"/>
              <w:rPr>
                <w:sz w:val="17"/>
              </w:rPr>
            </w:pPr>
            <w:r>
              <w:rPr>
                <w:sz w:val="17"/>
              </w:rPr>
              <w:t>Всего д</w:t>
            </w:r>
            <w:r>
              <w:rPr>
                <w:sz w:val="17"/>
              </w:rPr>
              <w:t>и</w:t>
            </w:r>
            <w:r>
              <w:rPr>
                <w:sz w:val="17"/>
              </w:rPr>
              <w:t>пломатов</w:t>
            </w:r>
          </w:p>
        </w:tc>
        <w:tc>
          <w:tcPr>
            <w:tcW w:w="1559"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158</w:t>
            </w:r>
          </w:p>
        </w:tc>
        <w:tc>
          <w:tcPr>
            <w:tcW w:w="1559"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60</w:t>
            </w:r>
          </w:p>
        </w:tc>
        <w:tc>
          <w:tcPr>
            <w:tcW w:w="1560"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3"/>
              </w:tabs>
              <w:spacing w:before="40" w:after="40" w:line="240" w:lineRule="auto"/>
              <w:ind w:left="0" w:right="0" w:firstLine="0"/>
              <w:rPr>
                <w:sz w:val="17"/>
              </w:rPr>
            </w:pPr>
            <w:r>
              <w:rPr>
                <w:sz w:val="17"/>
              </w:rPr>
              <w:t>38,0</w:t>
            </w:r>
          </w:p>
        </w:tc>
      </w:tr>
    </w:tbl>
    <w:p w:rsidR="00000000" w:rsidRDefault="00000000">
      <w:pPr>
        <w:pStyle w:val="SingleTxt"/>
        <w:ind w:firstLine="0"/>
      </w:pPr>
      <w:r>
        <w:rPr>
          <w:i/>
        </w:rPr>
        <w:t>Источник</w:t>
      </w:r>
      <w:r>
        <w:t>: Данные министерства иностранных дел, 26.11.2001</w:t>
      </w:r>
    </w:p>
    <w:p w:rsidR="00000000" w:rsidRDefault="00000000">
      <w:pPr>
        <w:pStyle w:val="H1"/>
        <w:ind w:left="1264" w:firstLine="0"/>
      </w:pPr>
      <w:r>
        <w:t>Статья 9</w:t>
      </w:r>
      <w:r>
        <w:br/>
        <w:t>Гражданство</w:t>
      </w:r>
    </w:p>
    <w:p w:rsidR="00000000" w:rsidRDefault="00000000">
      <w:pPr>
        <w:pStyle w:val="SingleTxt"/>
      </w:pPr>
      <w:r>
        <w:t>За период с момента представления второго доклада по Конвенции ситу</w:t>
      </w:r>
      <w:r>
        <w:t>а</w:t>
      </w:r>
      <w:r>
        <w:t>ция в этом вопросе не изменилась.</w:t>
      </w:r>
    </w:p>
    <w:p w:rsidR="00000000" w:rsidRDefault="00000000">
      <w:pPr>
        <w:pStyle w:val="H1"/>
        <w:ind w:left="1264" w:firstLine="0"/>
      </w:pPr>
      <w:r>
        <w:t>Статья 10</w:t>
      </w:r>
      <w:r>
        <w:br/>
        <w:t>Образование</w:t>
      </w:r>
    </w:p>
    <w:p w:rsidR="00000000" w:rsidRDefault="00000000">
      <w:pPr>
        <w:pStyle w:val="SingleTxt"/>
      </w:pPr>
      <w:r>
        <w:t>После подготовки второго доклада по Конвенции в законодательство по вопросам образования не было внесено никаких изменений.</w:t>
      </w:r>
    </w:p>
    <w:p w:rsidR="00000000" w:rsidRDefault="00000000">
      <w:pPr>
        <w:pStyle w:val="H23"/>
      </w:pPr>
      <w:r>
        <w:t xml:space="preserve">1. </w:t>
      </w:r>
      <w:r>
        <w:rPr>
          <w:lang w:val="en-US"/>
        </w:rPr>
        <w:tab/>
      </w:r>
      <w:r>
        <w:t>Дошкольное образование</w:t>
      </w:r>
    </w:p>
    <w:p w:rsidR="00000000" w:rsidRDefault="00000000">
      <w:pPr>
        <w:pStyle w:val="SingleTxt"/>
      </w:pPr>
      <w:r>
        <w:t>В 2000 году детские сады посещало 56,8% детей в возрасте от 1 года до 6 лет, что выше соответствующ</w:t>
      </w:r>
      <w:r>
        <w:t>е</w:t>
      </w:r>
      <w:r>
        <w:t>го показателя за 1997 год.</w:t>
      </w:r>
    </w:p>
    <w:p w:rsidR="00000000" w:rsidRDefault="00000000">
      <w:pPr>
        <w:pStyle w:val="SingleTxt"/>
      </w:pPr>
      <w:r>
        <w:t>В 2000 году возросло количество детей, посещающих детские сады и ку</w:t>
      </w:r>
      <w:r>
        <w:t>р</w:t>
      </w:r>
      <w:r>
        <w:t>сы подготовки к школьному обучению, а также количество соответствующих учреждений, отделений и численность работающего там персонала. По сравн</w:t>
      </w:r>
      <w:r>
        <w:t>е</w:t>
      </w:r>
      <w:r>
        <w:t>нию с 1997 годом доля девочек среди детей, посещающих детские сады и ку</w:t>
      </w:r>
      <w:r>
        <w:t>р</w:t>
      </w:r>
      <w:r>
        <w:t>сы подготовки к школьному обучению, остается практически на прежнем уровне.</w:t>
      </w:r>
    </w:p>
    <w:p w:rsidR="00000000" w:rsidRDefault="00000000">
      <w:pPr>
        <w:pStyle w:val="SingleTxt"/>
        <w:keepNext/>
        <w:ind w:firstLine="0"/>
        <w:jc w:val="left"/>
        <w:rPr>
          <w:b/>
        </w:rPr>
      </w:pPr>
      <w:r>
        <w:rPr>
          <w:b/>
        </w:rPr>
        <w:t>Таблица 7. Детские сады и курсы подготовки к обучению в начальной школе в 1997/98–2000/01 учебных годах</w:t>
      </w:r>
    </w:p>
    <w:tbl>
      <w:tblPr>
        <w:tblW w:w="0" w:type="auto"/>
        <w:tblInd w:w="1278" w:type="dxa"/>
        <w:tblLayout w:type="fixed"/>
        <w:tblLook w:val="0000" w:firstRow="0" w:lastRow="0" w:firstColumn="0" w:lastColumn="0" w:noHBand="0" w:noVBand="0"/>
      </w:tblPr>
      <w:tblGrid>
        <w:gridCol w:w="819"/>
        <w:gridCol w:w="819"/>
        <w:gridCol w:w="819"/>
        <w:gridCol w:w="819"/>
        <w:gridCol w:w="819"/>
        <w:gridCol w:w="819"/>
        <w:gridCol w:w="819"/>
        <w:gridCol w:w="819"/>
        <w:gridCol w:w="819"/>
      </w:tblGrid>
      <w:tr w:rsidR="00000000">
        <w:tblPrEx>
          <w:tblCellMar>
            <w:top w:w="0" w:type="dxa"/>
            <w:bottom w:w="0" w:type="dxa"/>
          </w:tblCellMar>
        </w:tblPrEx>
        <w:tc>
          <w:tcPr>
            <w:tcW w:w="819"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6"/>
              </w:rPr>
            </w:pPr>
            <w:r>
              <w:rPr>
                <w:i/>
                <w:sz w:val="16"/>
              </w:rPr>
              <w:t>Год</w:t>
            </w:r>
          </w:p>
        </w:tc>
        <w:tc>
          <w:tcPr>
            <w:tcW w:w="819"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6"/>
              </w:rPr>
            </w:pPr>
            <w:r>
              <w:rPr>
                <w:i/>
                <w:sz w:val="16"/>
              </w:rPr>
              <w:t>Колич</w:t>
            </w:r>
            <w:r>
              <w:rPr>
                <w:i/>
                <w:sz w:val="16"/>
              </w:rPr>
              <w:t>е</w:t>
            </w:r>
            <w:r>
              <w:rPr>
                <w:i/>
                <w:sz w:val="16"/>
              </w:rPr>
              <w:t>ство учре</w:t>
            </w:r>
            <w:r>
              <w:rPr>
                <w:i/>
                <w:sz w:val="16"/>
              </w:rPr>
              <w:t>ж</w:t>
            </w:r>
            <w:r>
              <w:rPr>
                <w:i/>
                <w:sz w:val="16"/>
              </w:rPr>
              <w:t>д</w:t>
            </w:r>
            <w:r>
              <w:rPr>
                <w:i/>
                <w:sz w:val="16"/>
              </w:rPr>
              <w:t>е</w:t>
            </w:r>
            <w:r>
              <w:rPr>
                <w:i/>
                <w:sz w:val="16"/>
              </w:rPr>
              <w:t>ний</w:t>
            </w:r>
          </w:p>
        </w:tc>
        <w:tc>
          <w:tcPr>
            <w:tcW w:w="819"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6"/>
              </w:rPr>
            </w:pPr>
            <w:r>
              <w:rPr>
                <w:i/>
                <w:sz w:val="16"/>
              </w:rPr>
              <w:t>Отд</w:t>
            </w:r>
            <w:r>
              <w:rPr>
                <w:i/>
                <w:sz w:val="16"/>
              </w:rPr>
              <w:t>е</w:t>
            </w:r>
            <w:r>
              <w:rPr>
                <w:i/>
                <w:sz w:val="16"/>
              </w:rPr>
              <w:t>ления</w:t>
            </w:r>
          </w:p>
        </w:tc>
        <w:tc>
          <w:tcPr>
            <w:tcW w:w="819"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6"/>
              </w:rPr>
            </w:pPr>
            <w:r>
              <w:rPr>
                <w:i/>
                <w:sz w:val="16"/>
              </w:rPr>
              <w:t>Общее колич</w:t>
            </w:r>
            <w:r>
              <w:rPr>
                <w:i/>
                <w:sz w:val="16"/>
              </w:rPr>
              <w:t>е</w:t>
            </w:r>
            <w:r>
              <w:rPr>
                <w:i/>
                <w:sz w:val="16"/>
              </w:rPr>
              <w:t>ство детей</w:t>
            </w:r>
          </w:p>
        </w:tc>
        <w:tc>
          <w:tcPr>
            <w:tcW w:w="819"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6"/>
              </w:rPr>
            </w:pPr>
            <w:r>
              <w:rPr>
                <w:i/>
                <w:sz w:val="16"/>
              </w:rPr>
              <w:t>Чи</w:t>
            </w:r>
            <w:r>
              <w:rPr>
                <w:i/>
                <w:sz w:val="16"/>
              </w:rPr>
              <w:t>с</w:t>
            </w:r>
            <w:r>
              <w:rPr>
                <w:i/>
                <w:sz w:val="16"/>
              </w:rPr>
              <w:t>ле</w:t>
            </w:r>
            <w:r>
              <w:rPr>
                <w:i/>
                <w:sz w:val="16"/>
              </w:rPr>
              <w:t>н</w:t>
            </w:r>
            <w:r>
              <w:rPr>
                <w:i/>
                <w:sz w:val="16"/>
              </w:rPr>
              <w:t>ность дев</w:t>
            </w:r>
            <w:r>
              <w:rPr>
                <w:i/>
                <w:sz w:val="16"/>
              </w:rPr>
              <w:t>о</w:t>
            </w:r>
            <w:r>
              <w:rPr>
                <w:i/>
                <w:sz w:val="16"/>
              </w:rPr>
              <w:t>чек</w:t>
            </w:r>
          </w:p>
        </w:tc>
        <w:tc>
          <w:tcPr>
            <w:tcW w:w="819"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6"/>
              </w:rPr>
            </w:pPr>
            <w:r>
              <w:rPr>
                <w:i/>
                <w:sz w:val="16"/>
              </w:rPr>
              <w:t>Пр</w:t>
            </w:r>
            <w:r>
              <w:rPr>
                <w:i/>
                <w:sz w:val="16"/>
              </w:rPr>
              <w:t>о</w:t>
            </w:r>
            <w:r>
              <w:rPr>
                <w:i/>
                <w:sz w:val="16"/>
              </w:rPr>
              <w:t>цен</w:t>
            </w:r>
            <w:r>
              <w:rPr>
                <w:i/>
                <w:sz w:val="16"/>
              </w:rPr>
              <w:t>т</w:t>
            </w:r>
            <w:r>
              <w:rPr>
                <w:i/>
                <w:sz w:val="16"/>
              </w:rPr>
              <w:t>ная д</w:t>
            </w:r>
            <w:r>
              <w:rPr>
                <w:i/>
                <w:sz w:val="16"/>
              </w:rPr>
              <w:t>о</w:t>
            </w:r>
            <w:r>
              <w:rPr>
                <w:i/>
                <w:sz w:val="16"/>
              </w:rPr>
              <w:t>ля дев</w:t>
            </w:r>
            <w:r>
              <w:rPr>
                <w:i/>
                <w:sz w:val="16"/>
              </w:rPr>
              <w:t>о</w:t>
            </w:r>
            <w:r>
              <w:rPr>
                <w:i/>
                <w:sz w:val="16"/>
              </w:rPr>
              <w:t>чек</w:t>
            </w:r>
          </w:p>
        </w:tc>
        <w:tc>
          <w:tcPr>
            <w:tcW w:w="819"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6"/>
              </w:rPr>
            </w:pPr>
            <w:r>
              <w:rPr>
                <w:i/>
                <w:sz w:val="16"/>
              </w:rPr>
              <w:t>Общая числе</w:t>
            </w:r>
            <w:r>
              <w:rPr>
                <w:i/>
                <w:sz w:val="16"/>
              </w:rPr>
              <w:t>н</w:t>
            </w:r>
            <w:r>
              <w:rPr>
                <w:i/>
                <w:sz w:val="16"/>
              </w:rPr>
              <w:t>ность перс</w:t>
            </w:r>
            <w:r>
              <w:rPr>
                <w:i/>
                <w:sz w:val="16"/>
              </w:rPr>
              <w:t>о</w:t>
            </w:r>
            <w:r>
              <w:rPr>
                <w:i/>
                <w:sz w:val="16"/>
              </w:rPr>
              <w:t>нала</w:t>
            </w:r>
          </w:p>
        </w:tc>
        <w:tc>
          <w:tcPr>
            <w:tcW w:w="819"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6"/>
              </w:rPr>
            </w:pPr>
            <w:r>
              <w:rPr>
                <w:i/>
                <w:sz w:val="16"/>
              </w:rPr>
              <w:t>Чи</w:t>
            </w:r>
            <w:r>
              <w:rPr>
                <w:i/>
                <w:sz w:val="16"/>
              </w:rPr>
              <w:t>с</w:t>
            </w:r>
            <w:r>
              <w:rPr>
                <w:i/>
                <w:sz w:val="16"/>
              </w:rPr>
              <w:t>ле</w:t>
            </w:r>
            <w:r>
              <w:rPr>
                <w:i/>
                <w:sz w:val="16"/>
              </w:rPr>
              <w:t>н</w:t>
            </w:r>
            <w:r>
              <w:rPr>
                <w:i/>
                <w:sz w:val="16"/>
              </w:rPr>
              <w:t>ность же</w:t>
            </w:r>
            <w:r>
              <w:rPr>
                <w:i/>
                <w:sz w:val="16"/>
              </w:rPr>
              <w:t>н</w:t>
            </w:r>
            <w:r>
              <w:rPr>
                <w:i/>
                <w:sz w:val="16"/>
              </w:rPr>
              <w:t>щин</w:t>
            </w:r>
          </w:p>
        </w:tc>
        <w:tc>
          <w:tcPr>
            <w:tcW w:w="819" w:type="dxa"/>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6"/>
              </w:rPr>
            </w:pPr>
            <w:r>
              <w:rPr>
                <w:i/>
                <w:sz w:val="16"/>
              </w:rPr>
              <w:t>Пр</w:t>
            </w:r>
            <w:r>
              <w:rPr>
                <w:i/>
                <w:sz w:val="16"/>
              </w:rPr>
              <w:t>о</w:t>
            </w:r>
            <w:r>
              <w:rPr>
                <w:i/>
                <w:sz w:val="16"/>
              </w:rPr>
              <w:t>цен</w:t>
            </w:r>
            <w:r>
              <w:rPr>
                <w:i/>
                <w:sz w:val="16"/>
              </w:rPr>
              <w:t>т</w:t>
            </w:r>
            <w:r>
              <w:rPr>
                <w:i/>
                <w:sz w:val="16"/>
              </w:rPr>
              <w:t>ная д</w:t>
            </w:r>
            <w:r>
              <w:rPr>
                <w:i/>
                <w:sz w:val="16"/>
              </w:rPr>
              <w:t>о</w:t>
            </w:r>
            <w:r>
              <w:rPr>
                <w:i/>
                <w:sz w:val="16"/>
              </w:rPr>
              <w:t>ля же</w:t>
            </w:r>
            <w:r>
              <w:rPr>
                <w:i/>
                <w:sz w:val="16"/>
              </w:rPr>
              <w:t>н</w:t>
            </w:r>
            <w:r>
              <w:rPr>
                <w:i/>
                <w:sz w:val="16"/>
              </w:rPr>
              <w:t>щин</w:t>
            </w:r>
          </w:p>
        </w:tc>
      </w:tr>
      <w:tr w:rsidR="00000000">
        <w:tblPrEx>
          <w:tblCellMar>
            <w:top w:w="0" w:type="dxa"/>
            <w:bottom w:w="0" w:type="dxa"/>
          </w:tblCellMar>
        </w:tblPrEx>
        <w:tc>
          <w:tcPr>
            <w:tcW w:w="819" w:type="dxa"/>
            <w:tcBorders>
              <w:top w:val="single" w:sz="12" w:space="0" w:color="auto"/>
            </w:tcBorders>
          </w:tcPr>
          <w:p w:rsidR="00000000" w:rsidRDefault="00000000">
            <w:pPr>
              <w:pStyle w:val="SingleTxt"/>
              <w:keepNext/>
              <w:spacing w:before="40" w:after="40" w:line="240" w:lineRule="auto"/>
              <w:ind w:left="0" w:right="0" w:firstLine="0"/>
              <w:rPr>
                <w:sz w:val="17"/>
              </w:rPr>
            </w:pPr>
            <w:r>
              <w:rPr>
                <w:sz w:val="17"/>
              </w:rPr>
              <w:t>1997/98</w:t>
            </w:r>
          </w:p>
        </w:tc>
        <w:tc>
          <w:tcPr>
            <w:tcW w:w="819"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793</w:t>
            </w:r>
          </w:p>
        </w:tc>
        <w:tc>
          <w:tcPr>
            <w:tcW w:w="819"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3468</w:t>
            </w:r>
          </w:p>
        </w:tc>
        <w:tc>
          <w:tcPr>
            <w:tcW w:w="819"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62662</w:t>
            </w:r>
          </w:p>
        </w:tc>
        <w:tc>
          <w:tcPr>
            <w:tcW w:w="819"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29912</w:t>
            </w:r>
          </w:p>
        </w:tc>
        <w:tc>
          <w:tcPr>
            <w:tcW w:w="819"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47,7</w:t>
            </w:r>
          </w:p>
        </w:tc>
        <w:tc>
          <w:tcPr>
            <w:tcW w:w="819"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6911</w:t>
            </w:r>
          </w:p>
        </w:tc>
        <w:tc>
          <w:tcPr>
            <w:tcW w:w="819"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6821</w:t>
            </w:r>
          </w:p>
        </w:tc>
        <w:tc>
          <w:tcPr>
            <w:tcW w:w="819" w:type="dxa"/>
            <w:tcBorders>
              <w:top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98,7</w:t>
            </w:r>
          </w:p>
        </w:tc>
      </w:tr>
      <w:tr w:rsidR="00000000">
        <w:tblPrEx>
          <w:tblCellMar>
            <w:top w:w="0" w:type="dxa"/>
            <w:bottom w:w="0" w:type="dxa"/>
          </w:tblCellMar>
        </w:tblPrEx>
        <w:tc>
          <w:tcPr>
            <w:tcW w:w="819" w:type="dxa"/>
          </w:tcPr>
          <w:p w:rsidR="00000000" w:rsidRDefault="00000000">
            <w:pPr>
              <w:pStyle w:val="SingleTxt"/>
              <w:keepNext/>
              <w:spacing w:before="40" w:after="40" w:line="240" w:lineRule="auto"/>
              <w:ind w:left="0" w:right="0" w:firstLine="0"/>
              <w:rPr>
                <w:sz w:val="17"/>
              </w:rPr>
            </w:pPr>
            <w:r>
              <w:rPr>
                <w:sz w:val="17"/>
              </w:rPr>
              <w:t>1998/99</w:t>
            </w:r>
          </w:p>
        </w:tc>
        <w:tc>
          <w:tcPr>
            <w:tcW w:w="819" w:type="dxa"/>
          </w:tcPr>
          <w:p w:rsidR="00000000" w:rsidRDefault="00000000">
            <w:pPr>
              <w:pStyle w:val="SingleTxt"/>
              <w:keepNext/>
              <w:spacing w:before="40" w:after="40" w:line="240" w:lineRule="auto"/>
              <w:ind w:left="0" w:right="0" w:firstLine="0"/>
              <w:jc w:val="center"/>
              <w:rPr>
                <w:sz w:val="17"/>
              </w:rPr>
            </w:pPr>
            <w:r>
              <w:rPr>
                <w:sz w:val="17"/>
              </w:rPr>
              <w:t>802</w:t>
            </w:r>
          </w:p>
        </w:tc>
        <w:tc>
          <w:tcPr>
            <w:tcW w:w="819" w:type="dxa"/>
          </w:tcPr>
          <w:p w:rsidR="00000000" w:rsidRDefault="00000000">
            <w:pPr>
              <w:pStyle w:val="SingleTxt"/>
              <w:keepNext/>
              <w:spacing w:before="40" w:after="40" w:line="240" w:lineRule="auto"/>
              <w:ind w:left="0" w:right="0" w:firstLine="0"/>
              <w:jc w:val="center"/>
              <w:rPr>
                <w:sz w:val="17"/>
              </w:rPr>
            </w:pPr>
            <w:r>
              <w:rPr>
                <w:sz w:val="17"/>
              </w:rPr>
              <w:t>3455</w:t>
            </w:r>
          </w:p>
        </w:tc>
        <w:tc>
          <w:tcPr>
            <w:tcW w:w="819" w:type="dxa"/>
          </w:tcPr>
          <w:p w:rsidR="00000000" w:rsidRDefault="00000000">
            <w:pPr>
              <w:pStyle w:val="SingleTxt"/>
              <w:keepNext/>
              <w:spacing w:before="40" w:after="40" w:line="240" w:lineRule="auto"/>
              <w:ind w:left="0" w:right="0" w:firstLine="0"/>
              <w:jc w:val="center"/>
              <w:rPr>
                <w:sz w:val="17"/>
              </w:rPr>
            </w:pPr>
            <w:r>
              <w:rPr>
                <w:sz w:val="17"/>
              </w:rPr>
              <w:t>62848</w:t>
            </w:r>
          </w:p>
        </w:tc>
        <w:tc>
          <w:tcPr>
            <w:tcW w:w="819" w:type="dxa"/>
          </w:tcPr>
          <w:p w:rsidR="00000000" w:rsidRDefault="00000000">
            <w:pPr>
              <w:pStyle w:val="SingleTxt"/>
              <w:keepNext/>
              <w:spacing w:before="40" w:after="40" w:line="240" w:lineRule="auto"/>
              <w:ind w:left="0" w:right="0" w:firstLine="0"/>
              <w:jc w:val="center"/>
              <w:rPr>
                <w:sz w:val="17"/>
              </w:rPr>
            </w:pPr>
            <w:r>
              <w:rPr>
                <w:sz w:val="17"/>
              </w:rPr>
              <w:t>29226</w:t>
            </w:r>
          </w:p>
        </w:tc>
        <w:tc>
          <w:tcPr>
            <w:tcW w:w="819" w:type="dxa"/>
          </w:tcPr>
          <w:p w:rsidR="00000000" w:rsidRDefault="00000000">
            <w:pPr>
              <w:pStyle w:val="SingleTxt"/>
              <w:keepNext/>
              <w:spacing w:before="40" w:after="40" w:line="240" w:lineRule="auto"/>
              <w:ind w:left="0" w:right="0" w:firstLine="0"/>
              <w:jc w:val="center"/>
              <w:rPr>
                <w:sz w:val="17"/>
              </w:rPr>
            </w:pPr>
            <w:r>
              <w:rPr>
                <w:sz w:val="17"/>
              </w:rPr>
              <w:t>46,5</w:t>
            </w:r>
          </w:p>
        </w:tc>
        <w:tc>
          <w:tcPr>
            <w:tcW w:w="819" w:type="dxa"/>
          </w:tcPr>
          <w:p w:rsidR="00000000" w:rsidRDefault="00000000">
            <w:pPr>
              <w:pStyle w:val="SingleTxt"/>
              <w:keepNext/>
              <w:spacing w:before="40" w:after="40" w:line="240" w:lineRule="auto"/>
              <w:ind w:left="0" w:right="0" w:firstLine="0"/>
              <w:jc w:val="center"/>
              <w:rPr>
                <w:sz w:val="17"/>
              </w:rPr>
            </w:pPr>
            <w:r>
              <w:rPr>
                <w:sz w:val="17"/>
              </w:rPr>
              <w:t>7012</w:t>
            </w:r>
          </w:p>
        </w:tc>
        <w:tc>
          <w:tcPr>
            <w:tcW w:w="819" w:type="dxa"/>
          </w:tcPr>
          <w:p w:rsidR="00000000" w:rsidRDefault="00000000">
            <w:pPr>
              <w:pStyle w:val="SingleTxt"/>
              <w:keepNext/>
              <w:spacing w:before="40" w:after="40" w:line="240" w:lineRule="auto"/>
              <w:ind w:left="0" w:right="0" w:firstLine="0"/>
              <w:jc w:val="center"/>
              <w:rPr>
                <w:sz w:val="17"/>
              </w:rPr>
            </w:pPr>
            <w:r>
              <w:rPr>
                <w:sz w:val="17"/>
              </w:rPr>
              <w:t>6935</w:t>
            </w:r>
          </w:p>
        </w:tc>
        <w:tc>
          <w:tcPr>
            <w:tcW w:w="819" w:type="dxa"/>
          </w:tcPr>
          <w:p w:rsidR="00000000" w:rsidRDefault="00000000">
            <w:pPr>
              <w:pStyle w:val="SingleTxt"/>
              <w:keepNext/>
              <w:spacing w:before="40" w:after="40" w:line="240" w:lineRule="auto"/>
              <w:ind w:left="0" w:right="0" w:firstLine="0"/>
              <w:jc w:val="center"/>
              <w:rPr>
                <w:sz w:val="17"/>
              </w:rPr>
            </w:pPr>
            <w:r>
              <w:rPr>
                <w:sz w:val="17"/>
              </w:rPr>
              <w:t>98,9</w:t>
            </w:r>
          </w:p>
        </w:tc>
      </w:tr>
      <w:tr w:rsidR="00000000">
        <w:tblPrEx>
          <w:tblCellMar>
            <w:top w:w="0" w:type="dxa"/>
            <w:bottom w:w="0" w:type="dxa"/>
          </w:tblCellMar>
        </w:tblPrEx>
        <w:tc>
          <w:tcPr>
            <w:tcW w:w="819" w:type="dxa"/>
          </w:tcPr>
          <w:p w:rsidR="00000000" w:rsidRDefault="00000000">
            <w:pPr>
              <w:pStyle w:val="SingleTxt"/>
              <w:keepNext/>
              <w:spacing w:before="40" w:after="40" w:line="240" w:lineRule="auto"/>
              <w:ind w:left="0" w:right="0" w:firstLine="0"/>
              <w:rPr>
                <w:sz w:val="17"/>
              </w:rPr>
            </w:pPr>
            <w:r>
              <w:rPr>
                <w:sz w:val="17"/>
              </w:rPr>
              <w:t>1999/00</w:t>
            </w:r>
          </w:p>
        </w:tc>
        <w:tc>
          <w:tcPr>
            <w:tcW w:w="819" w:type="dxa"/>
          </w:tcPr>
          <w:p w:rsidR="00000000" w:rsidRDefault="00000000">
            <w:pPr>
              <w:pStyle w:val="SingleTxt"/>
              <w:keepNext/>
              <w:spacing w:before="40" w:after="40" w:line="240" w:lineRule="auto"/>
              <w:ind w:left="0" w:right="0" w:firstLine="0"/>
              <w:jc w:val="center"/>
              <w:rPr>
                <w:sz w:val="17"/>
              </w:rPr>
            </w:pPr>
            <w:r>
              <w:rPr>
                <w:sz w:val="17"/>
              </w:rPr>
              <w:t>806</w:t>
            </w:r>
          </w:p>
        </w:tc>
        <w:tc>
          <w:tcPr>
            <w:tcW w:w="819" w:type="dxa"/>
          </w:tcPr>
          <w:p w:rsidR="00000000" w:rsidRDefault="00000000">
            <w:pPr>
              <w:pStyle w:val="SingleTxt"/>
              <w:keepNext/>
              <w:spacing w:before="40" w:after="40" w:line="240" w:lineRule="auto"/>
              <w:ind w:left="0" w:right="0" w:firstLine="0"/>
              <w:jc w:val="center"/>
              <w:rPr>
                <w:sz w:val="17"/>
              </w:rPr>
            </w:pPr>
            <w:r>
              <w:rPr>
                <w:sz w:val="17"/>
              </w:rPr>
              <w:t>3523</w:t>
            </w:r>
          </w:p>
        </w:tc>
        <w:tc>
          <w:tcPr>
            <w:tcW w:w="819" w:type="dxa"/>
          </w:tcPr>
          <w:p w:rsidR="00000000" w:rsidRDefault="00000000">
            <w:pPr>
              <w:pStyle w:val="SingleTxt"/>
              <w:keepNext/>
              <w:spacing w:before="40" w:after="40" w:line="240" w:lineRule="auto"/>
              <w:ind w:left="0" w:right="0" w:firstLine="0"/>
              <w:jc w:val="center"/>
              <w:rPr>
                <w:sz w:val="17"/>
              </w:rPr>
            </w:pPr>
            <w:r>
              <w:rPr>
                <w:sz w:val="17"/>
              </w:rPr>
              <w:t>64151</w:t>
            </w:r>
          </w:p>
        </w:tc>
        <w:tc>
          <w:tcPr>
            <w:tcW w:w="819" w:type="dxa"/>
          </w:tcPr>
          <w:p w:rsidR="00000000" w:rsidRDefault="00000000">
            <w:pPr>
              <w:pStyle w:val="SingleTxt"/>
              <w:keepNext/>
              <w:spacing w:before="40" w:after="40" w:line="240" w:lineRule="auto"/>
              <w:ind w:left="0" w:right="0" w:firstLine="0"/>
              <w:jc w:val="center"/>
              <w:rPr>
                <w:sz w:val="17"/>
              </w:rPr>
            </w:pPr>
            <w:r>
              <w:rPr>
                <w:sz w:val="17"/>
              </w:rPr>
              <w:t>30639</w:t>
            </w:r>
          </w:p>
        </w:tc>
        <w:tc>
          <w:tcPr>
            <w:tcW w:w="819" w:type="dxa"/>
          </w:tcPr>
          <w:p w:rsidR="00000000" w:rsidRDefault="00000000">
            <w:pPr>
              <w:pStyle w:val="SingleTxt"/>
              <w:keepNext/>
              <w:spacing w:before="40" w:after="40" w:line="240" w:lineRule="auto"/>
              <w:ind w:left="0" w:right="0" w:firstLine="0"/>
              <w:jc w:val="center"/>
              <w:rPr>
                <w:sz w:val="17"/>
              </w:rPr>
            </w:pPr>
            <w:r>
              <w:rPr>
                <w:sz w:val="17"/>
              </w:rPr>
              <w:t>47,8</w:t>
            </w:r>
          </w:p>
        </w:tc>
        <w:tc>
          <w:tcPr>
            <w:tcW w:w="819" w:type="dxa"/>
          </w:tcPr>
          <w:p w:rsidR="00000000" w:rsidRDefault="00000000">
            <w:pPr>
              <w:pStyle w:val="SingleTxt"/>
              <w:keepNext/>
              <w:spacing w:before="40" w:after="40" w:line="240" w:lineRule="auto"/>
              <w:ind w:left="0" w:right="0" w:firstLine="0"/>
              <w:jc w:val="center"/>
              <w:rPr>
                <w:sz w:val="17"/>
              </w:rPr>
            </w:pPr>
            <w:r>
              <w:rPr>
                <w:sz w:val="17"/>
              </w:rPr>
              <w:t>7329</w:t>
            </w:r>
          </w:p>
        </w:tc>
        <w:tc>
          <w:tcPr>
            <w:tcW w:w="819" w:type="dxa"/>
          </w:tcPr>
          <w:p w:rsidR="00000000" w:rsidRDefault="00000000">
            <w:pPr>
              <w:pStyle w:val="SingleTxt"/>
              <w:keepNext/>
              <w:spacing w:before="40" w:after="40" w:line="240" w:lineRule="auto"/>
              <w:ind w:left="0" w:right="0" w:firstLine="0"/>
              <w:jc w:val="center"/>
              <w:rPr>
                <w:sz w:val="17"/>
              </w:rPr>
            </w:pPr>
            <w:r>
              <w:rPr>
                <w:sz w:val="17"/>
              </w:rPr>
              <w:t>7272</w:t>
            </w:r>
          </w:p>
        </w:tc>
        <w:tc>
          <w:tcPr>
            <w:tcW w:w="819" w:type="dxa"/>
          </w:tcPr>
          <w:p w:rsidR="00000000" w:rsidRDefault="00000000">
            <w:pPr>
              <w:pStyle w:val="SingleTxt"/>
              <w:keepNext/>
              <w:spacing w:before="40" w:after="40" w:line="240" w:lineRule="auto"/>
              <w:ind w:left="0" w:right="0" w:firstLine="0"/>
              <w:jc w:val="center"/>
              <w:rPr>
                <w:sz w:val="17"/>
              </w:rPr>
            </w:pPr>
            <w:r>
              <w:rPr>
                <w:sz w:val="17"/>
              </w:rPr>
              <w:t>99,2</w:t>
            </w:r>
          </w:p>
        </w:tc>
      </w:tr>
      <w:tr w:rsidR="00000000">
        <w:tblPrEx>
          <w:tblCellMar>
            <w:top w:w="0" w:type="dxa"/>
            <w:bottom w:w="0" w:type="dxa"/>
          </w:tblCellMar>
        </w:tblPrEx>
        <w:tc>
          <w:tcPr>
            <w:tcW w:w="819" w:type="dxa"/>
            <w:tcBorders>
              <w:bottom w:val="single" w:sz="12" w:space="0" w:color="auto"/>
            </w:tcBorders>
          </w:tcPr>
          <w:p w:rsidR="00000000" w:rsidRDefault="00000000">
            <w:pPr>
              <w:pStyle w:val="SingleTxt"/>
              <w:keepNext/>
              <w:spacing w:before="40" w:after="40" w:line="240" w:lineRule="auto"/>
              <w:ind w:left="0" w:right="0" w:firstLine="0"/>
              <w:rPr>
                <w:sz w:val="17"/>
              </w:rPr>
            </w:pPr>
            <w:r>
              <w:rPr>
                <w:sz w:val="17"/>
              </w:rPr>
              <w:t>2000/01</w:t>
            </w:r>
          </w:p>
        </w:tc>
        <w:tc>
          <w:tcPr>
            <w:tcW w:w="819"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814</w:t>
            </w:r>
          </w:p>
        </w:tc>
        <w:tc>
          <w:tcPr>
            <w:tcW w:w="819"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3531</w:t>
            </w:r>
          </w:p>
        </w:tc>
        <w:tc>
          <w:tcPr>
            <w:tcW w:w="819"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63328</w:t>
            </w:r>
          </w:p>
        </w:tc>
        <w:tc>
          <w:tcPr>
            <w:tcW w:w="819"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30350</w:t>
            </w:r>
          </w:p>
        </w:tc>
        <w:tc>
          <w:tcPr>
            <w:tcW w:w="819"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47,9</w:t>
            </w:r>
          </w:p>
        </w:tc>
        <w:tc>
          <w:tcPr>
            <w:tcW w:w="819"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7163</w:t>
            </w:r>
          </w:p>
        </w:tc>
        <w:tc>
          <w:tcPr>
            <w:tcW w:w="819"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7022</w:t>
            </w:r>
          </w:p>
        </w:tc>
        <w:tc>
          <w:tcPr>
            <w:tcW w:w="819" w:type="dxa"/>
            <w:tcBorders>
              <w:bottom w:val="single" w:sz="12" w:space="0" w:color="auto"/>
            </w:tcBorders>
          </w:tcPr>
          <w:p w:rsidR="00000000" w:rsidRDefault="00000000">
            <w:pPr>
              <w:pStyle w:val="SingleTxt"/>
              <w:keepNext/>
              <w:spacing w:before="40" w:after="40" w:line="240" w:lineRule="auto"/>
              <w:ind w:left="0" w:right="0" w:firstLine="0"/>
              <w:jc w:val="center"/>
              <w:rPr>
                <w:sz w:val="17"/>
              </w:rPr>
            </w:pPr>
            <w:r>
              <w:rPr>
                <w:sz w:val="17"/>
              </w:rPr>
              <w:t>98,0</w:t>
            </w:r>
          </w:p>
        </w:tc>
      </w:tr>
    </w:tbl>
    <w:p w:rsidR="00000000" w:rsidRDefault="00000000">
      <w:pPr>
        <w:pStyle w:val="SingleTxt"/>
        <w:ind w:firstLine="0"/>
      </w:pPr>
      <w:r>
        <w:rPr>
          <w:i/>
        </w:rPr>
        <w:t>Источник</w:t>
      </w:r>
      <w:r>
        <w:t>: Министерство образования, науки и спорта</w:t>
      </w:r>
    </w:p>
    <w:p w:rsidR="00000000" w:rsidRDefault="00000000">
      <w:pPr>
        <w:pStyle w:val="SingleTxt"/>
      </w:pPr>
      <w:r>
        <w:t>При подсчете численности детей, посещающих детские сады, учитываю</w:t>
      </w:r>
      <w:r>
        <w:t>т</w:t>
      </w:r>
      <w:r>
        <w:t>ся и те дети, которые еще не зачислены в девятилетние начальные школы и для подготовки к школьному обучению посещают более краткосрочные курсы, о</w:t>
      </w:r>
      <w:r>
        <w:t>р</w:t>
      </w:r>
      <w:r>
        <w:t>ганизованные на базе детских садов. В 1999 году их доля среди детей, пос</w:t>
      </w:r>
      <w:r>
        <w:t>е</w:t>
      </w:r>
      <w:r>
        <w:t>щающих детские сады, составила 5,7%.</w:t>
      </w:r>
    </w:p>
    <w:p w:rsidR="00000000" w:rsidRDefault="00000000">
      <w:pPr>
        <w:pStyle w:val="H23"/>
      </w:pPr>
      <w:r>
        <w:t xml:space="preserve">2. </w:t>
      </w:r>
      <w:r>
        <w:rPr>
          <w:lang w:val="en-US"/>
        </w:rPr>
        <w:tab/>
      </w:r>
      <w:r>
        <w:t>Начальное и среднее школьное образование</w:t>
      </w:r>
    </w:p>
    <w:p w:rsidR="00000000" w:rsidRDefault="00000000">
      <w:pPr>
        <w:pStyle w:val="SingleTxt"/>
      </w:pPr>
      <w:r>
        <w:t>Имеющиеся статистические данные наглядно показывают, что числе</w:t>
      </w:r>
      <w:r>
        <w:t>н</w:t>
      </w:r>
      <w:r>
        <w:t>ность детей сокращается. Доля девочек среди учащихся начальных и средних школ практически не изменилась по сравнению с пред</w:t>
      </w:r>
      <w:r>
        <w:t>ы</w:t>
      </w:r>
      <w:r>
        <w:t>дущими годами.</w:t>
      </w:r>
    </w:p>
    <w:p w:rsidR="00000000" w:rsidRDefault="00000000">
      <w:pPr>
        <w:pStyle w:val="SingleTxt"/>
        <w:keepNext/>
        <w:ind w:firstLine="0"/>
        <w:jc w:val="left"/>
        <w:rPr>
          <w:b/>
        </w:rPr>
      </w:pPr>
      <w:r>
        <w:rPr>
          <w:b/>
        </w:rPr>
        <w:t>Таблица 8. Школы, классы, учащиеся и работники системы образ</w:t>
      </w:r>
      <w:r>
        <w:rPr>
          <w:b/>
        </w:rPr>
        <w:t>о</w:t>
      </w:r>
      <w:r>
        <w:rPr>
          <w:b/>
        </w:rPr>
        <w:t xml:space="preserve">вания </w:t>
      </w:r>
      <w:r>
        <w:rPr>
          <w:b/>
        </w:rPr>
        <w:br/>
        <w:t>в разбивке по полу в 1996/97–1999/2000 учебных годах</w:t>
      </w:r>
    </w:p>
    <w:tbl>
      <w:tblPr>
        <w:tblW w:w="0" w:type="auto"/>
        <w:tblInd w:w="1278" w:type="dxa"/>
        <w:tblLayout w:type="fixed"/>
        <w:tblLook w:val="0000" w:firstRow="0" w:lastRow="0" w:firstColumn="0" w:lastColumn="0" w:noHBand="0" w:noVBand="0"/>
      </w:tblPr>
      <w:tblGrid>
        <w:gridCol w:w="1134"/>
        <w:gridCol w:w="779"/>
        <w:gridCol w:w="780"/>
        <w:gridCol w:w="779"/>
        <w:gridCol w:w="780"/>
        <w:gridCol w:w="780"/>
        <w:gridCol w:w="779"/>
        <w:gridCol w:w="780"/>
        <w:gridCol w:w="780"/>
      </w:tblGrid>
      <w:tr w:rsidR="00000000">
        <w:tblPrEx>
          <w:tblCellMar>
            <w:top w:w="0" w:type="dxa"/>
            <w:bottom w:w="0" w:type="dxa"/>
          </w:tblCellMar>
        </w:tblPrEx>
        <w:trPr>
          <w:tblHeader/>
        </w:trPr>
        <w:tc>
          <w:tcPr>
            <w:tcW w:w="1134"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6"/>
              </w:rPr>
            </w:pPr>
            <w:r>
              <w:rPr>
                <w:i/>
                <w:sz w:val="16"/>
              </w:rPr>
              <w:t>Год</w:t>
            </w:r>
          </w:p>
        </w:tc>
        <w:tc>
          <w:tcPr>
            <w:tcW w:w="77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6"/>
              </w:rPr>
            </w:pPr>
            <w:r>
              <w:rPr>
                <w:i/>
                <w:sz w:val="16"/>
              </w:rPr>
              <w:t>Шк</w:t>
            </w:r>
            <w:r>
              <w:rPr>
                <w:i/>
                <w:sz w:val="16"/>
              </w:rPr>
              <w:t>о</w:t>
            </w:r>
            <w:r>
              <w:rPr>
                <w:i/>
                <w:sz w:val="16"/>
              </w:rPr>
              <w:t>лы</w:t>
            </w:r>
          </w:p>
        </w:tc>
        <w:tc>
          <w:tcPr>
            <w:tcW w:w="780"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6"/>
              </w:rPr>
            </w:pPr>
            <w:r>
              <w:rPr>
                <w:i/>
                <w:sz w:val="16"/>
              </w:rPr>
              <w:t>Кла</w:t>
            </w:r>
            <w:r>
              <w:rPr>
                <w:i/>
                <w:sz w:val="16"/>
              </w:rPr>
              <w:t>с</w:t>
            </w:r>
            <w:r>
              <w:rPr>
                <w:i/>
                <w:sz w:val="16"/>
              </w:rPr>
              <w:t>сы</w:t>
            </w:r>
          </w:p>
        </w:tc>
        <w:tc>
          <w:tcPr>
            <w:tcW w:w="77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6"/>
              </w:rPr>
            </w:pPr>
            <w:r>
              <w:rPr>
                <w:i/>
                <w:sz w:val="16"/>
              </w:rPr>
              <w:t>Общее колич</w:t>
            </w:r>
            <w:r>
              <w:rPr>
                <w:i/>
                <w:sz w:val="16"/>
              </w:rPr>
              <w:t>е</w:t>
            </w:r>
            <w:r>
              <w:rPr>
                <w:i/>
                <w:sz w:val="16"/>
              </w:rPr>
              <w:t>ство уч</w:t>
            </w:r>
            <w:r>
              <w:rPr>
                <w:i/>
                <w:sz w:val="16"/>
              </w:rPr>
              <w:t>а</w:t>
            </w:r>
            <w:r>
              <w:rPr>
                <w:i/>
                <w:sz w:val="16"/>
              </w:rPr>
              <w:t>щихся</w:t>
            </w:r>
          </w:p>
        </w:tc>
        <w:tc>
          <w:tcPr>
            <w:tcW w:w="780"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6"/>
              </w:rPr>
            </w:pPr>
            <w:r>
              <w:rPr>
                <w:i/>
                <w:sz w:val="16"/>
              </w:rPr>
              <w:t>Кол</w:t>
            </w:r>
            <w:r>
              <w:rPr>
                <w:i/>
                <w:sz w:val="16"/>
              </w:rPr>
              <w:t>и</w:t>
            </w:r>
            <w:r>
              <w:rPr>
                <w:i/>
                <w:sz w:val="16"/>
              </w:rPr>
              <w:t>чество же</w:t>
            </w:r>
            <w:r>
              <w:rPr>
                <w:i/>
                <w:sz w:val="16"/>
              </w:rPr>
              <w:t>н</w:t>
            </w:r>
            <w:r>
              <w:rPr>
                <w:i/>
                <w:sz w:val="16"/>
              </w:rPr>
              <w:t>щин</w:t>
            </w:r>
          </w:p>
        </w:tc>
        <w:tc>
          <w:tcPr>
            <w:tcW w:w="780"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6"/>
              </w:rPr>
            </w:pPr>
            <w:r>
              <w:rPr>
                <w:i/>
                <w:sz w:val="16"/>
              </w:rPr>
              <w:t>Пр</w:t>
            </w:r>
            <w:r>
              <w:rPr>
                <w:i/>
                <w:sz w:val="16"/>
              </w:rPr>
              <w:t>о</w:t>
            </w:r>
            <w:r>
              <w:rPr>
                <w:i/>
                <w:sz w:val="16"/>
              </w:rPr>
              <w:t>цен</w:t>
            </w:r>
            <w:r>
              <w:rPr>
                <w:i/>
                <w:sz w:val="16"/>
              </w:rPr>
              <w:t>т</w:t>
            </w:r>
            <w:r>
              <w:rPr>
                <w:i/>
                <w:sz w:val="16"/>
              </w:rPr>
              <w:t>ная д</w:t>
            </w:r>
            <w:r>
              <w:rPr>
                <w:i/>
                <w:sz w:val="16"/>
              </w:rPr>
              <w:t>о</w:t>
            </w:r>
            <w:r>
              <w:rPr>
                <w:i/>
                <w:sz w:val="16"/>
              </w:rPr>
              <w:t>ля же</w:t>
            </w:r>
            <w:r>
              <w:rPr>
                <w:i/>
                <w:sz w:val="16"/>
              </w:rPr>
              <w:t>н</w:t>
            </w:r>
            <w:r>
              <w:rPr>
                <w:i/>
                <w:sz w:val="16"/>
              </w:rPr>
              <w:t>щин</w:t>
            </w:r>
          </w:p>
        </w:tc>
        <w:tc>
          <w:tcPr>
            <w:tcW w:w="77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6"/>
              </w:rPr>
            </w:pPr>
            <w:r>
              <w:rPr>
                <w:i/>
                <w:sz w:val="16"/>
              </w:rPr>
              <w:t>Общая чи</w:t>
            </w:r>
            <w:r>
              <w:rPr>
                <w:i/>
                <w:sz w:val="16"/>
              </w:rPr>
              <w:t>с</w:t>
            </w:r>
            <w:r>
              <w:rPr>
                <w:i/>
                <w:sz w:val="16"/>
              </w:rPr>
              <w:t>ле</w:t>
            </w:r>
            <w:r>
              <w:rPr>
                <w:i/>
                <w:sz w:val="16"/>
              </w:rPr>
              <w:t>н</w:t>
            </w:r>
            <w:r>
              <w:rPr>
                <w:i/>
                <w:sz w:val="16"/>
              </w:rPr>
              <w:t>ность зан</w:t>
            </w:r>
            <w:r>
              <w:rPr>
                <w:i/>
                <w:sz w:val="16"/>
              </w:rPr>
              <w:t>я</w:t>
            </w:r>
            <w:r>
              <w:rPr>
                <w:i/>
                <w:sz w:val="16"/>
              </w:rPr>
              <w:t>тых</w:t>
            </w:r>
          </w:p>
        </w:tc>
        <w:tc>
          <w:tcPr>
            <w:tcW w:w="780"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6"/>
              </w:rPr>
            </w:pPr>
            <w:r>
              <w:rPr>
                <w:i/>
                <w:sz w:val="16"/>
              </w:rPr>
              <w:t>Кол</w:t>
            </w:r>
            <w:r>
              <w:rPr>
                <w:i/>
                <w:sz w:val="16"/>
              </w:rPr>
              <w:t>и</w:t>
            </w:r>
            <w:r>
              <w:rPr>
                <w:i/>
                <w:sz w:val="16"/>
              </w:rPr>
              <w:t>чество же</w:t>
            </w:r>
            <w:r>
              <w:rPr>
                <w:i/>
                <w:sz w:val="16"/>
              </w:rPr>
              <w:t>н</w:t>
            </w:r>
            <w:r>
              <w:rPr>
                <w:i/>
                <w:sz w:val="16"/>
              </w:rPr>
              <w:t>щин</w:t>
            </w:r>
          </w:p>
        </w:tc>
        <w:tc>
          <w:tcPr>
            <w:tcW w:w="780"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6"/>
              </w:rPr>
            </w:pPr>
            <w:r>
              <w:rPr>
                <w:i/>
                <w:sz w:val="16"/>
              </w:rPr>
              <w:t>Пр</w:t>
            </w:r>
            <w:r>
              <w:rPr>
                <w:i/>
                <w:sz w:val="16"/>
              </w:rPr>
              <w:t>о</w:t>
            </w:r>
            <w:r>
              <w:rPr>
                <w:i/>
                <w:sz w:val="16"/>
              </w:rPr>
              <w:t>цен</w:t>
            </w:r>
            <w:r>
              <w:rPr>
                <w:i/>
                <w:sz w:val="16"/>
              </w:rPr>
              <w:t>т</w:t>
            </w:r>
            <w:r>
              <w:rPr>
                <w:i/>
                <w:sz w:val="16"/>
              </w:rPr>
              <w:t>ная д</w:t>
            </w:r>
            <w:r>
              <w:rPr>
                <w:i/>
                <w:sz w:val="16"/>
              </w:rPr>
              <w:t>о</w:t>
            </w:r>
            <w:r>
              <w:rPr>
                <w:i/>
                <w:sz w:val="16"/>
              </w:rPr>
              <w:t>ля же</w:t>
            </w:r>
            <w:r>
              <w:rPr>
                <w:i/>
                <w:sz w:val="16"/>
              </w:rPr>
              <w:t>н</w:t>
            </w:r>
            <w:r>
              <w:rPr>
                <w:i/>
                <w:sz w:val="16"/>
              </w:rPr>
              <w:t>щин</w:t>
            </w:r>
          </w:p>
        </w:tc>
      </w:tr>
      <w:tr w:rsidR="00000000">
        <w:tblPrEx>
          <w:tblCellMar>
            <w:top w:w="0" w:type="dxa"/>
            <w:bottom w:w="0" w:type="dxa"/>
          </w:tblCellMar>
        </w:tblPrEx>
        <w:tc>
          <w:tcPr>
            <w:tcW w:w="7371" w:type="dxa"/>
            <w:gridSpan w:val="9"/>
            <w:tcBorders>
              <w:top w:val="single" w:sz="12" w:space="0" w:color="auto"/>
              <w:bottom w:val="single" w:sz="6" w:space="0" w:color="auto"/>
            </w:tcBorders>
          </w:tcPr>
          <w:p w:rsidR="00000000" w:rsidRDefault="00000000">
            <w:pPr>
              <w:pStyle w:val="SingleTxt"/>
              <w:spacing w:before="40" w:after="40" w:line="240" w:lineRule="auto"/>
              <w:ind w:left="0" w:right="0" w:firstLine="0"/>
              <w:rPr>
                <w:sz w:val="17"/>
              </w:rPr>
            </w:pPr>
            <w:r>
              <w:rPr>
                <w:sz w:val="17"/>
              </w:rPr>
              <w:t>Начальные школы</w:t>
            </w:r>
          </w:p>
        </w:tc>
      </w:tr>
      <w:tr w:rsidR="00000000">
        <w:tblPrEx>
          <w:tblCellMar>
            <w:top w:w="0" w:type="dxa"/>
            <w:bottom w:w="0" w:type="dxa"/>
          </w:tblCellMar>
        </w:tblPrEx>
        <w:tc>
          <w:tcPr>
            <w:tcW w:w="1134" w:type="dxa"/>
            <w:tcBorders>
              <w:top w:val="single" w:sz="6" w:space="0" w:color="auto"/>
            </w:tcBorders>
          </w:tcPr>
          <w:p w:rsidR="00000000" w:rsidRDefault="00000000">
            <w:pPr>
              <w:pStyle w:val="SingleTxt"/>
              <w:spacing w:before="40" w:after="40" w:line="240" w:lineRule="auto"/>
              <w:ind w:left="0" w:right="0" w:firstLine="0"/>
              <w:rPr>
                <w:sz w:val="17"/>
              </w:rPr>
            </w:pPr>
            <w:r>
              <w:rPr>
                <w:sz w:val="17"/>
              </w:rPr>
              <w:t>1996/97</w:t>
            </w:r>
          </w:p>
        </w:tc>
        <w:tc>
          <w:tcPr>
            <w:tcW w:w="779"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443</w:t>
            </w:r>
          </w:p>
        </w:tc>
        <w:tc>
          <w:tcPr>
            <w:tcW w:w="780"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9367</w:t>
            </w:r>
          </w:p>
        </w:tc>
        <w:tc>
          <w:tcPr>
            <w:tcW w:w="779"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200437</w:t>
            </w:r>
          </w:p>
        </w:tc>
        <w:tc>
          <w:tcPr>
            <w:tcW w:w="780"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98017</w:t>
            </w:r>
          </w:p>
        </w:tc>
        <w:tc>
          <w:tcPr>
            <w:tcW w:w="780"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48,9</w:t>
            </w:r>
          </w:p>
        </w:tc>
        <w:tc>
          <w:tcPr>
            <w:tcW w:w="779"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15443</w:t>
            </w:r>
          </w:p>
        </w:tc>
        <w:tc>
          <w:tcPr>
            <w:tcW w:w="780"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13146</w:t>
            </w:r>
          </w:p>
        </w:tc>
        <w:tc>
          <w:tcPr>
            <w:tcW w:w="780"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85,1</w:t>
            </w:r>
          </w:p>
        </w:tc>
      </w:tr>
      <w:tr w:rsidR="00000000">
        <w:tblPrEx>
          <w:tblCellMar>
            <w:top w:w="0" w:type="dxa"/>
            <w:bottom w:w="0" w:type="dxa"/>
          </w:tblCellMar>
        </w:tblPrEx>
        <w:tc>
          <w:tcPr>
            <w:tcW w:w="1134" w:type="dxa"/>
          </w:tcPr>
          <w:p w:rsidR="00000000" w:rsidRDefault="00000000">
            <w:pPr>
              <w:pStyle w:val="SingleTxt"/>
              <w:spacing w:before="40" w:after="40" w:line="240" w:lineRule="auto"/>
              <w:ind w:left="0" w:right="0" w:firstLine="0"/>
              <w:rPr>
                <w:sz w:val="17"/>
              </w:rPr>
            </w:pPr>
            <w:r>
              <w:rPr>
                <w:sz w:val="17"/>
              </w:rPr>
              <w:t>1997/98</w:t>
            </w:r>
          </w:p>
        </w:tc>
        <w:tc>
          <w:tcPr>
            <w:tcW w:w="779" w:type="dxa"/>
          </w:tcPr>
          <w:p w:rsidR="00000000" w:rsidRDefault="00000000">
            <w:pPr>
              <w:pStyle w:val="SingleTxt"/>
              <w:spacing w:before="40" w:after="40" w:line="240" w:lineRule="auto"/>
              <w:ind w:left="0" w:right="0" w:firstLine="0"/>
              <w:jc w:val="center"/>
              <w:rPr>
                <w:sz w:val="17"/>
              </w:rPr>
            </w:pPr>
            <w:r>
              <w:rPr>
                <w:sz w:val="17"/>
              </w:rPr>
              <w:t>444</w:t>
            </w:r>
          </w:p>
        </w:tc>
        <w:tc>
          <w:tcPr>
            <w:tcW w:w="780" w:type="dxa"/>
          </w:tcPr>
          <w:p w:rsidR="00000000" w:rsidRDefault="00000000">
            <w:pPr>
              <w:pStyle w:val="SingleTxt"/>
              <w:spacing w:before="40" w:after="40" w:line="240" w:lineRule="auto"/>
              <w:ind w:left="0" w:right="0" w:firstLine="0"/>
              <w:jc w:val="center"/>
              <w:rPr>
                <w:sz w:val="17"/>
              </w:rPr>
            </w:pPr>
            <w:r>
              <w:rPr>
                <w:sz w:val="17"/>
              </w:rPr>
              <w:t>9308</w:t>
            </w:r>
          </w:p>
        </w:tc>
        <w:tc>
          <w:tcPr>
            <w:tcW w:w="779" w:type="dxa"/>
          </w:tcPr>
          <w:p w:rsidR="00000000" w:rsidRDefault="00000000">
            <w:pPr>
              <w:pStyle w:val="SingleTxt"/>
              <w:spacing w:before="40" w:after="40" w:line="240" w:lineRule="auto"/>
              <w:ind w:left="0" w:right="0" w:firstLine="0"/>
              <w:jc w:val="center"/>
              <w:rPr>
                <w:sz w:val="17"/>
              </w:rPr>
            </w:pPr>
            <w:r>
              <w:rPr>
                <w:sz w:val="17"/>
              </w:rPr>
              <w:t>194883</w:t>
            </w:r>
          </w:p>
        </w:tc>
        <w:tc>
          <w:tcPr>
            <w:tcW w:w="780" w:type="dxa"/>
          </w:tcPr>
          <w:p w:rsidR="00000000" w:rsidRDefault="00000000">
            <w:pPr>
              <w:pStyle w:val="SingleTxt"/>
              <w:spacing w:before="40" w:after="40" w:line="240" w:lineRule="auto"/>
              <w:ind w:left="0" w:right="0" w:firstLine="0"/>
              <w:jc w:val="center"/>
              <w:rPr>
                <w:sz w:val="17"/>
              </w:rPr>
            </w:pPr>
            <w:r>
              <w:rPr>
                <w:sz w:val="17"/>
              </w:rPr>
              <w:t>95479</w:t>
            </w:r>
          </w:p>
        </w:tc>
        <w:tc>
          <w:tcPr>
            <w:tcW w:w="780" w:type="dxa"/>
          </w:tcPr>
          <w:p w:rsidR="00000000" w:rsidRDefault="00000000">
            <w:pPr>
              <w:pStyle w:val="SingleTxt"/>
              <w:spacing w:before="40" w:after="40" w:line="240" w:lineRule="auto"/>
              <w:ind w:left="0" w:right="0" w:firstLine="0"/>
              <w:jc w:val="center"/>
              <w:rPr>
                <w:sz w:val="17"/>
              </w:rPr>
            </w:pPr>
            <w:r>
              <w:rPr>
                <w:sz w:val="17"/>
              </w:rPr>
              <w:t>49,0</w:t>
            </w:r>
          </w:p>
        </w:tc>
        <w:tc>
          <w:tcPr>
            <w:tcW w:w="779" w:type="dxa"/>
          </w:tcPr>
          <w:p w:rsidR="00000000" w:rsidRDefault="00000000">
            <w:pPr>
              <w:pStyle w:val="SingleTxt"/>
              <w:spacing w:before="40" w:after="40" w:line="240" w:lineRule="auto"/>
              <w:ind w:left="0" w:right="0" w:firstLine="0"/>
              <w:jc w:val="center"/>
              <w:rPr>
                <w:sz w:val="17"/>
              </w:rPr>
            </w:pPr>
            <w:r>
              <w:rPr>
                <w:sz w:val="17"/>
              </w:rPr>
              <w:t>15311</w:t>
            </w:r>
          </w:p>
        </w:tc>
        <w:tc>
          <w:tcPr>
            <w:tcW w:w="780" w:type="dxa"/>
          </w:tcPr>
          <w:p w:rsidR="00000000" w:rsidRDefault="00000000">
            <w:pPr>
              <w:pStyle w:val="SingleTxt"/>
              <w:spacing w:before="40" w:after="40" w:line="240" w:lineRule="auto"/>
              <w:ind w:left="0" w:right="0" w:firstLine="0"/>
              <w:jc w:val="center"/>
              <w:rPr>
                <w:sz w:val="17"/>
              </w:rPr>
            </w:pPr>
            <w:r>
              <w:rPr>
                <w:sz w:val="17"/>
              </w:rPr>
              <w:t>12983</w:t>
            </w:r>
          </w:p>
        </w:tc>
        <w:tc>
          <w:tcPr>
            <w:tcW w:w="780" w:type="dxa"/>
          </w:tcPr>
          <w:p w:rsidR="00000000" w:rsidRDefault="00000000">
            <w:pPr>
              <w:pStyle w:val="SingleTxt"/>
              <w:spacing w:before="40" w:after="40" w:line="240" w:lineRule="auto"/>
              <w:ind w:left="0" w:right="0" w:firstLine="0"/>
              <w:jc w:val="center"/>
              <w:rPr>
                <w:sz w:val="17"/>
              </w:rPr>
            </w:pPr>
            <w:r>
              <w:rPr>
                <w:sz w:val="17"/>
              </w:rPr>
              <w:t>84,8</w:t>
            </w:r>
          </w:p>
        </w:tc>
      </w:tr>
      <w:tr w:rsidR="00000000">
        <w:tblPrEx>
          <w:tblCellMar>
            <w:top w:w="0" w:type="dxa"/>
            <w:bottom w:w="0" w:type="dxa"/>
          </w:tblCellMar>
        </w:tblPrEx>
        <w:tc>
          <w:tcPr>
            <w:tcW w:w="1134" w:type="dxa"/>
          </w:tcPr>
          <w:p w:rsidR="00000000" w:rsidRDefault="00000000">
            <w:pPr>
              <w:pStyle w:val="SingleTxt"/>
              <w:spacing w:before="40" w:after="40" w:line="240" w:lineRule="auto"/>
              <w:ind w:left="0" w:right="0" w:firstLine="0"/>
              <w:rPr>
                <w:sz w:val="17"/>
              </w:rPr>
            </w:pPr>
            <w:r>
              <w:rPr>
                <w:sz w:val="17"/>
              </w:rPr>
              <w:t>1998/99</w:t>
            </w:r>
          </w:p>
        </w:tc>
        <w:tc>
          <w:tcPr>
            <w:tcW w:w="779" w:type="dxa"/>
          </w:tcPr>
          <w:p w:rsidR="00000000" w:rsidRDefault="00000000">
            <w:pPr>
              <w:pStyle w:val="SingleTxt"/>
              <w:spacing w:before="40" w:after="40" w:line="240" w:lineRule="auto"/>
              <w:ind w:left="0" w:right="0" w:firstLine="0"/>
              <w:jc w:val="center"/>
              <w:rPr>
                <w:sz w:val="17"/>
              </w:rPr>
            </w:pPr>
            <w:r>
              <w:rPr>
                <w:sz w:val="17"/>
              </w:rPr>
              <w:t>444</w:t>
            </w:r>
          </w:p>
        </w:tc>
        <w:tc>
          <w:tcPr>
            <w:tcW w:w="780" w:type="dxa"/>
          </w:tcPr>
          <w:p w:rsidR="00000000" w:rsidRDefault="00000000">
            <w:pPr>
              <w:pStyle w:val="SingleTxt"/>
              <w:spacing w:before="40" w:after="40" w:line="240" w:lineRule="auto"/>
              <w:ind w:left="0" w:right="0" w:firstLine="0"/>
              <w:jc w:val="center"/>
              <w:rPr>
                <w:sz w:val="17"/>
              </w:rPr>
            </w:pPr>
            <w:r>
              <w:rPr>
                <w:sz w:val="17"/>
              </w:rPr>
              <w:t>9210</w:t>
            </w:r>
          </w:p>
        </w:tc>
        <w:tc>
          <w:tcPr>
            <w:tcW w:w="779" w:type="dxa"/>
          </w:tcPr>
          <w:p w:rsidR="00000000" w:rsidRDefault="00000000">
            <w:pPr>
              <w:pStyle w:val="SingleTxt"/>
              <w:spacing w:before="40" w:after="40" w:line="240" w:lineRule="auto"/>
              <w:ind w:left="0" w:right="0" w:firstLine="0"/>
              <w:jc w:val="center"/>
              <w:rPr>
                <w:sz w:val="17"/>
              </w:rPr>
            </w:pPr>
            <w:r>
              <w:rPr>
                <w:sz w:val="17"/>
              </w:rPr>
              <w:t>189564</w:t>
            </w:r>
          </w:p>
        </w:tc>
        <w:tc>
          <w:tcPr>
            <w:tcW w:w="780" w:type="dxa"/>
          </w:tcPr>
          <w:p w:rsidR="00000000" w:rsidRDefault="00000000">
            <w:pPr>
              <w:pStyle w:val="SingleTxt"/>
              <w:spacing w:before="40" w:after="40" w:line="240" w:lineRule="auto"/>
              <w:ind w:left="0" w:right="0" w:firstLine="0"/>
              <w:jc w:val="center"/>
              <w:rPr>
                <w:sz w:val="17"/>
              </w:rPr>
            </w:pPr>
            <w:r>
              <w:rPr>
                <w:sz w:val="17"/>
              </w:rPr>
              <w:t>92694</w:t>
            </w:r>
          </w:p>
        </w:tc>
        <w:tc>
          <w:tcPr>
            <w:tcW w:w="780" w:type="dxa"/>
          </w:tcPr>
          <w:p w:rsidR="00000000" w:rsidRDefault="00000000">
            <w:pPr>
              <w:pStyle w:val="SingleTxt"/>
              <w:spacing w:before="40" w:after="40" w:line="240" w:lineRule="auto"/>
              <w:ind w:left="0" w:right="0" w:firstLine="0"/>
              <w:jc w:val="center"/>
              <w:rPr>
                <w:sz w:val="17"/>
              </w:rPr>
            </w:pPr>
            <w:r>
              <w:rPr>
                <w:sz w:val="17"/>
              </w:rPr>
              <w:t>48,9</w:t>
            </w:r>
          </w:p>
        </w:tc>
        <w:tc>
          <w:tcPr>
            <w:tcW w:w="779" w:type="dxa"/>
          </w:tcPr>
          <w:p w:rsidR="00000000" w:rsidRDefault="00000000">
            <w:pPr>
              <w:pStyle w:val="SingleTxt"/>
              <w:spacing w:before="40" w:after="40" w:line="240" w:lineRule="auto"/>
              <w:ind w:left="0" w:right="0" w:firstLine="0"/>
              <w:jc w:val="center"/>
              <w:rPr>
                <w:sz w:val="17"/>
              </w:rPr>
            </w:pPr>
            <w:r>
              <w:rPr>
                <w:sz w:val="17"/>
              </w:rPr>
              <w:t>15140</w:t>
            </w:r>
          </w:p>
        </w:tc>
        <w:tc>
          <w:tcPr>
            <w:tcW w:w="780" w:type="dxa"/>
          </w:tcPr>
          <w:p w:rsidR="00000000" w:rsidRDefault="00000000">
            <w:pPr>
              <w:pStyle w:val="SingleTxt"/>
              <w:spacing w:before="40" w:after="40" w:line="240" w:lineRule="auto"/>
              <w:ind w:left="0" w:right="0" w:firstLine="0"/>
              <w:jc w:val="center"/>
              <w:rPr>
                <w:sz w:val="17"/>
              </w:rPr>
            </w:pPr>
            <w:r>
              <w:rPr>
                <w:sz w:val="17"/>
              </w:rPr>
              <w:t>12820</w:t>
            </w:r>
          </w:p>
        </w:tc>
        <w:tc>
          <w:tcPr>
            <w:tcW w:w="780" w:type="dxa"/>
          </w:tcPr>
          <w:p w:rsidR="00000000" w:rsidRDefault="00000000">
            <w:pPr>
              <w:pStyle w:val="SingleTxt"/>
              <w:spacing w:before="40" w:after="40" w:line="240" w:lineRule="auto"/>
              <w:ind w:left="0" w:right="0" w:firstLine="0"/>
              <w:jc w:val="center"/>
              <w:rPr>
                <w:sz w:val="17"/>
              </w:rPr>
            </w:pPr>
            <w:r>
              <w:rPr>
                <w:sz w:val="17"/>
              </w:rPr>
              <w:t>84,7</w:t>
            </w:r>
          </w:p>
        </w:tc>
      </w:tr>
      <w:tr w:rsidR="00000000">
        <w:tblPrEx>
          <w:tblCellMar>
            <w:top w:w="0" w:type="dxa"/>
            <w:bottom w:w="0" w:type="dxa"/>
          </w:tblCellMar>
        </w:tblPrEx>
        <w:tc>
          <w:tcPr>
            <w:tcW w:w="1134" w:type="dxa"/>
            <w:tcBorders>
              <w:bottom w:val="single" w:sz="6" w:space="0" w:color="auto"/>
            </w:tcBorders>
          </w:tcPr>
          <w:p w:rsidR="00000000" w:rsidRDefault="00000000">
            <w:pPr>
              <w:pStyle w:val="SingleTxt"/>
              <w:spacing w:before="40" w:after="40" w:line="240" w:lineRule="auto"/>
              <w:ind w:left="0" w:right="0" w:firstLine="0"/>
              <w:rPr>
                <w:sz w:val="17"/>
              </w:rPr>
            </w:pPr>
            <w:r>
              <w:rPr>
                <w:sz w:val="17"/>
              </w:rPr>
              <w:t>1999/00</w:t>
            </w:r>
          </w:p>
        </w:tc>
        <w:tc>
          <w:tcPr>
            <w:tcW w:w="779"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444</w:t>
            </w:r>
          </w:p>
        </w:tc>
        <w:tc>
          <w:tcPr>
            <w:tcW w:w="780"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9117</w:t>
            </w:r>
          </w:p>
        </w:tc>
        <w:tc>
          <w:tcPr>
            <w:tcW w:w="779"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185034</w:t>
            </w:r>
          </w:p>
        </w:tc>
        <w:tc>
          <w:tcPr>
            <w:tcW w:w="780"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90358</w:t>
            </w:r>
          </w:p>
        </w:tc>
        <w:tc>
          <w:tcPr>
            <w:tcW w:w="780"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48,8</w:t>
            </w:r>
          </w:p>
        </w:tc>
        <w:tc>
          <w:tcPr>
            <w:tcW w:w="779"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15287</w:t>
            </w:r>
          </w:p>
        </w:tc>
        <w:tc>
          <w:tcPr>
            <w:tcW w:w="780"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12989</w:t>
            </w:r>
          </w:p>
        </w:tc>
        <w:tc>
          <w:tcPr>
            <w:tcW w:w="780"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85,0</w:t>
            </w:r>
          </w:p>
        </w:tc>
      </w:tr>
      <w:tr w:rsidR="00000000">
        <w:tblPrEx>
          <w:tblCellMar>
            <w:top w:w="0" w:type="dxa"/>
            <w:bottom w:w="0" w:type="dxa"/>
          </w:tblCellMar>
        </w:tblPrEx>
        <w:tc>
          <w:tcPr>
            <w:tcW w:w="7371" w:type="dxa"/>
            <w:gridSpan w:val="9"/>
            <w:tcBorders>
              <w:top w:val="single" w:sz="6" w:space="0" w:color="auto"/>
              <w:bottom w:val="single" w:sz="6" w:space="0" w:color="auto"/>
            </w:tcBorders>
          </w:tcPr>
          <w:p w:rsidR="00000000" w:rsidRDefault="00000000">
            <w:pPr>
              <w:pStyle w:val="SingleTxt"/>
              <w:spacing w:before="40" w:after="40" w:line="240" w:lineRule="auto"/>
              <w:ind w:left="0" w:right="0" w:firstLine="0"/>
              <w:rPr>
                <w:sz w:val="17"/>
              </w:rPr>
            </w:pPr>
            <w:r>
              <w:rPr>
                <w:sz w:val="17"/>
              </w:rPr>
              <w:t>Средние школы</w:t>
            </w:r>
          </w:p>
        </w:tc>
      </w:tr>
      <w:tr w:rsidR="00000000">
        <w:tblPrEx>
          <w:tblCellMar>
            <w:top w:w="0" w:type="dxa"/>
            <w:bottom w:w="0" w:type="dxa"/>
          </w:tblCellMar>
        </w:tblPrEx>
        <w:tc>
          <w:tcPr>
            <w:tcW w:w="1134" w:type="dxa"/>
            <w:tcBorders>
              <w:top w:val="single" w:sz="6" w:space="0" w:color="auto"/>
            </w:tcBorders>
          </w:tcPr>
          <w:p w:rsidR="00000000" w:rsidRDefault="00000000">
            <w:pPr>
              <w:pStyle w:val="SingleTxt"/>
              <w:spacing w:before="40" w:after="40" w:line="240" w:lineRule="auto"/>
              <w:ind w:left="0" w:right="0" w:firstLine="0"/>
              <w:rPr>
                <w:sz w:val="17"/>
              </w:rPr>
            </w:pPr>
            <w:r>
              <w:rPr>
                <w:sz w:val="17"/>
              </w:rPr>
              <w:t>1996/97</w:t>
            </w:r>
          </w:p>
        </w:tc>
        <w:tc>
          <w:tcPr>
            <w:tcW w:w="779"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153</w:t>
            </w:r>
          </w:p>
        </w:tc>
        <w:tc>
          <w:tcPr>
            <w:tcW w:w="780"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4003</w:t>
            </w:r>
          </w:p>
        </w:tc>
        <w:tc>
          <w:tcPr>
            <w:tcW w:w="779"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104679</w:t>
            </w:r>
          </w:p>
        </w:tc>
        <w:tc>
          <w:tcPr>
            <w:tcW w:w="780"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52174</w:t>
            </w:r>
          </w:p>
        </w:tc>
        <w:tc>
          <w:tcPr>
            <w:tcW w:w="780"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49,8</w:t>
            </w:r>
          </w:p>
        </w:tc>
        <w:tc>
          <w:tcPr>
            <w:tcW w:w="779"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8580</w:t>
            </w:r>
          </w:p>
        </w:tc>
        <w:tc>
          <w:tcPr>
            <w:tcW w:w="780"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5229</w:t>
            </w:r>
          </w:p>
        </w:tc>
        <w:tc>
          <w:tcPr>
            <w:tcW w:w="780" w:type="dxa"/>
            <w:tcBorders>
              <w:top w:val="single" w:sz="6" w:space="0" w:color="auto"/>
            </w:tcBorders>
          </w:tcPr>
          <w:p w:rsidR="00000000" w:rsidRDefault="00000000">
            <w:pPr>
              <w:pStyle w:val="SingleTxt"/>
              <w:spacing w:before="40" w:after="40" w:line="240" w:lineRule="auto"/>
              <w:ind w:left="0" w:right="0" w:firstLine="0"/>
              <w:jc w:val="center"/>
              <w:rPr>
                <w:sz w:val="17"/>
              </w:rPr>
            </w:pPr>
            <w:r>
              <w:rPr>
                <w:sz w:val="17"/>
              </w:rPr>
              <w:t>60,9</w:t>
            </w:r>
          </w:p>
        </w:tc>
      </w:tr>
      <w:tr w:rsidR="00000000">
        <w:tblPrEx>
          <w:tblCellMar>
            <w:top w:w="0" w:type="dxa"/>
            <w:bottom w:w="0" w:type="dxa"/>
          </w:tblCellMar>
        </w:tblPrEx>
        <w:tc>
          <w:tcPr>
            <w:tcW w:w="1134" w:type="dxa"/>
          </w:tcPr>
          <w:p w:rsidR="00000000" w:rsidRDefault="00000000">
            <w:pPr>
              <w:pStyle w:val="SingleTxt"/>
              <w:spacing w:before="40" w:after="40" w:line="240" w:lineRule="auto"/>
              <w:ind w:left="0" w:right="0" w:firstLine="0"/>
              <w:rPr>
                <w:sz w:val="17"/>
              </w:rPr>
            </w:pPr>
            <w:r>
              <w:rPr>
                <w:sz w:val="17"/>
              </w:rPr>
              <w:t>1997/98</w:t>
            </w:r>
          </w:p>
        </w:tc>
        <w:tc>
          <w:tcPr>
            <w:tcW w:w="779" w:type="dxa"/>
          </w:tcPr>
          <w:p w:rsidR="00000000" w:rsidRDefault="00000000">
            <w:pPr>
              <w:pStyle w:val="SingleTxt"/>
              <w:spacing w:before="40" w:after="40" w:line="240" w:lineRule="auto"/>
              <w:ind w:left="0" w:right="0" w:firstLine="0"/>
              <w:jc w:val="center"/>
              <w:rPr>
                <w:sz w:val="17"/>
              </w:rPr>
            </w:pPr>
            <w:r>
              <w:rPr>
                <w:sz w:val="17"/>
              </w:rPr>
              <w:t>140</w:t>
            </w:r>
          </w:p>
        </w:tc>
        <w:tc>
          <w:tcPr>
            <w:tcW w:w="780" w:type="dxa"/>
          </w:tcPr>
          <w:p w:rsidR="00000000" w:rsidRDefault="00000000">
            <w:pPr>
              <w:pStyle w:val="SingleTxt"/>
              <w:spacing w:before="40" w:after="40" w:line="240" w:lineRule="auto"/>
              <w:ind w:left="0" w:right="0" w:firstLine="0"/>
              <w:jc w:val="center"/>
              <w:rPr>
                <w:sz w:val="17"/>
              </w:rPr>
            </w:pPr>
            <w:r>
              <w:rPr>
                <w:sz w:val="17"/>
              </w:rPr>
              <w:t>4065</w:t>
            </w:r>
          </w:p>
        </w:tc>
        <w:tc>
          <w:tcPr>
            <w:tcW w:w="779" w:type="dxa"/>
          </w:tcPr>
          <w:p w:rsidR="00000000" w:rsidRDefault="00000000">
            <w:pPr>
              <w:pStyle w:val="SingleTxt"/>
              <w:spacing w:before="40" w:after="40" w:line="240" w:lineRule="auto"/>
              <w:ind w:left="0" w:right="0" w:firstLine="0"/>
              <w:jc w:val="center"/>
              <w:rPr>
                <w:sz w:val="17"/>
              </w:rPr>
            </w:pPr>
            <w:r>
              <w:rPr>
                <w:sz w:val="17"/>
              </w:rPr>
              <w:t>104786</w:t>
            </w:r>
          </w:p>
        </w:tc>
        <w:tc>
          <w:tcPr>
            <w:tcW w:w="780" w:type="dxa"/>
          </w:tcPr>
          <w:p w:rsidR="00000000" w:rsidRDefault="00000000">
            <w:pPr>
              <w:pStyle w:val="SingleTxt"/>
              <w:spacing w:before="40" w:after="40" w:line="240" w:lineRule="auto"/>
              <w:ind w:left="0" w:right="0" w:firstLine="0"/>
              <w:jc w:val="center"/>
              <w:rPr>
                <w:sz w:val="17"/>
              </w:rPr>
            </w:pPr>
            <w:r>
              <w:rPr>
                <w:sz w:val="17"/>
              </w:rPr>
              <w:t>52786</w:t>
            </w:r>
          </w:p>
        </w:tc>
        <w:tc>
          <w:tcPr>
            <w:tcW w:w="780" w:type="dxa"/>
          </w:tcPr>
          <w:p w:rsidR="00000000" w:rsidRDefault="00000000">
            <w:pPr>
              <w:pStyle w:val="SingleTxt"/>
              <w:spacing w:before="40" w:after="40" w:line="240" w:lineRule="auto"/>
              <w:ind w:left="0" w:right="0" w:firstLine="0"/>
              <w:jc w:val="center"/>
              <w:rPr>
                <w:sz w:val="17"/>
              </w:rPr>
            </w:pPr>
            <w:r>
              <w:rPr>
                <w:sz w:val="17"/>
              </w:rPr>
              <w:t>50,4</w:t>
            </w:r>
          </w:p>
        </w:tc>
        <w:tc>
          <w:tcPr>
            <w:tcW w:w="779" w:type="dxa"/>
          </w:tcPr>
          <w:p w:rsidR="00000000" w:rsidRDefault="00000000">
            <w:pPr>
              <w:pStyle w:val="SingleTxt"/>
              <w:spacing w:before="40" w:after="40" w:line="240" w:lineRule="auto"/>
              <w:ind w:left="0" w:right="0" w:firstLine="0"/>
              <w:jc w:val="center"/>
              <w:rPr>
                <w:sz w:val="17"/>
              </w:rPr>
            </w:pPr>
            <w:r>
              <w:rPr>
                <w:sz w:val="17"/>
              </w:rPr>
              <w:t>8816</w:t>
            </w:r>
          </w:p>
        </w:tc>
        <w:tc>
          <w:tcPr>
            <w:tcW w:w="780" w:type="dxa"/>
          </w:tcPr>
          <w:p w:rsidR="00000000" w:rsidRDefault="00000000">
            <w:pPr>
              <w:pStyle w:val="SingleTxt"/>
              <w:spacing w:before="40" w:after="40" w:line="240" w:lineRule="auto"/>
              <w:ind w:left="0" w:right="0" w:firstLine="0"/>
              <w:jc w:val="center"/>
              <w:rPr>
                <w:sz w:val="17"/>
              </w:rPr>
            </w:pPr>
            <w:r>
              <w:rPr>
                <w:sz w:val="17"/>
              </w:rPr>
              <w:t>5466</w:t>
            </w:r>
          </w:p>
        </w:tc>
        <w:tc>
          <w:tcPr>
            <w:tcW w:w="780" w:type="dxa"/>
          </w:tcPr>
          <w:p w:rsidR="00000000" w:rsidRDefault="00000000">
            <w:pPr>
              <w:pStyle w:val="SingleTxt"/>
              <w:spacing w:before="40" w:after="40" w:line="240" w:lineRule="auto"/>
              <w:ind w:left="0" w:right="0" w:firstLine="0"/>
              <w:jc w:val="center"/>
              <w:rPr>
                <w:sz w:val="17"/>
              </w:rPr>
            </w:pPr>
            <w:r>
              <w:rPr>
                <w:sz w:val="17"/>
              </w:rPr>
              <w:t>62,0</w:t>
            </w:r>
          </w:p>
        </w:tc>
      </w:tr>
      <w:tr w:rsidR="00000000">
        <w:tblPrEx>
          <w:tblCellMar>
            <w:top w:w="0" w:type="dxa"/>
            <w:bottom w:w="0" w:type="dxa"/>
          </w:tblCellMar>
        </w:tblPrEx>
        <w:tc>
          <w:tcPr>
            <w:tcW w:w="1134" w:type="dxa"/>
          </w:tcPr>
          <w:p w:rsidR="00000000" w:rsidRDefault="00000000">
            <w:pPr>
              <w:pStyle w:val="SingleTxt"/>
              <w:spacing w:before="40" w:after="40" w:line="240" w:lineRule="auto"/>
              <w:ind w:left="0" w:right="0" w:firstLine="0"/>
              <w:rPr>
                <w:sz w:val="17"/>
              </w:rPr>
            </w:pPr>
            <w:r>
              <w:rPr>
                <w:sz w:val="17"/>
              </w:rPr>
              <w:t>1998/99</w:t>
            </w:r>
          </w:p>
        </w:tc>
        <w:tc>
          <w:tcPr>
            <w:tcW w:w="779" w:type="dxa"/>
          </w:tcPr>
          <w:p w:rsidR="00000000" w:rsidRDefault="00000000">
            <w:pPr>
              <w:pStyle w:val="SingleTxt"/>
              <w:spacing w:before="40" w:after="40" w:line="240" w:lineRule="auto"/>
              <w:ind w:left="0" w:right="0" w:firstLine="0"/>
              <w:jc w:val="center"/>
              <w:rPr>
                <w:sz w:val="17"/>
              </w:rPr>
            </w:pPr>
            <w:r>
              <w:rPr>
                <w:sz w:val="17"/>
              </w:rPr>
              <w:t>145</w:t>
            </w:r>
          </w:p>
        </w:tc>
        <w:tc>
          <w:tcPr>
            <w:tcW w:w="780" w:type="dxa"/>
          </w:tcPr>
          <w:p w:rsidR="00000000" w:rsidRDefault="00000000">
            <w:pPr>
              <w:pStyle w:val="SingleTxt"/>
              <w:spacing w:before="40" w:after="40" w:line="240" w:lineRule="auto"/>
              <w:ind w:left="0" w:right="0" w:firstLine="0"/>
              <w:jc w:val="center"/>
              <w:rPr>
                <w:sz w:val="17"/>
              </w:rPr>
            </w:pPr>
            <w:r>
              <w:rPr>
                <w:sz w:val="17"/>
              </w:rPr>
              <w:t>3989</w:t>
            </w:r>
          </w:p>
        </w:tc>
        <w:tc>
          <w:tcPr>
            <w:tcW w:w="779" w:type="dxa"/>
          </w:tcPr>
          <w:p w:rsidR="00000000" w:rsidRDefault="00000000">
            <w:pPr>
              <w:pStyle w:val="SingleTxt"/>
              <w:spacing w:before="40" w:after="40" w:line="240" w:lineRule="auto"/>
              <w:ind w:left="0" w:right="0" w:firstLine="0"/>
              <w:jc w:val="center"/>
              <w:rPr>
                <w:sz w:val="17"/>
              </w:rPr>
            </w:pPr>
            <w:r>
              <w:rPr>
                <w:sz w:val="17"/>
              </w:rPr>
              <w:t>103469</w:t>
            </w:r>
          </w:p>
        </w:tc>
        <w:tc>
          <w:tcPr>
            <w:tcW w:w="780" w:type="dxa"/>
          </w:tcPr>
          <w:p w:rsidR="00000000" w:rsidRDefault="00000000">
            <w:pPr>
              <w:pStyle w:val="SingleTxt"/>
              <w:spacing w:before="40" w:after="40" w:line="240" w:lineRule="auto"/>
              <w:ind w:left="0" w:right="0" w:firstLine="0"/>
              <w:jc w:val="center"/>
              <w:rPr>
                <w:sz w:val="17"/>
              </w:rPr>
            </w:pPr>
            <w:r>
              <w:rPr>
                <w:sz w:val="17"/>
              </w:rPr>
              <w:t>52214</w:t>
            </w:r>
          </w:p>
        </w:tc>
        <w:tc>
          <w:tcPr>
            <w:tcW w:w="780" w:type="dxa"/>
          </w:tcPr>
          <w:p w:rsidR="00000000" w:rsidRDefault="00000000">
            <w:pPr>
              <w:pStyle w:val="SingleTxt"/>
              <w:spacing w:before="40" w:after="40" w:line="240" w:lineRule="auto"/>
              <w:ind w:left="0" w:right="0" w:firstLine="0"/>
              <w:jc w:val="center"/>
              <w:rPr>
                <w:sz w:val="17"/>
              </w:rPr>
            </w:pPr>
            <w:r>
              <w:rPr>
                <w:sz w:val="17"/>
              </w:rPr>
              <w:t>50,5</w:t>
            </w:r>
          </w:p>
        </w:tc>
        <w:tc>
          <w:tcPr>
            <w:tcW w:w="779" w:type="dxa"/>
          </w:tcPr>
          <w:p w:rsidR="00000000" w:rsidRDefault="00000000">
            <w:pPr>
              <w:pStyle w:val="SingleTxt"/>
              <w:spacing w:before="40" w:after="40" w:line="240" w:lineRule="auto"/>
              <w:ind w:left="0" w:right="0" w:firstLine="0"/>
              <w:jc w:val="center"/>
              <w:rPr>
                <w:sz w:val="17"/>
              </w:rPr>
            </w:pPr>
            <w:r>
              <w:rPr>
                <w:sz w:val="17"/>
              </w:rPr>
              <w:t>8646</w:t>
            </w:r>
          </w:p>
        </w:tc>
        <w:tc>
          <w:tcPr>
            <w:tcW w:w="780" w:type="dxa"/>
          </w:tcPr>
          <w:p w:rsidR="00000000" w:rsidRDefault="00000000">
            <w:pPr>
              <w:pStyle w:val="SingleTxt"/>
              <w:spacing w:before="40" w:after="40" w:line="240" w:lineRule="auto"/>
              <w:ind w:left="0" w:right="0" w:firstLine="0"/>
              <w:jc w:val="center"/>
              <w:rPr>
                <w:sz w:val="17"/>
              </w:rPr>
            </w:pPr>
            <w:r>
              <w:rPr>
                <w:sz w:val="17"/>
              </w:rPr>
              <w:t>5474</w:t>
            </w:r>
          </w:p>
        </w:tc>
        <w:tc>
          <w:tcPr>
            <w:tcW w:w="780" w:type="dxa"/>
          </w:tcPr>
          <w:p w:rsidR="00000000" w:rsidRDefault="00000000">
            <w:pPr>
              <w:pStyle w:val="SingleTxt"/>
              <w:spacing w:before="40" w:after="40" w:line="240" w:lineRule="auto"/>
              <w:ind w:left="0" w:right="0" w:firstLine="0"/>
              <w:jc w:val="center"/>
              <w:rPr>
                <w:sz w:val="17"/>
              </w:rPr>
            </w:pPr>
            <w:r>
              <w:rPr>
                <w:sz w:val="17"/>
              </w:rPr>
              <w:t>63,3</w:t>
            </w:r>
          </w:p>
        </w:tc>
      </w:tr>
      <w:tr w:rsidR="00000000">
        <w:tblPrEx>
          <w:tblCellMar>
            <w:top w:w="0" w:type="dxa"/>
            <w:bottom w:w="0" w:type="dxa"/>
          </w:tblCellMar>
        </w:tblPrEx>
        <w:tc>
          <w:tcPr>
            <w:tcW w:w="1134" w:type="dxa"/>
            <w:tcBorders>
              <w:bottom w:val="single" w:sz="6" w:space="0" w:color="auto"/>
            </w:tcBorders>
          </w:tcPr>
          <w:p w:rsidR="00000000" w:rsidRDefault="00000000">
            <w:pPr>
              <w:pStyle w:val="SingleTxt"/>
              <w:spacing w:before="40" w:after="40" w:line="240" w:lineRule="auto"/>
              <w:ind w:left="0" w:right="0" w:firstLine="0"/>
              <w:rPr>
                <w:sz w:val="17"/>
              </w:rPr>
            </w:pPr>
            <w:r>
              <w:rPr>
                <w:sz w:val="17"/>
              </w:rPr>
              <w:t>1999/2000</w:t>
            </w:r>
          </w:p>
        </w:tc>
        <w:tc>
          <w:tcPr>
            <w:tcW w:w="779"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149</w:t>
            </w:r>
          </w:p>
        </w:tc>
        <w:tc>
          <w:tcPr>
            <w:tcW w:w="780"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4031</w:t>
            </w:r>
          </w:p>
        </w:tc>
        <w:tc>
          <w:tcPr>
            <w:tcW w:w="779"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102969</w:t>
            </w:r>
          </w:p>
        </w:tc>
        <w:tc>
          <w:tcPr>
            <w:tcW w:w="780"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51673</w:t>
            </w:r>
          </w:p>
        </w:tc>
        <w:tc>
          <w:tcPr>
            <w:tcW w:w="780"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50,2</w:t>
            </w:r>
          </w:p>
        </w:tc>
        <w:tc>
          <w:tcPr>
            <w:tcW w:w="779"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9351</w:t>
            </w:r>
          </w:p>
        </w:tc>
        <w:tc>
          <w:tcPr>
            <w:tcW w:w="780"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5947</w:t>
            </w:r>
          </w:p>
        </w:tc>
        <w:tc>
          <w:tcPr>
            <w:tcW w:w="780" w:type="dxa"/>
            <w:tcBorders>
              <w:bottom w:val="single" w:sz="6" w:space="0" w:color="auto"/>
            </w:tcBorders>
          </w:tcPr>
          <w:p w:rsidR="00000000" w:rsidRDefault="00000000">
            <w:pPr>
              <w:pStyle w:val="SingleTxt"/>
              <w:spacing w:before="40" w:after="40" w:line="240" w:lineRule="auto"/>
              <w:ind w:left="0" w:right="0" w:firstLine="0"/>
              <w:jc w:val="center"/>
              <w:rPr>
                <w:sz w:val="17"/>
              </w:rPr>
            </w:pPr>
            <w:r>
              <w:rPr>
                <w:sz w:val="17"/>
              </w:rPr>
              <w:t>63,6</w:t>
            </w:r>
          </w:p>
        </w:tc>
      </w:tr>
      <w:tr w:rsidR="00000000">
        <w:tblPrEx>
          <w:tblCellMar>
            <w:top w:w="0" w:type="dxa"/>
            <w:bottom w:w="0" w:type="dxa"/>
          </w:tblCellMar>
        </w:tblPrEx>
        <w:tc>
          <w:tcPr>
            <w:tcW w:w="7371" w:type="dxa"/>
            <w:gridSpan w:val="9"/>
            <w:tcBorders>
              <w:top w:val="single" w:sz="6" w:space="0" w:color="auto"/>
              <w:bottom w:val="single" w:sz="6" w:space="0" w:color="auto"/>
            </w:tcBorders>
          </w:tcPr>
          <w:p w:rsidR="00000000" w:rsidRDefault="00000000">
            <w:pPr>
              <w:pStyle w:val="SingleTxt"/>
              <w:spacing w:before="40" w:after="40" w:line="240" w:lineRule="auto"/>
              <w:ind w:left="0" w:right="0" w:firstLine="0"/>
              <w:rPr>
                <w:sz w:val="17"/>
              </w:rPr>
            </w:pPr>
            <w:r>
              <w:rPr>
                <w:sz w:val="17"/>
              </w:rPr>
              <w:t>Взрослые</w:t>
            </w:r>
          </w:p>
        </w:tc>
      </w:tr>
      <w:tr w:rsidR="00000000">
        <w:tblPrEx>
          <w:tblCellMar>
            <w:top w:w="0" w:type="dxa"/>
            <w:bottom w:w="0" w:type="dxa"/>
          </w:tblCellMar>
        </w:tblPrEx>
        <w:tc>
          <w:tcPr>
            <w:tcW w:w="1134" w:type="dxa"/>
            <w:tcBorders>
              <w:top w:val="single" w:sz="6"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1999/2000</w:t>
            </w:r>
          </w:p>
        </w:tc>
        <w:tc>
          <w:tcPr>
            <w:tcW w:w="779"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sz w:val="17"/>
              </w:rPr>
            </w:pPr>
            <w:r>
              <w:rPr>
                <w:sz w:val="17"/>
              </w:rPr>
              <w:t>126</w:t>
            </w:r>
          </w:p>
        </w:tc>
        <w:tc>
          <w:tcPr>
            <w:tcW w:w="78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sz w:val="17"/>
              </w:rPr>
            </w:pPr>
            <w:r>
              <w:rPr>
                <w:sz w:val="17"/>
              </w:rPr>
              <w:t>792</w:t>
            </w:r>
          </w:p>
        </w:tc>
        <w:tc>
          <w:tcPr>
            <w:tcW w:w="779"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sz w:val="17"/>
              </w:rPr>
            </w:pPr>
            <w:r>
              <w:rPr>
                <w:sz w:val="17"/>
              </w:rPr>
              <w:t>19449</w:t>
            </w:r>
          </w:p>
        </w:tc>
        <w:tc>
          <w:tcPr>
            <w:tcW w:w="78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sz w:val="17"/>
              </w:rPr>
            </w:pPr>
            <w:r>
              <w:rPr>
                <w:sz w:val="17"/>
              </w:rPr>
              <w:t>9916</w:t>
            </w:r>
          </w:p>
        </w:tc>
        <w:tc>
          <w:tcPr>
            <w:tcW w:w="78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sz w:val="17"/>
              </w:rPr>
            </w:pPr>
            <w:r>
              <w:rPr>
                <w:sz w:val="17"/>
              </w:rPr>
              <w:t>50,1</w:t>
            </w:r>
          </w:p>
        </w:tc>
        <w:tc>
          <w:tcPr>
            <w:tcW w:w="779"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sz w:val="17"/>
              </w:rPr>
            </w:pPr>
          </w:p>
        </w:tc>
        <w:tc>
          <w:tcPr>
            <w:tcW w:w="78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sz w:val="17"/>
              </w:rPr>
            </w:pPr>
          </w:p>
        </w:tc>
        <w:tc>
          <w:tcPr>
            <w:tcW w:w="78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sz w:val="17"/>
              </w:rPr>
            </w:pPr>
          </w:p>
        </w:tc>
      </w:tr>
    </w:tbl>
    <w:p w:rsidR="00000000" w:rsidRDefault="00000000">
      <w:pPr>
        <w:pStyle w:val="SingleTxt"/>
        <w:ind w:firstLine="0"/>
      </w:pPr>
      <w:r>
        <w:rPr>
          <w:i/>
        </w:rPr>
        <w:t>Источник</w:t>
      </w:r>
      <w:r>
        <w:t>: Министерство образования, науки и спорта, 2002 год</w:t>
      </w:r>
    </w:p>
    <w:p w:rsidR="00000000" w:rsidRDefault="00000000">
      <w:pPr>
        <w:pStyle w:val="SingleTxt"/>
      </w:pPr>
      <w:r>
        <w:t>В период с 1997 по 2000 год гендерная структура учащихся средних школ в разбивке по дисциплинам специализации не претерпела существенных изм</w:t>
      </w:r>
      <w:r>
        <w:t>е</w:t>
      </w:r>
      <w:r>
        <w:t>нений. Наибольшее число девочек обучается по таким направлениям, как те</w:t>
      </w:r>
      <w:r>
        <w:t>к</w:t>
      </w:r>
      <w:r>
        <w:t>стильное производство, кожевенное производство, здравоохранение, социол</w:t>
      </w:r>
      <w:r>
        <w:t>о</w:t>
      </w:r>
      <w:r>
        <w:t>гия, пед</w:t>
      </w:r>
      <w:r>
        <w:t>а</w:t>
      </w:r>
      <w:r>
        <w:t>гогика и сфера услуг.</w:t>
      </w:r>
    </w:p>
    <w:p w:rsidR="00000000" w:rsidRDefault="00000000">
      <w:pPr>
        <w:pStyle w:val="SingleTxt"/>
        <w:keepNext/>
        <w:ind w:firstLine="0"/>
        <w:jc w:val="left"/>
        <w:rPr>
          <w:b/>
        </w:rPr>
      </w:pPr>
      <w:r>
        <w:rPr>
          <w:b/>
        </w:rPr>
        <w:t xml:space="preserve">Таблица 9. Средние школы, учащиеся в разбивке по изучаемым </w:t>
      </w:r>
      <w:r>
        <w:rPr>
          <w:b/>
        </w:rPr>
        <w:br/>
        <w:t>дисциплинам, конец 1998/99 уче</w:t>
      </w:r>
      <w:r>
        <w:rPr>
          <w:b/>
        </w:rPr>
        <w:t>б</w:t>
      </w:r>
      <w:r>
        <w:rPr>
          <w:b/>
        </w:rPr>
        <w:t>ного года и 1999/2000 учебный год</w:t>
      </w:r>
    </w:p>
    <w:tbl>
      <w:tblPr>
        <w:tblW w:w="0" w:type="auto"/>
        <w:tblInd w:w="1278" w:type="dxa"/>
        <w:tblLayout w:type="fixed"/>
        <w:tblLook w:val="0000" w:firstRow="0" w:lastRow="0" w:firstColumn="0" w:lastColumn="0" w:noHBand="0" w:noVBand="0"/>
      </w:tblPr>
      <w:tblGrid>
        <w:gridCol w:w="1559"/>
        <w:gridCol w:w="968"/>
        <w:gridCol w:w="969"/>
        <w:gridCol w:w="969"/>
        <w:gridCol w:w="968"/>
        <w:gridCol w:w="969"/>
        <w:gridCol w:w="969"/>
      </w:tblGrid>
      <w:tr w:rsidR="00000000">
        <w:tblPrEx>
          <w:tblCellMar>
            <w:top w:w="0" w:type="dxa"/>
            <w:bottom w:w="0" w:type="dxa"/>
          </w:tblCellMar>
        </w:tblPrEx>
        <w:trPr>
          <w:cantSplit/>
          <w:tblHeader/>
        </w:trPr>
        <w:tc>
          <w:tcPr>
            <w:tcW w:w="1559" w:type="dxa"/>
            <w:vMerge w:val="restart"/>
            <w:tcBorders>
              <w:top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Предмет</w:t>
            </w:r>
          </w:p>
        </w:tc>
        <w:tc>
          <w:tcPr>
            <w:tcW w:w="2906" w:type="dxa"/>
            <w:gridSpan w:val="3"/>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1998/99</w:t>
            </w:r>
          </w:p>
        </w:tc>
        <w:tc>
          <w:tcPr>
            <w:tcW w:w="2906" w:type="dxa"/>
            <w:gridSpan w:val="3"/>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1999/2000</w:t>
            </w:r>
          </w:p>
        </w:tc>
      </w:tr>
      <w:tr w:rsidR="00000000">
        <w:tblPrEx>
          <w:tblCellMar>
            <w:top w:w="0" w:type="dxa"/>
            <w:bottom w:w="0" w:type="dxa"/>
          </w:tblCellMar>
        </w:tblPrEx>
        <w:trPr>
          <w:cantSplit/>
          <w:tblHeader/>
        </w:trPr>
        <w:tc>
          <w:tcPr>
            <w:tcW w:w="1559" w:type="dxa"/>
            <w:vMerge/>
            <w:tcBorders>
              <w:bottom w:val="single" w:sz="12" w:space="0" w:color="auto"/>
            </w:tcBorders>
            <w:vAlign w:val="center"/>
          </w:tcPr>
          <w:p w:rsidR="00000000" w:rsidRDefault="00000000">
            <w:pPr>
              <w:pStyle w:val="SingleTxt"/>
              <w:spacing w:before="40" w:after="40" w:line="240" w:lineRule="auto"/>
              <w:ind w:left="0" w:right="0" w:firstLine="0"/>
              <w:jc w:val="left"/>
              <w:rPr>
                <w:i/>
                <w:sz w:val="17"/>
              </w:rPr>
            </w:pPr>
          </w:p>
        </w:tc>
        <w:tc>
          <w:tcPr>
            <w:tcW w:w="968"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Всего</w:t>
            </w:r>
          </w:p>
        </w:tc>
        <w:tc>
          <w:tcPr>
            <w:tcW w:w="96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Колич</w:t>
            </w:r>
            <w:r>
              <w:rPr>
                <w:i/>
                <w:sz w:val="17"/>
              </w:rPr>
              <w:t>е</w:t>
            </w:r>
            <w:r>
              <w:rPr>
                <w:i/>
                <w:sz w:val="17"/>
              </w:rPr>
              <w:t xml:space="preserve">ство </w:t>
            </w:r>
            <w:r>
              <w:rPr>
                <w:i/>
                <w:sz w:val="17"/>
              </w:rPr>
              <w:br/>
              <w:t>дев</w:t>
            </w:r>
            <w:r>
              <w:rPr>
                <w:i/>
                <w:sz w:val="17"/>
              </w:rPr>
              <w:t>у</w:t>
            </w:r>
            <w:r>
              <w:rPr>
                <w:i/>
                <w:sz w:val="17"/>
              </w:rPr>
              <w:t>шек</w:t>
            </w:r>
          </w:p>
        </w:tc>
        <w:tc>
          <w:tcPr>
            <w:tcW w:w="96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Пр</w:t>
            </w:r>
            <w:r>
              <w:rPr>
                <w:i/>
                <w:sz w:val="17"/>
              </w:rPr>
              <w:t>о</w:t>
            </w:r>
            <w:r>
              <w:rPr>
                <w:i/>
                <w:sz w:val="17"/>
              </w:rPr>
              <w:t xml:space="preserve">центная доля </w:t>
            </w:r>
            <w:r>
              <w:rPr>
                <w:i/>
                <w:sz w:val="17"/>
              </w:rPr>
              <w:br/>
              <w:t>д</w:t>
            </w:r>
            <w:r>
              <w:rPr>
                <w:i/>
                <w:sz w:val="17"/>
              </w:rPr>
              <w:t>е</w:t>
            </w:r>
            <w:r>
              <w:rPr>
                <w:i/>
                <w:sz w:val="17"/>
              </w:rPr>
              <w:t>вушек</w:t>
            </w:r>
          </w:p>
        </w:tc>
        <w:tc>
          <w:tcPr>
            <w:tcW w:w="968"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Всего</w:t>
            </w:r>
          </w:p>
        </w:tc>
        <w:tc>
          <w:tcPr>
            <w:tcW w:w="96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Колич</w:t>
            </w:r>
            <w:r>
              <w:rPr>
                <w:i/>
                <w:sz w:val="17"/>
              </w:rPr>
              <w:t>е</w:t>
            </w:r>
            <w:r>
              <w:rPr>
                <w:i/>
                <w:sz w:val="17"/>
              </w:rPr>
              <w:t xml:space="preserve">ство </w:t>
            </w:r>
            <w:r>
              <w:rPr>
                <w:i/>
                <w:sz w:val="17"/>
              </w:rPr>
              <w:br/>
              <w:t>дев</w:t>
            </w:r>
            <w:r>
              <w:rPr>
                <w:i/>
                <w:sz w:val="17"/>
              </w:rPr>
              <w:t>у</w:t>
            </w:r>
            <w:r>
              <w:rPr>
                <w:i/>
                <w:sz w:val="17"/>
              </w:rPr>
              <w:t>шек</w:t>
            </w:r>
          </w:p>
        </w:tc>
        <w:tc>
          <w:tcPr>
            <w:tcW w:w="96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Пр</w:t>
            </w:r>
            <w:r>
              <w:rPr>
                <w:i/>
                <w:sz w:val="17"/>
              </w:rPr>
              <w:t>о</w:t>
            </w:r>
            <w:r>
              <w:rPr>
                <w:i/>
                <w:sz w:val="17"/>
              </w:rPr>
              <w:t xml:space="preserve">центная доля </w:t>
            </w:r>
            <w:r>
              <w:rPr>
                <w:i/>
                <w:sz w:val="17"/>
              </w:rPr>
              <w:br/>
              <w:t>д</w:t>
            </w:r>
            <w:r>
              <w:rPr>
                <w:i/>
                <w:sz w:val="17"/>
              </w:rPr>
              <w:t>е</w:t>
            </w:r>
            <w:r>
              <w:rPr>
                <w:i/>
                <w:sz w:val="17"/>
              </w:rPr>
              <w:t>вочек</w:t>
            </w:r>
          </w:p>
        </w:tc>
      </w:tr>
      <w:tr w:rsidR="00000000">
        <w:tblPrEx>
          <w:tblCellMar>
            <w:top w:w="0" w:type="dxa"/>
            <w:bottom w:w="0" w:type="dxa"/>
          </w:tblCellMar>
        </w:tblPrEx>
        <w:tc>
          <w:tcPr>
            <w:tcW w:w="1559" w:type="dxa"/>
            <w:tcBorders>
              <w:top w:val="single" w:sz="12" w:space="0" w:color="auto"/>
              <w:bottom w:val="single" w:sz="6" w:space="0" w:color="auto"/>
            </w:tcBorders>
          </w:tcPr>
          <w:p w:rsidR="00000000" w:rsidRDefault="00000000">
            <w:pPr>
              <w:pStyle w:val="SingleTxt"/>
              <w:spacing w:before="40" w:after="40" w:line="240" w:lineRule="auto"/>
              <w:ind w:left="0" w:right="0" w:firstLine="0"/>
              <w:jc w:val="left"/>
              <w:rPr>
                <w:b/>
                <w:sz w:val="17"/>
              </w:rPr>
            </w:pPr>
            <w:r>
              <w:rPr>
                <w:b/>
                <w:sz w:val="17"/>
              </w:rPr>
              <w:t>Всего</w:t>
            </w:r>
          </w:p>
        </w:tc>
        <w:tc>
          <w:tcPr>
            <w:tcW w:w="968" w:type="dxa"/>
            <w:tcBorders>
              <w:top w:val="single" w:sz="12" w:space="0" w:color="auto"/>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103469</w:t>
            </w:r>
          </w:p>
        </w:tc>
        <w:tc>
          <w:tcPr>
            <w:tcW w:w="969" w:type="dxa"/>
            <w:tcBorders>
              <w:top w:val="single" w:sz="12" w:space="0" w:color="auto"/>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52214</w:t>
            </w:r>
          </w:p>
        </w:tc>
        <w:tc>
          <w:tcPr>
            <w:tcW w:w="969" w:type="dxa"/>
            <w:tcBorders>
              <w:top w:val="single" w:sz="12" w:space="0" w:color="auto"/>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50,5</w:t>
            </w:r>
          </w:p>
        </w:tc>
        <w:tc>
          <w:tcPr>
            <w:tcW w:w="968" w:type="dxa"/>
            <w:tcBorders>
              <w:top w:val="single" w:sz="12" w:space="0" w:color="auto"/>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102969</w:t>
            </w:r>
          </w:p>
        </w:tc>
        <w:tc>
          <w:tcPr>
            <w:tcW w:w="969" w:type="dxa"/>
            <w:tcBorders>
              <w:top w:val="single" w:sz="12" w:space="0" w:color="auto"/>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51673</w:t>
            </w:r>
          </w:p>
        </w:tc>
        <w:tc>
          <w:tcPr>
            <w:tcW w:w="969" w:type="dxa"/>
            <w:tcBorders>
              <w:top w:val="single" w:sz="12" w:space="0" w:color="auto"/>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50,0</w:t>
            </w:r>
          </w:p>
        </w:tc>
      </w:tr>
      <w:tr w:rsidR="00000000">
        <w:tblPrEx>
          <w:tblCellMar>
            <w:top w:w="0" w:type="dxa"/>
            <w:bottom w:w="0" w:type="dxa"/>
          </w:tblCellMar>
        </w:tblPrEx>
        <w:tc>
          <w:tcPr>
            <w:tcW w:w="1559" w:type="dxa"/>
            <w:tcBorders>
              <w:top w:val="single" w:sz="6" w:space="0" w:color="auto"/>
            </w:tcBorders>
          </w:tcPr>
          <w:p w:rsidR="00000000" w:rsidRDefault="00000000">
            <w:pPr>
              <w:pStyle w:val="SingleTxt"/>
              <w:spacing w:before="40" w:after="40" w:line="240" w:lineRule="auto"/>
              <w:ind w:left="0" w:right="0" w:firstLine="0"/>
              <w:jc w:val="left"/>
              <w:rPr>
                <w:sz w:val="17"/>
              </w:rPr>
            </w:pPr>
            <w:r>
              <w:rPr>
                <w:sz w:val="17"/>
              </w:rPr>
              <w:t>Пищевое прои</w:t>
            </w:r>
            <w:r>
              <w:rPr>
                <w:sz w:val="17"/>
              </w:rPr>
              <w:t>з</w:t>
            </w:r>
            <w:r>
              <w:rPr>
                <w:sz w:val="17"/>
              </w:rPr>
              <w:t>во</w:t>
            </w:r>
            <w:r>
              <w:rPr>
                <w:sz w:val="17"/>
              </w:rPr>
              <w:t>д</w:t>
            </w:r>
            <w:r>
              <w:rPr>
                <w:sz w:val="17"/>
              </w:rPr>
              <w:t>ство</w:t>
            </w:r>
          </w:p>
        </w:tc>
        <w:tc>
          <w:tcPr>
            <w:tcW w:w="968" w:type="dxa"/>
            <w:tcBorders>
              <w:top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5641</w:t>
            </w:r>
          </w:p>
        </w:tc>
        <w:tc>
          <w:tcPr>
            <w:tcW w:w="969" w:type="dxa"/>
            <w:tcBorders>
              <w:top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3024</w:t>
            </w:r>
          </w:p>
        </w:tc>
        <w:tc>
          <w:tcPr>
            <w:tcW w:w="969" w:type="dxa"/>
            <w:tcBorders>
              <w:top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53,6</w:t>
            </w:r>
          </w:p>
        </w:tc>
        <w:tc>
          <w:tcPr>
            <w:tcW w:w="968" w:type="dxa"/>
            <w:tcBorders>
              <w:top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5776</w:t>
            </w:r>
          </w:p>
        </w:tc>
        <w:tc>
          <w:tcPr>
            <w:tcW w:w="969" w:type="dxa"/>
            <w:tcBorders>
              <w:top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2984</w:t>
            </w:r>
          </w:p>
        </w:tc>
        <w:tc>
          <w:tcPr>
            <w:tcW w:w="969" w:type="dxa"/>
            <w:tcBorders>
              <w:top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51,7</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Лесов</w:t>
            </w:r>
            <w:r>
              <w:rPr>
                <w:sz w:val="17"/>
              </w:rPr>
              <w:t>о</w:t>
            </w:r>
            <w:r>
              <w:rPr>
                <w:sz w:val="17"/>
              </w:rPr>
              <w:t>дство</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113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3,5</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126</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3,2</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Кожевенное производство</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137</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123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89,8</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77</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64</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83,1</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Текстильное прои</w:t>
            </w:r>
            <w:r>
              <w:rPr>
                <w:sz w:val="17"/>
              </w:rPr>
              <w:t>з</w:t>
            </w:r>
            <w:r>
              <w:rPr>
                <w:sz w:val="17"/>
              </w:rPr>
              <w:t>водство</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3235</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3141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97,1</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2481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2403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96,9</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Химия, фарм</w:t>
            </w:r>
            <w:r>
              <w:rPr>
                <w:sz w:val="17"/>
              </w:rPr>
              <w:t>а</w:t>
            </w:r>
            <w:r>
              <w:rPr>
                <w:sz w:val="17"/>
              </w:rPr>
              <w:t>цевтика, прои</w:t>
            </w:r>
            <w:r>
              <w:rPr>
                <w:sz w:val="17"/>
              </w:rPr>
              <w:t>з</w:t>
            </w:r>
            <w:r>
              <w:rPr>
                <w:sz w:val="17"/>
              </w:rPr>
              <w:t>водство резины, производство неметаллич</w:t>
            </w:r>
            <w:r>
              <w:rPr>
                <w:sz w:val="17"/>
              </w:rPr>
              <w:t>е</w:t>
            </w:r>
            <w:r>
              <w:rPr>
                <w:sz w:val="17"/>
              </w:rPr>
              <w:t>ской проду</w:t>
            </w:r>
            <w:r>
              <w:rPr>
                <w:sz w:val="17"/>
              </w:rPr>
              <w:t>к</w:t>
            </w:r>
            <w:r>
              <w:rPr>
                <w:sz w:val="17"/>
              </w:rPr>
              <w:t>ции</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1303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875</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67,2</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1190</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796</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66,9</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Переработка древесины</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3339</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67</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2,0</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3305</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49</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1,5</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Гражданское строител</w:t>
            </w:r>
            <w:r>
              <w:rPr>
                <w:sz w:val="17"/>
              </w:rPr>
              <w:t>ь</w:t>
            </w:r>
            <w:r>
              <w:rPr>
                <w:sz w:val="17"/>
              </w:rPr>
              <w:t>ство</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2763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308</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11,1</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2622</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245</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9,3</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Общественное питание и т</w:t>
            </w:r>
            <w:r>
              <w:rPr>
                <w:sz w:val="17"/>
              </w:rPr>
              <w:t>у</w:t>
            </w:r>
            <w:r>
              <w:rPr>
                <w:sz w:val="17"/>
              </w:rPr>
              <w:t>ризм</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5694</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2509</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44,1</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5573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2356</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42,3</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Эконом</w:t>
            </w:r>
            <w:r>
              <w:rPr>
                <w:sz w:val="17"/>
              </w:rPr>
              <w:t>и</w:t>
            </w:r>
            <w:r>
              <w:rPr>
                <w:sz w:val="17"/>
              </w:rPr>
              <w:t>ка</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22275</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15270</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68,6</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21561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14553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67,5</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Полиграфия и производство бум</w:t>
            </w:r>
            <w:r>
              <w:rPr>
                <w:sz w:val="17"/>
              </w:rPr>
              <w:t>а</w:t>
            </w:r>
            <w:r>
              <w:rPr>
                <w:sz w:val="17"/>
              </w:rPr>
              <w:t>ги</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624</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271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43,4</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572</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230</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40,2</w:t>
            </w:r>
          </w:p>
        </w:tc>
      </w:tr>
      <w:tr w:rsidR="00000000">
        <w:tblPrEx>
          <w:tblCellMar>
            <w:top w:w="0" w:type="dxa"/>
            <w:bottom w:w="0" w:type="dxa"/>
          </w:tblCellMar>
        </w:tblPrEx>
        <w:tc>
          <w:tcPr>
            <w:tcW w:w="1559" w:type="dxa"/>
          </w:tcPr>
          <w:p w:rsidR="00000000" w:rsidRDefault="00000000">
            <w:pPr>
              <w:pStyle w:val="SingleTxt"/>
              <w:keepNext/>
              <w:spacing w:before="40" w:after="40" w:line="240" w:lineRule="auto"/>
              <w:ind w:left="0" w:right="0" w:firstLine="0"/>
              <w:jc w:val="left"/>
              <w:rPr>
                <w:sz w:val="17"/>
              </w:rPr>
            </w:pPr>
            <w:r>
              <w:rPr>
                <w:sz w:val="17"/>
              </w:rPr>
              <w:t>Электротехника и электр</w:t>
            </w:r>
            <w:r>
              <w:rPr>
                <w:sz w:val="17"/>
              </w:rPr>
              <w:t>о</w:t>
            </w:r>
            <w:r>
              <w:rPr>
                <w:sz w:val="17"/>
              </w:rPr>
              <w:t>ника</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7592</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88</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1,2</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7359</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50</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0,7</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Металлургия и механика</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9371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117</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1,2</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8515</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74</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0,9</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Транспорт и связь</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1011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325</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32,1</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1105</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351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31,8</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Горное д</w:t>
            </w:r>
            <w:r>
              <w:rPr>
                <w:sz w:val="17"/>
              </w:rPr>
              <w:t>е</w:t>
            </w:r>
            <w:r>
              <w:rPr>
                <w:sz w:val="17"/>
              </w:rPr>
              <w:t>ло/геология</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220</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0,5</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197</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0,5</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Здравоохран</w:t>
            </w:r>
            <w:r>
              <w:rPr>
                <w:sz w:val="17"/>
              </w:rPr>
              <w:t>е</w:t>
            </w:r>
            <w:r>
              <w:rPr>
                <w:sz w:val="17"/>
              </w:rPr>
              <w:t>ние</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4954</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3863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78,0</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5119</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3943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77,0</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Педагог</w:t>
            </w:r>
            <w:r>
              <w:rPr>
                <w:sz w:val="17"/>
              </w:rPr>
              <w:t>и</w:t>
            </w:r>
            <w:r>
              <w:rPr>
                <w:sz w:val="17"/>
              </w:rPr>
              <w:t>ка</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802</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791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98,6</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931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915</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98,3</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Социол</w:t>
            </w:r>
            <w:r>
              <w:rPr>
                <w:sz w:val="17"/>
              </w:rPr>
              <w:t>о</w:t>
            </w:r>
            <w:r>
              <w:rPr>
                <w:sz w:val="17"/>
              </w:rPr>
              <w:t>гия</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1249</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1111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88,9</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1150</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1025</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89,1</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Культура</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703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510</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72,5</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667</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478</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71,7</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Программа ги</w:t>
            </w:r>
            <w:r>
              <w:rPr>
                <w:sz w:val="17"/>
              </w:rPr>
              <w:t>м</w:t>
            </w:r>
            <w:r>
              <w:rPr>
                <w:sz w:val="17"/>
              </w:rPr>
              <w:t>н</w:t>
            </w:r>
            <w:r>
              <w:rPr>
                <w:sz w:val="17"/>
              </w:rPr>
              <w:t>а</w:t>
            </w:r>
            <w:r>
              <w:rPr>
                <w:sz w:val="17"/>
              </w:rPr>
              <w:t>зии</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29138</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17288</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59,3</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31426</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18661</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59,4</w:t>
            </w:r>
          </w:p>
        </w:tc>
      </w:tr>
      <w:tr w:rsidR="00000000">
        <w:tblPrEx>
          <w:tblCellMar>
            <w:top w:w="0" w:type="dxa"/>
            <w:bottom w:w="0" w:type="dxa"/>
          </w:tblCellMar>
        </w:tblPrEx>
        <w:tc>
          <w:tcPr>
            <w:tcW w:w="1559" w:type="dxa"/>
          </w:tcPr>
          <w:p w:rsidR="00000000" w:rsidRDefault="00000000">
            <w:pPr>
              <w:pStyle w:val="SingleTxt"/>
              <w:spacing w:before="40" w:after="40" w:line="240" w:lineRule="auto"/>
              <w:ind w:left="0" w:right="0" w:firstLine="0"/>
              <w:jc w:val="left"/>
              <w:rPr>
                <w:sz w:val="17"/>
              </w:rPr>
            </w:pPr>
            <w:r>
              <w:rPr>
                <w:sz w:val="17"/>
              </w:rPr>
              <w:t>Сфера у</w:t>
            </w:r>
            <w:r>
              <w:rPr>
                <w:sz w:val="17"/>
              </w:rPr>
              <w:t>с</w:t>
            </w:r>
            <w:r>
              <w:rPr>
                <w:sz w:val="17"/>
              </w:rPr>
              <w:t>луг</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2790</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2503</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89,7</w:t>
            </w:r>
          </w:p>
        </w:tc>
        <w:tc>
          <w:tcPr>
            <w:tcW w:w="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2854</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2467</w:t>
            </w:r>
          </w:p>
        </w:tc>
        <w:tc>
          <w:tcPr>
            <w:tcW w:w="9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86,4</w:t>
            </w:r>
          </w:p>
        </w:tc>
      </w:tr>
      <w:tr w:rsidR="00000000">
        <w:tblPrEx>
          <w:tblCellMar>
            <w:top w:w="0" w:type="dxa"/>
            <w:bottom w:w="0" w:type="dxa"/>
          </w:tblCellMar>
        </w:tblPrEx>
        <w:tc>
          <w:tcPr>
            <w:tcW w:w="1559" w:type="dxa"/>
            <w:tcBorders>
              <w:bottom w:val="single" w:sz="6" w:space="0" w:color="auto"/>
            </w:tcBorders>
          </w:tcPr>
          <w:p w:rsidR="00000000" w:rsidRDefault="00000000">
            <w:pPr>
              <w:pStyle w:val="SingleTxt"/>
              <w:spacing w:before="40" w:after="40" w:line="240" w:lineRule="auto"/>
              <w:ind w:left="0" w:right="0" w:firstLine="0"/>
              <w:jc w:val="left"/>
              <w:rPr>
                <w:sz w:val="17"/>
              </w:rPr>
            </w:pPr>
            <w:r>
              <w:rPr>
                <w:sz w:val="17"/>
              </w:rPr>
              <w:t>Сфера внутре</w:t>
            </w:r>
            <w:r>
              <w:rPr>
                <w:sz w:val="17"/>
              </w:rPr>
              <w:t>н</w:t>
            </w:r>
            <w:r>
              <w:rPr>
                <w:sz w:val="17"/>
              </w:rPr>
              <w:t>них дел госуда</w:t>
            </w:r>
            <w:r>
              <w:rPr>
                <w:sz w:val="17"/>
              </w:rPr>
              <w:t>р</w:t>
            </w:r>
            <w:r>
              <w:rPr>
                <w:sz w:val="17"/>
              </w:rPr>
              <w:t>с</w:t>
            </w:r>
            <w:r>
              <w:rPr>
                <w:sz w:val="17"/>
              </w:rPr>
              <w:t>т</w:t>
            </w:r>
            <w:r>
              <w:rPr>
                <w:sz w:val="17"/>
              </w:rPr>
              <w:t>ва</w:t>
            </w:r>
          </w:p>
        </w:tc>
        <w:tc>
          <w:tcPr>
            <w:tcW w:w="968"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515</w:t>
            </w:r>
          </w:p>
        </w:tc>
        <w:tc>
          <w:tcPr>
            <w:tcW w:w="969"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25</w:t>
            </w:r>
          </w:p>
        </w:tc>
        <w:tc>
          <w:tcPr>
            <w:tcW w:w="969"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65"/>
              </w:tabs>
              <w:spacing w:before="40" w:after="40" w:line="240" w:lineRule="auto"/>
              <w:ind w:left="0" w:right="0" w:firstLine="0"/>
              <w:jc w:val="left"/>
              <w:rPr>
                <w:sz w:val="17"/>
              </w:rPr>
            </w:pPr>
            <w:r>
              <w:rPr>
                <w:sz w:val="17"/>
              </w:rPr>
              <w:t>4,9</w:t>
            </w:r>
          </w:p>
        </w:tc>
        <w:tc>
          <w:tcPr>
            <w:tcW w:w="968"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363</w:t>
            </w:r>
          </w:p>
        </w:tc>
        <w:tc>
          <w:tcPr>
            <w:tcW w:w="969"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24</w:t>
            </w:r>
          </w:p>
        </w:tc>
        <w:tc>
          <w:tcPr>
            <w:tcW w:w="969" w:type="dxa"/>
            <w:tcBorders>
              <w:bottom w:val="single" w:sz="6"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36"/>
              </w:tabs>
              <w:spacing w:before="40" w:after="40" w:line="240" w:lineRule="auto"/>
              <w:ind w:left="0" w:right="0" w:firstLine="0"/>
              <w:jc w:val="left"/>
              <w:rPr>
                <w:sz w:val="17"/>
              </w:rPr>
            </w:pPr>
            <w:r>
              <w:rPr>
                <w:sz w:val="17"/>
              </w:rPr>
              <w:t>6,6</w:t>
            </w:r>
          </w:p>
        </w:tc>
      </w:tr>
    </w:tbl>
    <w:p w:rsidR="00000000" w:rsidRDefault="00000000">
      <w:pPr>
        <w:pStyle w:val="SingleTxt"/>
        <w:ind w:firstLine="0"/>
      </w:pPr>
      <w:r>
        <w:rPr>
          <w:i/>
        </w:rPr>
        <w:t>Источник</w:t>
      </w:r>
      <w:r>
        <w:t>: Статистический ежегодник за 2002 год</w:t>
      </w:r>
    </w:p>
    <w:p w:rsidR="00000000" w:rsidRDefault="00000000">
      <w:pPr>
        <w:pStyle w:val="H23"/>
      </w:pPr>
      <w:r>
        <w:t xml:space="preserve">3. </w:t>
      </w:r>
      <w:r>
        <w:rPr>
          <w:lang w:val="en-US"/>
        </w:rPr>
        <w:tab/>
      </w:r>
      <w:r>
        <w:t>Двухлетние программы высшего образования и высшее образов</w:t>
      </w:r>
      <w:r>
        <w:t>а</w:t>
      </w:r>
      <w:r>
        <w:t>ние</w:t>
      </w:r>
    </w:p>
    <w:p w:rsidR="00000000" w:rsidRDefault="00000000">
      <w:pPr>
        <w:pStyle w:val="SingleTxt"/>
      </w:pPr>
      <w:r>
        <w:t>Полученные за последние годы данные о численности студентов униве</w:t>
      </w:r>
      <w:r>
        <w:t>р</w:t>
      </w:r>
      <w:r>
        <w:t>ситетов и высших учебных заведений показывают, что количество молодых людей, стремящихся продолжать образование после окончания средней школы, растет. В общей сложности насчитывалось 88 100 студентов, из которых 58,8% составляли женщины.</w:t>
      </w:r>
    </w:p>
    <w:p w:rsidR="00000000" w:rsidRDefault="00000000">
      <w:pPr>
        <w:pStyle w:val="tt"/>
        <w:keepNext/>
      </w:pPr>
      <w:r>
        <w:t xml:space="preserve">Таблица 10. Студенты и аспиранты, обучающиеся в университетах </w:t>
      </w:r>
      <w:r>
        <w:br/>
        <w:t>и независимых высших уче</w:t>
      </w:r>
      <w:r>
        <w:t>б</w:t>
      </w:r>
      <w:r>
        <w:t>ных заведениях, в разбивке по полу</w:t>
      </w:r>
    </w:p>
    <w:tbl>
      <w:tblPr>
        <w:tblW w:w="0" w:type="auto"/>
        <w:tblInd w:w="1278" w:type="dxa"/>
        <w:tblLayout w:type="fixed"/>
        <w:tblLook w:val="0000" w:firstRow="0" w:lastRow="0" w:firstColumn="0" w:lastColumn="0" w:noHBand="0" w:noVBand="0"/>
      </w:tblPr>
      <w:tblGrid>
        <w:gridCol w:w="851"/>
        <w:gridCol w:w="1086"/>
        <w:gridCol w:w="1087"/>
        <w:gridCol w:w="1087"/>
        <w:gridCol w:w="1086"/>
        <w:gridCol w:w="1087"/>
        <w:gridCol w:w="1087"/>
      </w:tblGrid>
      <w:tr w:rsidR="00000000">
        <w:tblPrEx>
          <w:tblCellMar>
            <w:top w:w="0" w:type="dxa"/>
            <w:bottom w:w="0" w:type="dxa"/>
          </w:tblCellMar>
        </w:tblPrEx>
        <w:trPr>
          <w:cantSplit/>
        </w:trPr>
        <w:tc>
          <w:tcPr>
            <w:tcW w:w="851" w:type="dxa"/>
            <w:vMerge w:val="restart"/>
            <w:tcBorders>
              <w:top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Год</w:t>
            </w:r>
          </w:p>
        </w:tc>
        <w:tc>
          <w:tcPr>
            <w:tcW w:w="3260" w:type="dxa"/>
            <w:gridSpan w:val="3"/>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Студе</w:t>
            </w:r>
            <w:r>
              <w:rPr>
                <w:i/>
                <w:sz w:val="17"/>
              </w:rPr>
              <w:t>н</w:t>
            </w:r>
            <w:r>
              <w:rPr>
                <w:i/>
                <w:sz w:val="17"/>
              </w:rPr>
              <w:t>ты</w:t>
            </w:r>
          </w:p>
        </w:tc>
        <w:tc>
          <w:tcPr>
            <w:tcW w:w="3260" w:type="dxa"/>
            <w:gridSpan w:val="3"/>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Асп</w:t>
            </w:r>
            <w:r>
              <w:rPr>
                <w:i/>
                <w:sz w:val="17"/>
              </w:rPr>
              <w:t>и</w:t>
            </w:r>
            <w:r>
              <w:rPr>
                <w:i/>
                <w:sz w:val="17"/>
              </w:rPr>
              <w:t>ранты</w:t>
            </w:r>
          </w:p>
        </w:tc>
      </w:tr>
      <w:tr w:rsidR="00000000">
        <w:tblPrEx>
          <w:tblCellMar>
            <w:top w:w="0" w:type="dxa"/>
            <w:bottom w:w="0" w:type="dxa"/>
          </w:tblCellMar>
        </w:tblPrEx>
        <w:trPr>
          <w:cantSplit/>
        </w:trPr>
        <w:tc>
          <w:tcPr>
            <w:tcW w:w="851" w:type="dxa"/>
            <w:vMerge/>
            <w:tcBorders>
              <w:bottom w:val="single" w:sz="12" w:space="0" w:color="auto"/>
            </w:tcBorders>
            <w:vAlign w:val="center"/>
          </w:tcPr>
          <w:p w:rsidR="00000000" w:rsidRDefault="00000000">
            <w:pPr>
              <w:pStyle w:val="SingleTxt"/>
              <w:spacing w:before="40" w:after="40" w:line="240" w:lineRule="auto"/>
              <w:ind w:left="0" w:right="0" w:firstLine="0"/>
              <w:jc w:val="center"/>
              <w:rPr>
                <w:i/>
                <w:sz w:val="17"/>
              </w:rPr>
            </w:pPr>
          </w:p>
        </w:tc>
        <w:tc>
          <w:tcPr>
            <w:tcW w:w="1086"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Всего</w:t>
            </w:r>
          </w:p>
        </w:tc>
        <w:tc>
          <w:tcPr>
            <w:tcW w:w="1087"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Женщины</w:t>
            </w:r>
          </w:p>
        </w:tc>
        <w:tc>
          <w:tcPr>
            <w:tcW w:w="1087"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 xml:space="preserve">Доля женщин </w:t>
            </w:r>
            <w:r>
              <w:rPr>
                <w:i/>
                <w:sz w:val="17"/>
              </w:rPr>
              <w:br/>
              <w:t>в %</w:t>
            </w:r>
          </w:p>
        </w:tc>
        <w:tc>
          <w:tcPr>
            <w:tcW w:w="1086"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Всего</w:t>
            </w:r>
          </w:p>
        </w:tc>
        <w:tc>
          <w:tcPr>
            <w:tcW w:w="1087"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Женщ</w:t>
            </w:r>
            <w:r>
              <w:rPr>
                <w:i/>
                <w:sz w:val="17"/>
              </w:rPr>
              <w:t>и</w:t>
            </w:r>
            <w:r>
              <w:rPr>
                <w:i/>
                <w:sz w:val="17"/>
              </w:rPr>
              <w:t>ны</w:t>
            </w:r>
          </w:p>
        </w:tc>
        <w:tc>
          <w:tcPr>
            <w:tcW w:w="1087"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 xml:space="preserve">Доля женщин </w:t>
            </w:r>
            <w:r>
              <w:rPr>
                <w:i/>
                <w:sz w:val="17"/>
              </w:rPr>
              <w:br/>
              <w:t>в %</w:t>
            </w:r>
          </w:p>
        </w:tc>
      </w:tr>
      <w:tr w:rsidR="00000000">
        <w:tblPrEx>
          <w:tblCellMar>
            <w:top w:w="0" w:type="dxa"/>
            <w:bottom w:w="0" w:type="dxa"/>
          </w:tblCellMar>
        </w:tblPrEx>
        <w:tc>
          <w:tcPr>
            <w:tcW w:w="851"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1995</w:t>
            </w:r>
          </w:p>
        </w:tc>
        <w:tc>
          <w:tcPr>
            <w:tcW w:w="1086"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45951</w:t>
            </w:r>
          </w:p>
        </w:tc>
        <w:tc>
          <w:tcPr>
            <w:tcW w:w="1087"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26126</w:t>
            </w:r>
          </w:p>
        </w:tc>
        <w:tc>
          <w:tcPr>
            <w:tcW w:w="1087"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56,9</w:t>
            </w:r>
          </w:p>
        </w:tc>
        <w:tc>
          <w:tcPr>
            <w:tcW w:w="1086"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6419</w:t>
            </w:r>
          </w:p>
        </w:tc>
        <w:tc>
          <w:tcPr>
            <w:tcW w:w="1087"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3809</w:t>
            </w:r>
          </w:p>
        </w:tc>
        <w:tc>
          <w:tcPr>
            <w:tcW w:w="1087"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59,3</w:t>
            </w:r>
          </w:p>
        </w:tc>
      </w:tr>
      <w:tr w:rsidR="00000000">
        <w:tblPrEx>
          <w:tblCellMar>
            <w:top w:w="0" w:type="dxa"/>
            <w:bottom w:w="0" w:type="dxa"/>
          </w:tblCellMar>
        </w:tblPrEx>
        <w:tc>
          <w:tcPr>
            <w:tcW w:w="851" w:type="dxa"/>
          </w:tcPr>
          <w:p w:rsidR="00000000" w:rsidRDefault="00000000">
            <w:pPr>
              <w:pStyle w:val="SingleTxt"/>
              <w:spacing w:before="40" w:after="40" w:line="240" w:lineRule="auto"/>
              <w:ind w:left="0" w:right="0" w:firstLine="0"/>
              <w:jc w:val="center"/>
              <w:rPr>
                <w:sz w:val="17"/>
              </w:rPr>
            </w:pPr>
            <w:r>
              <w:rPr>
                <w:sz w:val="17"/>
              </w:rPr>
              <w:t>1996</w:t>
            </w:r>
          </w:p>
        </w:tc>
        <w:tc>
          <w:tcPr>
            <w:tcW w:w="1086" w:type="dxa"/>
          </w:tcPr>
          <w:p w:rsidR="00000000" w:rsidRDefault="00000000">
            <w:pPr>
              <w:pStyle w:val="SingleTxt"/>
              <w:spacing w:before="40" w:after="40" w:line="240" w:lineRule="auto"/>
              <w:ind w:left="0" w:right="0" w:firstLine="0"/>
              <w:jc w:val="center"/>
              <w:rPr>
                <w:sz w:val="17"/>
              </w:rPr>
            </w:pPr>
            <w:r>
              <w:rPr>
                <w:sz w:val="17"/>
              </w:rPr>
              <w:t>50667</w:t>
            </w:r>
          </w:p>
        </w:tc>
        <w:tc>
          <w:tcPr>
            <w:tcW w:w="1087" w:type="dxa"/>
          </w:tcPr>
          <w:p w:rsidR="00000000" w:rsidRDefault="00000000">
            <w:pPr>
              <w:pStyle w:val="SingleTxt"/>
              <w:spacing w:before="40" w:after="40" w:line="240" w:lineRule="auto"/>
              <w:ind w:left="0" w:right="0" w:firstLine="0"/>
              <w:jc w:val="center"/>
              <w:rPr>
                <w:sz w:val="17"/>
              </w:rPr>
            </w:pPr>
            <w:r>
              <w:rPr>
                <w:sz w:val="17"/>
              </w:rPr>
              <w:t>28660</w:t>
            </w:r>
          </w:p>
        </w:tc>
        <w:tc>
          <w:tcPr>
            <w:tcW w:w="1087" w:type="dxa"/>
          </w:tcPr>
          <w:p w:rsidR="00000000" w:rsidRDefault="00000000">
            <w:pPr>
              <w:pStyle w:val="SingleTxt"/>
              <w:spacing w:before="40" w:after="40" w:line="240" w:lineRule="auto"/>
              <w:ind w:left="0" w:right="0" w:firstLine="0"/>
              <w:jc w:val="center"/>
              <w:rPr>
                <w:sz w:val="17"/>
              </w:rPr>
            </w:pPr>
            <w:r>
              <w:rPr>
                <w:sz w:val="17"/>
              </w:rPr>
              <w:t>56,6</w:t>
            </w:r>
          </w:p>
        </w:tc>
        <w:tc>
          <w:tcPr>
            <w:tcW w:w="1086" w:type="dxa"/>
          </w:tcPr>
          <w:p w:rsidR="00000000" w:rsidRDefault="00000000">
            <w:pPr>
              <w:pStyle w:val="SingleTxt"/>
              <w:spacing w:before="40" w:after="40" w:line="240" w:lineRule="auto"/>
              <w:ind w:left="0" w:right="0" w:firstLine="0"/>
              <w:jc w:val="center"/>
              <w:rPr>
                <w:sz w:val="17"/>
              </w:rPr>
            </w:pPr>
            <w:r>
              <w:rPr>
                <w:sz w:val="17"/>
              </w:rPr>
              <w:t>7724</w:t>
            </w:r>
          </w:p>
        </w:tc>
        <w:tc>
          <w:tcPr>
            <w:tcW w:w="1087" w:type="dxa"/>
          </w:tcPr>
          <w:p w:rsidR="00000000" w:rsidRDefault="00000000">
            <w:pPr>
              <w:pStyle w:val="SingleTxt"/>
              <w:spacing w:before="40" w:after="40" w:line="240" w:lineRule="auto"/>
              <w:ind w:left="0" w:right="0" w:firstLine="0"/>
              <w:jc w:val="center"/>
              <w:rPr>
                <w:sz w:val="17"/>
              </w:rPr>
            </w:pPr>
            <w:r>
              <w:rPr>
                <w:sz w:val="17"/>
              </w:rPr>
              <w:t>4658</w:t>
            </w:r>
          </w:p>
        </w:tc>
        <w:tc>
          <w:tcPr>
            <w:tcW w:w="1087" w:type="dxa"/>
          </w:tcPr>
          <w:p w:rsidR="00000000" w:rsidRDefault="00000000">
            <w:pPr>
              <w:pStyle w:val="SingleTxt"/>
              <w:spacing w:before="40" w:after="40" w:line="240" w:lineRule="auto"/>
              <w:ind w:left="0" w:right="0" w:firstLine="0"/>
              <w:jc w:val="center"/>
              <w:rPr>
                <w:sz w:val="17"/>
              </w:rPr>
            </w:pPr>
            <w:r>
              <w:rPr>
                <w:sz w:val="17"/>
              </w:rPr>
              <w:t>60,3</w:t>
            </w:r>
          </w:p>
        </w:tc>
      </w:tr>
      <w:tr w:rsidR="00000000">
        <w:tblPrEx>
          <w:tblCellMar>
            <w:top w:w="0" w:type="dxa"/>
            <w:bottom w:w="0" w:type="dxa"/>
          </w:tblCellMar>
        </w:tblPrEx>
        <w:tc>
          <w:tcPr>
            <w:tcW w:w="851" w:type="dxa"/>
          </w:tcPr>
          <w:p w:rsidR="00000000" w:rsidRDefault="00000000">
            <w:pPr>
              <w:pStyle w:val="SingleTxt"/>
              <w:spacing w:before="40" w:after="40" w:line="240" w:lineRule="auto"/>
              <w:ind w:left="0" w:right="0" w:firstLine="0"/>
              <w:jc w:val="center"/>
              <w:rPr>
                <w:sz w:val="17"/>
              </w:rPr>
            </w:pPr>
            <w:r>
              <w:rPr>
                <w:sz w:val="17"/>
              </w:rPr>
              <w:t>1997</w:t>
            </w:r>
          </w:p>
        </w:tc>
        <w:tc>
          <w:tcPr>
            <w:tcW w:w="1086" w:type="dxa"/>
          </w:tcPr>
          <w:p w:rsidR="00000000" w:rsidRDefault="00000000">
            <w:pPr>
              <w:pStyle w:val="SingleTxt"/>
              <w:spacing w:before="40" w:after="40" w:line="240" w:lineRule="auto"/>
              <w:ind w:left="0" w:right="0" w:firstLine="0"/>
              <w:jc w:val="center"/>
              <w:rPr>
                <w:sz w:val="17"/>
              </w:rPr>
            </w:pPr>
            <w:r>
              <w:rPr>
                <w:sz w:val="17"/>
              </w:rPr>
              <w:t>64678</w:t>
            </w:r>
          </w:p>
        </w:tc>
        <w:tc>
          <w:tcPr>
            <w:tcW w:w="1087" w:type="dxa"/>
          </w:tcPr>
          <w:p w:rsidR="00000000" w:rsidRDefault="00000000">
            <w:pPr>
              <w:pStyle w:val="SingleTxt"/>
              <w:spacing w:before="40" w:after="40" w:line="240" w:lineRule="auto"/>
              <w:ind w:left="0" w:right="0" w:firstLine="0"/>
              <w:jc w:val="center"/>
              <w:rPr>
                <w:sz w:val="17"/>
              </w:rPr>
            </w:pPr>
            <w:r>
              <w:rPr>
                <w:sz w:val="17"/>
              </w:rPr>
              <w:t>36149</w:t>
            </w:r>
          </w:p>
        </w:tc>
        <w:tc>
          <w:tcPr>
            <w:tcW w:w="1087" w:type="dxa"/>
          </w:tcPr>
          <w:p w:rsidR="00000000" w:rsidRDefault="00000000">
            <w:pPr>
              <w:pStyle w:val="SingleTxt"/>
              <w:spacing w:before="40" w:after="40" w:line="240" w:lineRule="auto"/>
              <w:ind w:left="0" w:right="0" w:firstLine="0"/>
              <w:jc w:val="center"/>
              <w:rPr>
                <w:sz w:val="17"/>
              </w:rPr>
            </w:pPr>
            <w:r>
              <w:rPr>
                <w:sz w:val="17"/>
              </w:rPr>
              <w:t>55,9</w:t>
            </w:r>
          </w:p>
        </w:tc>
        <w:tc>
          <w:tcPr>
            <w:tcW w:w="1086" w:type="dxa"/>
          </w:tcPr>
          <w:p w:rsidR="00000000" w:rsidRDefault="00000000">
            <w:pPr>
              <w:pStyle w:val="SingleTxt"/>
              <w:spacing w:before="40" w:after="40" w:line="240" w:lineRule="auto"/>
              <w:ind w:left="0" w:right="0" w:firstLine="0"/>
              <w:jc w:val="center"/>
              <w:rPr>
                <w:sz w:val="17"/>
              </w:rPr>
            </w:pPr>
            <w:r>
              <w:rPr>
                <w:sz w:val="17"/>
              </w:rPr>
              <w:t>8011</w:t>
            </w:r>
          </w:p>
        </w:tc>
        <w:tc>
          <w:tcPr>
            <w:tcW w:w="1087" w:type="dxa"/>
          </w:tcPr>
          <w:p w:rsidR="00000000" w:rsidRDefault="00000000">
            <w:pPr>
              <w:pStyle w:val="SingleTxt"/>
              <w:spacing w:before="40" w:after="40" w:line="240" w:lineRule="auto"/>
              <w:ind w:left="0" w:right="0" w:firstLine="0"/>
              <w:jc w:val="center"/>
              <w:rPr>
                <w:sz w:val="17"/>
              </w:rPr>
            </w:pPr>
            <w:r>
              <w:rPr>
                <w:sz w:val="17"/>
              </w:rPr>
              <w:t>4929</w:t>
            </w:r>
          </w:p>
        </w:tc>
        <w:tc>
          <w:tcPr>
            <w:tcW w:w="1087" w:type="dxa"/>
          </w:tcPr>
          <w:p w:rsidR="00000000" w:rsidRDefault="00000000">
            <w:pPr>
              <w:pStyle w:val="SingleTxt"/>
              <w:spacing w:before="40" w:after="40" w:line="240" w:lineRule="auto"/>
              <w:ind w:left="0" w:right="0" w:firstLine="0"/>
              <w:jc w:val="center"/>
              <w:rPr>
                <w:sz w:val="17"/>
              </w:rPr>
            </w:pPr>
            <w:r>
              <w:rPr>
                <w:sz w:val="17"/>
              </w:rPr>
              <w:t>61,5</w:t>
            </w:r>
          </w:p>
        </w:tc>
      </w:tr>
      <w:tr w:rsidR="00000000">
        <w:tblPrEx>
          <w:tblCellMar>
            <w:top w:w="0" w:type="dxa"/>
            <w:bottom w:w="0" w:type="dxa"/>
          </w:tblCellMar>
        </w:tblPrEx>
        <w:tc>
          <w:tcPr>
            <w:tcW w:w="851" w:type="dxa"/>
          </w:tcPr>
          <w:p w:rsidR="00000000" w:rsidRDefault="00000000">
            <w:pPr>
              <w:pStyle w:val="SingleTxt"/>
              <w:spacing w:before="40" w:after="40" w:line="240" w:lineRule="auto"/>
              <w:ind w:left="0" w:right="0" w:firstLine="0"/>
              <w:jc w:val="center"/>
              <w:rPr>
                <w:sz w:val="17"/>
              </w:rPr>
            </w:pPr>
            <w:r>
              <w:rPr>
                <w:sz w:val="17"/>
              </w:rPr>
              <w:t>1998</w:t>
            </w:r>
          </w:p>
        </w:tc>
        <w:tc>
          <w:tcPr>
            <w:tcW w:w="1086" w:type="dxa"/>
          </w:tcPr>
          <w:p w:rsidR="00000000" w:rsidRDefault="00000000">
            <w:pPr>
              <w:pStyle w:val="SingleTxt"/>
              <w:spacing w:before="40" w:after="40" w:line="240" w:lineRule="auto"/>
              <w:ind w:left="0" w:right="0" w:firstLine="0"/>
              <w:jc w:val="center"/>
              <w:rPr>
                <w:sz w:val="17"/>
              </w:rPr>
            </w:pPr>
            <w:r>
              <w:rPr>
                <w:sz w:val="17"/>
              </w:rPr>
              <w:t>74642</w:t>
            </w:r>
          </w:p>
        </w:tc>
        <w:tc>
          <w:tcPr>
            <w:tcW w:w="1087" w:type="dxa"/>
          </w:tcPr>
          <w:p w:rsidR="00000000" w:rsidRDefault="00000000">
            <w:pPr>
              <w:pStyle w:val="SingleTxt"/>
              <w:spacing w:before="40" w:after="40" w:line="240" w:lineRule="auto"/>
              <w:ind w:left="0" w:right="0" w:firstLine="0"/>
              <w:jc w:val="center"/>
              <w:rPr>
                <w:sz w:val="17"/>
              </w:rPr>
            </w:pPr>
            <w:r>
              <w:rPr>
                <w:sz w:val="17"/>
              </w:rPr>
              <w:t>42507</w:t>
            </w:r>
          </w:p>
        </w:tc>
        <w:tc>
          <w:tcPr>
            <w:tcW w:w="1087" w:type="dxa"/>
          </w:tcPr>
          <w:p w:rsidR="00000000" w:rsidRDefault="00000000">
            <w:pPr>
              <w:pStyle w:val="SingleTxt"/>
              <w:spacing w:before="40" w:after="40" w:line="240" w:lineRule="auto"/>
              <w:ind w:left="0" w:right="0" w:firstLine="0"/>
              <w:jc w:val="center"/>
              <w:rPr>
                <w:sz w:val="17"/>
              </w:rPr>
            </w:pPr>
            <w:r>
              <w:rPr>
                <w:sz w:val="17"/>
              </w:rPr>
              <w:t>56,9</w:t>
            </w:r>
          </w:p>
        </w:tc>
        <w:tc>
          <w:tcPr>
            <w:tcW w:w="1086" w:type="dxa"/>
          </w:tcPr>
          <w:p w:rsidR="00000000" w:rsidRDefault="00000000">
            <w:pPr>
              <w:pStyle w:val="SingleTxt"/>
              <w:spacing w:before="40" w:after="40" w:line="240" w:lineRule="auto"/>
              <w:ind w:left="0" w:right="0" w:firstLine="0"/>
              <w:jc w:val="center"/>
              <w:rPr>
                <w:sz w:val="17"/>
              </w:rPr>
            </w:pPr>
            <w:r>
              <w:rPr>
                <w:sz w:val="17"/>
              </w:rPr>
              <w:t>8612</w:t>
            </w:r>
          </w:p>
        </w:tc>
        <w:tc>
          <w:tcPr>
            <w:tcW w:w="1087" w:type="dxa"/>
          </w:tcPr>
          <w:p w:rsidR="00000000" w:rsidRDefault="00000000">
            <w:pPr>
              <w:pStyle w:val="SingleTxt"/>
              <w:spacing w:before="40" w:after="40" w:line="240" w:lineRule="auto"/>
              <w:ind w:left="0" w:right="0" w:firstLine="0"/>
              <w:jc w:val="center"/>
              <w:rPr>
                <w:sz w:val="17"/>
              </w:rPr>
            </w:pPr>
            <w:r>
              <w:rPr>
                <w:sz w:val="17"/>
              </w:rPr>
              <w:t>5043</w:t>
            </w:r>
          </w:p>
        </w:tc>
        <w:tc>
          <w:tcPr>
            <w:tcW w:w="1087" w:type="dxa"/>
          </w:tcPr>
          <w:p w:rsidR="00000000" w:rsidRDefault="00000000">
            <w:pPr>
              <w:pStyle w:val="SingleTxt"/>
              <w:spacing w:before="40" w:after="40" w:line="240" w:lineRule="auto"/>
              <w:ind w:left="0" w:right="0" w:firstLine="0"/>
              <w:jc w:val="center"/>
              <w:rPr>
                <w:sz w:val="17"/>
              </w:rPr>
            </w:pPr>
            <w:r>
              <w:rPr>
                <w:sz w:val="17"/>
              </w:rPr>
              <w:t>58,5</w:t>
            </w:r>
          </w:p>
        </w:tc>
      </w:tr>
      <w:tr w:rsidR="00000000">
        <w:tblPrEx>
          <w:tblCellMar>
            <w:top w:w="0" w:type="dxa"/>
            <w:bottom w:w="0" w:type="dxa"/>
          </w:tblCellMar>
        </w:tblPrEx>
        <w:tc>
          <w:tcPr>
            <w:tcW w:w="851" w:type="dxa"/>
          </w:tcPr>
          <w:p w:rsidR="00000000" w:rsidRDefault="00000000">
            <w:pPr>
              <w:pStyle w:val="SingleTxt"/>
              <w:spacing w:before="40" w:after="40" w:line="240" w:lineRule="auto"/>
              <w:ind w:left="0" w:right="0" w:firstLine="0"/>
              <w:jc w:val="center"/>
              <w:rPr>
                <w:sz w:val="17"/>
              </w:rPr>
            </w:pPr>
            <w:r>
              <w:rPr>
                <w:sz w:val="17"/>
              </w:rPr>
              <w:t>1999</w:t>
            </w:r>
          </w:p>
        </w:tc>
        <w:tc>
          <w:tcPr>
            <w:tcW w:w="1086" w:type="dxa"/>
          </w:tcPr>
          <w:p w:rsidR="00000000" w:rsidRDefault="00000000">
            <w:pPr>
              <w:pStyle w:val="SingleTxt"/>
              <w:spacing w:before="40" w:after="40" w:line="240" w:lineRule="auto"/>
              <w:ind w:left="0" w:right="0" w:firstLine="0"/>
              <w:jc w:val="center"/>
              <w:rPr>
                <w:sz w:val="17"/>
              </w:rPr>
            </w:pPr>
            <w:r>
              <w:rPr>
                <w:sz w:val="17"/>
              </w:rPr>
              <w:t>77609</w:t>
            </w:r>
          </w:p>
        </w:tc>
        <w:tc>
          <w:tcPr>
            <w:tcW w:w="1087" w:type="dxa"/>
          </w:tcPr>
          <w:p w:rsidR="00000000" w:rsidRDefault="00000000">
            <w:pPr>
              <w:pStyle w:val="SingleTxt"/>
              <w:spacing w:before="40" w:after="40" w:line="240" w:lineRule="auto"/>
              <w:ind w:left="0" w:right="0" w:firstLine="0"/>
              <w:jc w:val="center"/>
              <w:rPr>
                <w:sz w:val="17"/>
              </w:rPr>
            </w:pPr>
            <w:r>
              <w:rPr>
                <w:sz w:val="17"/>
              </w:rPr>
              <w:t>44459</w:t>
            </w:r>
          </w:p>
        </w:tc>
        <w:tc>
          <w:tcPr>
            <w:tcW w:w="1087" w:type="dxa"/>
          </w:tcPr>
          <w:p w:rsidR="00000000" w:rsidRDefault="00000000">
            <w:pPr>
              <w:pStyle w:val="SingleTxt"/>
              <w:spacing w:before="40" w:after="40" w:line="240" w:lineRule="auto"/>
              <w:ind w:left="0" w:right="0" w:firstLine="0"/>
              <w:jc w:val="center"/>
              <w:rPr>
                <w:sz w:val="17"/>
              </w:rPr>
            </w:pPr>
            <w:r>
              <w:rPr>
                <w:sz w:val="17"/>
              </w:rPr>
              <w:t>57,3</w:t>
            </w:r>
          </w:p>
        </w:tc>
        <w:tc>
          <w:tcPr>
            <w:tcW w:w="1086" w:type="dxa"/>
          </w:tcPr>
          <w:p w:rsidR="00000000" w:rsidRDefault="00000000">
            <w:pPr>
              <w:pStyle w:val="SingleTxt"/>
              <w:spacing w:before="40" w:after="40" w:line="240" w:lineRule="auto"/>
              <w:ind w:left="0" w:right="0" w:firstLine="0"/>
              <w:jc w:val="center"/>
              <w:rPr>
                <w:sz w:val="17"/>
              </w:rPr>
            </w:pPr>
            <w:r>
              <w:rPr>
                <w:sz w:val="17"/>
              </w:rPr>
              <w:t>9345</w:t>
            </w:r>
          </w:p>
        </w:tc>
        <w:tc>
          <w:tcPr>
            <w:tcW w:w="1087" w:type="dxa"/>
          </w:tcPr>
          <w:p w:rsidR="00000000" w:rsidRDefault="00000000">
            <w:pPr>
              <w:pStyle w:val="SingleTxt"/>
              <w:spacing w:before="40" w:after="40" w:line="240" w:lineRule="auto"/>
              <w:ind w:left="0" w:right="0" w:firstLine="0"/>
              <w:jc w:val="center"/>
              <w:rPr>
                <w:sz w:val="17"/>
              </w:rPr>
            </w:pPr>
            <w:r>
              <w:rPr>
                <w:sz w:val="17"/>
              </w:rPr>
              <w:t>5499</w:t>
            </w:r>
          </w:p>
        </w:tc>
        <w:tc>
          <w:tcPr>
            <w:tcW w:w="1087" w:type="dxa"/>
          </w:tcPr>
          <w:p w:rsidR="00000000" w:rsidRDefault="00000000">
            <w:pPr>
              <w:pStyle w:val="SingleTxt"/>
              <w:spacing w:before="40" w:after="40" w:line="240" w:lineRule="auto"/>
              <w:ind w:left="0" w:right="0" w:firstLine="0"/>
              <w:jc w:val="center"/>
              <w:rPr>
                <w:sz w:val="17"/>
              </w:rPr>
            </w:pPr>
            <w:r>
              <w:rPr>
                <w:sz w:val="17"/>
              </w:rPr>
              <w:t>58,8</w:t>
            </w:r>
          </w:p>
        </w:tc>
      </w:tr>
      <w:tr w:rsidR="00000000">
        <w:tblPrEx>
          <w:tblCellMar>
            <w:top w:w="0" w:type="dxa"/>
            <w:bottom w:w="0" w:type="dxa"/>
          </w:tblCellMar>
        </w:tblPrEx>
        <w:tc>
          <w:tcPr>
            <w:tcW w:w="851" w:type="dxa"/>
          </w:tcPr>
          <w:p w:rsidR="00000000" w:rsidRDefault="00000000">
            <w:pPr>
              <w:pStyle w:val="SingleTxt"/>
              <w:spacing w:before="40" w:after="40" w:line="240" w:lineRule="auto"/>
              <w:ind w:left="0" w:right="0" w:firstLine="0"/>
              <w:jc w:val="center"/>
              <w:rPr>
                <w:sz w:val="17"/>
              </w:rPr>
            </w:pPr>
            <w:r>
              <w:rPr>
                <w:sz w:val="17"/>
              </w:rPr>
              <w:t>2000</w:t>
            </w:r>
          </w:p>
        </w:tc>
        <w:tc>
          <w:tcPr>
            <w:tcW w:w="1086" w:type="dxa"/>
          </w:tcPr>
          <w:p w:rsidR="00000000" w:rsidRDefault="00000000">
            <w:pPr>
              <w:pStyle w:val="SingleTxt"/>
              <w:spacing w:before="40" w:after="40" w:line="240" w:lineRule="auto"/>
              <w:ind w:left="0" w:right="0" w:firstLine="0"/>
              <w:jc w:val="center"/>
              <w:rPr>
                <w:sz w:val="17"/>
              </w:rPr>
            </w:pPr>
            <w:r>
              <w:rPr>
                <w:sz w:val="17"/>
              </w:rPr>
              <w:t>82812</w:t>
            </w:r>
          </w:p>
        </w:tc>
        <w:tc>
          <w:tcPr>
            <w:tcW w:w="1087" w:type="dxa"/>
          </w:tcPr>
          <w:p w:rsidR="00000000" w:rsidRDefault="00000000">
            <w:pPr>
              <w:pStyle w:val="SingleTxt"/>
              <w:spacing w:before="40" w:after="40" w:line="240" w:lineRule="auto"/>
              <w:ind w:left="0" w:right="0" w:firstLine="0"/>
              <w:jc w:val="center"/>
              <w:rPr>
                <w:sz w:val="17"/>
              </w:rPr>
            </w:pPr>
            <w:r>
              <w:rPr>
                <w:sz w:val="17"/>
              </w:rPr>
              <w:t>47460</w:t>
            </w:r>
          </w:p>
        </w:tc>
        <w:tc>
          <w:tcPr>
            <w:tcW w:w="1087" w:type="dxa"/>
          </w:tcPr>
          <w:p w:rsidR="00000000" w:rsidRDefault="00000000">
            <w:pPr>
              <w:pStyle w:val="SingleTxt"/>
              <w:spacing w:before="40" w:after="40" w:line="240" w:lineRule="auto"/>
              <w:ind w:left="0" w:right="0" w:firstLine="0"/>
              <w:jc w:val="center"/>
              <w:rPr>
                <w:sz w:val="17"/>
              </w:rPr>
            </w:pPr>
            <w:r>
              <w:rPr>
                <w:sz w:val="17"/>
              </w:rPr>
              <w:t>57,3</w:t>
            </w:r>
          </w:p>
        </w:tc>
        <w:tc>
          <w:tcPr>
            <w:tcW w:w="1086" w:type="dxa"/>
          </w:tcPr>
          <w:p w:rsidR="00000000" w:rsidRDefault="00000000">
            <w:pPr>
              <w:pStyle w:val="SingleTxt"/>
              <w:spacing w:before="40" w:after="40" w:line="240" w:lineRule="auto"/>
              <w:ind w:left="0" w:right="0" w:firstLine="0"/>
              <w:jc w:val="center"/>
              <w:rPr>
                <w:sz w:val="17"/>
              </w:rPr>
            </w:pPr>
            <w:r>
              <w:rPr>
                <w:sz w:val="17"/>
              </w:rPr>
              <w:t>10232</w:t>
            </w:r>
          </w:p>
        </w:tc>
        <w:tc>
          <w:tcPr>
            <w:tcW w:w="1087" w:type="dxa"/>
          </w:tcPr>
          <w:p w:rsidR="00000000" w:rsidRDefault="00000000">
            <w:pPr>
              <w:pStyle w:val="SingleTxt"/>
              <w:spacing w:before="40" w:after="40" w:line="240" w:lineRule="auto"/>
              <w:ind w:left="0" w:right="0" w:firstLine="0"/>
              <w:jc w:val="center"/>
              <w:rPr>
                <w:sz w:val="17"/>
              </w:rPr>
            </w:pPr>
            <w:r>
              <w:rPr>
                <w:sz w:val="17"/>
              </w:rPr>
              <w:t>6060</w:t>
            </w:r>
          </w:p>
        </w:tc>
        <w:tc>
          <w:tcPr>
            <w:tcW w:w="1087" w:type="dxa"/>
          </w:tcPr>
          <w:p w:rsidR="00000000" w:rsidRDefault="00000000">
            <w:pPr>
              <w:pStyle w:val="SingleTxt"/>
              <w:spacing w:before="40" w:after="40" w:line="240" w:lineRule="auto"/>
              <w:ind w:left="0" w:right="0" w:firstLine="0"/>
              <w:jc w:val="center"/>
              <w:rPr>
                <w:sz w:val="17"/>
              </w:rPr>
            </w:pPr>
            <w:r>
              <w:rPr>
                <w:sz w:val="17"/>
              </w:rPr>
              <w:t>59,2</w:t>
            </w:r>
          </w:p>
        </w:tc>
      </w:tr>
      <w:tr w:rsidR="00000000">
        <w:tblPrEx>
          <w:tblCellMar>
            <w:top w:w="0" w:type="dxa"/>
            <w:bottom w:w="0" w:type="dxa"/>
          </w:tblCellMar>
        </w:tblPrEx>
        <w:tc>
          <w:tcPr>
            <w:tcW w:w="851"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2001</w:t>
            </w:r>
          </w:p>
        </w:tc>
        <w:tc>
          <w:tcPr>
            <w:tcW w:w="1086"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88100</w:t>
            </w:r>
          </w:p>
        </w:tc>
        <w:tc>
          <w:tcPr>
            <w:tcW w:w="1087"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51800</w:t>
            </w:r>
          </w:p>
        </w:tc>
        <w:tc>
          <w:tcPr>
            <w:tcW w:w="1087"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58,8</w:t>
            </w:r>
          </w:p>
        </w:tc>
        <w:tc>
          <w:tcPr>
            <w:tcW w:w="1086"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10375</w:t>
            </w:r>
          </w:p>
        </w:tc>
        <w:tc>
          <w:tcPr>
            <w:tcW w:w="1087"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6434</w:t>
            </w:r>
          </w:p>
        </w:tc>
        <w:tc>
          <w:tcPr>
            <w:tcW w:w="1087"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62,0</w:t>
            </w:r>
          </w:p>
        </w:tc>
      </w:tr>
    </w:tbl>
    <w:p w:rsidR="00000000" w:rsidRDefault="00000000">
      <w:pPr>
        <w:pStyle w:val="SingleTxt"/>
        <w:ind w:firstLine="0"/>
      </w:pPr>
      <w:r>
        <w:rPr>
          <w:i/>
        </w:rPr>
        <w:t>Источник</w:t>
      </w:r>
      <w:r>
        <w:t>: Статистический ежегодник за 2002 год</w:t>
      </w:r>
    </w:p>
    <w:p w:rsidR="00000000" w:rsidRDefault="00000000">
      <w:pPr>
        <w:pStyle w:val="SingleTxt"/>
      </w:pPr>
      <w:r>
        <w:t>В 2000 году выбор изучаемых дисциплин не претерпел никаких сущес</w:t>
      </w:r>
      <w:r>
        <w:t>т</w:t>
      </w:r>
      <w:r>
        <w:t>венных изменений. Как и в прошлые годы, женщин по-прежнему заметно больше, чем мужчин среди студентов высших учебных заведений, а также на факультетах, готовящих работников здравоохранения, социальной сферы и п</w:t>
      </w:r>
      <w:r>
        <w:t>е</w:t>
      </w:r>
      <w:r>
        <w:t>дагогов. Кроме того, заметно больше женщин, чем мужчин обучается на ф</w:t>
      </w:r>
      <w:r>
        <w:t>а</w:t>
      </w:r>
      <w:r>
        <w:t>культетах экономики, социологии, фармацевтики и медицины, а также на нек</w:t>
      </w:r>
      <w:r>
        <w:t>о</w:t>
      </w:r>
      <w:r>
        <w:t>торых отделениях на факультетах естественных наук и биотехнологии. На</w:t>
      </w:r>
      <w:r>
        <w:t>и</w:t>
      </w:r>
      <w:r>
        <w:t>меньшее число девочек обучается на факультетах строительного дела, а также электр</w:t>
      </w:r>
      <w:r>
        <w:t>о</w:t>
      </w:r>
      <w:r>
        <w:t>техники, электроники и информатики.</w:t>
      </w:r>
    </w:p>
    <w:p w:rsidR="00000000" w:rsidRDefault="00000000">
      <w:pPr>
        <w:pStyle w:val="SingleTxt"/>
      </w:pPr>
      <w:r>
        <w:t>С каждым годом сглаживаются диспропорции между численностью му</w:t>
      </w:r>
      <w:r>
        <w:t>ж</w:t>
      </w:r>
      <w:r>
        <w:t>чин и женщин, обучающихся в магистратурах и аспирантурах. В 2001 году женщины уже преобладали среди магистров, причем из 905 магистров 454 б</w:t>
      </w:r>
      <w:r>
        <w:t>ы</w:t>
      </w:r>
      <w:r>
        <w:t>ли женщинами (50,1%), а среди докторов наук женщины составляли немногим м</w:t>
      </w:r>
      <w:r>
        <w:t>е</w:t>
      </w:r>
      <w:r>
        <w:t>нее половины (146 или 48,9%).</w:t>
      </w:r>
    </w:p>
    <w:p w:rsidR="00000000" w:rsidRDefault="00000000">
      <w:pPr>
        <w:pStyle w:val="H23"/>
      </w:pPr>
      <w:r>
        <w:t xml:space="preserve">4. </w:t>
      </w:r>
      <w:r>
        <w:rPr>
          <w:lang w:val="en-US"/>
        </w:rPr>
        <w:tab/>
      </w:r>
      <w:r>
        <w:t>Образование в течение всей жизни</w:t>
      </w:r>
    </w:p>
    <w:p w:rsidR="00000000" w:rsidRDefault="00000000">
      <w:pPr>
        <w:pStyle w:val="SingleTxt"/>
      </w:pPr>
      <w:r>
        <w:t>Одна из стратегических целей развития рынка труда и сферы занятости, поставленная на период до 2006 года, состоит в повышении уровня образов</w:t>
      </w:r>
      <w:r>
        <w:t>а</w:t>
      </w:r>
      <w:r>
        <w:t>ния активного населения и его уровня квалификации. Словения, которая только приступила к внедрению концепции обучения в течение всей жизни, включила развитие культуры обучения в течение всей жизни в число ключевых руков</w:t>
      </w:r>
      <w:r>
        <w:t>о</w:t>
      </w:r>
      <w:r>
        <w:t>дящих принципов и мер, изложенных в Национальной программе развития рынка труда и сферы занятости на период до 2006 года. Для развития системы непрерывного обучения в течение всей жизни принимаются следующие меры:</w:t>
      </w:r>
    </w:p>
    <w:p w:rsidR="00000000" w:rsidRDefault="00000000">
      <w:pPr>
        <w:pStyle w:val="tire"/>
      </w:pPr>
      <w:r>
        <w:t>–</w:t>
      </w:r>
      <w:r>
        <w:tab/>
        <w:t>разработка новых программ, которые дадут возможность получать знания в целях улучшения качества жизни, повышения уровня и</w:t>
      </w:r>
      <w:r>
        <w:t>н</w:t>
      </w:r>
      <w:r>
        <w:t>формированности, культуры и цивилизованности, сохранения кул</w:t>
      </w:r>
      <w:r>
        <w:t>ь</w:t>
      </w:r>
      <w:r>
        <w:t>турных традиций и национальной самобытности, обеспечения сос</w:t>
      </w:r>
      <w:r>
        <w:t>у</w:t>
      </w:r>
      <w:r>
        <w:t>ществования различных культур и защиты окружающей среды,</w:t>
      </w:r>
    </w:p>
    <w:p w:rsidR="00000000" w:rsidRDefault="00000000">
      <w:pPr>
        <w:pStyle w:val="tire"/>
      </w:pPr>
      <w:r>
        <w:t>–</w:t>
      </w:r>
      <w:r>
        <w:tab/>
        <w:t>разработка программ, которые дадут возможность повышать уровень образования на всех этапах,</w:t>
      </w:r>
    </w:p>
    <w:p w:rsidR="00000000" w:rsidRDefault="00000000">
      <w:pPr>
        <w:pStyle w:val="tire"/>
      </w:pPr>
      <w:r>
        <w:t>–</w:t>
      </w:r>
      <w:r>
        <w:tab/>
        <w:t>основным стандартом в области образования будет являться среднее школьное образование,</w:t>
      </w:r>
    </w:p>
    <w:p w:rsidR="00000000" w:rsidRDefault="00000000">
      <w:pPr>
        <w:pStyle w:val="tire"/>
      </w:pPr>
      <w:r>
        <w:t>–</w:t>
      </w:r>
      <w:r>
        <w:tab/>
        <w:t>обеспечение (в сотрудничестве с социальными партнерами) занятых и безработных различными формами и возможностями получения образования, и, в приоритетном порядке, тех, кто имеет более низкий уровень образования и профессиональной подготовки, в целях п</w:t>
      </w:r>
      <w:r>
        <w:t>о</w:t>
      </w:r>
      <w:r>
        <w:t>вышения уже имеющегося уровня официальным образом полученн</w:t>
      </w:r>
      <w:r>
        <w:t>о</w:t>
      </w:r>
      <w:r>
        <w:t>го образования и квалификации, сохранения, обновления и углубл</w:t>
      </w:r>
      <w:r>
        <w:t>е</w:t>
      </w:r>
      <w:r>
        <w:t>ния знаний и квалификации, а также в целях приобретения и испол</w:t>
      </w:r>
      <w:r>
        <w:t>ь</w:t>
      </w:r>
      <w:r>
        <w:t>зования передовых зн</w:t>
      </w:r>
      <w:r>
        <w:t>а</w:t>
      </w:r>
      <w:r>
        <w:t>ний,</w:t>
      </w:r>
    </w:p>
    <w:p w:rsidR="00000000" w:rsidRDefault="00000000">
      <w:pPr>
        <w:pStyle w:val="tire"/>
      </w:pPr>
      <w:r>
        <w:t>–</w:t>
      </w:r>
      <w:r>
        <w:tab/>
        <w:t>внедрение различных мотивационных факторов для повышения уровня образования и квалифик</w:t>
      </w:r>
      <w:r>
        <w:t>а</w:t>
      </w:r>
      <w:r>
        <w:t xml:space="preserve">ции, </w:t>
      </w:r>
    </w:p>
    <w:p w:rsidR="00000000" w:rsidRDefault="00000000">
      <w:pPr>
        <w:pStyle w:val="tire"/>
      </w:pPr>
      <w:r>
        <w:t>–</w:t>
      </w:r>
      <w:r>
        <w:tab/>
        <w:t>разработка неформальных способов получения знаний и сертифиц</w:t>
      </w:r>
      <w:r>
        <w:t>и</w:t>
      </w:r>
      <w:r>
        <w:t>рования знаний, полученных неформальными средствами (удостов</w:t>
      </w:r>
      <w:r>
        <w:t>е</w:t>
      </w:r>
      <w:r>
        <w:t>рения о прохождении профессиональной подготовки),</w:t>
      </w:r>
    </w:p>
    <w:p w:rsidR="00000000" w:rsidRDefault="00000000">
      <w:pPr>
        <w:pStyle w:val="tire"/>
      </w:pPr>
      <w:r>
        <w:t>–</w:t>
      </w:r>
      <w:r>
        <w:tab/>
        <w:t>повышение качества программ в области “образования для взро</w:t>
      </w:r>
      <w:r>
        <w:t>с</w:t>
      </w:r>
      <w:r>
        <w:t>лых”,</w:t>
      </w:r>
    </w:p>
    <w:p w:rsidR="00000000" w:rsidRDefault="00000000">
      <w:pPr>
        <w:pStyle w:val="tire"/>
      </w:pPr>
      <w:r>
        <w:t>–</w:t>
      </w:r>
      <w:r>
        <w:tab/>
        <w:t>поощрение отдельных лиц и компаний к вложению средств в сферу образования,</w:t>
      </w:r>
    </w:p>
    <w:p w:rsidR="00000000" w:rsidRDefault="00000000">
      <w:pPr>
        <w:pStyle w:val="tire"/>
      </w:pPr>
      <w:r>
        <w:t>–</w:t>
      </w:r>
      <w:r>
        <w:tab/>
        <w:t>поощрение создания на местах механизма планирования развития и вложения средств в образов</w:t>
      </w:r>
      <w:r>
        <w:t>а</w:t>
      </w:r>
      <w:r>
        <w:t>ние,</w:t>
      </w:r>
    </w:p>
    <w:p w:rsidR="00000000" w:rsidRDefault="00000000">
      <w:pPr>
        <w:pStyle w:val="tire"/>
      </w:pPr>
      <w:r>
        <w:t>–</w:t>
      </w:r>
      <w:r>
        <w:tab/>
        <w:t>гармонизация инициатив и мер, нацеленных на реализацию наци</w:t>
      </w:r>
      <w:r>
        <w:t>о</w:t>
      </w:r>
      <w:r>
        <w:t>нальной программы в области “образования для взрослых”.</w:t>
      </w:r>
    </w:p>
    <w:p w:rsidR="00000000" w:rsidRDefault="00000000">
      <w:pPr>
        <w:pStyle w:val="H1"/>
        <w:ind w:left="1264" w:firstLine="0"/>
        <w:rPr>
          <w:b w:val="0"/>
        </w:rPr>
      </w:pPr>
      <w:r>
        <w:t>Статья 11</w:t>
      </w:r>
      <w:r>
        <w:br/>
        <w:t>Занятость</w:t>
      </w:r>
    </w:p>
    <w:p w:rsidR="00000000" w:rsidRDefault="00000000">
      <w:pPr>
        <w:pStyle w:val="H23"/>
      </w:pPr>
      <w:r>
        <w:t xml:space="preserve">1. </w:t>
      </w:r>
      <w:r>
        <w:rPr>
          <w:lang w:val="en-US"/>
        </w:rPr>
        <w:tab/>
      </w:r>
      <w:r>
        <w:t>Женщины на рынке труда</w:t>
      </w:r>
    </w:p>
    <w:p w:rsidR="00000000" w:rsidRDefault="00000000">
      <w:pPr>
        <w:pStyle w:val="SingleTxt"/>
      </w:pPr>
      <w:r>
        <w:t>Согласно Конституции (статья 49) женщинам и мужчинам гарантирован свободный труд, свободный выбор сферы профессиональной деятельности и доступ ко всем рабочим местам. 24 апреля 2002 года был принят, а 1 января 2003 года вступит в силу Закон о трудовых отношениях, в статье 6 которого с</w:t>
      </w:r>
      <w:r>
        <w:t>о</w:t>
      </w:r>
      <w:r>
        <w:t>держится конкретный запрет на дискриминацию. Согласно этому закону раб</w:t>
      </w:r>
      <w:r>
        <w:t>о</w:t>
      </w:r>
      <w:r>
        <w:t>тодатель не может дискриминировать претендента на рабочее место или нае</w:t>
      </w:r>
      <w:r>
        <w:t>м</w:t>
      </w:r>
      <w:r>
        <w:t>ного работника в период срока действия его трудового договора и в связи с окончанием трудового договора по признаку половой принадлежности, расы, цвета кожи, возраста, состояния здоровья или инвалидности, религиозных, п</w:t>
      </w:r>
      <w:r>
        <w:t>о</w:t>
      </w:r>
      <w:r>
        <w:t>литических или иных убеждений, членства в профессиональном союзе, наци</w:t>
      </w:r>
      <w:r>
        <w:t>о</w:t>
      </w:r>
      <w:r>
        <w:t>нального или социального происхождения, семейного положения, имущес</w:t>
      </w:r>
      <w:r>
        <w:t>т</w:t>
      </w:r>
      <w:r>
        <w:t>венного положения, сексуальной ориентации или любых иных личных обсто</w:t>
      </w:r>
      <w:r>
        <w:t>я</w:t>
      </w:r>
      <w:r>
        <w:t>тельств. Кроме того, по этому закону, женщинам и мужчинам следует гарант</w:t>
      </w:r>
      <w:r>
        <w:t>и</w:t>
      </w:r>
      <w:r>
        <w:t>ровать равные возможности и равное обращение в том, что касается найма, продвижения по службе, обучения, профессиональной подготовки, переподг</w:t>
      </w:r>
      <w:r>
        <w:t>о</w:t>
      </w:r>
      <w:r>
        <w:t>товки, заработной платы и других форм вознаграждения, премий, прав на о</w:t>
      </w:r>
      <w:r>
        <w:t>т</w:t>
      </w:r>
      <w:r>
        <w:t>сутствие на рабочем месте, условий труда, рабочего времени и расторжения трудового договора. Таким образом, этот закон запрещает косвенную и прямую дискриминацию, причем он также содержит определение косвенной дискрим</w:t>
      </w:r>
      <w:r>
        <w:t>и</w:t>
      </w:r>
      <w:r>
        <w:t>нации. Если в случае спора кандидат или наемный работник приведет факты в обоснование предположения о том, что имело место нарушение запрета на ди</w:t>
      </w:r>
      <w:r>
        <w:t>с</w:t>
      </w:r>
      <w:r>
        <w:t>криминацию по признакам, указанным в этой статье, бремя доказательства (т</w:t>
      </w:r>
      <w:r>
        <w:t>о</w:t>
      </w:r>
      <w:r>
        <w:t>го, что различие в обращении вызвано типом и характером работы) лежит на работодателе. В случае нарушения запрета на дискриминацию работодатель обязан возместить кандидату или наемному работнику убытки согласно общим правилам гражданского з</w:t>
      </w:r>
      <w:r>
        <w:t>а</w:t>
      </w:r>
      <w:r>
        <w:t>конодательства.</w:t>
      </w:r>
    </w:p>
    <w:p w:rsidR="00000000" w:rsidRDefault="00000000">
      <w:pPr>
        <w:pStyle w:val="SingleTxt"/>
      </w:pPr>
      <w:r>
        <w:t>В этом законе также предусматривается (статья 25), что работодатель не может включать в объявления о найме на работу требование в отношении пола кандидата или указывать, что предпочтение будет отдано представителю того или иного пола, если только принадлежность к тому или иному полу не являе</w:t>
      </w:r>
      <w:r>
        <w:t>т</w:t>
      </w:r>
      <w:r>
        <w:t>ся существенным условием выполнения данной работы. Аналогичным образом, при заключении трудового договора работодатель не может требовать от ка</w:t>
      </w:r>
      <w:r>
        <w:t>н</w:t>
      </w:r>
      <w:r>
        <w:t>дидата предоставления сведений о семье или о семейном положении, о бер</w:t>
      </w:r>
      <w:r>
        <w:t>е</w:t>
      </w:r>
      <w:r>
        <w:t>менности, планировании семьи или иной информации, если только она прямо не связана с выполняемой работой. Работодатель не может обуславливать з</w:t>
      </w:r>
      <w:r>
        <w:t>а</w:t>
      </w:r>
      <w:r>
        <w:t>ключение трудового договора получением таких сведений или выполнением дополнительных условий, связанных с запретом на беременность или ее пер</w:t>
      </w:r>
      <w:r>
        <w:t>е</w:t>
      </w:r>
      <w:r>
        <w:t>носом на более поздние сроки, либо с предварительным письменным согласием наемного работника с расторжением трудового договора (статья 26). Закон гл</w:t>
      </w:r>
      <w:r>
        <w:t>а</w:t>
      </w:r>
      <w:r>
        <w:t>сит (статья 27), что кандидат не обязан отвечать на вопросы, непосредственно не связанные с наймом на работу.</w:t>
      </w:r>
    </w:p>
    <w:p w:rsidR="00000000" w:rsidRDefault="00000000">
      <w:pPr>
        <w:pStyle w:val="SingleTxt"/>
      </w:pPr>
      <w:r>
        <w:t>Кроме того, Закон о трудовых отношениях запрещает сексуальные дом</w:t>
      </w:r>
      <w:r>
        <w:t>о</w:t>
      </w:r>
      <w:r>
        <w:t>гательства на рабочем месте. Положения о мерах борьбы с сексуальными дом</w:t>
      </w:r>
      <w:r>
        <w:t>о</w:t>
      </w:r>
      <w:r>
        <w:t>гательствами на рабочем месте излагаются в части доклада, касающейся ст</w:t>
      </w:r>
      <w:r>
        <w:t>а</w:t>
      </w:r>
      <w:r>
        <w:t>тьи 5 Конвенции (пункт 5).</w:t>
      </w:r>
    </w:p>
    <w:p w:rsidR="00000000" w:rsidRDefault="00000000">
      <w:pPr>
        <w:pStyle w:val="SingleTxt"/>
      </w:pPr>
      <w:r>
        <w:t>Закон о трудовых отношениях также предусматривает принцип равной оплаты за равный труд и труд равной ценности. Согласно этому закону работ</w:t>
      </w:r>
      <w:r>
        <w:t>о</w:t>
      </w:r>
      <w:r>
        <w:t>датель обязан уплачивать всем наемным работникам одинаковую заработную плату, невзирая на их половую принадлежность. Поэтому положения трудовых договоров, коллективных соглашений или общих распоряжений работодателя, вступающих в конфликт с этим принципом, являются недействительными (ст</w:t>
      </w:r>
      <w:r>
        <w:t>а</w:t>
      </w:r>
      <w:r>
        <w:t>тья 133).</w:t>
      </w:r>
    </w:p>
    <w:p w:rsidR="00000000" w:rsidRDefault="00000000">
      <w:pPr>
        <w:pStyle w:val="SingleTxt"/>
      </w:pPr>
      <w:r>
        <w:t>За совершение нарушения и дискриминацию претендента на рабочее м</w:t>
      </w:r>
      <w:r>
        <w:t>е</w:t>
      </w:r>
      <w:r>
        <w:t>сто или наемного работника этот закон предусматривает наложение на работ</w:t>
      </w:r>
      <w:r>
        <w:t>о</w:t>
      </w:r>
      <w:r>
        <w:t>дателя (юридическое лицо) штрафа в размере 1 000 000 словенских толаров (435 долларов США) (статья 229).</w:t>
      </w:r>
    </w:p>
    <w:p w:rsidR="00000000" w:rsidRDefault="00000000">
      <w:pPr>
        <w:pStyle w:val="H4"/>
      </w:pPr>
      <w:r>
        <w:t xml:space="preserve">1.1. </w:t>
      </w:r>
      <w:r>
        <w:rPr>
          <w:lang w:val="en-US"/>
        </w:rPr>
        <w:tab/>
      </w:r>
      <w:r>
        <w:t>Занятость</w:t>
      </w:r>
    </w:p>
    <w:p w:rsidR="00000000" w:rsidRDefault="00000000">
      <w:pPr>
        <w:pStyle w:val="SingleTxt"/>
      </w:pPr>
      <w:r>
        <w:t>В 2002 году по сравнению с 1998 годом (данные приводятся за второй квартал) незначительно понизились как уровень экономической активности н</w:t>
      </w:r>
      <w:r>
        <w:t>а</w:t>
      </w:r>
      <w:r>
        <w:t>селения, так и соотношение численности занятого населения и общей числе</w:t>
      </w:r>
      <w:r>
        <w:t>н</w:t>
      </w:r>
      <w:r>
        <w:t>ности. Однако соотношение численности занятого населения и общей числе</w:t>
      </w:r>
      <w:r>
        <w:t>н</w:t>
      </w:r>
      <w:r>
        <w:t>ности населения для лиц в возрасте от 15 до 64 лет возросло как среди мужчин, так и среди женщин. Что касается женщин, то соотношение численности зан</w:t>
      </w:r>
      <w:r>
        <w:t>я</w:t>
      </w:r>
      <w:r>
        <w:t>того населения и общей численности населения наиболее высоко в возрастной группе от 35 до 39 лет (89,9% в 2002/2), после которой следует возрастная группа от 30 до 34 лет (86,9%) и от 40 до 44 лет (86%).</w:t>
      </w:r>
    </w:p>
    <w:p w:rsidR="00000000" w:rsidRDefault="00000000">
      <w:pPr>
        <w:pStyle w:val="tt"/>
        <w:keepNext/>
      </w:pPr>
      <w:r>
        <w:t>Таблица 11. Показатель экономической активности в разбивке по полу, Словения, 1998/2-2002/22/2</w:t>
      </w:r>
    </w:p>
    <w:tbl>
      <w:tblPr>
        <w:tblW w:w="0" w:type="auto"/>
        <w:tblInd w:w="1278" w:type="dxa"/>
        <w:tblLayout w:type="fixed"/>
        <w:tblLook w:val="0000" w:firstRow="0" w:lastRow="0" w:firstColumn="0" w:lastColumn="0" w:noHBand="0" w:noVBand="0"/>
      </w:tblPr>
      <w:tblGrid>
        <w:gridCol w:w="3119"/>
        <w:gridCol w:w="850"/>
        <w:gridCol w:w="850"/>
        <w:gridCol w:w="851"/>
        <w:gridCol w:w="850"/>
        <w:gridCol w:w="851"/>
      </w:tblGrid>
      <w:tr w:rsidR="00000000">
        <w:tblPrEx>
          <w:tblCellMar>
            <w:top w:w="0" w:type="dxa"/>
            <w:bottom w:w="0" w:type="dxa"/>
          </w:tblCellMar>
        </w:tblPrEx>
        <w:trPr>
          <w:tblHeader/>
        </w:trPr>
        <w:tc>
          <w:tcPr>
            <w:tcW w:w="3119" w:type="dxa"/>
            <w:tcBorders>
              <w:top w:val="single" w:sz="6" w:space="0" w:color="auto"/>
              <w:bottom w:val="single" w:sz="12" w:space="0" w:color="auto"/>
            </w:tcBorders>
          </w:tcPr>
          <w:p w:rsidR="00000000" w:rsidRDefault="00000000">
            <w:pPr>
              <w:pStyle w:val="SingleTxt"/>
              <w:spacing w:before="40" w:after="40" w:line="240" w:lineRule="auto"/>
              <w:ind w:left="0" w:right="0" w:firstLine="0"/>
              <w:rPr>
                <w:b/>
                <w:sz w:val="17"/>
              </w:rPr>
            </w:pPr>
          </w:p>
        </w:tc>
        <w:tc>
          <w:tcPr>
            <w:tcW w:w="85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1998/2</w:t>
            </w:r>
          </w:p>
        </w:tc>
        <w:tc>
          <w:tcPr>
            <w:tcW w:w="85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1999/2</w:t>
            </w:r>
          </w:p>
        </w:tc>
        <w:tc>
          <w:tcPr>
            <w:tcW w:w="851"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2000/2</w:t>
            </w:r>
          </w:p>
        </w:tc>
        <w:tc>
          <w:tcPr>
            <w:tcW w:w="85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2001/2</w:t>
            </w:r>
          </w:p>
        </w:tc>
        <w:tc>
          <w:tcPr>
            <w:tcW w:w="851"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2002/2</w:t>
            </w:r>
          </w:p>
        </w:tc>
      </w:tr>
      <w:tr w:rsidR="00000000">
        <w:tblPrEx>
          <w:tblCellMar>
            <w:top w:w="0" w:type="dxa"/>
            <w:bottom w:w="0" w:type="dxa"/>
          </w:tblCellMar>
        </w:tblPrEx>
        <w:tc>
          <w:tcPr>
            <w:tcW w:w="3119" w:type="dxa"/>
            <w:tcBorders>
              <w:top w:val="single" w:sz="12" w:space="0" w:color="auto"/>
            </w:tcBorders>
          </w:tcPr>
          <w:p w:rsidR="00000000" w:rsidRDefault="00000000">
            <w:pPr>
              <w:pStyle w:val="SingleTxt"/>
              <w:spacing w:before="40" w:after="40" w:line="240" w:lineRule="auto"/>
              <w:ind w:left="0" w:right="0" w:firstLine="0"/>
              <w:rPr>
                <w:b/>
                <w:sz w:val="17"/>
              </w:rPr>
            </w:pPr>
            <w:r>
              <w:rPr>
                <w:b/>
                <w:sz w:val="17"/>
              </w:rPr>
              <w:t>Всего</w:t>
            </w:r>
          </w:p>
        </w:tc>
        <w:tc>
          <w:tcPr>
            <w:tcW w:w="850" w:type="dxa"/>
            <w:tcBorders>
              <w:top w:val="single" w:sz="12" w:space="0" w:color="auto"/>
            </w:tcBorders>
          </w:tcPr>
          <w:p w:rsidR="00000000" w:rsidRDefault="00000000">
            <w:pPr>
              <w:pStyle w:val="SingleTxt"/>
              <w:spacing w:before="40" w:after="40" w:line="240" w:lineRule="auto"/>
              <w:ind w:left="0" w:right="0" w:firstLine="0"/>
              <w:rPr>
                <w:sz w:val="17"/>
              </w:rPr>
            </w:pPr>
          </w:p>
        </w:tc>
        <w:tc>
          <w:tcPr>
            <w:tcW w:w="850" w:type="dxa"/>
            <w:tcBorders>
              <w:top w:val="single" w:sz="12" w:space="0" w:color="auto"/>
            </w:tcBorders>
          </w:tcPr>
          <w:p w:rsidR="00000000" w:rsidRDefault="00000000">
            <w:pPr>
              <w:pStyle w:val="SingleTxt"/>
              <w:spacing w:before="40" w:after="40" w:line="240" w:lineRule="auto"/>
              <w:ind w:left="0" w:right="0" w:firstLine="0"/>
              <w:rPr>
                <w:sz w:val="17"/>
              </w:rPr>
            </w:pPr>
          </w:p>
        </w:tc>
        <w:tc>
          <w:tcPr>
            <w:tcW w:w="851" w:type="dxa"/>
            <w:tcBorders>
              <w:top w:val="single" w:sz="12" w:space="0" w:color="auto"/>
            </w:tcBorders>
          </w:tcPr>
          <w:p w:rsidR="00000000" w:rsidRDefault="00000000">
            <w:pPr>
              <w:pStyle w:val="SingleTxt"/>
              <w:spacing w:before="40" w:after="40" w:line="240" w:lineRule="auto"/>
              <w:ind w:left="0" w:right="0" w:firstLine="0"/>
              <w:rPr>
                <w:sz w:val="17"/>
              </w:rPr>
            </w:pPr>
          </w:p>
        </w:tc>
        <w:tc>
          <w:tcPr>
            <w:tcW w:w="850" w:type="dxa"/>
            <w:tcBorders>
              <w:top w:val="single" w:sz="12" w:space="0" w:color="auto"/>
            </w:tcBorders>
          </w:tcPr>
          <w:p w:rsidR="00000000" w:rsidRDefault="00000000">
            <w:pPr>
              <w:pStyle w:val="SingleTxt"/>
              <w:spacing w:before="40" w:after="40" w:line="240" w:lineRule="auto"/>
              <w:ind w:left="0" w:right="0" w:firstLine="0"/>
              <w:rPr>
                <w:sz w:val="17"/>
              </w:rPr>
            </w:pPr>
          </w:p>
        </w:tc>
        <w:tc>
          <w:tcPr>
            <w:tcW w:w="851" w:type="dxa"/>
            <w:tcBorders>
              <w:top w:val="single" w:sz="12" w:space="0" w:color="auto"/>
            </w:tcBorders>
          </w:tcPr>
          <w:p w:rsidR="00000000" w:rsidRDefault="00000000">
            <w:pPr>
              <w:pStyle w:val="SingleTxt"/>
              <w:spacing w:before="40" w:after="40" w:line="240" w:lineRule="auto"/>
              <w:ind w:left="0" w:right="0" w:firstLine="0"/>
              <w:rPr>
                <w:sz w:val="17"/>
              </w:rPr>
            </w:pP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 xml:space="preserve">Показатель экономической </w:t>
            </w:r>
            <w:r>
              <w:rPr>
                <w:sz w:val="17"/>
              </w:rPr>
              <w:br/>
              <w:t>активн</w:t>
            </w:r>
            <w:r>
              <w:rPr>
                <w:sz w:val="17"/>
              </w:rPr>
              <w:t>о</w:t>
            </w:r>
            <w:r>
              <w:rPr>
                <w:sz w:val="17"/>
              </w:rPr>
              <w:t>сти</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60</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58,3</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57,7</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57,8</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58,1</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Соотношение численности занятого населения и общей численности н</w:t>
            </w:r>
            <w:r>
              <w:rPr>
                <w:sz w:val="17"/>
              </w:rPr>
              <w:t>а</w:t>
            </w:r>
            <w:r>
              <w:rPr>
                <w:sz w:val="17"/>
              </w:rPr>
              <w:t>сел</w:t>
            </w:r>
            <w:r>
              <w:rPr>
                <w:sz w:val="17"/>
              </w:rPr>
              <w:t>е</w:t>
            </w:r>
            <w:r>
              <w:rPr>
                <w:sz w:val="17"/>
              </w:rPr>
              <w:t>ния</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55,4</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54</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53,6</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54,4</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54,7</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Соотношение численности занятого населения и общей численности н</w:t>
            </w:r>
            <w:r>
              <w:rPr>
                <w:sz w:val="17"/>
              </w:rPr>
              <w:t>а</w:t>
            </w:r>
            <w:r>
              <w:rPr>
                <w:sz w:val="17"/>
              </w:rPr>
              <w:t>селения для лиц в возрасте от 15 до 64 лет</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63,6</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62,8</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62,7</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62,7</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64,3</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b/>
                <w:sz w:val="17"/>
              </w:rPr>
            </w:pPr>
            <w:r>
              <w:rPr>
                <w:b/>
                <w:sz w:val="17"/>
              </w:rPr>
              <w:t>Мужчины</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b/>
                <w:sz w:val="17"/>
              </w:rPr>
            </w:pP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b/>
                <w:sz w:val="17"/>
              </w:rPr>
            </w:pP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b/>
                <w:sz w:val="17"/>
              </w:rPr>
            </w:pP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b/>
                <w:sz w:val="17"/>
              </w:rPr>
            </w:pP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b/>
                <w:sz w:val="17"/>
              </w:rPr>
            </w:pP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Показатель экономической активн</w:t>
            </w:r>
            <w:r>
              <w:rPr>
                <w:sz w:val="17"/>
              </w:rPr>
              <w:t>о</w:t>
            </w:r>
            <w:r>
              <w:rPr>
                <w:sz w:val="17"/>
              </w:rPr>
              <w:t>сти</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66,6</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65,1</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64,1</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64,8</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64,7</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Соотношение численности занятого населения и общей численности н</w:t>
            </w:r>
            <w:r>
              <w:rPr>
                <w:sz w:val="17"/>
              </w:rPr>
              <w:t>а</w:t>
            </w:r>
            <w:r>
              <w:rPr>
                <w:sz w:val="17"/>
              </w:rPr>
              <w:t>сел</w:t>
            </w:r>
            <w:r>
              <w:rPr>
                <w:sz w:val="17"/>
              </w:rPr>
              <w:t>е</w:t>
            </w:r>
            <w:r>
              <w:rPr>
                <w:sz w:val="17"/>
              </w:rPr>
              <w:t>ния</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61,6</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60,4</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59,6</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61,2</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61,1</w:t>
            </w:r>
          </w:p>
        </w:tc>
      </w:tr>
      <w:tr w:rsidR="00000000">
        <w:tblPrEx>
          <w:tblCellMar>
            <w:top w:w="0" w:type="dxa"/>
            <w:bottom w:w="0" w:type="dxa"/>
          </w:tblCellMar>
        </w:tblPrEx>
        <w:tc>
          <w:tcPr>
            <w:tcW w:w="3119" w:type="dxa"/>
          </w:tcPr>
          <w:p w:rsidR="00000000" w:rsidRDefault="00000000">
            <w:pPr>
              <w:pStyle w:val="SingleTxt"/>
              <w:keepNext/>
              <w:spacing w:before="40" w:after="40" w:line="240" w:lineRule="auto"/>
              <w:ind w:left="0" w:right="0" w:firstLine="0"/>
              <w:jc w:val="left"/>
              <w:rPr>
                <w:sz w:val="17"/>
              </w:rPr>
            </w:pPr>
            <w:r>
              <w:rPr>
                <w:sz w:val="17"/>
              </w:rPr>
              <w:t>Соотношение численности занятого населения и общей численности н</w:t>
            </w:r>
            <w:r>
              <w:rPr>
                <w:sz w:val="17"/>
              </w:rPr>
              <w:t>а</w:t>
            </w:r>
            <w:r>
              <w:rPr>
                <w:sz w:val="17"/>
              </w:rPr>
              <w:t>селения для лиц в возрасте от 15 до 64 лет</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67,6</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67,2</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66,8</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66,8</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68,7</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b/>
                <w:sz w:val="17"/>
              </w:rPr>
            </w:pPr>
            <w:r>
              <w:rPr>
                <w:b/>
                <w:sz w:val="17"/>
              </w:rPr>
              <w:t>Женщины</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b/>
                <w:sz w:val="17"/>
              </w:rPr>
            </w:pP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b/>
                <w:sz w:val="17"/>
              </w:rPr>
            </w:pP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b/>
                <w:sz w:val="17"/>
              </w:rPr>
            </w:pP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b/>
                <w:sz w:val="17"/>
              </w:rPr>
            </w:pP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b/>
                <w:sz w:val="17"/>
              </w:rPr>
            </w:pP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Показатель экономической активн</w:t>
            </w:r>
            <w:r>
              <w:rPr>
                <w:sz w:val="17"/>
              </w:rPr>
              <w:t>о</w:t>
            </w:r>
            <w:r>
              <w:rPr>
                <w:sz w:val="17"/>
              </w:rPr>
              <w:t>сти</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53,7</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51,9</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51,7</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51,3</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51,9</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Соотношение численности занятого населения и общей численности н</w:t>
            </w:r>
            <w:r>
              <w:rPr>
                <w:sz w:val="17"/>
              </w:rPr>
              <w:t>а</w:t>
            </w:r>
            <w:r>
              <w:rPr>
                <w:sz w:val="17"/>
              </w:rPr>
              <w:t>сел</w:t>
            </w:r>
            <w:r>
              <w:rPr>
                <w:sz w:val="17"/>
              </w:rPr>
              <w:t>е</w:t>
            </w:r>
            <w:r>
              <w:rPr>
                <w:sz w:val="17"/>
              </w:rPr>
              <w:t>ния</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49,6</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47,9</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47,9</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48,1</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48,6</w:t>
            </w:r>
          </w:p>
        </w:tc>
      </w:tr>
      <w:tr w:rsidR="00000000">
        <w:tblPrEx>
          <w:tblCellMar>
            <w:top w:w="0" w:type="dxa"/>
            <w:bottom w:w="0" w:type="dxa"/>
          </w:tblCellMar>
        </w:tblPrEx>
        <w:tc>
          <w:tcPr>
            <w:tcW w:w="3119" w:type="dxa"/>
            <w:tcBorders>
              <w:bottom w:val="single" w:sz="12" w:space="0" w:color="auto"/>
            </w:tcBorders>
          </w:tcPr>
          <w:p w:rsidR="00000000" w:rsidRDefault="00000000">
            <w:pPr>
              <w:pStyle w:val="SingleTxt"/>
              <w:spacing w:before="40" w:after="40" w:line="240" w:lineRule="auto"/>
              <w:ind w:left="0" w:right="0" w:firstLine="0"/>
              <w:jc w:val="left"/>
              <w:rPr>
                <w:sz w:val="17"/>
              </w:rPr>
            </w:pPr>
            <w:r>
              <w:rPr>
                <w:sz w:val="17"/>
              </w:rPr>
              <w:t>Соотношение численности занятого населения и общей численности н</w:t>
            </w:r>
            <w:r>
              <w:rPr>
                <w:sz w:val="17"/>
              </w:rPr>
              <w:t>а</w:t>
            </w:r>
            <w:r>
              <w:rPr>
                <w:sz w:val="17"/>
              </w:rPr>
              <w:t>селения для лиц в возрасте от 15 до 64 лет</w:t>
            </w:r>
          </w:p>
        </w:tc>
        <w:tc>
          <w:tcPr>
            <w:tcW w:w="85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59,6</w:t>
            </w:r>
          </w:p>
        </w:tc>
        <w:tc>
          <w:tcPr>
            <w:tcW w:w="85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58,4</w:t>
            </w:r>
          </w:p>
        </w:tc>
        <w:tc>
          <w:tcPr>
            <w:tcW w:w="85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58,6</w:t>
            </w:r>
          </w:p>
        </w:tc>
        <w:tc>
          <w:tcPr>
            <w:tcW w:w="85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58,6</w:t>
            </w:r>
          </w:p>
        </w:tc>
        <w:tc>
          <w:tcPr>
            <w:tcW w:w="85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59,8</w:t>
            </w:r>
          </w:p>
        </w:tc>
      </w:tr>
    </w:tbl>
    <w:p w:rsidR="00000000" w:rsidRDefault="00000000">
      <w:pPr>
        <w:pStyle w:val="SingleTxt"/>
        <w:ind w:firstLine="0"/>
      </w:pPr>
      <w:r>
        <w:rPr>
          <w:i/>
        </w:rPr>
        <w:t>Источник</w:t>
      </w:r>
      <w:r>
        <w:t>: Статистическое управление Республики Словения, обследование рабочей силы, 1998-2002 годы</w:t>
      </w:r>
    </w:p>
    <w:p w:rsidR="00000000" w:rsidRDefault="00000000">
      <w:pPr>
        <w:pStyle w:val="SingleTxt"/>
      </w:pPr>
      <w:r>
        <w:t>Во втором квартале 2002 года среди занятых женщин 87% составляли женщины, имевшие статус наемных работников на оплачиваемой должности, 6,8% –самостоятельно занятые лица, а 6,1% – женщины со статусом неоплач</w:t>
      </w:r>
      <w:r>
        <w:t>и</w:t>
      </w:r>
      <w:r>
        <w:t>ваемых работников в семейном хозяйстве. Среди всех занятых лиц доля же</w:t>
      </w:r>
      <w:r>
        <w:t>н</w:t>
      </w:r>
      <w:r>
        <w:t>щин среди наемных работников на оплачиваемой должности составляла 47,6%, среди самостоятельно занятых лиц – 28,7%, а среди неоплачиваемых работн</w:t>
      </w:r>
      <w:r>
        <w:t>и</w:t>
      </w:r>
      <w:r>
        <w:t>ков в семейном хозяйстве – 61,6%. По сравнению с 1997 годом ситуация ост</w:t>
      </w:r>
      <w:r>
        <w:t>а</w:t>
      </w:r>
      <w:r>
        <w:t>лась прежней.</w:t>
      </w:r>
    </w:p>
    <w:p w:rsidR="00000000" w:rsidRDefault="00000000">
      <w:pPr>
        <w:pStyle w:val="SingleTxt"/>
      </w:pPr>
      <w:r>
        <w:t>Как и в предыдущие годы, доля женщин наиболее высока в отдельных сферах профессиональной деятельности. Женщины составляют большинство в сфере услуг и меньшинство в промышленности (за исключением отраслей, о</w:t>
      </w:r>
      <w:r>
        <w:t>т</w:t>
      </w:r>
      <w:r>
        <w:t>носящихся к сфере услуг).</w:t>
      </w:r>
    </w:p>
    <w:p w:rsidR="00000000" w:rsidRDefault="00000000">
      <w:pPr>
        <w:pStyle w:val="tt"/>
        <w:keepNext/>
      </w:pPr>
      <w:r>
        <w:t xml:space="preserve">Таблица 12. Доля женщин среди занятых лиц в разбивке по секторам </w:t>
      </w:r>
      <w:r>
        <w:br/>
        <w:t>де</w:t>
      </w:r>
      <w:r>
        <w:t>я</w:t>
      </w:r>
      <w:r>
        <w:t>тельности, Словения, 1997/2-2002/2</w:t>
      </w:r>
    </w:p>
    <w:tbl>
      <w:tblPr>
        <w:tblW w:w="0" w:type="auto"/>
        <w:tblInd w:w="1278" w:type="dxa"/>
        <w:tblLayout w:type="fixed"/>
        <w:tblLook w:val="0000" w:firstRow="0" w:lastRow="0" w:firstColumn="0" w:lastColumn="0" w:noHBand="0" w:noVBand="0"/>
      </w:tblPr>
      <w:tblGrid>
        <w:gridCol w:w="1985"/>
        <w:gridCol w:w="897"/>
        <w:gridCol w:w="898"/>
        <w:gridCol w:w="898"/>
        <w:gridCol w:w="897"/>
        <w:gridCol w:w="898"/>
        <w:gridCol w:w="898"/>
      </w:tblGrid>
      <w:tr w:rsidR="00000000">
        <w:tblPrEx>
          <w:tblCellMar>
            <w:top w:w="0" w:type="dxa"/>
            <w:bottom w:w="0" w:type="dxa"/>
          </w:tblCellMar>
        </w:tblPrEx>
        <w:trPr>
          <w:tblHeader/>
        </w:trPr>
        <w:tc>
          <w:tcPr>
            <w:tcW w:w="1985"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left"/>
              <w:rPr>
                <w:b/>
                <w:sz w:val="17"/>
              </w:rPr>
            </w:pPr>
          </w:p>
        </w:tc>
        <w:tc>
          <w:tcPr>
            <w:tcW w:w="897"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1997/2</w:t>
            </w:r>
          </w:p>
        </w:tc>
        <w:tc>
          <w:tcPr>
            <w:tcW w:w="898"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1998/2</w:t>
            </w:r>
          </w:p>
        </w:tc>
        <w:tc>
          <w:tcPr>
            <w:tcW w:w="898"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1999/2</w:t>
            </w:r>
          </w:p>
        </w:tc>
        <w:tc>
          <w:tcPr>
            <w:tcW w:w="897"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2000/2</w:t>
            </w:r>
          </w:p>
        </w:tc>
        <w:tc>
          <w:tcPr>
            <w:tcW w:w="898"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2001/2</w:t>
            </w:r>
          </w:p>
        </w:tc>
        <w:tc>
          <w:tcPr>
            <w:tcW w:w="898"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2002/2</w:t>
            </w:r>
          </w:p>
        </w:tc>
      </w:tr>
      <w:tr w:rsidR="00000000">
        <w:tblPrEx>
          <w:tblCellMar>
            <w:top w:w="0" w:type="dxa"/>
            <w:bottom w:w="0" w:type="dxa"/>
          </w:tblCellMar>
        </w:tblPrEx>
        <w:tc>
          <w:tcPr>
            <w:tcW w:w="1985" w:type="dxa"/>
            <w:tcBorders>
              <w:top w:val="single" w:sz="12" w:space="0" w:color="auto"/>
            </w:tcBorders>
          </w:tcPr>
          <w:p w:rsidR="00000000" w:rsidRDefault="00000000">
            <w:pPr>
              <w:pStyle w:val="SingleTxt"/>
              <w:spacing w:before="40" w:after="40" w:line="240" w:lineRule="auto"/>
              <w:ind w:left="0" w:right="0" w:firstLine="0"/>
              <w:jc w:val="left"/>
              <w:rPr>
                <w:b/>
                <w:sz w:val="17"/>
              </w:rPr>
            </w:pPr>
            <w:r>
              <w:rPr>
                <w:b/>
                <w:sz w:val="17"/>
              </w:rPr>
              <w:t>Вс</w:t>
            </w:r>
            <w:r>
              <w:rPr>
                <w:b/>
                <w:sz w:val="17"/>
              </w:rPr>
              <w:t>е</w:t>
            </w:r>
            <w:r>
              <w:rPr>
                <w:b/>
                <w:sz w:val="17"/>
              </w:rPr>
              <w:t>го</w:t>
            </w:r>
          </w:p>
        </w:tc>
        <w:tc>
          <w:tcPr>
            <w:tcW w:w="89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46,3</w:t>
            </w:r>
          </w:p>
        </w:tc>
        <w:tc>
          <w:tcPr>
            <w:tcW w:w="89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46,3</w:t>
            </w:r>
          </w:p>
        </w:tc>
        <w:tc>
          <w:tcPr>
            <w:tcW w:w="89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46,0</w:t>
            </w:r>
          </w:p>
        </w:tc>
        <w:tc>
          <w:tcPr>
            <w:tcW w:w="89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46,2</w:t>
            </w:r>
          </w:p>
        </w:tc>
        <w:tc>
          <w:tcPr>
            <w:tcW w:w="89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45,6</w:t>
            </w:r>
          </w:p>
        </w:tc>
        <w:tc>
          <w:tcPr>
            <w:tcW w:w="89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45,8</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Сельское х</w:t>
            </w:r>
            <w:r>
              <w:rPr>
                <w:sz w:val="17"/>
              </w:rPr>
              <w:t>о</w:t>
            </w:r>
            <w:r>
              <w:rPr>
                <w:sz w:val="17"/>
              </w:rPr>
              <w:t>зяйство</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48,2</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47,2</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46,9</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46,7</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44,6</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45,9</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Промышленность (за исключением сферы услуг)</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34,9</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35,2</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33,8</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34,8</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34,3</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33,9</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Горнодобывающая промы</w:t>
            </w:r>
            <w:r>
              <w:rPr>
                <w:sz w:val="17"/>
              </w:rPr>
              <w:t>ш</w:t>
            </w:r>
            <w:r>
              <w:rPr>
                <w:sz w:val="17"/>
              </w:rPr>
              <w:t>ленность</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13,7</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Обрабатывающая промы</w:t>
            </w:r>
            <w:r>
              <w:rPr>
                <w:sz w:val="17"/>
              </w:rPr>
              <w:t>ш</w:t>
            </w:r>
            <w:r>
              <w:rPr>
                <w:sz w:val="17"/>
              </w:rPr>
              <w:t>ленность</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41,0</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40,9</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39,2</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40,5</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40,3</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39,6</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Электроснабжение, газоснабжение и в</w:t>
            </w:r>
            <w:r>
              <w:rPr>
                <w:sz w:val="17"/>
              </w:rPr>
              <w:t>о</w:t>
            </w:r>
            <w:r>
              <w:rPr>
                <w:sz w:val="17"/>
              </w:rPr>
              <w:t>доснабж</w:t>
            </w:r>
            <w:r>
              <w:rPr>
                <w:sz w:val="17"/>
              </w:rPr>
              <w:t>е</w:t>
            </w:r>
            <w:r>
              <w:rPr>
                <w:sz w:val="17"/>
              </w:rPr>
              <w:t>ние</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15,4</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12,5</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18,4</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11,1</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((14,0))</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Строительс</w:t>
            </w:r>
            <w:r>
              <w:rPr>
                <w:sz w:val="17"/>
              </w:rPr>
              <w:t>т</w:t>
            </w:r>
            <w:r>
              <w:rPr>
                <w:sz w:val="17"/>
              </w:rPr>
              <w:t>во</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10,9</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11,7</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8,9</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9,9</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11</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(9,4)</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b/>
                <w:sz w:val="17"/>
              </w:rPr>
            </w:pPr>
            <w:r>
              <w:rPr>
                <w:b/>
                <w:sz w:val="17"/>
              </w:rPr>
              <w:t>У</w:t>
            </w:r>
            <w:r>
              <w:rPr>
                <w:b/>
                <w:sz w:val="17"/>
              </w:rPr>
              <w:t>с</w:t>
            </w:r>
            <w:r>
              <w:rPr>
                <w:b/>
                <w:sz w:val="17"/>
              </w:rPr>
              <w:t>луги</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56,0</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55,2</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55,0</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54,3</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54,5</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54,8</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Оптовая торговля, розничная торговля; оказание определе</w:t>
            </w:r>
            <w:r>
              <w:rPr>
                <w:sz w:val="17"/>
              </w:rPr>
              <w:t>н</w:t>
            </w:r>
            <w:r>
              <w:rPr>
                <w:sz w:val="17"/>
              </w:rPr>
              <w:t>ных услуг по р</w:t>
            </w:r>
            <w:r>
              <w:rPr>
                <w:sz w:val="17"/>
              </w:rPr>
              <w:t>е</w:t>
            </w:r>
            <w:r>
              <w:rPr>
                <w:sz w:val="17"/>
              </w:rPr>
              <w:t>монту</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52,3</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50,3</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51,4</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52,1</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50,2</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52,1</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Гостиницы и рестор</w:t>
            </w:r>
            <w:r>
              <w:rPr>
                <w:sz w:val="17"/>
              </w:rPr>
              <w:t>а</w:t>
            </w:r>
            <w:r>
              <w:rPr>
                <w:sz w:val="17"/>
              </w:rPr>
              <w:t>ны</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65,8</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50,0</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55,9</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57,9</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62,8</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62,1</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Транспорт, складские у</w:t>
            </w:r>
            <w:r>
              <w:rPr>
                <w:sz w:val="17"/>
              </w:rPr>
              <w:t>с</w:t>
            </w:r>
            <w:r>
              <w:rPr>
                <w:sz w:val="17"/>
              </w:rPr>
              <w:t>луги и связь</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19,6</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24,3</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20,4</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22,7</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24</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22,9</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Финансовое посре</w:t>
            </w:r>
            <w:r>
              <w:rPr>
                <w:sz w:val="17"/>
              </w:rPr>
              <w:t>д</w:t>
            </w:r>
            <w:r>
              <w:rPr>
                <w:sz w:val="17"/>
              </w:rPr>
              <w:t>нич</w:t>
            </w:r>
            <w:r>
              <w:rPr>
                <w:sz w:val="17"/>
              </w:rPr>
              <w:t>е</w:t>
            </w:r>
            <w:r>
              <w:rPr>
                <w:sz w:val="17"/>
              </w:rPr>
              <w:t>ство</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66,7</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72,7</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71,4</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67,7</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63,7</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62,6</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Операции с недвиж</w:t>
            </w:r>
            <w:r>
              <w:rPr>
                <w:sz w:val="17"/>
              </w:rPr>
              <w:t>и</w:t>
            </w:r>
            <w:r>
              <w:rPr>
                <w:sz w:val="17"/>
              </w:rPr>
              <w:t>мостью, арендные операции и предпр</w:t>
            </w:r>
            <w:r>
              <w:rPr>
                <w:sz w:val="17"/>
              </w:rPr>
              <w:t>и</w:t>
            </w:r>
            <w:r>
              <w:rPr>
                <w:sz w:val="17"/>
              </w:rPr>
              <w:t>ним</w:t>
            </w:r>
            <w:r>
              <w:rPr>
                <w:sz w:val="17"/>
              </w:rPr>
              <w:t>а</w:t>
            </w:r>
            <w:r>
              <w:rPr>
                <w:sz w:val="17"/>
              </w:rPr>
              <w:t>тельство</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50,0</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45,0</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49,0</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42,9</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44,2</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44,6</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Государственное управление, оборона, обязательное соц</w:t>
            </w:r>
            <w:r>
              <w:rPr>
                <w:sz w:val="17"/>
              </w:rPr>
              <w:t>и</w:t>
            </w:r>
            <w:r>
              <w:rPr>
                <w:sz w:val="17"/>
              </w:rPr>
              <w:t>альное обе</w:t>
            </w:r>
            <w:r>
              <w:rPr>
                <w:sz w:val="17"/>
              </w:rPr>
              <w:t>с</w:t>
            </w:r>
            <w:r>
              <w:rPr>
                <w:sz w:val="17"/>
              </w:rPr>
              <w:t>печение</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52,8</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53,9</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49,0</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50,1</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52,2</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50,6</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Образов</w:t>
            </w:r>
            <w:r>
              <w:rPr>
                <w:sz w:val="17"/>
              </w:rPr>
              <w:t>а</w:t>
            </w:r>
            <w:r>
              <w:rPr>
                <w:sz w:val="17"/>
              </w:rPr>
              <w:t>ние</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78,5</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77,1</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76,7</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78,7</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76</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76,4</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Здравоохранение и социальное обеспеч</w:t>
            </w:r>
            <w:r>
              <w:rPr>
                <w:sz w:val="17"/>
              </w:rPr>
              <w:t>е</w:t>
            </w:r>
            <w:r>
              <w:rPr>
                <w:sz w:val="17"/>
              </w:rPr>
              <w:t>ние</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81,1</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79,3</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80,0</w:t>
            </w:r>
          </w:p>
        </w:tc>
        <w:tc>
          <w:tcPr>
            <w:tcW w:w="89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79,9</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78,1</w:t>
            </w:r>
          </w:p>
        </w:tc>
        <w:tc>
          <w:tcPr>
            <w:tcW w:w="89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76,6</w:t>
            </w:r>
          </w:p>
        </w:tc>
      </w:tr>
      <w:tr w:rsidR="00000000">
        <w:tblPrEx>
          <w:tblCellMar>
            <w:top w:w="0" w:type="dxa"/>
            <w:bottom w:w="0" w:type="dxa"/>
          </w:tblCellMar>
        </w:tblPrEx>
        <w:tc>
          <w:tcPr>
            <w:tcW w:w="1985" w:type="dxa"/>
            <w:tcBorders>
              <w:bottom w:val="single" w:sz="12" w:space="0" w:color="auto"/>
            </w:tcBorders>
          </w:tcPr>
          <w:p w:rsidR="00000000" w:rsidRDefault="00000000">
            <w:pPr>
              <w:pStyle w:val="SingleTxt"/>
              <w:spacing w:before="40" w:after="40" w:line="240" w:lineRule="auto"/>
              <w:ind w:left="0" w:right="0" w:firstLine="0"/>
              <w:jc w:val="left"/>
              <w:rPr>
                <w:sz w:val="17"/>
              </w:rPr>
            </w:pPr>
            <w:r>
              <w:rPr>
                <w:sz w:val="17"/>
              </w:rPr>
              <w:t>Прочие социальные и иные у</w:t>
            </w:r>
            <w:r>
              <w:rPr>
                <w:sz w:val="17"/>
              </w:rPr>
              <w:t>с</w:t>
            </w:r>
            <w:r>
              <w:rPr>
                <w:sz w:val="17"/>
              </w:rPr>
              <w:t>луги</w:t>
            </w:r>
          </w:p>
        </w:tc>
        <w:tc>
          <w:tcPr>
            <w:tcW w:w="89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49,7</w:t>
            </w:r>
          </w:p>
        </w:tc>
        <w:tc>
          <w:tcPr>
            <w:tcW w:w="89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49,8</w:t>
            </w:r>
          </w:p>
        </w:tc>
        <w:tc>
          <w:tcPr>
            <w:tcW w:w="89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52,8</w:t>
            </w:r>
          </w:p>
        </w:tc>
        <w:tc>
          <w:tcPr>
            <w:tcW w:w="89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50,6</w:t>
            </w:r>
          </w:p>
        </w:tc>
        <w:tc>
          <w:tcPr>
            <w:tcW w:w="89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49,7</w:t>
            </w:r>
          </w:p>
        </w:tc>
        <w:tc>
          <w:tcPr>
            <w:tcW w:w="89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317"/>
              </w:tabs>
              <w:spacing w:before="40" w:after="40" w:line="240" w:lineRule="auto"/>
              <w:ind w:left="0" w:right="0" w:firstLine="0"/>
              <w:jc w:val="left"/>
              <w:rPr>
                <w:sz w:val="17"/>
              </w:rPr>
            </w:pPr>
            <w:r>
              <w:rPr>
                <w:sz w:val="17"/>
              </w:rPr>
              <w:t>51,4</w:t>
            </w:r>
          </w:p>
        </w:tc>
      </w:tr>
    </w:tbl>
    <w:p w:rsidR="00000000" w:rsidRDefault="00000000">
      <w:pPr>
        <w:pStyle w:val="SingleTxt"/>
        <w:ind w:firstLine="0"/>
      </w:pPr>
      <w:r>
        <w:rPr>
          <w:i/>
        </w:rPr>
        <w:t>Источник</w:t>
      </w:r>
      <w:r>
        <w:t>: Статистическое управление Республики Словения, обследование рабочей силы (самосто</w:t>
      </w:r>
      <w:r>
        <w:t>я</w:t>
      </w:r>
      <w:r>
        <w:t>тельно выполненные расчеты), 1998-2002</w:t>
      </w:r>
    </w:p>
    <w:p w:rsidR="00000000" w:rsidRDefault="00000000">
      <w:pPr>
        <w:pStyle w:val="SingleTxt"/>
      </w:pPr>
      <w:r>
        <w:t>В 2002/2 году из общего числа занятых женщин 91,7% работали полный рабочий день, причем соответствующий показатель для мужчин была незнач</w:t>
      </w:r>
      <w:r>
        <w:t>и</w:t>
      </w:r>
      <w:r>
        <w:t>тельно выше (94,8%). В среднем женщины работают 40,3 часа в неделю (му</w:t>
      </w:r>
      <w:r>
        <w:t>ж</w:t>
      </w:r>
      <w:r>
        <w:t>чины – 42,5 часа).</w:t>
      </w:r>
    </w:p>
    <w:p w:rsidR="00000000" w:rsidRDefault="00000000">
      <w:pPr>
        <w:pStyle w:val="SingleTxt"/>
      </w:pPr>
      <w:r>
        <w:t>Подавляющее большинство конторских служащих, работников сферы у</w:t>
      </w:r>
      <w:r>
        <w:t>с</w:t>
      </w:r>
      <w:r>
        <w:t>луг и торговли, специалистов и техников – женщины. Женщины составл</w:t>
      </w:r>
      <w:r>
        <w:t>я</w:t>
      </w:r>
      <w:r>
        <w:t>ют 29,1% (2002/2) работников руководящего звена, как, например, члены зак</w:t>
      </w:r>
      <w:r>
        <w:t>о</w:t>
      </w:r>
      <w:r>
        <w:t>нодательных собраний и руководители.</w:t>
      </w:r>
    </w:p>
    <w:p w:rsidR="00000000" w:rsidRDefault="00000000">
      <w:pPr>
        <w:pStyle w:val="tt"/>
        <w:keepNext/>
      </w:pPr>
      <w:r>
        <w:t>Таблица 13. Доля женщин среди занятых лиц в разбивке по основным профессиональным гру</w:t>
      </w:r>
      <w:r>
        <w:t>п</w:t>
      </w:r>
      <w:r>
        <w:t>пам, Словения, 1998-2002 годы</w:t>
      </w:r>
    </w:p>
    <w:tbl>
      <w:tblPr>
        <w:tblW w:w="0" w:type="auto"/>
        <w:tblInd w:w="1278" w:type="dxa"/>
        <w:tblLayout w:type="fixed"/>
        <w:tblLook w:val="0000" w:firstRow="0" w:lastRow="0" w:firstColumn="0" w:lastColumn="0" w:noHBand="0" w:noVBand="0"/>
      </w:tblPr>
      <w:tblGrid>
        <w:gridCol w:w="1985"/>
        <w:gridCol w:w="1077"/>
        <w:gridCol w:w="1077"/>
        <w:gridCol w:w="1077"/>
        <w:gridCol w:w="1077"/>
        <w:gridCol w:w="1078"/>
      </w:tblGrid>
      <w:tr w:rsidR="00000000">
        <w:tblPrEx>
          <w:tblCellMar>
            <w:top w:w="0" w:type="dxa"/>
            <w:bottom w:w="0" w:type="dxa"/>
          </w:tblCellMar>
        </w:tblPrEx>
        <w:trPr>
          <w:tblHeader/>
        </w:trPr>
        <w:tc>
          <w:tcPr>
            <w:tcW w:w="1985"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left"/>
              <w:rPr>
                <w:b/>
                <w:sz w:val="17"/>
              </w:rPr>
            </w:pPr>
          </w:p>
        </w:tc>
        <w:tc>
          <w:tcPr>
            <w:tcW w:w="1077"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1998/2</w:t>
            </w:r>
          </w:p>
        </w:tc>
        <w:tc>
          <w:tcPr>
            <w:tcW w:w="1077"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1999/2</w:t>
            </w:r>
          </w:p>
        </w:tc>
        <w:tc>
          <w:tcPr>
            <w:tcW w:w="1077"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2000/1</w:t>
            </w:r>
          </w:p>
        </w:tc>
        <w:tc>
          <w:tcPr>
            <w:tcW w:w="1077"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2001/2</w:t>
            </w:r>
          </w:p>
        </w:tc>
        <w:tc>
          <w:tcPr>
            <w:tcW w:w="1078"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2002/2</w:t>
            </w:r>
          </w:p>
        </w:tc>
      </w:tr>
      <w:tr w:rsidR="00000000">
        <w:tblPrEx>
          <w:tblCellMar>
            <w:top w:w="0" w:type="dxa"/>
            <w:bottom w:w="0" w:type="dxa"/>
          </w:tblCellMar>
        </w:tblPrEx>
        <w:tc>
          <w:tcPr>
            <w:tcW w:w="1985" w:type="dxa"/>
            <w:tcBorders>
              <w:top w:val="single" w:sz="12" w:space="0" w:color="auto"/>
            </w:tcBorders>
          </w:tcPr>
          <w:p w:rsidR="00000000" w:rsidRDefault="00000000">
            <w:pPr>
              <w:pStyle w:val="SingleTxt"/>
              <w:spacing w:before="40" w:after="40" w:line="240" w:lineRule="auto"/>
              <w:ind w:left="0" w:right="0" w:firstLine="0"/>
              <w:jc w:val="left"/>
              <w:rPr>
                <w:b/>
                <w:sz w:val="17"/>
              </w:rPr>
            </w:pPr>
            <w:r>
              <w:rPr>
                <w:b/>
                <w:sz w:val="17"/>
              </w:rPr>
              <w:t>Всего</w:t>
            </w:r>
          </w:p>
        </w:tc>
        <w:tc>
          <w:tcPr>
            <w:tcW w:w="107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46,3</w:t>
            </w:r>
          </w:p>
        </w:tc>
        <w:tc>
          <w:tcPr>
            <w:tcW w:w="107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46,0</w:t>
            </w:r>
          </w:p>
        </w:tc>
        <w:tc>
          <w:tcPr>
            <w:tcW w:w="107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46,0</w:t>
            </w:r>
          </w:p>
        </w:tc>
        <w:tc>
          <w:tcPr>
            <w:tcW w:w="107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46,2</w:t>
            </w:r>
          </w:p>
        </w:tc>
        <w:tc>
          <w:tcPr>
            <w:tcW w:w="107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45,8</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Члены законодател</w:t>
            </w:r>
            <w:r>
              <w:rPr>
                <w:sz w:val="17"/>
              </w:rPr>
              <w:t>ь</w:t>
            </w:r>
            <w:r>
              <w:rPr>
                <w:sz w:val="17"/>
              </w:rPr>
              <w:t>ных собраний и рук</w:t>
            </w:r>
            <w:r>
              <w:rPr>
                <w:sz w:val="17"/>
              </w:rPr>
              <w:t>о</w:t>
            </w:r>
            <w:r>
              <w:rPr>
                <w:sz w:val="17"/>
              </w:rPr>
              <w:t>водит</w:t>
            </w:r>
            <w:r>
              <w:rPr>
                <w:sz w:val="17"/>
              </w:rPr>
              <w:t>е</w:t>
            </w:r>
            <w:r>
              <w:rPr>
                <w:sz w:val="17"/>
              </w:rPr>
              <w:t>ли</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25,7</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31,1</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31,3</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30,2</w:t>
            </w:r>
          </w:p>
        </w:tc>
        <w:tc>
          <w:tcPr>
            <w:tcW w:w="107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29,1</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Сп</w:t>
            </w:r>
            <w:r>
              <w:rPr>
                <w:sz w:val="17"/>
              </w:rPr>
              <w:t>е</w:t>
            </w:r>
            <w:r>
              <w:rPr>
                <w:sz w:val="17"/>
              </w:rPr>
              <w:t>циалисты</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61,2</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60,0</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61,6</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61,4</w:t>
            </w:r>
          </w:p>
        </w:tc>
        <w:tc>
          <w:tcPr>
            <w:tcW w:w="107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57,7</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Те</w:t>
            </w:r>
            <w:r>
              <w:rPr>
                <w:sz w:val="17"/>
              </w:rPr>
              <w:t>х</w:t>
            </w:r>
            <w:r>
              <w:rPr>
                <w:sz w:val="17"/>
              </w:rPr>
              <w:t>ники</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46,6</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44,7</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47,3</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49,1</w:t>
            </w:r>
          </w:p>
        </w:tc>
        <w:tc>
          <w:tcPr>
            <w:tcW w:w="107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53,8</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Конторские служ</w:t>
            </w:r>
            <w:r>
              <w:rPr>
                <w:sz w:val="17"/>
              </w:rPr>
              <w:t>а</w:t>
            </w:r>
            <w:r>
              <w:rPr>
                <w:sz w:val="17"/>
              </w:rPr>
              <w:t>щие</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70,8</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70,3</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69,1</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68,9</w:t>
            </w:r>
          </w:p>
        </w:tc>
        <w:tc>
          <w:tcPr>
            <w:tcW w:w="107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65,0</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Работники сферы у</w:t>
            </w:r>
            <w:r>
              <w:rPr>
                <w:sz w:val="17"/>
              </w:rPr>
              <w:t>с</w:t>
            </w:r>
            <w:r>
              <w:rPr>
                <w:sz w:val="17"/>
              </w:rPr>
              <w:t>луг и торго</w:t>
            </w:r>
            <w:r>
              <w:rPr>
                <w:sz w:val="17"/>
              </w:rPr>
              <w:t>в</w:t>
            </w:r>
            <w:r>
              <w:rPr>
                <w:sz w:val="17"/>
              </w:rPr>
              <w:t>ли</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64,8</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64,0</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61,4</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62,7</w:t>
            </w:r>
          </w:p>
        </w:tc>
        <w:tc>
          <w:tcPr>
            <w:tcW w:w="107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64,0</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Работники сельского хозяйства и рыбной отрасли</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47,2</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47,5</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45,9</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45,6</w:t>
            </w:r>
          </w:p>
        </w:tc>
        <w:tc>
          <w:tcPr>
            <w:tcW w:w="107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46,6</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Ремесленники и пр</w:t>
            </w:r>
            <w:r>
              <w:rPr>
                <w:sz w:val="17"/>
              </w:rPr>
              <w:t>о</w:t>
            </w:r>
            <w:r>
              <w:rPr>
                <w:sz w:val="17"/>
              </w:rPr>
              <w:t>чие соответствующие пр</w:t>
            </w:r>
            <w:r>
              <w:rPr>
                <w:sz w:val="17"/>
              </w:rPr>
              <w:t>о</w:t>
            </w:r>
            <w:r>
              <w:rPr>
                <w:sz w:val="17"/>
              </w:rPr>
              <w:t>фессии</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7,0</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5,9</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5,9</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6,0</w:t>
            </w:r>
          </w:p>
        </w:tc>
        <w:tc>
          <w:tcPr>
            <w:tcW w:w="107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9,0</w:t>
            </w:r>
          </w:p>
        </w:tc>
      </w:tr>
      <w:tr w:rsidR="00000000">
        <w:tblPrEx>
          <w:tblCellMar>
            <w:top w:w="0" w:type="dxa"/>
            <w:bottom w:w="0" w:type="dxa"/>
          </w:tblCellMar>
        </w:tblPrEx>
        <w:tc>
          <w:tcPr>
            <w:tcW w:w="1985" w:type="dxa"/>
          </w:tcPr>
          <w:p w:rsidR="00000000" w:rsidRDefault="00000000">
            <w:pPr>
              <w:pStyle w:val="SingleTxt"/>
              <w:spacing w:before="40" w:after="40" w:line="240" w:lineRule="auto"/>
              <w:ind w:left="0" w:right="0" w:firstLine="0"/>
              <w:jc w:val="left"/>
              <w:rPr>
                <w:sz w:val="17"/>
              </w:rPr>
            </w:pPr>
            <w:r>
              <w:rPr>
                <w:sz w:val="17"/>
              </w:rPr>
              <w:t>Операторы и сборщ</w:t>
            </w:r>
            <w:r>
              <w:rPr>
                <w:sz w:val="17"/>
              </w:rPr>
              <w:t>и</w:t>
            </w:r>
            <w:r>
              <w:rPr>
                <w:sz w:val="17"/>
              </w:rPr>
              <w:t>ки машин и оборуд</w:t>
            </w:r>
            <w:r>
              <w:rPr>
                <w:sz w:val="17"/>
              </w:rPr>
              <w:t>о</w:t>
            </w:r>
            <w:r>
              <w:rPr>
                <w:sz w:val="17"/>
              </w:rPr>
              <w:t>вания</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37,9</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36,6</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38,1</w:t>
            </w:r>
          </w:p>
        </w:tc>
        <w:tc>
          <w:tcPr>
            <w:tcW w:w="10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37,6</w:t>
            </w:r>
          </w:p>
        </w:tc>
        <w:tc>
          <w:tcPr>
            <w:tcW w:w="107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37,3</w:t>
            </w:r>
          </w:p>
        </w:tc>
      </w:tr>
      <w:tr w:rsidR="00000000">
        <w:tblPrEx>
          <w:tblCellMar>
            <w:top w:w="0" w:type="dxa"/>
            <w:bottom w:w="0" w:type="dxa"/>
          </w:tblCellMar>
        </w:tblPrEx>
        <w:tc>
          <w:tcPr>
            <w:tcW w:w="1985" w:type="dxa"/>
            <w:tcBorders>
              <w:bottom w:val="single" w:sz="12" w:space="0" w:color="auto"/>
            </w:tcBorders>
          </w:tcPr>
          <w:p w:rsidR="00000000" w:rsidRDefault="00000000">
            <w:pPr>
              <w:pStyle w:val="SingleTxt"/>
              <w:spacing w:before="40" w:after="40" w:line="240" w:lineRule="auto"/>
              <w:ind w:left="0" w:right="0" w:firstLine="0"/>
              <w:jc w:val="left"/>
              <w:rPr>
                <w:sz w:val="17"/>
              </w:rPr>
            </w:pPr>
            <w:r>
              <w:rPr>
                <w:sz w:val="17"/>
              </w:rPr>
              <w:t>Базовые виды де</w:t>
            </w:r>
            <w:r>
              <w:rPr>
                <w:sz w:val="17"/>
              </w:rPr>
              <w:t>я</w:t>
            </w:r>
            <w:r>
              <w:rPr>
                <w:sz w:val="17"/>
              </w:rPr>
              <w:t>тельн</w:t>
            </w:r>
            <w:r>
              <w:rPr>
                <w:sz w:val="17"/>
              </w:rPr>
              <w:t>о</w:t>
            </w:r>
            <w:r>
              <w:rPr>
                <w:sz w:val="17"/>
              </w:rPr>
              <w:t>сти</w:t>
            </w:r>
          </w:p>
        </w:tc>
        <w:tc>
          <w:tcPr>
            <w:tcW w:w="107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64,7</w:t>
            </w:r>
          </w:p>
        </w:tc>
        <w:tc>
          <w:tcPr>
            <w:tcW w:w="107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69,7</w:t>
            </w:r>
          </w:p>
        </w:tc>
        <w:tc>
          <w:tcPr>
            <w:tcW w:w="107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65,5</w:t>
            </w:r>
          </w:p>
        </w:tc>
        <w:tc>
          <w:tcPr>
            <w:tcW w:w="107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62,8</w:t>
            </w:r>
          </w:p>
        </w:tc>
        <w:tc>
          <w:tcPr>
            <w:tcW w:w="107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55,8</w:t>
            </w:r>
          </w:p>
        </w:tc>
      </w:tr>
    </w:tbl>
    <w:p w:rsidR="00000000" w:rsidRDefault="00000000">
      <w:pPr>
        <w:pStyle w:val="SingleTxt"/>
        <w:ind w:firstLine="0"/>
      </w:pPr>
      <w:r>
        <w:rPr>
          <w:i/>
        </w:rPr>
        <w:t>Источник</w:t>
      </w:r>
      <w:r>
        <w:t>: Статистическое управление Республики Словения, обследование рабочей силы, 1998-2002</w:t>
      </w:r>
    </w:p>
    <w:p w:rsidR="00000000" w:rsidRDefault="00000000">
      <w:pPr>
        <w:pStyle w:val="SingleTxt"/>
      </w:pPr>
      <w:r>
        <w:t>В среднем женщины в Словении в компаниях, на предприятиях и в орг</w:t>
      </w:r>
      <w:r>
        <w:t>а</w:t>
      </w:r>
      <w:r>
        <w:t>низациях в соответствии с уровнем профессиональной квалификации (2000) зарабатывали на 12,2% меньше мужчин или 87,8% от их вознаграждения. На</w:t>
      </w:r>
      <w:r>
        <w:t>и</w:t>
      </w:r>
      <w:r>
        <w:t>более существенные расхождения прослеживаются между заработной платой мужчин и женщин с высшим образованием (20,7%), а наименее существе</w:t>
      </w:r>
      <w:r>
        <w:t>н</w:t>
      </w:r>
      <w:r>
        <w:t>ные – между заработной платой мужчин и женщин, не получивших никакой квал</w:t>
      </w:r>
      <w:r>
        <w:t>и</w:t>
      </w:r>
      <w:r>
        <w:t>фикации (12%).</w:t>
      </w:r>
    </w:p>
    <w:p w:rsidR="00000000" w:rsidRDefault="00000000">
      <w:pPr>
        <w:pStyle w:val="tt"/>
        <w:keepNext/>
      </w:pPr>
      <w:r>
        <w:t xml:space="preserve">Таблица 14. Доля среднемесячного общего вознаграждения женщин, </w:t>
      </w:r>
      <w:r>
        <w:br/>
        <w:t xml:space="preserve">занятых в компаниях, на предприятиях и в организациях, </w:t>
      </w:r>
      <w:r>
        <w:br/>
        <w:t>от среднем</w:t>
      </w:r>
      <w:r>
        <w:t>е</w:t>
      </w:r>
      <w:r>
        <w:t xml:space="preserve">сячного общего вознаграждения мужчин в зависимости </w:t>
      </w:r>
      <w:r>
        <w:br/>
        <w:t>от уровня профе</w:t>
      </w:r>
      <w:r>
        <w:t>с</w:t>
      </w:r>
      <w:r>
        <w:t xml:space="preserve">сиональной квалификации, требуемого </w:t>
      </w:r>
      <w:r>
        <w:br/>
        <w:t>для замещения той или иной должн</w:t>
      </w:r>
      <w:r>
        <w:t>о</w:t>
      </w:r>
      <w:r>
        <w:t>сти, 2000</w:t>
      </w:r>
    </w:p>
    <w:tbl>
      <w:tblPr>
        <w:tblW w:w="0" w:type="auto"/>
        <w:tblInd w:w="1136" w:type="dxa"/>
        <w:tblLayout w:type="fixed"/>
        <w:tblLook w:val="0000" w:firstRow="0" w:lastRow="0" w:firstColumn="0" w:lastColumn="0" w:noHBand="0" w:noVBand="0"/>
      </w:tblPr>
      <w:tblGrid>
        <w:gridCol w:w="709"/>
        <w:gridCol w:w="567"/>
        <w:gridCol w:w="567"/>
        <w:gridCol w:w="567"/>
        <w:gridCol w:w="567"/>
        <w:gridCol w:w="648"/>
        <w:gridCol w:w="648"/>
        <w:gridCol w:w="648"/>
        <w:gridCol w:w="648"/>
        <w:gridCol w:w="648"/>
        <w:gridCol w:w="648"/>
        <w:gridCol w:w="648"/>
      </w:tblGrid>
      <w:tr w:rsidR="00000000">
        <w:tblPrEx>
          <w:tblCellMar>
            <w:top w:w="0" w:type="dxa"/>
            <w:bottom w:w="0" w:type="dxa"/>
          </w:tblCellMar>
        </w:tblPrEx>
        <w:trPr>
          <w:cantSplit/>
          <w:trHeight w:val="1620"/>
        </w:trPr>
        <w:tc>
          <w:tcPr>
            <w:tcW w:w="709" w:type="dxa"/>
            <w:tcBorders>
              <w:top w:val="single" w:sz="6" w:space="0" w:color="auto"/>
            </w:tcBorders>
          </w:tcPr>
          <w:p w:rsidR="00000000" w:rsidRDefault="00000000">
            <w:pPr>
              <w:pStyle w:val="SingleTxt"/>
              <w:spacing w:before="40" w:after="40" w:line="240" w:lineRule="auto"/>
              <w:ind w:left="0" w:right="0" w:firstLine="0"/>
              <w:rPr>
                <w:sz w:val="17"/>
              </w:rPr>
            </w:pPr>
          </w:p>
        </w:tc>
        <w:tc>
          <w:tcPr>
            <w:tcW w:w="567" w:type="dxa"/>
            <w:tcBorders>
              <w:top w:val="single" w:sz="6" w:space="0" w:color="auto"/>
              <w:bottom w:val="single" w:sz="6"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Вс</w:t>
            </w:r>
            <w:r>
              <w:rPr>
                <w:i/>
                <w:sz w:val="16"/>
              </w:rPr>
              <w:t>е</w:t>
            </w:r>
            <w:r>
              <w:rPr>
                <w:i/>
                <w:sz w:val="16"/>
              </w:rPr>
              <w:t>го</w:t>
            </w:r>
          </w:p>
        </w:tc>
        <w:tc>
          <w:tcPr>
            <w:tcW w:w="1701" w:type="dxa"/>
            <w:gridSpan w:val="3"/>
            <w:tcBorders>
              <w:top w:val="single" w:sz="6" w:space="0" w:color="auto"/>
              <w:bottom w:val="single" w:sz="6"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Ученая ст</w:t>
            </w:r>
            <w:r>
              <w:rPr>
                <w:i/>
                <w:sz w:val="16"/>
              </w:rPr>
              <w:t>е</w:t>
            </w:r>
            <w:r>
              <w:rPr>
                <w:i/>
                <w:sz w:val="16"/>
              </w:rPr>
              <w:t>пень</w:t>
            </w:r>
          </w:p>
        </w:tc>
        <w:tc>
          <w:tcPr>
            <w:tcW w:w="648" w:type="dxa"/>
            <w:tcBorders>
              <w:top w:val="single" w:sz="6" w:space="0" w:color="auto"/>
              <w:bottom w:val="single" w:sz="6"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Без ученой степени</w:t>
            </w:r>
          </w:p>
        </w:tc>
        <w:tc>
          <w:tcPr>
            <w:tcW w:w="648" w:type="dxa"/>
            <w:tcBorders>
              <w:top w:val="single" w:sz="6" w:space="0" w:color="auto"/>
              <w:bottom w:val="single" w:sz="6"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Среднее специальное образов</w:t>
            </w:r>
            <w:r>
              <w:rPr>
                <w:i/>
                <w:sz w:val="16"/>
              </w:rPr>
              <w:t>а</w:t>
            </w:r>
            <w:r>
              <w:rPr>
                <w:i/>
                <w:sz w:val="16"/>
              </w:rPr>
              <w:t>ние</w:t>
            </w:r>
          </w:p>
        </w:tc>
        <w:tc>
          <w:tcPr>
            <w:tcW w:w="648" w:type="dxa"/>
            <w:tcBorders>
              <w:top w:val="single" w:sz="6" w:space="0" w:color="auto"/>
              <w:bottom w:val="single" w:sz="6"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Начальное специал</w:t>
            </w:r>
            <w:r>
              <w:rPr>
                <w:i/>
                <w:sz w:val="16"/>
              </w:rPr>
              <w:t>ь</w:t>
            </w:r>
            <w:r>
              <w:rPr>
                <w:i/>
                <w:sz w:val="16"/>
              </w:rPr>
              <w:t>ное образов</w:t>
            </w:r>
            <w:r>
              <w:rPr>
                <w:i/>
                <w:sz w:val="16"/>
              </w:rPr>
              <w:t>а</w:t>
            </w:r>
            <w:r>
              <w:rPr>
                <w:i/>
                <w:sz w:val="16"/>
              </w:rPr>
              <w:t>ние</w:t>
            </w:r>
          </w:p>
        </w:tc>
        <w:tc>
          <w:tcPr>
            <w:tcW w:w="648" w:type="dxa"/>
            <w:tcBorders>
              <w:top w:val="single" w:sz="6" w:space="0" w:color="auto"/>
              <w:bottom w:val="single" w:sz="6"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Высококвалифицир</w:t>
            </w:r>
            <w:r>
              <w:rPr>
                <w:i/>
                <w:sz w:val="16"/>
              </w:rPr>
              <w:t>о</w:t>
            </w:r>
            <w:r>
              <w:rPr>
                <w:i/>
                <w:sz w:val="16"/>
              </w:rPr>
              <w:t>ванные раб</w:t>
            </w:r>
            <w:r>
              <w:rPr>
                <w:i/>
                <w:sz w:val="16"/>
              </w:rPr>
              <w:t>о</w:t>
            </w:r>
            <w:r>
              <w:rPr>
                <w:i/>
                <w:sz w:val="16"/>
              </w:rPr>
              <w:t>чие</w:t>
            </w:r>
          </w:p>
        </w:tc>
        <w:tc>
          <w:tcPr>
            <w:tcW w:w="648" w:type="dxa"/>
            <w:tcBorders>
              <w:top w:val="single" w:sz="6" w:space="0" w:color="auto"/>
              <w:bottom w:val="single" w:sz="6"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Квалифицированные раб</w:t>
            </w:r>
            <w:r>
              <w:rPr>
                <w:i/>
                <w:sz w:val="16"/>
              </w:rPr>
              <w:t>о</w:t>
            </w:r>
            <w:r>
              <w:rPr>
                <w:i/>
                <w:sz w:val="16"/>
              </w:rPr>
              <w:t>чие</w:t>
            </w:r>
          </w:p>
        </w:tc>
        <w:tc>
          <w:tcPr>
            <w:tcW w:w="648" w:type="dxa"/>
            <w:tcBorders>
              <w:top w:val="single" w:sz="6" w:space="0" w:color="auto"/>
              <w:bottom w:val="single" w:sz="6"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Недостаточно кв</w:t>
            </w:r>
            <w:r>
              <w:rPr>
                <w:i/>
                <w:sz w:val="16"/>
              </w:rPr>
              <w:t>а</w:t>
            </w:r>
            <w:r>
              <w:rPr>
                <w:i/>
                <w:sz w:val="16"/>
              </w:rPr>
              <w:t>лифицированные р</w:t>
            </w:r>
            <w:r>
              <w:rPr>
                <w:i/>
                <w:sz w:val="16"/>
              </w:rPr>
              <w:t>а</w:t>
            </w:r>
            <w:r>
              <w:rPr>
                <w:i/>
                <w:sz w:val="16"/>
              </w:rPr>
              <w:t>бочие</w:t>
            </w:r>
          </w:p>
        </w:tc>
        <w:tc>
          <w:tcPr>
            <w:tcW w:w="648" w:type="dxa"/>
            <w:tcBorders>
              <w:top w:val="single" w:sz="6" w:space="0" w:color="auto"/>
              <w:bottom w:val="single" w:sz="6"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Неквалифицирова</w:t>
            </w:r>
            <w:r>
              <w:rPr>
                <w:i/>
                <w:sz w:val="16"/>
              </w:rPr>
              <w:t>н</w:t>
            </w:r>
            <w:r>
              <w:rPr>
                <w:i/>
                <w:sz w:val="16"/>
              </w:rPr>
              <w:t>ные раб</w:t>
            </w:r>
            <w:r>
              <w:rPr>
                <w:i/>
                <w:sz w:val="16"/>
              </w:rPr>
              <w:t>о</w:t>
            </w:r>
            <w:r>
              <w:rPr>
                <w:i/>
                <w:sz w:val="16"/>
              </w:rPr>
              <w:t>чие</w:t>
            </w:r>
          </w:p>
        </w:tc>
      </w:tr>
      <w:tr w:rsidR="00000000">
        <w:tblPrEx>
          <w:tblCellMar>
            <w:top w:w="0" w:type="dxa"/>
            <w:bottom w:w="0" w:type="dxa"/>
          </w:tblCellMar>
        </w:tblPrEx>
        <w:trPr>
          <w:cantSplit/>
          <w:trHeight w:val="846"/>
        </w:trPr>
        <w:tc>
          <w:tcPr>
            <w:tcW w:w="709" w:type="dxa"/>
            <w:tcBorders>
              <w:bottom w:val="single" w:sz="12" w:space="0" w:color="auto"/>
            </w:tcBorders>
          </w:tcPr>
          <w:p w:rsidR="00000000" w:rsidRDefault="00000000">
            <w:pPr>
              <w:pStyle w:val="SingleTxt"/>
              <w:spacing w:before="40" w:after="40" w:line="240" w:lineRule="auto"/>
              <w:ind w:left="0" w:right="0" w:firstLine="0"/>
              <w:rPr>
                <w:sz w:val="17"/>
              </w:rPr>
            </w:pPr>
          </w:p>
        </w:tc>
        <w:tc>
          <w:tcPr>
            <w:tcW w:w="567" w:type="dxa"/>
            <w:tcBorders>
              <w:top w:val="single" w:sz="6" w:space="0" w:color="auto"/>
              <w:bottom w:val="single" w:sz="12" w:space="0" w:color="auto"/>
            </w:tcBorders>
          </w:tcPr>
          <w:p w:rsidR="00000000" w:rsidRDefault="00000000">
            <w:pPr>
              <w:pStyle w:val="SingleTxt"/>
              <w:spacing w:before="40" w:after="40" w:line="160" w:lineRule="exact"/>
              <w:ind w:left="0" w:right="0" w:firstLine="0"/>
              <w:rPr>
                <w:sz w:val="16"/>
              </w:rPr>
            </w:pPr>
          </w:p>
        </w:tc>
        <w:tc>
          <w:tcPr>
            <w:tcW w:w="567" w:type="dxa"/>
            <w:tcBorders>
              <w:top w:val="single" w:sz="6" w:space="0" w:color="auto"/>
              <w:bottom w:val="single" w:sz="12"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доктор</w:t>
            </w:r>
          </w:p>
        </w:tc>
        <w:tc>
          <w:tcPr>
            <w:tcW w:w="567" w:type="dxa"/>
            <w:tcBorders>
              <w:top w:val="single" w:sz="6" w:space="0" w:color="auto"/>
              <w:bottom w:val="single" w:sz="12"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м</w:t>
            </w:r>
            <w:r>
              <w:rPr>
                <w:i/>
                <w:sz w:val="16"/>
              </w:rPr>
              <w:t>а</w:t>
            </w:r>
            <w:r>
              <w:rPr>
                <w:i/>
                <w:sz w:val="16"/>
              </w:rPr>
              <w:t>гистр</w:t>
            </w:r>
          </w:p>
        </w:tc>
        <w:tc>
          <w:tcPr>
            <w:tcW w:w="567" w:type="dxa"/>
            <w:tcBorders>
              <w:top w:val="single" w:sz="6" w:space="0" w:color="auto"/>
              <w:bottom w:val="single" w:sz="12" w:space="0" w:color="auto"/>
            </w:tcBorders>
            <w:textDirection w:val="btLr"/>
            <w:vAlign w:val="center"/>
          </w:tcPr>
          <w:p w:rsidR="00000000" w:rsidRDefault="00000000">
            <w:pPr>
              <w:pStyle w:val="SingleTxt"/>
              <w:spacing w:after="0" w:line="160" w:lineRule="exact"/>
              <w:ind w:left="0" w:right="0" w:firstLine="0"/>
              <w:jc w:val="center"/>
              <w:rPr>
                <w:i/>
                <w:sz w:val="16"/>
              </w:rPr>
            </w:pPr>
            <w:r>
              <w:rPr>
                <w:i/>
                <w:sz w:val="16"/>
              </w:rPr>
              <w:t>всего</w:t>
            </w:r>
          </w:p>
        </w:tc>
        <w:tc>
          <w:tcPr>
            <w:tcW w:w="648" w:type="dxa"/>
            <w:tcBorders>
              <w:top w:val="single" w:sz="6" w:space="0" w:color="auto"/>
              <w:bottom w:val="single" w:sz="12" w:space="0" w:color="auto"/>
            </w:tcBorders>
          </w:tcPr>
          <w:p w:rsidR="00000000" w:rsidRDefault="00000000">
            <w:pPr>
              <w:pStyle w:val="SingleTxt"/>
              <w:spacing w:before="40" w:after="40" w:line="160" w:lineRule="exact"/>
              <w:ind w:left="0" w:right="0" w:firstLine="0"/>
              <w:rPr>
                <w:sz w:val="16"/>
              </w:rPr>
            </w:pPr>
          </w:p>
        </w:tc>
        <w:tc>
          <w:tcPr>
            <w:tcW w:w="648" w:type="dxa"/>
            <w:tcBorders>
              <w:top w:val="single" w:sz="6" w:space="0" w:color="auto"/>
              <w:bottom w:val="single" w:sz="12" w:space="0" w:color="auto"/>
            </w:tcBorders>
          </w:tcPr>
          <w:p w:rsidR="00000000" w:rsidRDefault="00000000">
            <w:pPr>
              <w:pStyle w:val="SingleTxt"/>
              <w:spacing w:before="40" w:after="40" w:line="160" w:lineRule="exact"/>
              <w:ind w:left="0" w:right="0" w:firstLine="0"/>
              <w:rPr>
                <w:sz w:val="16"/>
              </w:rPr>
            </w:pPr>
          </w:p>
        </w:tc>
        <w:tc>
          <w:tcPr>
            <w:tcW w:w="648" w:type="dxa"/>
            <w:tcBorders>
              <w:top w:val="single" w:sz="6" w:space="0" w:color="auto"/>
              <w:bottom w:val="single" w:sz="12" w:space="0" w:color="auto"/>
            </w:tcBorders>
          </w:tcPr>
          <w:p w:rsidR="00000000" w:rsidRDefault="00000000">
            <w:pPr>
              <w:pStyle w:val="SingleTxt"/>
              <w:spacing w:before="40" w:after="40" w:line="160" w:lineRule="exact"/>
              <w:ind w:left="0" w:right="0" w:firstLine="0"/>
              <w:rPr>
                <w:sz w:val="16"/>
              </w:rPr>
            </w:pPr>
          </w:p>
        </w:tc>
        <w:tc>
          <w:tcPr>
            <w:tcW w:w="648" w:type="dxa"/>
            <w:tcBorders>
              <w:top w:val="single" w:sz="6" w:space="0" w:color="auto"/>
              <w:bottom w:val="single" w:sz="12" w:space="0" w:color="auto"/>
            </w:tcBorders>
          </w:tcPr>
          <w:p w:rsidR="00000000" w:rsidRDefault="00000000">
            <w:pPr>
              <w:pStyle w:val="SingleTxt"/>
              <w:spacing w:before="40" w:after="40" w:line="160" w:lineRule="exact"/>
              <w:ind w:left="0" w:right="0" w:firstLine="0"/>
              <w:rPr>
                <w:sz w:val="16"/>
              </w:rPr>
            </w:pPr>
          </w:p>
        </w:tc>
        <w:tc>
          <w:tcPr>
            <w:tcW w:w="648" w:type="dxa"/>
            <w:tcBorders>
              <w:top w:val="single" w:sz="6" w:space="0" w:color="auto"/>
              <w:bottom w:val="single" w:sz="12" w:space="0" w:color="auto"/>
            </w:tcBorders>
          </w:tcPr>
          <w:p w:rsidR="00000000" w:rsidRDefault="00000000">
            <w:pPr>
              <w:pStyle w:val="SingleTxt"/>
              <w:spacing w:before="40" w:after="40" w:line="160" w:lineRule="exact"/>
              <w:ind w:left="0" w:right="0" w:firstLine="0"/>
              <w:rPr>
                <w:sz w:val="16"/>
              </w:rPr>
            </w:pPr>
          </w:p>
        </w:tc>
        <w:tc>
          <w:tcPr>
            <w:tcW w:w="648" w:type="dxa"/>
            <w:tcBorders>
              <w:top w:val="single" w:sz="6" w:space="0" w:color="auto"/>
              <w:bottom w:val="single" w:sz="12" w:space="0" w:color="auto"/>
            </w:tcBorders>
          </w:tcPr>
          <w:p w:rsidR="00000000" w:rsidRDefault="00000000">
            <w:pPr>
              <w:pStyle w:val="SingleTxt"/>
              <w:spacing w:before="40" w:after="40" w:line="160" w:lineRule="exact"/>
              <w:ind w:left="0" w:right="0" w:firstLine="0"/>
              <w:rPr>
                <w:sz w:val="16"/>
              </w:rPr>
            </w:pPr>
          </w:p>
        </w:tc>
        <w:tc>
          <w:tcPr>
            <w:tcW w:w="648" w:type="dxa"/>
            <w:tcBorders>
              <w:top w:val="single" w:sz="6" w:space="0" w:color="auto"/>
              <w:bottom w:val="single" w:sz="12" w:space="0" w:color="auto"/>
            </w:tcBorders>
          </w:tcPr>
          <w:p w:rsidR="00000000" w:rsidRDefault="00000000">
            <w:pPr>
              <w:pStyle w:val="SingleTxt"/>
              <w:spacing w:before="40" w:after="40" w:line="240" w:lineRule="auto"/>
              <w:ind w:left="0" w:right="0" w:firstLine="0"/>
              <w:rPr>
                <w:sz w:val="17"/>
              </w:rPr>
            </w:pPr>
          </w:p>
        </w:tc>
      </w:tr>
      <w:tr w:rsidR="00000000">
        <w:tblPrEx>
          <w:tblCellMar>
            <w:top w:w="0" w:type="dxa"/>
            <w:bottom w:w="0" w:type="dxa"/>
          </w:tblCellMar>
        </w:tblPrEx>
        <w:tc>
          <w:tcPr>
            <w:tcW w:w="709"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2000</w:t>
            </w:r>
          </w:p>
        </w:tc>
        <w:tc>
          <w:tcPr>
            <w:tcW w:w="567"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87,8</w:t>
            </w:r>
          </w:p>
        </w:tc>
        <w:tc>
          <w:tcPr>
            <w:tcW w:w="567"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85,9</w:t>
            </w:r>
          </w:p>
        </w:tc>
        <w:tc>
          <w:tcPr>
            <w:tcW w:w="567"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83,2</w:t>
            </w:r>
          </w:p>
        </w:tc>
        <w:tc>
          <w:tcPr>
            <w:tcW w:w="567"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79,3</w:t>
            </w:r>
          </w:p>
        </w:tc>
        <w:tc>
          <w:tcPr>
            <w:tcW w:w="648"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87,5</w:t>
            </w:r>
          </w:p>
        </w:tc>
        <w:tc>
          <w:tcPr>
            <w:tcW w:w="648"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88,5</w:t>
            </w:r>
          </w:p>
        </w:tc>
        <w:tc>
          <w:tcPr>
            <w:tcW w:w="648"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85,9</w:t>
            </w:r>
          </w:p>
        </w:tc>
        <w:tc>
          <w:tcPr>
            <w:tcW w:w="648"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83,0</w:t>
            </w:r>
          </w:p>
        </w:tc>
        <w:tc>
          <w:tcPr>
            <w:tcW w:w="648"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80,1</w:t>
            </w:r>
          </w:p>
        </w:tc>
        <w:tc>
          <w:tcPr>
            <w:tcW w:w="648"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84,8</w:t>
            </w:r>
          </w:p>
        </w:tc>
        <w:tc>
          <w:tcPr>
            <w:tcW w:w="648" w:type="dxa"/>
            <w:tcBorders>
              <w:top w:val="single" w:sz="12" w:space="0" w:color="auto"/>
              <w:bottom w:val="single" w:sz="12" w:space="0" w:color="auto"/>
            </w:tcBorders>
          </w:tcPr>
          <w:p w:rsidR="00000000" w:rsidRDefault="00000000">
            <w:pPr>
              <w:pStyle w:val="SingleTxt"/>
              <w:spacing w:before="40" w:after="40" w:line="240" w:lineRule="auto"/>
              <w:ind w:left="0" w:right="0" w:firstLine="0"/>
              <w:rPr>
                <w:sz w:val="17"/>
              </w:rPr>
            </w:pPr>
            <w:r>
              <w:rPr>
                <w:sz w:val="17"/>
              </w:rPr>
              <w:t>88,0</w:t>
            </w:r>
          </w:p>
        </w:tc>
      </w:tr>
    </w:tbl>
    <w:p w:rsidR="00000000" w:rsidRDefault="00000000">
      <w:pPr>
        <w:pStyle w:val="SingleTxt"/>
        <w:ind w:firstLine="0"/>
      </w:pPr>
      <w:r>
        <w:rPr>
          <w:i/>
        </w:rPr>
        <w:t>Источник</w:t>
      </w:r>
      <w:r>
        <w:t>: Статистическое управление Республики Словения, 2000 год</w:t>
      </w:r>
    </w:p>
    <w:p w:rsidR="00000000" w:rsidRDefault="00000000">
      <w:pPr>
        <w:pStyle w:val="H4"/>
      </w:pPr>
      <w:r>
        <w:t xml:space="preserve">1.2. </w:t>
      </w:r>
      <w:r>
        <w:rPr>
          <w:lang w:val="en-US"/>
        </w:rPr>
        <w:tab/>
      </w:r>
      <w:r>
        <w:t>Безработица</w:t>
      </w:r>
    </w:p>
    <w:p w:rsidR="00000000" w:rsidRDefault="00000000">
      <w:pPr>
        <w:pStyle w:val="SingleTxt"/>
      </w:pPr>
      <w:r>
        <w:t>За последние три года уровень безработицы заметно снизился благодаря, прежде всего, более активным поискам работы со стороны безработных, изм</w:t>
      </w:r>
      <w:r>
        <w:t>е</w:t>
      </w:r>
      <w:r>
        <w:t>нению статуса тех, кто участвует в реализации программ общественных работ, усилению контроля за мерами, принимаемыми самими безработными, а также проведению активной политики в сфере занятости. По сравнению с 1997 годом сократилась численность безработных и снизился уровень зарегистрированной (“Обследование рабочей силы”) безработицы. В период с 1997 по 2002 год (</w:t>
      </w:r>
      <w:r>
        <w:rPr>
          <w:lang w:val="en-US"/>
        </w:rPr>
        <w:t>II</w:t>
      </w:r>
      <w:r>
        <w:t> квартал) уровень безработицы среди женщин был выше, чем среди мужчин. В 2002/2 году, по данным обследования, уровень безработицы составлял 6,3% среди женщин и 5,7% среди мужчин, причем уровень зарегистрированной бе</w:t>
      </w:r>
      <w:r>
        <w:t>з</w:t>
      </w:r>
      <w:r>
        <w:t>работицы составлял 12,9% среди женщин и 10,2% среди мужчин.</w:t>
      </w:r>
    </w:p>
    <w:p w:rsidR="00000000" w:rsidRDefault="00000000">
      <w:pPr>
        <w:pStyle w:val="tt"/>
        <w:keepNext/>
      </w:pPr>
      <w:r>
        <w:t xml:space="preserve">Таблица 15. Основные характеристики не имевших работы лиц </w:t>
      </w:r>
      <w:r>
        <w:br/>
        <w:t>в разбивке по полу, Словения, 1998-2002 годы</w:t>
      </w:r>
    </w:p>
    <w:tbl>
      <w:tblPr>
        <w:tblW w:w="0" w:type="auto"/>
        <w:tblInd w:w="1278" w:type="dxa"/>
        <w:tblLayout w:type="fixed"/>
        <w:tblLook w:val="0000" w:firstRow="0" w:lastRow="0" w:firstColumn="0" w:lastColumn="0" w:noHBand="0" w:noVBand="0"/>
      </w:tblPr>
      <w:tblGrid>
        <w:gridCol w:w="2552"/>
        <w:gridCol w:w="963"/>
        <w:gridCol w:w="964"/>
        <w:gridCol w:w="964"/>
        <w:gridCol w:w="964"/>
        <w:gridCol w:w="964"/>
      </w:tblGrid>
      <w:tr w:rsidR="00000000">
        <w:tblPrEx>
          <w:tblCellMar>
            <w:top w:w="0" w:type="dxa"/>
            <w:bottom w:w="0" w:type="dxa"/>
          </w:tblCellMar>
        </w:tblPrEx>
        <w:tc>
          <w:tcPr>
            <w:tcW w:w="2552" w:type="dxa"/>
            <w:tcBorders>
              <w:top w:val="single" w:sz="6" w:space="0" w:color="auto"/>
              <w:bottom w:val="single" w:sz="12" w:space="0" w:color="auto"/>
            </w:tcBorders>
          </w:tcPr>
          <w:p w:rsidR="00000000" w:rsidRDefault="00000000">
            <w:pPr>
              <w:pStyle w:val="SingleTxt"/>
              <w:spacing w:before="40" w:after="40" w:line="240" w:lineRule="auto"/>
              <w:ind w:left="0" w:right="0" w:firstLine="0"/>
              <w:rPr>
                <w:b/>
                <w:sz w:val="17"/>
              </w:rPr>
            </w:pPr>
          </w:p>
        </w:tc>
        <w:tc>
          <w:tcPr>
            <w:tcW w:w="963"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1998/2</w:t>
            </w:r>
          </w:p>
        </w:tc>
        <w:tc>
          <w:tcPr>
            <w:tcW w:w="964"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1999/2</w:t>
            </w:r>
          </w:p>
        </w:tc>
        <w:tc>
          <w:tcPr>
            <w:tcW w:w="964"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2000/2</w:t>
            </w:r>
          </w:p>
        </w:tc>
        <w:tc>
          <w:tcPr>
            <w:tcW w:w="964"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2001/2</w:t>
            </w:r>
          </w:p>
        </w:tc>
        <w:tc>
          <w:tcPr>
            <w:tcW w:w="964"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2002/2</w:t>
            </w:r>
          </w:p>
        </w:tc>
      </w:tr>
      <w:tr w:rsidR="00000000">
        <w:tblPrEx>
          <w:tblCellMar>
            <w:top w:w="0" w:type="dxa"/>
            <w:bottom w:w="0" w:type="dxa"/>
          </w:tblCellMar>
        </w:tblPrEx>
        <w:tc>
          <w:tcPr>
            <w:tcW w:w="2552" w:type="dxa"/>
            <w:tcBorders>
              <w:top w:val="single" w:sz="12" w:space="0" w:color="auto"/>
            </w:tcBorders>
          </w:tcPr>
          <w:p w:rsidR="00000000" w:rsidRDefault="00000000">
            <w:pPr>
              <w:pStyle w:val="SingleTxt"/>
              <w:spacing w:before="40" w:after="40" w:line="240" w:lineRule="auto"/>
              <w:ind w:left="0" w:right="0" w:firstLine="0"/>
              <w:jc w:val="left"/>
              <w:rPr>
                <w:b/>
                <w:sz w:val="17"/>
              </w:rPr>
            </w:pPr>
            <w:r>
              <w:rPr>
                <w:b/>
                <w:sz w:val="17"/>
              </w:rPr>
              <w:t>Всего</w:t>
            </w:r>
          </w:p>
        </w:tc>
        <w:tc>
          <w:tcPr>
            <w:tcW w:w="96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r>
      <w:tr w:rsidR="00000000">
        <w:tblPrEx>
          <w:tblCellMar>
            <w:top w:w="0" w:type="dxa"/>
            <w:bottom w:w="0" w:type="dxa"/>
          </w:tblCellMar>
        </w:tblPrEx>
        <w:tc>
          <w:tcPr>
            <w:tcW w:w="2552" w:type="dxa"/>
          </w:tcPr>
          <w:p w:rsidR="00000000" w:rsidRDefault="00000000">
            <w:pPr>
              <w:pStyle w:val="SingleTxt"/>
              <w:spacing w:before="40" w:after="40" w:line="240" w:lineRule="auto"/>
              <w:ind w:left="0" w:right="0" w:firstLine="0"/>
              <w:jc w:val="left"/>
              <w:rPr>
                <w:sz w:val="17"/>
              </w:rPr>
            </w:pPr>
            <w:r>
              <w:rPr>
                <w:sz w:val="17"/>
              </w:rPr>
              <w:t>Бе</w:t>
            </w:r>
            <w:r>
              <w:rPr>
                <w:sz w:val="17"/>
              </w:rPr>
              <w:t>з</w:t>
            </w:r>
            <w:r>
              <w:rPr>
                <w:sz w:val="17"/>
              </w:rPr>
              <w:t>работные (1000)</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75</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71</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69</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68</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58</w:t>
            </w: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 xml:space="preserve">- </w:t>
            </w:r>
            <w:r>
              <w:rPr>
                <w:sz w:val="17"/>
              </w:rPr>
              <w:tab/>
              <w:t>зарегистрированные в НУЗ*</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62</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57</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57</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55</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48</w:t>
            </w: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 xml:space="preserve">- </w:t>
            </w:r>
            <w:r>
              <w:rPr>
                <w:sz w:val="17"/>
              </w:rPr>
              <w:tab/>
              <w:t>впервые ищ</w:t>
            </w:r>
            <w:r>
              <w:rPr>
                <w:sz w:val="17"/>
              </w:rPr>
              <w:t>у</w:t>
            </w:r>
            <w:r>
              <w:rPr>
                <w:sz w:val="17"/>
              </w:rPr>
              <w:t>щие работу</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22</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19</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22</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20</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16</w:t>
            </w: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Уровень бе</w:t>
            </w:r>
            <w:r>
              <w:rPr>
                <w:sz w:val="17"/>
              </w:rPr>
              <w:t>з</w:t>
            </w:r>
            <w:r>
              <w:rPr>
                <w:sz w:val="17"/>
              </w:rPr>
              <w:t>работицы (в %)</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7,7</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7,4</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7,2</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6,9</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5,9</w:t>
            </w: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Му</w:t>
            </w:r>
            <w:r>
              <w:rPr>
                <w:sz w:val="17"/>
              </w:rPr>
              <w:t>ж</w:t>
            </w:r>
            <w:r>
              <w:rPr>
                <w:sz w:val="17"/>
              </w:rPr>
              <w:t>чины</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Бе</w:t>
            </w:r>
            <w:r>
              <w:rPr>
                <w:sz w:val="17"/>
              </w:rPr>
              <w:t>з</w:t>
            </w:r>
            <w:r>
              <w:rPr>
                <w:sz w:val="17"/>
              </w:rPr>
              <w:t>работные (1000)</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40</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37</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36</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34</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30</w:t>
            </w: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 xml:space="preserve">- </w:t>
            </w:r>
            <w:r>
              <w:rPr>
                <w:sz w:val="17"/>
              </w:rPr>
              <w:tab/>
              <w:t>зарегистрированные в НУЗ*</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32</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28</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29</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26</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23</w:t>
            </w: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 xml:space="preserve">- </w:t>
            </w:r>
            <w:r>
              <w:rPr>
                <w:sz w:val="17"/>
              </w:rPr>
              <w:tab/>
              <w:t>впервые ищ</w:t>
            </w:r>
            <w:r>
              <w:rPr>
                <w:sz w:val="17"/>
              </w:rPr>
              <w:t>у</w:t>
            </w:r>
            <w:r>
              <w:rPr>
                <w:sz w:val="17"/>
              </w:rPr>
              <w:t>щие работу</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11</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(9)</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10</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9</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w:t>
            </w: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Уровень бе</w:t>
            </w:r>
            <w:r>
              <w:rPr>
                <w:sz w:val="17"/>
              </w:rPr>
              <w:t>з</w:t>
            </w:r>
            <w:r>
              <w:rPr>
                <w:sz w:val="17"/>
              </w:rPr>
              <w:t>работицы (в %)</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7,6</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7,2</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6,4</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5,7</w:t>
            </w: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b/>
                <w:sz w:val="17"/>
              </w:rPr>
            </w:pPr>
            <w:r>
              <w:rPr>
                <w:b/>
                <w:sz w:val="17"/>
              </w:rPr>
              <w:t>Женщины</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Бе</w:t>
            </w:r>
            <w:r>
              <w:rPr>
                <w:sz w:val="17"/>
              </w:rPr>
              <w:t>з</w:t>
            </w:r>
            <w:r>
              <w:rPr>
                <w:sz w:val="17"/>
              </w:rPr>
              <w:t>работные (1000)</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35</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34</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33</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34</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28</w:t>
            </w: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 xml:space="preserve">- </w:t>
            </w:r>
            <w:r>
              <w:rPr>
                <w:sz w:val="17"/>
              </w:rPr>
              <w:tab/>
              <w:t>зарегистрированные в НУЗ*</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30</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29</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28</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29</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25</w:t>
            </w:r>
          </w:p>
        </w:tc>
      </w:tr>
      <w:tr w:rsidR="00000000">
        <w:tblPrEx>
          <w:tblCellMar>
            <w:top w:w="0" w:type="dxa"/>
            <w:bottom w:w="0" w:type="dxa"/>
          </w:tblCellMar>
        </w:tblPrEx>
        <w:tc>
          <w:tcPr>
            <w:tcW w:w="2552" w:type="dxa"/>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 xml:space="preserve">- </w:t>
            </w:r>
            <w:r>
              <w:rPr>
                <w:sz w:val="17"/>
              </w:rPr>
              <w:tab/>
              <w:t>впервые ищ</w:t>
            </w:r>
            <w:r>
              <w:rPr>
                <w:sz w:val="17"/>
              </w:rPr>
              <w:t>у</w:t>
            </w:r>
            <w:r>
              <w:rPr>
                <w:sz w:val="17"/>
              </w:rPr>
              <w:t>щие работу</w:t>
            </w:r>
          </w:p>
        </w:tc>
        <w:tc>
          <w:tcPr>
            <w:tcW w:w="96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(10)</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(10)</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12</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10</w:t>
            </w:r>
          </w:p>
        </w:tc>
        <w:tc>
          <w:tcPr>
            <w:tcW w:w="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(8)</w:t>
            </w:r>
          </w:p>
        </w:tc>
      </w:tr>
      <w:tr w:rsidR="00000000">
        <w:tblPrEx>
          <w:tblCellMar>
            <w:top w:w="0" w:type="dxa"/>
            <w:bottom w:w="0" w:type="dxa"/>
          </w:tblCellMar>
        </w:tblPrEx>
        <w:tc>
          <w:tcPr>
            <w:tcW w:w="2552" w:type="dxa"/>
            <w:tcBorders>
              <w:bottom w:val="single" w:sz="12" w:space="0" w:color="auto"/>
            </w:tcBorders>
          </w:tcPr>
          <w:p w:rsidR="00000000" w:rsidRDefault="00000000">
            <w:pPr>
              <w:pStyle w:val="SingleTxt"/>
              <w:tabs>
                <w:tab w:val="clear" w:pos="1267"/>
                <w:tab w:val="left" w:pos="154"/>
              </w:tabs>
              <w:spacing w:before="40" w:after="40" w:line="240" w:lineRule="auto"/>
              <w:ind w:left="0" w:right="0" w:firstLine="0"/>
              <w:jc w:val="left"/>
              <w:rPr>
                <w:sz w:val="17"/>
              </w:rPr>
            </w:pPr>
            <w:r>
              <w:rPr>
                <w:sz w:val="17"/>
              </w:rPr>
              <w:t>Уровень бе</w:t>
            </w:r>
            <w:r>
              <w:rPr>
                <w:sz w:val="17"/>
              </w:rPr>
              <w:t>з</w:t>
            </w:r>
            <w:r>
              <w:rPr>
                <w:sz w:val="17"/>
              </w:rPr>
              <w:t>работицы (в %)</w:t>
            </w:r>
          </w:p>
        </w:tc>
        <w:tc>
          <w:tcPr>
            <w:tcW w:w="96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7,7</w:t>
            </w:r>
          </w:p>
        </w:tc>
        <w:tc>
          <w:tcPr>
            <w:tcW w:w="96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7,6</w:t>
            </w:r>
          </w:p>
        </w:tc>
        <w:tc>
          <w:tcPr>
            <w:tcW w:w="96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7,4</w:t>
            </w:r>
          </w:p>
        </w:tc>
        <w:tc>
          <w:tcPr>
            <w:tcW w:w="96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7,6</w:t>
            </w:r>
          </w:p>
        </w:tc>
        <w:tc>
          <w:tcPr>
            <w:tcW w:w="96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6,3</w:t>
            </w:r>
          </w:p>
        </w:tc>
      </w:tr>
    </w:tbl>
    <w:p w:rsidR="00000000" w:rsidRDefault="00000000">
      <w:pPr>
        <w:pStyle w:val="SingleTxt"/>
        <w:ind w:firstLine="0"/>
      </w:pPr>
      <w:r>
        <w:rPr>
          <w:i/>
        </w:rPr>
        <w:t>Источник</w:t>
      </w:r>
      <w:r>
        <w:t>: Статистическое управление Республики Словения, обследование рабочей силы, 1998-2002 годы</w:t>
      </w:r>
    </w:p>
    <w:p w:rsidR="00000000" w:rsidRDefault="00000000">
      <w:pPr>
        <w:pStyle w:val="SingleTxt"/>
        <w:ind w:firstLine="0"/>
      </w:pPr>
      <w:r>
        <w:t>* НУЗ: Национальное управление по делам занятости</w:t>
      </w:r>
    </w:p>
    <w:p w:rsidR="00000000" w:rsidRDefault="00000000">
      <w:pPr>
        <w:pStyle w:val="H56"/>
      </w:pPr>
      <w:r>
        <w:t>1.2.1.</w:t>
      </w:r>
      <w:r>
        <w:tab/>
        <w:t>Структура безработных с точки зрения полученного образования</w:t>
      </w:r>
    </w:p>
    <w:p w:rsidR="00000000" w:rsidRDefault="00000000">
      <w:pPr>
        <w:pStyle w:val="SingleTxt"/>
      </w:pPr>
      <w:r>
        <w:t>Полученное образование – это один из факторов, оказывающих влияние на возможности в области занятости. Среди зарегистрированных безработных по-прежнему преобладают лица, имеющие низкий уровень образования, а та</w:t>
      </w:r>
      <w:r>
        <w:t>к</w:t>
      </w:r>
      <w:r>
        <w:t>же те, чье образование не пользуется спросом на рынке труда. Подавляющая часть безработных получила образование I и II уровня (2001). В средней чи</w:t>
      </w:r>
      <w:r>
        <w:t>с</w:t>
      </w:r>
      <w:r>
        <w:t>ленности зарегистрированных безработных их доля составила 47%. Женщины среди них составляли 50,8%. По сравнению с 1997 годом доля женщин среди зарегистрированных безработных в разбивке по уровню образования сущес</w:t>
      </w:r>
      <w:r>
        <w:t>т</w:t>
      </w:r>
      <w:r>
        <w:t>венно не изм</w:t>
      </w:r>
      <w:r>
        <w:t>е</w:t>
      </w:r>
      <w:r>
        <w:t>нилась.</w:t>
      </w:r>
    </w:p>
    <w:p w:rsidR="00000000" w:rsidRDefault="00000000">
      <w:pPr>
        <w:pStyle w:val="tt"/>
        <w:keepNext/>
      </w:pPr>
      <w:r>
        <w:t xml:space="preserve">Таблица 16. Структура зарегистрированных безработных в разбивке </w:t>
      </w:r>
      <w:r>
        <w:br/>
        <w:t>по уровню образования и доли женщин, по состоянию на 31 декабря 2001 года</w:t>
      </w:r>
    </w:p>
    <w:tbl>
      <w:tblPr>
        <w:tblW w:w="0" w:type="auto"/>
        <w:tblInd w:w="1278" w:type="dxa"/>
        <w:tblLayout w:type="fixed"/>
        <w:tblLook w:val="0000" w:firstRow="0" w:lastRow="0" w:firstColumn="0" w:lastColumn="0" w:noHBand="0" w:noVBand="0"/>
      </w:tblPr>
      <w:tblGrid>
        <w:gridCol w:w="1843"/>
        <w:gridCol w:w="1842"/>
        <w:gridCol w:w="1843"/>
        <w:gridCol w:w="1843"/>
      </w:tblGrid>
      <w:tr w:rsidR="00000000">
        <w:tblPrEx>
          <w:tblCellMar>
            <w:top w:w="0" w:type="dxa"/>
            <w:bottom w:w="0" w:type="dxa"/>
          </w:tblCellMar>
        </w:tblPrEx>
        <w:tc>
          <w:tcPr>
            <w:tcW w:w="1843" w:type="dxa"/>
            <w:tcBorders>
              <w:top w:val="single" w:sz="6" w:space="0" w:color="auto"/>
              <w:bottom w:val="single" w:sz="12" w:space="0" w:color="auto"/>
            </w:tcBorders>
          </w:tcPr>
          <w:p w:rsidR="00000000" w:rsidRDefault="00000000">
            <w:pPr>
              <w:pStyle w:val="SingleTxt"/>
              <w:keepNext/>
              <w:spacing w:before="40" w:after="40" w:line="240" w:lineRule="auto"/>
              <w:ind w:left="0" w:right="0" w:firstLine="0"/>
              <w:jc w:val="center"/>
              <w:rPr>
                <w:i/>
                <w:sz w:val="17"/>
              </w:rPr>
            </w:pPr>
            <w:r>
              <w:rPr>
                <w:i/>
                <w:sz w:val="17"/>
              </w:rPr>
              <w:t>Уровень образов</w:t>
            </w:r>
            <w:r>
              <w:rPr>
                <w:i/>
                <w:sz w:val="17"/>
              </w:rPr>
              <w:t>а</w:t>
            </w:r>
            <w:r>
              <w:rPr>
                <w:i/>
                <w:sz w:val="17"/>
              </w:rPr>
              <w:t>ния</w:t>
            </w:r>
          </w:p>
        </w:tc>
        <w:tc>
          <w:tcPr>
            <w:tcW w:w="1842" w:type="dxa"/>
            <w:tcBorders>
              <w:top w:val="single" w:sz="6" w:space="0" w:color="auto"/>
              <w:bottom w:val="single" w:sz="12" w:space="0" w:color="auto"/>
            </w:tcBorders>
          </w:tcPr>
          <w:p w:rsidR="00000000" w:rsidRDefault="00000000">
            <w:pPr>
              <w:pStyle w:val="SingleTxt"/>
              <w:keepNext/>
              <w:spacing w:before="40" w:after="40" w:line="240" w:lineRule="auto"/>
              <w:ind w:left="0" w:right="0" w:firstLine="0"/>
              <w:jc w:val="center"/>
              <w:rPr>
                <w:i/>
                <w:sz w:val="17"/>
              </w:rPr>
            </w:pPr>
            <w:r>
              <w:rPr>
                <w:i/>
                <w:sz w:val="17"/>
              </w:rPr>
              <w:t>Всего</w:t>
            </w:r>
          </w:p>
        </w:tc>
        <w:tc>
          <w:tcPr>
            <w:tcW w:w="1843" w:type="dxa"/>
            <w:tcBorders>
              <w:top w:val="single" w:sz="6" w:space="0" w:color="auto"/>
              <w:bottom w:val="single" w:sz="12" w:space="0" w:color="auto"/>
            </w:tcBorders>
          </w:tcPr>
          <w:p w:rsidR="00000000" w:rsidRDefault="00000000">
            <w:pPr>
              <w:pStyle w:val="SingleTxt"/>
              <w:keepNext/>
              <w:spacing w:before="40" w:after="40" w:line="240" w:lineRule="auto"/>
              <w:ind w:left="0" w:right="0" w:firstLine="0"/>
              <w:jc w:val="center"/>
              <w:rPr>
                <w:i/>
                <w:sz w:val="17"/>
              </w:rPr>
            </w:pPr>
            <w:r>
              <w:rPr>
                <w:i/>
                <w:sz w:val="17"/>
              </w:rPr>
              <w:t>Женщины</w:t>
            </w:r>
          </w:p>
        </w:tc>
        <w:tc>
          <w:tcPr>
            <w:tcW w:w="1843" w:type="dxa"/>
            <w:tcBorders>
              <w:top w:val="single" w:sz="6" w:space="0" w:color="auto"/>
              <w:bottom w:val="single" w:sz="12" w:space="0" w:color="auto"/>
            </w:tcBorders>
          </w:tcPr>
          <w:p w:rsidR="00000000" w:rsidRDefault="00000000">
            <w:pPr>
              <w:pStyle w:val="SingleTxt"/>
              <w:keepNext/>
              <w:spacing w:before="40" w:after="40" w:line="240" w:lineRule="auto"/>
              <w:ind w:left="0" w:right="0" w:firstLine="0"/>
              <w:jc w:val="center"/>
              <w:rPr>
                <w:i/>
                <w:sz w:val="17"/>
              </w:rPr>
            </w:pPr>
            <w:r>
              <w:rPr>
                <w:i/>
                <w:sz w:val="17"/>
              </w:rPr>
              <w:t>Доля женщин (в %)</w:t>
            </w:r>
          </w:p>
        </w:tc>
      </w:tr>
      <w:tr w:rsidR="00000000">
        <w:tblPrEx>
          <w:tblCellMar>
            <w:top w:w="0" w:type="dxa"/>
            <w:bottom w:w="0" w:type="dxa"/>
          </w:tblCellMar>
        </w:tblPrEx>
        <w:tc>
          <w:tcPr>
            <w:tcW w:w="1843" w:type="dxa"/>
            <w:tcBorders>
              <w:top w:val="single" w:sz="12" w:space="0" w:color="auto"/>
            </w:tcBorders>
          </w:tcPr>
          <w:p w:rsidR="00000000" w:rsidRDefault="00000000">
            <w:pPr>
              <w:pStyle w:val="SingleTxt"/>
              <w:keepNext/>
              <w:spacing w:before="40" w:after="40" w:line="240" w:lineRule="auto"/>
              <w:ind w:left="0" w:right="0" w:firstLine="0"/>
              <w:rPr>
                <w:sz w:val="17"/>
              </w:rPr>
            </w:pPr>
            <w:r>
              <w:rPr>
                <w:sz w:val="17"/>
              </w:rPr>
              <w:t>1-й уровень</w:t>
            </w:r>
          </w:p>
        </w:tc>
        <w:tc>
          <w:tcPr>
            <w:tcW w:w="1842" w:type="dxa"/>
            <w:tcBorders>
              <w:top w:val="single" w:sz="12" w:space="0" w:color="auto"/>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42048</w:t>
            </w:r>
          </w:p>
        </w:tc>
        <w:tc>
          <w:tcPr>
            <w:tcW w:w="1843" w:type="dxa"/>
            <w:tcBorders>
              <w:top w:val="single" w:sz="12" w:space="0" w:color="auto"/>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21340</w:t>
            </w:r>
          </w:p>
        </w:tc>
        <w:tc>
          <w:tcPr>
            <w:tcW w:w="1843" w:type="dxa"/>
            <w:tcBorders>
              <w:top w:val="single" w:sz="12" w:space="0" w:color="auto"/>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5"/>
              </w:tabs>
              <w:spacing w:before="40" w:after="40" w:line="240" w:lineRule="auto"/>
              <w:ind w:left="0" w:right="0" w:firstLine="0"/>
              <w:rPr>
                <w:sz w:val="17"/>
              </w:rPr>
            </w:pPr>
            <w:r>
              <w:rPr>
                <w:sz w:val="17"/>
              </w:rPr>
              <w:t>50,8</w:t>
            </w:r>
          </w:p>
        </w:tc>
      </w:tr>
      <w:tr w:rsidR="00000000">
        <w:tblPrEx>
          <w:tblCellMar>
            <w:top w:w="0" w:type="dxa"/>
            <w:bottom w:w="0" w:type="dxa"/>
          </w:tblCellMar>
        </w:tblPrEx>
        <w:tc>
          <w:tcPr>
            <w:tcW w:w="1843" w:type="dxa"/>
          </w:tcPr>
          <w:p w:rsidR="00000000" w:rsidRDefault="00000000">
            <w:pPr>
              <w:pStyle w:val="SingleTxt"/>
              <w:keepNext/>
              <w:spacing w:before="40" w:after="40" w:line="240" w:lineRule="auto"/>
              <w:ind w:left="0" w:right="0" w:firstLine="0"/>
              <w:rPr>
                <w:sz w:val="17"/>
              </w:rPr>
            </w:pPr>
            <w:r>
              <w:rPr>
                <w:sz w:val="17"/>
              </w:rPr>
              <w:t>2-й уровень</w:t>
            </w:r>
          </w:p>
        </w:tc>
        <w:tc>
          <w:tcPr>
            <w:tcW w:w="1842"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6774</w:t>
            </w:r>
          </w:p>
        </w:tc>
        <w:tc>
          <w:tcPr>
            <w:tcW w:w="1843"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2544</w:t>
            </w:r>
          </w:p>
        </w:tc>
        <w:tc>
          <w:tcPr>
            <w:tcW w:w="1843"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5"/>
              </w:tabs>
              <w:spacing w:before="40" w:after="40" w:line="240" w:lineRule="auto"/>
              <w:ind w:left="0" w:right="0" w:firstLine="0"/>
              <w:rPr>
                <w:sz w:val="17"/>
              </w:rPr>
            </w:pPr>
            <w:r>
              <w:rPr>
                <w:sz w:val="17"/>
              </w:rPr>
              <w:t>37,6</w:t>
            </w:r>
          </w:p>
        </w:tc>
      </w:tr>
      <w:tr w:rsidR="00000000">
        <w:tblPrEx>
          <w:tblCellMar>
            <w:top w:w="0" w:type="dxa"/>
            <w:bottom w:w="0" w:type="dxa"/>
          </w:tblCellMar>
        </w:tblPrEx>
        <w:tc>
          <w:tcPr>
            <w:tcW w:w="1843" w:type="dxa"/>
          </w:tcPr>
          <w:p w:rsidR="00000000" w:rsidRDefault="00000000">
            <w:pPr>
              <w:pStyle w:val="SingleTxt"/>
              <w:keepNext/>
              <w:spacing w:before="40" w:after="40" w:line="240" w:lineRule="auto"/>
              <w:ind w:left="0" w:right="0" w:firstLine="0"/>
              <w:rPr>
                <w:sz w:val="17"/>
              </w:rPr>
            </w:pPr>
            <w:r>
              <w:rPr>
                <w:sz w:val="17"/>
              </w:rPr>
              <w:t>3-й уровень</w:t>
            </w:r>
          </w:p>
        </w:tc>
        <w:tc>
          <w:tcPr>
            <w:tcW w:w="1842"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1518</w:t>
            </w:r>
          </w:p>
        </w:tc>
        <w:tc>
          <w:tcPr>
            <w:tcW w:w="1843"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944</w:t>
            </w:r>
          </w:p>
        </w:tc>
        <w:tc>
          <w:tcPr>
            <w:tcW w:w="1843"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5"/>
              </w:tabs>
              <w:spacing w:before="40" w:after="40" w:line="240" w:lineRule="auto"/>
              <w:ind w:left="0" w:right="0" w:firstLine="0"/>
              <w:rPr>
                <w:sz w:val="17"/>
              </w:rPr>
            </w:pPr>
            <w:r>
              <w:rPr>
                <w:sz w:val="17"/>
              </w:rPr>
              <w:t>62,2</w:t>
            </w:r>
          </w:p>
        </w:tc>
      </w:tr>
      <w:tr w:rsidR="00000000">
        <w:tblPrEx>
          <w:tblCellMar>
            <w:top w:w="0" w:type="dxa"/>
            <w:bottom w:w="0" w:type="dxa"/>
          </w:tblCellMar>
        </w:tblPrEx>
        <w:tc>
          <w:tcPr>
            <w:tcW w:w="1843" w:type="dxa"/>
          </w:tcPr>
          <w:p w:rsidR="00000000" w:rsidRDefault="00000000">
            <w:pPr>
              <w:pStyle w:val="SingleTxt"/>
              <w:spacing w:before="40" w:after="40" w:line="240" w:lineRule="auto"/>
              <w:ind w:left="0" w:right="0" w:firstLine="0"/>
              <w:rPr>
                <w:sz w:val="17"/>
              </w:rPr>
            </w:pPr>
            <w:r>
              <w:rPr>
                <w:sz w:val="17"/>
              </w:rPr>
              <w:t>4-й уровень</w:t>
            </w:r>
          </w:p>
        </w:tc>
        <w:tc>
          <w:tcPr>
            <w:tcW w:w="184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25987</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12050</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5"/>
              </w:tabs>
              <w:spacing w:before="40" w:after="40" w:line="240" w:lineRule="auto"/>
              <w:ind w:left="0" w:right="0" w:firstLine="0"/>
              <w:rPr>
                <w:sz w:val="17"/>
              </w:rPr>
            </w:pPr>
            <w:r>
              <w:rPr>
                <w:sz w:val="17"/>
              </w:rPr>
              <w:t>46,4</w:t>
            </w:r>
          </w:p>
        </w:tc>
      </w:tr>
      <w:tr w:rsidR="00000000">
        <w:tblPrEx>
          <w:tblCellMar>
            <w:top w:w="0" w:type="dxa"/>
            <w:bottom w:w="0" w:type="dxa"/>
          </w:tblCellMar>
        </w:tblPrEx>
        <w:tc>
          <w:tcPr>
            <w:tcW w:w="1843" w:type="dxa"/>
          </w:tcPr>
          <w:p w:rsidR="00000000" w:rsidRDefault="00000000">
            <w:pPr>
              <w:pStyle w:val="SingleTxt"/>
              <w:spacing w:before="40" w:after="40" w:line="240" w:lineRule="auto"/>
              <w:ind w:left="0" w:right="0" w:firstLine="0"/>
              <w:rPr>
                <w:sz w:val="17"/>
              </w:rPr>
            </w:pPr>
            <w:r>
              <w:rPr>
                <w:sz w:val="17"/>
              </w:rPr>
              <w:t>5-й уровень</w:t>
            </w:r>
          </w:p>
        </w:tc>
        <w:tc>
          <w:tcPr>
            <w:tcW w:w="184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23129</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13422</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5"/>
              </w:tabs>
              <w:spacing w:before="40" w:after="40" w:line="240" w:lineRule="auto"/>
              <w:ind w:left="0" w:right="0" w:firstLine="0"/>
              <w:rPr>
                <w:sz w:val="17"/>
              </w:rPr>
            </w:pPr>
            <w:r>
              <w:rPr>
                <w:sz w:val="17"/>
              </w:rPr>
              <w:t>58,0</w:t>
            </w:r>
          </w:p>
        </w:tc>
      </w:tr>
      <w:tr w:rsidR="00000000">
        <w:tblPrEx>
          <w:tblCellMar>
            <w:top w:w="0" w:type="dxa"/>
            <w:bottom w:w="0" w:type="dxa"/>
          </w:tblCellMar>
        </w:tblPrEx>
        <w:tc>
          <w:tcPr>
            <w:tcW w:w="1843" w:type="dxa"/>
          </w:tcPr>
          <w:p w:rsidR="00000000" w:rsidRDefault="00000000">
            <w:pPr>
              <w:pStyle w:val="SingleTxt"/>
              <w:spacing w:before="40" w:after="40" w:line="240" w:lineRule="auto"/>
              <w:ind w:left="0" w:right="0" w:firstLine="0"/>
              <w:rPr>
                <w:sz w:val="17"/>
              </w:rPr>
            </w:pPr>
            <w:r>
              <w:rPr>
                <w:sz w:val="17"/>
              </w:rPr>
              <w:t>6-й уровень</w:t>
            </w:r>
          </w:p>
        </w:tc>
        <w:tc>
          <w:tcPr>
            <w:tcW w:w="184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2212</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1106</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5"/>
              </w:tabs>
              <w:spacing w:before="40" w:after="40" w:line="240" w:lineRule="auto"/>
              <w:ind w:left="0" w:right="0" w:firstLine="0"/>
              <w:rPr>
                <w:sz w:val="17"/>
              </w:rPr>
            </w:pPr>
            <w:r>
              <w:rPr>
                <w:sz w:val="17"/>
              </w:rPr>
              <w:t>50,0</w:t>
            </w:r>
          </w:p>
        </w:tc>
      </w:tr>
      <w:tr w:rsidR="00000000">
        <w:tblPrEx>
          <w:tblCellMar>
            <w:top w:w="0" w:type="dxa"/>
            <w:bottom w:w="0" w:type="dxa"/>
          </w:tblCellMar>
        </w:tblPrEx>
        <w:tc>
          <w:tcPr>
            <w:tcW w:w="1843" w:type="dxa"/>
          </w:tcPr>
          <w:p w:rsidR="00000000" w:rsidRDefault="00000000">
            <w:pPr>
              <w:pStyle w:val="SingleTxt"/>
              <w:spacing w:before="40" w:after="40" w:line="240" w:lineRule="auto"/>
              <w:ind w:left="0" w:right="0" w:firstLine="0"/>
              <w:rPr>
                <w:sz w:val="17"/>
              </w:rPr>
            </w:pPr>
            <w:r>
              <w:rPr>
                <w:sz w:val="17"/>
              </w:rPr>
              <w:t>7-й уровень</w:t>
            </w:r>
          </w:p>
        </w:tc>
        <w:tc>
          <w:tcPr>
            <w:tcW w:w="184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2648</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1557</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5"/>
              </w:tabs>
              <w:spacing w:before="40" w:after="40" w:line="240" w:lineRule="auto"/>
              <w:ind w:left="0" w:right="0" w:firstLine="0"/>
              <w:rPr>
                <w:sz w:val="17"/>
              </w:rPr>
            </w:pPr>
            <w:r>
              <w:rPr>
                <w:sz w:val="17"/>
              </w:rPr>
              <w:t>58,8</w:t>
            </w:r>
          </w:p>
        </w:tc>
      </w:tr>
      <w:tr w:rsidR="00000000">
        <w:tblPrEx>
          <w:tblCellMar>
            <w:top w:w="0" w:type="dxa"/>
            <w:bottom w:w="0" w:type="dxa"/>
          </w:tblCellMar>
        </w:tblPrEx>
        <w:tc>
          <w:tcPr>
            <w:tcW w:w="1843" w:type="dxa"/>
            <w:tcBorders>
              <w:bottom w:val="single" w:sz="12" w:space="0" w:color="auto"/>
            </w:tcBorders>
          </w:tcPr>
          <w:p w:rsidR="00000000" w:rsidRDefault="00000000">
            <w:pPr>
              <w:pStyle w:val="SingleTxt"/>
              <w:spacing w:before="40" w:after="40" w:line="240" w:lineRule="auto"/>
              <w:ind w:left="0" w:right="0" w:firstLine="0"/>
              <w:rPr>
                <w:sz w:val="17"/>
              </w:rPr>
            </w:pPr>
            <w:r>
              <w:rPr>
                <w:sz w:val="17"/>
              </w:rPr>
              <w:t>Вс</w:t>
            </w:r>
            <w:r>
              <w:rPr>
                <w:sz w:val="17"/>
              </w:rPr>
              <w:t>е</w:t>
            </w:r>
            <w:r>
              <w:rPr>
                <w:sz w:val="17"/>
              </w:rPr>
              <w:t>го</w:t>
            </w:r>
          </w:p>
        </w:tc>
        <w:tc>
          <w:tcPr>
            <w:tcW w:w="1842"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104316</w:t>
            </w:r>
          </w:p>
        </w:tc>
        <w:tc>
          <w:tcPr>
            <w:tcW w:w="1843"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026"/>
              </w:tabs>
              <w:spacing w:before="40" w:after="40" w:line="240" w:lineRule="auto"/>
              <w:ind w:left="0" w:right="0" w:firstLine="0"/>
              <w:rPr>
                <w:sz w:val="17"/>
              </w:rPr>
            </w:pPr>
            <w:r>
              <w:rPr>
                <w:sz w:val="17"/>
              </w:rPr>
              <w:t>52963</w:t>
            </w:r>
          </w:p>
        </w:tc>
        <w:tc>
          <w:tcPr>
            <w:tcW w:w="1843"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5"/>
              </w:tabs>
              <w:spacing w:before="40" w:after="40" w:line="240" w:lineRule="auto"/>
              <w:ind w:left="0" w:right="0" w:firstLine="0"/>
              <w:rPr>
                <w:sz w:val="17"/>
              </w:rPr>
            </w:pPr>
            <w:r>
              <w:rPr>
                <w:sz w:val="17"/>
              </w:rPr>
              <w:t>50,8</w:t>
            </w:r>
          </w:p>
        </w:tc>
      </w:tr>
    </w:tbl>
    <w:p w:rsidR="00000000" w:rsidRDefault="00000000">
      <w:pPr>
        <w:pStyle w:val="SingleTxt"/>
        <w:ind w:firstLine="0"/>
      </w:pPr>
      <w:r>
        <w:rPr>
          <w:i/>
        </w:rPr>
        <w:t>Источник</w:t>
      </w:r>
      <w:r>
        <w:t>: Национальное управление по делам занятости, ежегодный доклад от 2001 года</w:t>
      </w:r>
    </w:p>
    <w:p w:rsidR="00000000" w:rsidRDefault="00000000">
      <w:pPr>
        <w:pStyle w:val="H56"/>
      </w:pPr>
      <w:r>
        <w:t>1.2.2.</w:t>
      </w:r>
      <w:r>
        <w:tab/>
        <w:t>Возрастной состав безработных</w:t>
      </w:r>
    </w:p>
    <w:p w:rsidR="00000000" w:rsidRDefault="00000000">
      <w:pPr>
        <w:pStyle w:val="SingleTxt"/>
      </w:pPr>
      <w:r>
        <w:t>Возрастной состав зарегистрированных безработных показывает, что по состоянию на конец 2001 года большинство безработных составляли лица в возрасте старше 50 лет (25,6%). Лицам более старшего возраста сложнее найти работу, поскольку работодатели отдают предпочтение более молодым кандид</w:t>
      </w:r>
      <w:r>
        <w:t>а</w:t>
      </w:r>
      <w:r>
        <w:t>там и предъявляют все более высокие требования в отношении уровня образ</w:t>
      </w:r>
      <w:r>
        <w:t>о</w:t>
      </w:r>
      <w:r>
        <w:t>вания. Кроме того, в большинстве своем лица более старшего возраста не им</w:t>
      </w:r>
      <w:r>
        <w:t>е</w:t>
      </w:r>
      <w:r>
        <w:t>ют подходящего образования. Среди зарегистрированных безработных женщ</w:t>
      </w:r>
      <w:r>
        <w:t>и</w:t>
      </w:r>
      <w:r>
        <w:t>ны преобладают в группе лиц в возрасте старше 25-30 лет и старше 35-40 лет.</w:t>
      </w:r>
    </w:p>
    <w:p w:rsidR="00000000" w:rsidRDefault="00000000">
      <w:pPr>
        <w:pStyle w:val="tt"/>
        <w:keepNext/>
      </w:pPr>
      <w:r>
        <w:t xml:space="preserve">Таблица 17. Возрастной состав зарегистрированных безработных </w:t>
      </w:r>
      <w:r>
        <w:br/>
        <w:t>в ра</w:t>
      </w:r>
      <w:r>
        <w:t>з</w:t>
      </w:r>
      <w:r>
        <w:t>бивке по полу, по состоянию на 31 декабря 2001 года</w:t>
      </w:r>
    </w:p>
    <w:tbl>
      <w:tblPr>
        <w:tblW w:w="0" w:type="auto"/>
        <w:tblInd w:w="1278" w:type="dxa"/>
        <w:tblLayout w:type="fixed"/>
        <w:tblLook w:val="0000" w:firstRow="0" w:lastRow="0" w:firstColumn="0" w:lastColumn="0" w:noHBand="0" w:noVBand="0"/>
      </w:tblPr>
      <w:tblGrid>
        <w:gridCol w:w="1843"/>
        <w:gridCol w:w="1843"/>
        <w:gridCol w:w="1842"/>
        <w:gridCol w:w="1843"/>
      </w:tblGrid>
      <w:tr w:rsidR="00000000">
        <w:tblPrEx>
          <w:tblCellMar>
            <w:top w:w="0" w:type="dxa"/>
            <w:bottom w:w="0" w:type="dxa"/>
          </w:tblCellMar>
        </w:tblPrEx>
        <w:tc>
          <w:tcPr>
            <w:tcW w:w="1843"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Во</w:t>
            </w:r>
            <w:r>
              <w:rPr>
                <w:i/>
                <w:sz w:val="17"/>
              </w:rPr>
              <w:t>з</w:t>
            </w:r>
            <w:r>
              <w:rPr>
                <w:i/>
                <w:sz w:val="17"/>
              </w:rPr>
              <w:t>растная группа</w:t>
            </w:r>
          </w:p>
        </w:tc>
        <w:tc>
          <w:tcPr>
            <w:tcW w:w="1843"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Всего</w:t>
            </w:r>
          </w:p>
        </w:tc>
        <w:tc>
          <w:tcPr>
            <w:tcW w:w="1842"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Женщ</w:t>
            </w:r>
            <w:r>
              <w:rPr>
                <w:i/>
                <w:sz w:val="17"/>
              </w:rPr>
              <w:t>и</w:t>
            </w:r>
            <w:r>
              <w:rPr>
                <w:i/>
                <w:sz w:val="17"/>
              </w:rPr>
              <w:t>ны</w:t>
            </w:r>
          </w:p>
        </w:tc>
        <w:tc>
          <w:tcPr>
            <w:tcW w:w="1843"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Доля же</w:t>
            </w:r>
            <w:r>
              <w:rPr>
                <w:i/>
                <w:sz w:val="17"/>
              </w:rPr>
              <w:t>н</w:t>
            </w:r>
            <w:r>
              <w:rPr>
                <w:i/>
                <w:sz w:val="17"/>
              </w:rPr>
              <w:t>щин (в %)</w:t>
            </w:r>
          </w:p>
        </w:tc>
      </w:tr>
      <w:tr w:rsidR="00000000">
        <w:tblPrEx>
          <w:tblCellMar>
            <w:top w:w="0" w:type="dxa"/>
            <w:bottom w:w="0" w:type="dxa"/>
          </w:tblCellMar>
        </w:tblPrEx>
        <w:tc>
          <w:tcPr>
            <w:tcW w:w="1843" w:type="dxa"/>
            <w:tcBorders>
              <w:top w:val="single" w:sz="12" w:space="0" w:color="auto"/>
            </w:tcBorders>
          </w:tcPr>
          <w:p w:rsidR="00000000" w:rsidRDefault="00000000">
            <w:pPr>
              <w:pStyle w:val="SingleTxt"/>
              <w:spacing w:before="40" w:after="40" w:line="240" w:lineRule="auto"/>
              <w:ind w:left="0" w:right="0" w:firstLine="0"/>
              <w:rPr>
                <w:sz w:val="17"/>
              </w:rPr>
            </w:pPr>
            <w:r>
              <w:rPr>
                <w:sz w:val="17"/>
              </w:rPr>
              <w:t>До 18 лет</w:t>
            </w:r>
          </w:p>
        </w:tc>
        <w:tc>
          <w:tcPr>
            <w:tcW w:w="1843"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523</w:t>
            </w:r>
          </w:p>
        </w:tc>
        <w:tc>
          <w:tcPr>
            <w:tcW w:w="1842"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216</w:t>
            </w:r>
          </w:p>
        </w:tc>
        <w:tc>
          <w:tcPr>
            <w:tcW w:w="1843"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41,3</w:t>
            </w:r>
          </w:p>
        </w:tc>
      </w:tr>
      <w:tr w:rsidR="00000000">
        <w:tblPrEx>
          <w:tblCellMar>
            <w:top w:w="0" w:type="dxa"/>
            <w:bottom w:w="0" w:type="dxa"/>
          </w:tblCellMar>
        </w:tblPrEx>
        <w:tc>
          <w:tcPr>
            <w:tcW w:w="1843" w:type="dxa"/>
          </w:tcPr>
          <w:p w:rsidR="00000000" w:rsidRDefault="00000000">
            <w:pPr>
              <w:pStyle w:val="SingleTxt"/>
              <w:spacing w:before="40" w:after="40" w:line="240" w:lineRule="auto"/>
              <w:ind w:left="0" w:right="0" w:firstLine="0"/>
              <w:rPr>
                <w:sz w:val="17"/>
              </w:rPr>
            </w:pPr>
            <w:r>
              <w:rPr>
                <w:sz w:val="17"/>
              </w:rPr>
              <w:t>От 18 до 25 лет</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22924</w:t>
            </w:r>
          </w:p>
        </w:tc>
        <w:tc>
          <w:tcPr>
            <w:tcW w:w="184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11916</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52,0</w:t>
            </w:r>
          </w:p>
        </w:tc>
      </w:tr>
      <w:tr w:rsidR="00000000">
        <w:tblPrEx>
          <w:tblCellMar>
            <w:top w:w="0" w:type="dxa"/>
            <w:bottom w:w="0" w:type="dxa"/>
          </w:tblCellMar>
        </w:tblPrEx>
        <w:tc>
          <w:tcPr>
            <w:tcW w:w="1843" w:type="dxa"/>
          </w:tcPr>
          <w:p w:rsidR="00000000" w:rsidRDefault="00000000">
            <w:pPr>
              <w:pStyle w:val="SingleTxt"/>
              <w:spacing w:before="40" w:after="40" w:line="240" w:lineRule="auto"/>
              <w:ind w:left="0" w:right="0" w:firstLine="0"/>
              <w:rPr>
                <w:sz w:val="17"/>
              </w:rPr>
            </w:pPr>
            <w:r>
              <w:rPr>
                <w:sz w:val="17"/>
              </w:rPr>
              <w:t>От 25 до 30 лет</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12588</w:t>
            </w:r>
          </w:p>
        </w:tc>
        <w:tc>
          <w:tcPr>
            <w:tcW w:w="184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7237</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57,5</w:t>
            </w:r>
          </w:p>
        </w:tc>
      </w:tr>
      <w:tr w:rsidR="00000000">
        <w:tblPrEx>
          <w:tblCellMar>
            <w:top w:w="0" w:type="dxa"/>
            <w:bottom w:w="0" w:type="dxa"/>
          </w:tblCellMar>
        </w:tblPrEx>
        <w:tc>
          <w:tcPr>
            <w:tcW w:w="1843" w:type="dxa"/>
          </w:tcPr>
          <w:p w:rsidR="00000000" w:rsidRDefault="00000000">
            <w:pPr>
              <w:pStyle w:val="SingleTxt"/>
              <w:spacing w:before="40" w:after="40" w:line="240" w:lineRule="auto"/>
              <w:ind w:left="0" w:right="0" w:firstLine="0"/>
              <w:rPr>
                <w:sz w:val="17"/>
              </w:rPr>
            </w:pPr>
            <w:r>
              <w:rPr>
                <w:sz w:val="17"/>
              </w:rPr>
              <w:t>От 30 до 40 лет</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17287</w:t>
            </w:r>
          </w:p>
        </w:tc>
        <w:tc>
          <w:tcPr>
            <w:tcW w:w="184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9752</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56,4</w:t>
            </w:r>
          </w:p>
        </w:tc>
      </w:tr>
      <w:tr w:rsidR="00000000">
        <w:tblPrEx>
          <w:tblCellMar>
            <w:top w:w="0" w:type="dxa"/>
            <w:bottom w:w="0" w:type="dxa"/>
          </w:tblCellMar>
        </w:tblPrEx>
        <w:tc>
          <w:tcPr>
            <w:tcW w:w="1843" w:type="dxa"/>
          </w:tcPr>
          <w:p w:rsidR="00000000" w:rsidRDefault="00000000">
            <w:pPr>
              <w:pStyle w:val="SingleTxt"/>
              <w:spacing w:before="40" w:after="40" w:line="240" w:lineRule="auto"/>
              <w:ind w:left="0" w:right="0" w:firstLine="0"/>
              <w:rPr>
                <w:sz w:val="17"/>
              </w:rPr>
            </w:pPr>
            <w:r>
              <w:rPr>
                <w:sz w:val="17"/>
              </w:rPr>
              <w:t>От 40 до 50 лет</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24249</w:t>
            </w:r>
          </w:p>
        </w:tc>
        <w:tc>
          <w:tcPr>
            <w:tcW w:w="184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12545</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51,7</w:t>
            </w:r>
          </w:p>
        </w:tc>
      </w:tr>
      <w:tr w:rsidR="00000000">
        <w:tblPrEx>
          <w:tblCellMar>
            <w:top w:w="0" w:type="dxa"/>
            <w:bottom w:w="0" w:type="dxa"/>
          </w:tblCellMar>
        </w:tblPrEx>
        <w:tc>
          <w:tcPr>
            <w:tcW w:w="1843" w:type="dxa"/>
          </w:tcPr>
          <w:p w:rsidR="00000000" w:rsidRDefault="00000000">
            <w:pPr>
              <w:pStyle w:val="SingleTxt"/>
              <w:spacing w:before="40" w:after="40" w:line="240" w:lineRule="auto"/>
              <w:ind w:left="0" w:right="0" w:firstLine="0"/>
              <w:rPr>
                <w:sz w:val="17"/>
              </w:rPr>
            </w:pPr>
            <w:r>
              <w:rPr>
                <w:sz w:val="17"/>
              </w:rPr>
              <w:t>От 50 до 60 лет</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25492</w:t>
            </w:r>
          </w:p>
        </w:tc>
        <w:tc>
          <w:tcPr>
            <w:tcW w:w="184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11192</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43,9</w:t>
            </w:r>
          </w:p>
        </w:tc>
      </w:tr>
      <w:tr w:rsidR="00000000">
        <w:tblPrEx>
          <w:tblCellMar>
            <w:top w:w="0" w:type="dxa"/>
            <w:bottom w:w="0" w:type="dxa"/>
          </w:tblCellMar>
        </w:tblPrEx>
        <w:tc>
          <w:tcPr>
            <w:tcW w:w="1843" w:type="dxa"/>
          </w:tcPr>
          <w:p w:rsidR="00000000" w:rsidRDefault="00000000">
            <w:pPr>
              <w:pStyle w:val="SingleTxt"/>
              <w:spacing w:before="40" w:after="40" w:line="240" w:lineRule="auto"/>
              <w:ind w:left="0" w:right="0" w:firstLine="0"/>
              <w:rPr>
                <w:sz w:val="17"/>
              </w:rPr>
            </w:pPr>
            <w:r>
              <w:rPr>
                <w:sz w:val="17"/>
              </w:rPr>
              <w:t>Старше 60 лет</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1253</w:t>
            </w:r>
          </w:p>
        </w:tc>
        <w:tc>
          <w:tcPr>
            <w:tcW w:w="184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105</w:t>
            </w:r>
          </w:p>
        </w:tc>
        <w:tc>
          <w:tcPr>
            <w:tcW w:w="18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8,4</w:t>
            </w:r>
          </w:p>
        </w:tc>
      </w:tr>
      <w:tr w:rsidR="00000000">
        <w:tblPrEx>
          <w:tblCellMar>
            <w:top w:w="0" w:type="dxa"/>
            <w:bottom w:w="0" w:type="dxa"/>
          </w:tblCellMar>
        </w:tblPrEx>
        <w:tc>
          <w:tcPr>
            <w:tcW w:w="1843" w:type="dxa"/>
            <w:tcBorders>
              <w:bottom w:val="single" w:sz="12" w:space="0" w:color="auto"/>
            </w:tcBorders>
          </w:tcPr>
          <w:p w:rsidR="00000000" w:rsidRDefault="00000000">
            <w:pPr>
              <w:pStyle w:val="SingleTxt"/>
              <w:spacing w:before="40" w:after="40" w:line="240" w:lineRule="auto"/>
              <w:ind w:left="0" w:right="0" w:firstLine="0"/>
              <w:rPr>
                <w:sz w:val="17"/>
              </w:rPr>
            </w:pPr>
            <w:r>
              <w:rPr>
                <w:sz w:val="17"/>
              </w:rPr>
              <w:t>Вс</w:t>
            </w:r>
            <w:r>
              <w:rPr>
                <w:sz w:val="17"/>
              </w:rPr>
              <w:t>е</w:t>
            </w:r>
            <w:r>
              <w:rPr>
                <w:sz w:val="17"/>
              </w:rPr>
              <w:t>го</w:t>
            </w:r>
          </w:p>
        </w:tc>
        <w:tc>
          <w:tcPr>
            <w:tcW w:w="1843"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104316</w:t>
            </w:r>
          </w:p>
        </w:tc>
        <w:tc>
          <w:tcPr>
            <w:tcW w:w="1842"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52963</w:t>
            </w:r>
          </w:p>
        </w:tc>
        <w:tc>
          <w:tcPr>
            <w:tcW w:w="1843"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884"/>
              </w:tabs>
              <w:spacing w:before="40" w:after="40" w:line="240" w:lineRule="auto"/>
              <w:ind w:left="0" w:right="0" w:firstLine="0"/>
              <w:rPr>
                <w:sz w:val="17"/>
              </w:rPr>
            </w:pPr>
            <w:r>
              <w:rPr>
                <w:sz w:val="17"/>
              </w:rPr>
              <w:t>50,8</w:t>
            </w:r>
          </w:p>
        </w:tc>
      </w:tr>
    </w:tbl>
    <w:p w:rsidR="00000000" w:rsidRDefault="00000000">
      <w:pPr>
        <w:pStyle w:val="SingleTxt"/>
        <w:ind w:firstLine="0"/>
      </w:pPr>
      <w:r>
        <w:rPr>
          <w:i/>
        </w:rPr>
        <w:t>Источник</w:t>
      </w:r>
      <w:r>
        <w:t>: Национальное управление по делам занятости, ежегодный доклад от 2001 года</w:t>
      </w:r>
    </w:p>
    <w:p w:rsidR="00000000" w:rsidRDefault="00000000">
      <w:pPr>
        <w:pStyle w:val="SingleTxt"/>
      </w:pPr>
      <w:r>
        <w:t>Благодаря более активному участию безработных в реализации программ в рамках политики активной занятости и усилению контроля за действиями безработных стало сокращаться количество лиц, не имевших работы в течение длительного периода времени. В период с декабря 1997 года по декабрь 2001 года количество лиц, зарегистрированных в качестве не имеющих работы в течение более чем одного года, сократилось на 25,5%. За период с 1997 по 2001 год доля женщин среди лиц, не имевших работы в течение длительного периода времени, возросла незначительно – с 43,9% до 50,9%.</w:t>
      </w:r>
    </w:p>
    <w:p w:rsidR="00000000" w:rsidRDefault="00000000">
      <w:pPr>
        <w:pStyle w:val="H4"/>
      </w:pPr>
      <w:r>
        <w:t xml:space="preserve">1.3. </w:t>
      </w:r>
      <w:r>
        <w:rPr>
          <w:lang w:val="en-US"/>
        </w:rPr>
        <w:tab/>
      </w:r>
      <w:r>
        <w:t>Защита беременных женщин и женщин, имеющих детей</w:t>
      </w:r>
    </w:p>
    <w:p w:rsidR="00000000" w:rsidRDefault="00000000">
      <w:pPr>
        <w:pStyle w:val="SingleTxt"/>
      </w:pPr>
      <w:r>
        <w:t>В целях предотвращения дискриминации, основанной на наличии детей, а также предоставления возможности родителям совмещать работу с выполнен</w:t>
      </w:r>
      <w:r>
        <w:t>и</w:t>
      </w:r>
      <w:r>
        <w:t>ем семейных обязанностей в новый Закон об отношениях в сфере занятости были также включены положения о специальной защите работников в случае беременности и необходимости выполнять родительские обязанности, а право на получение отпуска по уходу за ребенком регулируется Законом об уходе за детьми и доходе семьи.</w:t>
      </w:r>
    </w:p>
    <w:p w:rsidR="00000000" w:rsidRDefault="00000000">
      <w:pPr>
        <w:pStyle w:val="SingleTxt"/>
      </w:pPr>
      <w:r>
        <w:t>Согласно Закону о трудовых отношениях работодатель не может растор</w:t>
      </w:r>
      <w:r>
        <w:t>г</w:t>
      </w:r>
      <w:r>
        <w:t>нуть трудовой договор с работником в течение срока беременности и периода грудного вскармливания ребенка, или же трудовые договора родителей в теч</w:t>
      </w:r>
      <w:r>
        <w:t>е</w:t>
      </w:r>
      <w:r>
        <w:t>ние периода времени, когда они используют отпуск по уходу за ребенком в форме полного неисполнения служебных обязанностей. В подобных случаях работодатель не может расторгнуть трудовой договор, чтобы уволить работн</w:t>
      </w:r>
      <w:r>
        <w:t>и</w:t>
      </w:r>
      <w:r>
        <w:t>ка. Если в момент увольнения работодатель не знает о беременности работн</w:t>
      </w:r>
      <w:r>
        <w:t>и</w:t>
      </w:r>
      <w:r>
        <w:t>цы, применяются механизмы специальной юридической защиты от увольнения при том условии, что работница незамедлительно или, в случае возникновения определенных препятствий не по ее вине, после ликвидации таких препятствий информирует работодателя о своей беременности, доказательством которой служит соответствующее медицинское заключение. Несмотря на все вышеи</w:t>
      </w:r>
      <w:r>
        <w:t>з</w:t>
      </w:r>
      <w:r>
        <w:t>ложенное, при возникновении оснований для непредвиденного расторжения или начале процесса закрытия предприятия-работодателя или принудительного взыскания задолженности работодатель может расторгнуть трудовой договор, а работник может быть уволен при условии предварительного получения согл</w:t>
      </w:r>
      <w:r>
        <w:t>а</w:t>
      </w:r>
      <w:r>
        <w:t>сия инспектора по охране труда.</w:t>
      </w:r>
    </w:p>
    <w:p w:rsidR="00000000" w:rsidRDefault="00000000">
      <w:pPr>
        <w:pStyle w:val="SingleTxt"/>
      </w:pPr>
      <w:r>
        <w:t>В Законе о трудовых отношениях уделяется особое внимание вопросам защиты беременных женщин и женщин, имеющих детей. В случае беременн</w:t>
      </w:r>
      <w:r>
        <w:t>о</w:t>
      </w:r>
      <w:r>
        <w:t>сти и необходимости выполнять родительские обязанности женщины имеют право на специальную защиту в сфере занятости, а в случае возникновения разногласий в связи с обеспечением специальной защиты на основании бер</w:t>
      </w:r>
      <w:r>
        <w:t>е</w:t>
      </w:r>
      <w:r>
        <w:t>менности и необходимости выполнять родительские обязанности бремя доказ</w:t>
      </w:r>
      <w:r>
        <w:t>а</w:t>
      </w:r>
      <w:r>
        <w:t>тельства лежит на работодателе. Аналогичным образом, работодатель должен принимать меры к тому, чтобы работницам было проще совмещать выполнение служебных и с</w:t>
      </w:r>
      <w:r>
        <w:t>е</w:t>
      </w:r>
      <w:r>
        <w:t>мейных обязанностей.</w:t>
      </w:r>
    </w:p>
    <w:p w:rsidR="00000000" w:rsidRDefault="00000000">
      <w:pPr>
        <w:pStyle w:val="SingleTxt"/>
      </w:pPr>
      <w:r>
        <w:t>Кроме того, закон предусматривает, что работодатель в период действия трудового договора не может требовать никаких данных о беременности рабо</w:t>
      </w:r>
      <w:r>
        <w:t>т</w:t>
      </w:r>
      <w:r>
        <w:t>ницы или принимать меры к их получению до тех пор, пока она сама не даст на это своего разрешения для реализации своих прав в течение срока беременн</w:t>
      </w:r>
      <w:r>
        <w:t>о</w:t>
      </w:r>
      <w:r>
        <w:t>сти. Этот закон также предусматривает, что в течение срока беременности и в течение периода грудного вскармливания ребенка работница не может выпо</w:t>
      </w:r>
      <w:r>
        <w:t>л</w:t>
      </w:r>
      <w:r>
        <w:t>нять обязанности, из-за которых она подвергается факторам риска или трудится в условиях, определенных в нормативных актах министром по охране труда по согласованию с министром здравоохранения. Если в течение срока беременн</w:t>
      </w:r>
      <w:r>
        <w:t>о</w:t>
      </w:r>
      <w:r>
        <w:t>сти и периода грудного вскармливания ребенка работница исполняет обязанн</w:t>
      </w:r>
      <w:r>
        <w:t>о</w:t>
      </w:r>
      <w:r>
        <w:t>сти, из-за которых она подвергается факторам риска, вынуждена выполнять процедуры и работать в условиях, определенных в нормативных актах, а оце</w:t>
      </w:r>
      <w:r>
        <w:t>н</w:t>
      </w:r>
      <w:r>
        <w:t>ка риска позволяет сделать вывод о том, что ее здоровью или здоровью ее р</w:t>
      </w:r>
      <w:r>
        <w:t>е</w:t>
      </w:r>
      <w:r>
        <w:t>бенка угрожает определенная опасность, работодатель должен принять надл</w:t>
      </w:r>
      <w:r>
        <w:t>е</w:t>
      </w:r>
      <w:r>
        <w:t>жащие меры путем корректировки на определенный срок условий труда или рабочего времени. Если, несмотря на корректировку условий труда или рабоч</w:t>
      </w:r>
      <w:r>
        <w:t>е</w:t>
      </w:r>
      <w:r>
        <w:t>го времени, угроза здоровью работницы или здоровью ребенка остается, или если факторы риска или условия труда, определенные в нормативных актах, обусловлены характером исполняемых обязанностей, работодатель должен г</w:t>
      </w:r>
      <w:r>
        <w:t>а</w:t>
      </w:r>
      <w:r>
        <w:t>рантировать работнице возможность исполнять иные подходящие обязанности, а также заработную плату, которую она получала бы за исполнение своих со</w:t>
      </w:r>
      <w:r>
        <w:t>б</w:t>
      </w:r>
      <w:r>
        <w:t>ственных служебных обязанностей, если это позволит улучшить ее положение. Если в ходе периода времени, когда в силу этих причин работница отказывае</w:t>
      </w:r>
      <w:r>
        <w:t>т</w:t>
      </w:r>
      <w:r>
        <w:t>ся от исполнения своих служебных обязанностей, работодатель не даст ей др</w:t>
      </w:r>
      <w:r>
        <w:t>у</w:t>
      </w:r>
      <w:r>
        <w:t>гой подходящей работы, он должен обеспечить уплату компенсационного во</w:t>
      </w:r>
      <w:r>
        <w:t>з</w:t>
      </w:r>
      <w:r>
        <w:t>награждения в соответствии с положениями этого з</w:t>
      </w:r>
      <w:r>
        <w:t>а</w:t>
      </w:r>
      <w:r>
        <w:t>кона.</w:t>
      </w:r>
    </w:p>
    <w:p w:rsidR="00000000" w:rsidRDefault="00000000">
      <w:pPr>
        <w:pStyle w:val="H4"/>
      </w:pPr>
      <w:r>
        <w:t xml:space="preserve">1.4. </w:t>
      </w:r>
      <w:r>
        <w:rPr>
          <w:lang w:val="en-US"/>
        </w:rPr>
        <w:tab/>
      </w:r>
      <w:r>
        <w:t>Программы и меры политики в сфере занятости</w:t>
      </w:r>
    </w:p>
    <w:p w:rsidR="00000000" w:rsidRDefault="00000000">
      <w:pPr>
        <w:pStyle w:val="SingleTxt"/>
      </w:pPr>
      <w:r>
        <w:t>В том, что касается рынка труда и сферы занятости, был принят ряд стр</w:t>
      </w:r>
      <w:r>
        <w:t>а</w:t>
      </w:r>
      <w:r>
        <w:t>тегических документов, нацеленных на поощрение активных форм расширения возможностей занятости и решения проблем безработицы. Во всех этих док</w:t>
      </w:r>
      <w:r>
        <w:t>у</w:t>
      </w:r>
      <w:r>
        <w:t>ментах особое внимание уделяется вопросу равных возможностей женщин и мужчин. В принятой в 2001 году Национальной программе развития рынка труда и занятости на период до 2006 года в число ключевых принципов и мер входит обеспечение равного доступа на рынок труда. Равные возможности для женщин и мужчин и успешное сочетание выполнения служебных и семейных обязанностей будет обеспечено за счет принятия нижеследующих мер: созд</w:t>
      </w:r>
      <w:r>
        <w:t>а</w:t>
      </w:r>
      <w:r>
        <w:t>ние равных возможностей для занятости во всех сферах профессиональной деятельности, оказание женщинам специальной помощи в учреждении их со</w:t>
      </w:r>
      <w:r>
        <w:t>б</w:t>
      </w:r>
      <w:r>
        <w:t>ственных компаний, обеспечение более активного участия женщин в програ</w:t>
      </w:r>
      <w:r>
        <w:t>м</w:t>
      </w:r>
      <w:r>
        <w:t>мах в области образования и обучения, сокращение масштабов сегрегации на рынке труда и различий в уровне заработной платы женщин и мужчин, разр</w:t>
      </w:r>
      <w:r>
        <w:t>а</w:t>
      </w:r>
      <w:r>
        <w:t>ботка мер для предотвращения, обнаружения и искоренения всех форм ди</w:t>
      </w:r>
      <w:r>
        <w:t>с</w:t>
      </w:r>
      <w:r>
        <w:t>криминации в том, что касается поиска работы и доступа к рабочим местам, сохранение рабочих мест и продвижение по службе, а также доступ к правам и льготам, которые гарантирует занятость. Для выполнения этой национальной программы используется механизм программ действий в том, что касается взаимоотношений в сфере занятости, которые принимаются правительством. В 2001 году в рамках Программы действий в том, что касается взаимоотношений в сфере занятости и программ активной политики в сфере занятости осущест</w:t>
      </w:r>
      <w:r>
        <w:t>в</w:t>
      </w:r>
      <w:r>
        <w:t>лялась программа оказания содействия женщинам-предпринимателям, нац</w:t>
      </w:r>
      <w:r>
        <w:t>е</w:t>
      </w:r>
      <w:r>
        <w:t>ленная на создание системы и программ обеспечения улучшения положения женщин в этой области, а также контроля над этим процессом. В рамках этой программы были достигнуты следующие результаты: учреждение информац</w:t>
      </w:r>
      <w:r>
        <w:t>и</w:t>
      </w:r>
      <w:r>
        <w:t>онного центра для отслеживания положения женщин на рынке труда и оказания им соответствующей помощи, публикация анализа положения женщин на ры</w:t>
      </w:r>
      <w:r>
        <w:t>н</w:t>
      </w:r>
      <w:r>
        <w:t>ке труда, подготовка 30 специалистов по проблематике оказания содействия женщинам-предпринимателям, налаживание связей с международными орган</w:t>
      </w:r>
      <w:r>
        <w:t>и</w:t>
      </w:r>
      <w:r>
        <w:t>зациями, а также призыв к общественности выдвигать предложения по поводу совместного финансирования подготовки проектов в области поощрения пре</w:t>
      </w:r>
      <w:r>
        <w:t>д</w:t>
      </w:r>
      <w:r>
        <w:t>принимательства и более активного выхода женщин на рынок труда на местном уровне. В 2002 и 2003 годах руководящие принципы активной политики в сф</w:t>
      </w:r>
      <w:r>
        <w:t>е</w:t>
      </w:r>
      <w:r>
        <w:t>ре занятости на 2002 и 2003 годы, а также программы активной политики в сфере занятости на 2002 год предусматривали принятие нижеследующих мер: программы активной политики в сфере занятости в интересах женщин, оказ</w:t>
      </w:r>
      <w:r>
        <w:t>а</w:t>
      </w:r>
      <w:r>
        <w:t>ние помощи женщинам-предпринимателям и поощрение женщин к освоению новых специальностей. Помимо этих специальных мер и программ, посвяще</w:t>
      </w:r>
      <w:r>
        <w:t>н</w:t>
      </w:r>
      <w:r>
        <w:t>ных исключительно положению женщин, их интересы учитываются также в рамках других мер и программ.</w:t>
      </w:r>
    </w:p>
    <w:p w:rsidR="00000000" w:rsidRDefault="00000000">
      <w:pPr>
        <w:pStyle w:val="SingleTxt"/>
      </w:pPr>
      <w:r>
        <w:t>Гарантирование равных возможностей – улучшение условий для доступа женщин на рынок труда и их положения на нем также является одной из пр</w:t>
      </w:r>
      <w:r>
        <w:t>о</w:t>
      </w:r>
      <w:r>
        <w:t>грамм в рамках приоритетных задач в области развития “Знания, развитие лю</w:t>
      </w:r>
      <w:r>
        <w:t>д</w:t>
      </w:r>
      <w:r>
        <w:t>ских ресурсов и занятость” в разработанной Государственной программе ра</w:t>
      </w:r>
      <w:r>
        <w:t>з</w:t>
      </w:r>
      <w:r>
        <w:t>вития Ре</w:t>
      </w:r>
      <w:r>
        <w:t>с</w:t>
      </w:r>
      <w:r>
        <w:t>публики Словения на 2001-2006 годы.</w:t>
      </w:r>
    </w:p>
    <w:p w:rsidR="00000000" w:rsidRDefault="00000000">
      <w:pPr>
        <w:pStyle w:val="SingleTxt"/>
      </w:pPr>
      <w:r>
        <w:t>В Словении в течение уже нескольких лет осуществляется программа а</w:t>
      </w:r>
      <w:r>
        <w:t>к</w:t>
      </w:r>
      <w:r>
        <w:t>тивной политики в области занятости, нацеленная на сокращение численности безработных, в рамках которой принимается целый ряд мер. Среди участников ряда программ преобладают женщины (например, программ в области образ</w:t>
      </w:r>
      <w:r>
        <w:t>о</w:t>
      </w:r>
      <w:r>
        <w:t>вания и профессиональной подготовки, а также информирования и мотивации, семинаров-практикумов для ищущих работу лиц, клубов тех, кто ищет работу, и т. д.).</w:t>
      </w:r>
    </w:p>
    <w:p w:rsidR="00000000" w:rsidRDefault="00000000">
      <w:pPr>
        <w:pStyle w:val="H23"/>
      </w:pPr>
      <w:r>
        <w:t xml:space="preserve">2. </w:t>
      </w:r>
      <w:r>
        <w:rPr>
          <w:lang w:val="en-US"/>
        </w:rPr>
        <w:tab/>
      </w:r>
      <w:r>
        <w:t>Право на социальное обеспечение</w:t>
      </w:r>
    </w:p>
    <w:p w:rsidR="00000000" w:rsidRDefault="00000000">
      <w:pPr>
        <w:pStyle w:val="H4"/>
      </w:pPr>
      <w:r>
        <w:t xml:space="preserve">2.1. </w:t>
      </w:r>
      <w:r>
        <w:rPr>
          <w:lang w:val="en-US"/>
        </w:rPr>
        <w:tab/>
      </w:r>
      <w:r>
        <w:t>Права в рамках системы пенсионного страхования</w:t>
      </w:r>
    </w:p>
    <w:p w:rsidR="00000000" w:rsidRDefault="00000000">
      <w:pPr>
        <w:pStyle w:val="SingleTxt"/>
      </w:pPr>
      <w:r>
        <w:t>В 2000 году был принят Закон о пенсионном страховании и страховании на случай получения инвалидности. Женщинам и мужчинам в равной степени гарантированы права и обязанности застрахованных лиц, в том числе в части, касающейся участия в системе страхования, уплаты взносов, осуществления, сохранения и потери прав. Различное отношение к застрахованным лицам в з</w:t>
      </w:r>
      <w:r>
        <w:t>а</w:t>
      </w:r>
      <w:r>
        <w:t>висимости от их половой принадлежности по-прежнему проявляется в опред</w:t>
      </w:r>
      <w:r>
        <w:t>е</w:t>
      </w:r>
      <w:r>
        <w:t>лении условий для получения прав на пенсию по старости (пункты 2 и 3 ст</w:t>
      </w:r>
      <w:r>
        <w:t>а</w:t>
      </w:r>
      <w:r>
        <w:t>тьи 36). Сложившаяся на данный момент в Республике Словения ситуация не позволяет установить абсолютно одинаковые условия выхода на пенсию, п</w:t>
      </w:r>
      <w:r>
        <w:t>о</w:t>
      </w:r>
      <w:r>
        <w:t>этому женщины выходят на пенсию на два года раньше, чем мужчины с тем же засчитываемым для пенсии стажем работы. Таким образом, женщина может выйти на пенсию, если в возрасте 61 года она имеет засчитываемый для пенсии стаж работы в 20 лет, а мужчина с тем же стажем работы – в 63 года; имея не менее 15 лет засчитываемого для пенсии стажа, женщина может выйти на пе</w:t>
      </w:r>
      <w:r>
        <w:t>н</w:t>
      </w:r>
      <w:r>
        <w:t>сию в 63 года, а мужчина – в 65. Как женщины, так и мужчины имеют право выйти на пенсию по достижении одного и того же возраста – 58 лет, однако в этом случае засчитываемый для пенсии стаж работы на два года меньше обы</w:t>
      </w:r>
      <w:r>
        <w:t>ч</w:t>
      </w:r>
      <w:r>
        <w:t>ного и составляет 38 лет для женщин и 40 лет для мужчин. Чтобы не допустить косвенной дискриминации женщин при начислении пенсий в силу этих разл</w:t>
      </w:r>
      <w:r>
        <w:t>и</w:t>
      </w:r>
      <w:r>
        <w:t>чий в условиях выхода на пенсию, на женщин распространяется более высокий (38%) начальный процентный показатель для целей расчетов (применительно к засчитываемому для пенсии стажу в 15 лет), чем для мужчин (35%). Таким о</w:t>
      </w:r>
      <w:r>
        <w:t>б</w:t>
      </w:r>
      <w:r>
        <w:t>разом, равенство достигается в уровне расчетной процентной пенсии, поскол</w:t>
      </w:r>
      <w:r>
        <w:t>ь</w:t>
      </w:r>
      <w:r>
        <w:t>ку в возрасте 58 лет и имея стаж работы в 40 или 38 лет, как женщины, так и мужчины получают пенсию, составляющую 72,5% от расчетной базовой вел</w:t>
      </w:r>
      <w:r>
        <w:t>и</w:t>
      </w:r>
      <w:r>
        <w:t>чины. В Закон о пенсионном страховании и страховании на случай инвалидн</w:t>
      </w:r>
      <w:r>
        <w:t>о</w:t>
      </w:r>
      <w:r>
        <w:t>сти также включены специальные положения о том, что реализуемые работод</w:t>
      </w:r>
      <w:r>
        <w:t>а</w:t>
      </w:r>
      <w:r>
        <w:t>телем программы пенсионного обеспечения не могут предусматривать разли</w:t>
      </w:r>
      <w:r>
        <w:t>ч</w:t>
      </w:r>
      <w:r>
        <w:t>ные условия выхода на пенсию в зависимости от половой принадлежности з</w:t>
      </w:r>
      <w:r>
        <w:t>а</w:t>
      </w:r>
      <w:r>
        <w:t>страхованного лица (пункт 2 статьи 37).</w:t>
      </w:r>
    </w:p>
    <w:p w:rsidR="00000000" w:rsidRDefault="00000000">
      <w:pPr>
        <w:pStyle w:val="SingleTxt"/>
      </w:pPr>
      <w:r>
        <w:t>Предельный возраст получения прав на пенсию по старости снижается с учетом каждого родившегося ребенка (при наличии одного ребенка – на 8 месяцев, двух – на 20 месяцев, трех – на 36 месяцев, а в случае с каждым п</w:t>
      </w:r>
      <w:r>
        <w:t>о</w:t>
      </w:r>
      <w:r>
        <w:t>следующим ребенком предельный возраст сокращается еще на 20 месяцев), причем этими правами наделены как мужчины, так и женщины. Родители с</w:t>
      </w:r>
      <w:r>
        <w:t>о</w:t>
      </w:r>
      <w:r>
        <w:t>глашаются о том, кто из них воспользуется своим правом на такое сокращение применительно к каждому ребенку; в случае разногласий право получает тот из них, кто наиболее активно пользовался правом на получение отпуска по уходу за ребенком. Если никто из них этим правом не пользовался или они оба пол</w:t>
      </w:r>
      <w:r>
        <w:t>ь</w:t>
      </w:r>
      <w:r>
        <w:t>зовались им в равной степени, то право на снижение предельного возраста имеет женщина (статья 37).</w:t>
      </w:r>
    </w:p>
    <w:p w:rsidR="00000000" w:rsidRDefault="00000000">
      <w:pPr>
        <w:pStyle w:val="H4"/>
      </w:pPr>
      <w:r>
        <w:t xml:space="preserve">2.2. </w:t>
      </w:r>
      <w:r>
        <w:rPr>
          <w:lang w:val="en-US"/>
        </w:rPr>
        <w:tab/>
      </w:r>
      <w:r>
        <w:t>Право на медицинское обслуживание и охрану труда</w:t>
      </w:r>
    </w:p>
    <w:p w:rsidR="00000000" w:rsidRDefault="00000000">
      <w:pPr>
        <w:pStyle w:val="SingleTxt"/>
      </w:pPr>
      <w:r>
        <w:t>Согласно новому Закону о медицинском обслуживании и охране труда к</w:t>
      </w:r>
      <w:r>
        <w:t>а</w:t>
      </w:r>
      <w:r>
        <w:t>ждый работодатель должен в письменной форме подготовить и представить о</w:t>
      </w:r>
      <w:r>
        <w:t>т</w:t>
      </w:r>
      <w:r>
        <w:t>чет о мерах безопасности, в котором он или она определяет методы и меры в области охраны труда (статья 14). Требования в отношения таких отчетов дет</w:t>
      </w:r>
      <w:r>
        <w:t>а</w:t>
      </w:r>
      <w:r>
        <w:t>лизированы в Правилах подготовки отчета об обеспечении безопасности, включающего оценку риска, которые действуют с 21 апреля 2000 года. Этот з</w:t>
      </w:r>
      <w:r>
        <w:t>а</w:t>
      </w:r>
      <w:r>
        <w:t>кон также предусматривает, что работодателю следует обеспечить информир</w:t>
      </w:r>
      <w:r>
        <w:t>о</w:t>
      </w:r>
      <w:r>
        <w:t>вание беременных женщин о результатах оценки риска и о предпринятых раб</w:t>
      </w:r>
      <w:r>
        <w:t>о</w:t>
      </w:r>
      <w:r>
        <w:t>т</w:t>
      </w:r>
      <w:r>
        <w:t>о</w:t>
      </w:r>
      <w:r>
        <w:t>дателем мерах в области охраны труда (статья 23).</w:t>
      </w:r>
    </w:p>
    <w:p w:rsidR="00000000" w:rsidRDefault="00000000">
      <w:pPr>
        <w:pStyle w:val="H4"/>
      </w:pPr>
      <w:r>
        <w:t xml:space="preserve">2.3. </w:t>
      </w:r>
      <w:r>
        <w:rPr>
          <w:lang w:val="en-US"/>
        </w:rPr>
        <w:tab/>
      </w:r>
      <w:r>
        <w:t>Отпуск по беременности и родам и отпуск в связи с рождением р</w:t>
      </w:r>
      <w:r>
        <w:t>е</w:t>
      </w:r>
      <w:r>
        <w:t>бенка</w:t>
      </w:r>
    </w:p>
    <w:p w:rsidR="00000000" w:rsidRDefault="00000000">
      <w:pPr>
        <w:pStyle w:val="SingleTxt"/>
      </w:pPr>
      <w:r>
        <w:t>В ноябре 2001 года был принят Закон об уходе за ребенком и семейном доходе, который вступил в силу 1 января 2002 года. Этот закон регулирует две группы прав: страхование в интересах охраны материнства и отцовства и соо</w:t>
      </w:r>
      <w:r>
        <w:t>т</w:t>
      </w:r>
      <w:r>
        <w:t>ветствующие права, а также семейные пособия.</w:t>
      </w:r>
    </w:p>
    <w:p w:rsidR="00000000" w:rsidRDefault="00000000">
      <w:pPr>
        <w:pStyle w:val="SingleTxt"/>
      </w:pPr>
      <w:r>
        <w:t>Права, связанные с системой страхования в интересах охраны материнс</w:t>
      </w:r>
      <w:r>
        <w:t>т</w:t>
      </w:r>
      <w:r>
        <w:t>ва и отцовства, включают право на отпуск в связи с рождением ребенка (отпуск по беременности и родам, отпуск по отцовству, отпуск по уходу за ребенком, отпуск для усыновления ребенка), пособия родителям (пособие в связи с мат</w:t>
      </w:r>
      <w:r>
        <w:t>е</w:t>
      </w:r>
      <w:r>
        <w:t>ринством, пособие в связи с отцовством, пособие на цели ухода за ребенком и пособие в связи с усыновлением ребенка) и право на сокращенный рабочий день в связи с необходимостью выполнения родительских обязанностей. Лица, на которых распространяется действие положений о страховании в интересах охраны материнства и отцовства, имеют соответствующие права и уплачивают взнос на цели обеспечения исполнения родительских обязанностей.</w:t>
      </w:r>
    </w:p>
    <w:p w:rsidR="00000000" w:rsidRDefault="00000000">
      <w:pPr>
        <w:pStyle w:val="SingleTxt"/>
      </w:pPr>
      <w:r>
        <w:t>Отпуск по беременности и родам (статьи 17-22) составляет 105 календарных дней (столько же, сколько и в прошлом), причем будущая мать должна взять его за 28 или 42 (если она того пожелает) дня до предпол</w:t>
      </w:r>
      <w:r>
        <w:t>а</w:t>
      </w:r>
      <w:r>
        <w:t>гаемой даты рождения ребенка, определенной гинекологом. Правом на отпуск по беременности и родам может также воспользоваться отец или другое лицо в том случае, если мать ребенка умирает, отказывается от ребенка или если, по мнению компетентного врача, она полностью или временно утратила трудосп</w:t>
      </w:r>
      <w:r>
        <w:t>о</w:t>
      </w:r>
      <w:r>
        <w:t>собность. В случае, если мать моложе 18 лет и имеет статус учащейся ПТУ, средней школы или студентки, с ее согласия правом на отпуск по беременности и родам может воспользоваться отец ребенка, либо д</w:t>
      </w:r>
      <w:r>
        <w:t>е</w:t>
      </w:r>
      <w:r>
        <w:t>душка или  бабушка.</w:t>
      </w:r>
    </w:p>
    <w:p w:rsidR="00000000" w:rsidRDefault="00000000">
      <w:pPr>
        <w:pStyle w:val="SingleTxt"/>
      </w:pPr>
      <w:r>
        <w:t>Отпуск по отцовству (статьи 23-25) составляет 90 календарных дней и я</w:t>
      </w:r>
      <w:r>
        <w:t>в</w:t>
      </w:r>
      <w:r>
        <w:t>ляется важным нововведением в системе предоставления отпусков в связи с рождением ребенка. Из этого срока отец должен взять 15 дней в тот период, к</w:t>
      </w:r>
      <w:r>
        <w:t>о</w:t>
      </w:r>
      <w:r>
        <w:t>гда мать находится в отпуске по беременности и родам (позднее эти 15 дней взять нельзя), а 75 дней можно взять до тех пор, пока ребенок не достигнет 8 лет (то есть в тот период, пока мать находится в отпуске по беременности и родам, отпуске по уходу за ребенком или пока ребенку не исполнится 8 лет). Право на отпуск по отцовству вводится в действие постепенно: с 1 января 2003 года до 15 дней, с 1 января 2004 года – до 45 дней и с 1 января 2005 года – до 90 дней. Такое право закреплено исключительно за отцом и не может быть передано другому лицу. Предоставляя отцу такое право, мы стремимся к тому, чтобы мужчины как можно раньше начинали принимать участие в уходе за р</w:t>
      </w:r>
      <w:r>
        <w:t>е</w:t>
      </w:r>
      <w:r>
        <w:t>бенком, что, в свою очередь, позволит более эффективно сочетать выполнение служебных и профессиональных обязанностей как мужчинами, так и женщ</w:t>
      </w:r>
      <w:r>
        <w:t>и</w:t>
      </w:r>
      <w:r>
        <w:t>нами.</w:t>
      </w:r>
    </w:p>
    <w:p w:rsidR="00000000" w:rsidRDefault="00000000">
      <w:pPr>
        <w:pStyle w:val="SingleTxt"/>
      </w:pPr>
      <w:r>
        <w:t>Соответствующие лица получают право на отпуск по уходу за ребенком (статьи 26-34) незамедлительно после того, как истекает срок отпуска по бер</w:t>
      </w:r>
      <w:r>
        <w:t>е</w:t>
      </w:r>
      <w:r>
        <w:t>менности и родам и в ходе него должны обеспечивать непрерывный уход за р</w:t>
      </w:r>
      <w:r>
        <w:t>е</w:t>
      </w:r>
      <w:r>
        <w:t>бенком. Как и прежде, такой отпуск составляет 260 календарных дней и, в о</w:t>
      </w:r>
      <w:r>
        <w:t>п</w:t>
      </w:r>
      <w:r>
        <w:t>ред</w:t>
      </w:r>
      <w:r>
        <w:t>е</w:t>
      </w:r>
      <w:r>
        <w:t>ленных случаях, может быть продлен:</w:t>
      </w:r>
    </w:p>
    <w:p w:rsidR="00000000" w:rsidRDefault="00000000">
      <w:pPr>
        <w:pStyle w:val="tire"/>
      </w:pPr>
      <w:r>
        <w:t>–</w:t>
      </w:r>
      <w:r>
        <w:tab/>
        <w:t>если мать родила двойню, отпуск продляется на 90 дней;</w:t>
      </w:r>
    </w:p>
    <w:p w:rsidR="00000000" w:rsidRDefault="00000000">
      <w:pPr>
        <w:pStyle w:val="tire"/>
      </w:pPr>
      <w:r>
        <w:t>–</w:t>
      </w:r>
      <w:r>
        <w:tab/>
        <w:t>если мать родила боле двух детей живыми, применительно к кажд</w:t>
      </w:r>
      <w:r>
        <w:t>о</w:t>
      </w:r>
      <w:r>
        <w:t>му последующему ребенку о</w:t>
      </w:r>
      <w:r>
        <w:t>т</w:t>
      </w:r>
      <w:r>
        <w:t>пуск продляется на 90 дней;</w:t>
      </w:r>
    </w:p>
    <w:p w:rsidR="00000000" w:rsidRDefault="00000000">
      <w:pPr>
        <w:pStyle w:val="tire"/>
      </w:pPr>
      <w:r>
        <w:t>–</w:t>
      </w:r>
      <w:r>
        <w:tab/>
        <w:t>если роды были преждевременными, отпуск матери продляется на то количество дней, на которое срок беременности оказался меньше 260 дней;</w:t>
      </w:r>
    </w:p>
    <w:p w:rsidR="00000000" w:rsidRDefault="00000000">
      <w:pPr>
        <w:pStyle w:val="tire"/>
      </w:pPr>
      <w:r>
        <w:t>–</w:t>
      </w:r>
      <w:r>
        <w:tab/>
        <w:t>в случае рождения ребенка, нуждающегося в особом уходе, отпуск продляется дополнительно на 90 дней (на основе заключения мед</w:t>
      </w:r>
      <w:r>
        <w:t>и</w:t>
      </w:r>
      <w:r>
        <w:t>цинской комиссии педиатрической клиники в Любляне); этим правом можно воспользоваться до достижения ребенком возраста 18 месяцев;</w:t>
      </w:r>
    </w:p>
    <w:p w:rsidR="00000000" w:rsidRDefault="00000000">
      <w:pPr>
        <w:pStyle w:val="tire"/>
      </w:pPr>
      <w:r>
        <w:t>–</w:t>
      </w:r>
      <w:r>
        <w:tab/>
        <w:t>если родитель на дому уже осуществляет уход за не менее чем двумя детьми в возрасте до 8 лет, отпуск продляется на 30 дней, в случае с тремя детьми – на 60 дней, а в случае с четырьмя или более детьми – на 90 дней.</w:t>
      </w:r>
    </w:p>
    <w:p w:rsidR="00000000" w:rsidRDefault="00000000">
      <w:pPr>
        <w:pStyle w:val="SingleTxt"/>
      </w:pPr>
      <w:r>
        <w:t>Эти права носят кумулятивный характер (например, если мать рожает двойню, а на ее попечении дома уже находятся три ребенка, ее отпуск будет продлен на 150 дней).</w:t>
      </w:r>
    </w:p>
    <w:p w:rsidR="00000000" w:rsidRDefault="00000000">
      <w:pPr>
        <w:pStyle w:val="SingleTxt"/>
      </w:pPr>
      <w:r>
        <w:t>Согласно положениям этого нового закона право на отпуск по уходу за р</w:t>
      </w:r>
      <w:r>
        <w:t>е</w:t>
      </w:r>
      <w:r>
        <w:t>бенком уже больше не относится к числу неотъемлемых прав матери, но явл</w:t>
      </w:r>
      <w:r>
        <w:t>я</w:t>
      </w:r>
      <w:r>
        <w:t>ется правом обоих родителей, из чего следует, что родители должны соглас</w:t>
      </w:r>
      <w:r>
        <w:t>о</w:t>
      </w:r>
      <w:r>
        <w:t>вать тот порядок, в котором это право будет использоваться. На использование этого права не налагается никаких жестких ограничений. Родители могут во</w:t>
      </w:r>
      <w:r>
        <w:t>с</w:t>
      </w:r>
      <w:r>
        <w:t>пользоваться им в форме полного или частичного отказа от работы, по очереди в случае с частичным отказом, что означает, что каждый из них, например, р</w:t>
      </w:r>
      <w:r>
        <w:t>а</w:t>
      </w:r>
      <w:r>
        <w:t>ботает по четыре часа, а отпуск по уходу за ребенком может быть поделен м</w:t>
      </w:r>
      <w:r>
        <w:t>е</w:t>
      </w:r>
      <w:r>
        <w:t>жду матерью и отцом. В исключительных случаях оба родителя могут одн</w:t>
      </w:r>
      <w:r>
        <w:t>о</w:t>
      </w:r>
      <w:r>
        <w:t>временно ухаживать за ребенком/детьми на дому, но только в случае с отпуск</w:t>
      </w:r>
      <w:r>
        <w:t>а</w:t>
      </w:r>
      <w:r>
        <w:t>ми большей продолжительности (из-за рождения двух или более детей одн</w:t>
      </w:r>
      <w:r>
        <w:t>о</w:t>
      </w:r>
      <w:r>
        <w:t>временно, из-за рождения ребенка, нуждающегося в особом уходе, или появл</w:t>
      </w:r>
      <w:r>
        <w:t>е</w:t>
      </w:r>
      <w:r>
        <w:t>ния ребенка в семье, в которой на момент рождения ребенка на попечении р</w:t>
      </w:r>
      <w:r>
        <w:t>о</w:t>
      </w:r>
      <w:r>
        <w:t>дителей уже находятся два ребенка в возрасте до 8 лет). Частью отпуска по уходу за ребенком (максимум 75 днями) родители могут воспользоваться поз</w:t>
      </w:r>
      <w:r>
        <w:t>д</w:t>
      </w:r>
      <w:r>
        <w:t>нее, до тех пор пока ребенку не исполнится 8 лет.</w:t>
      </w:r>
    </w:p>
    <w:p w:rsidR="00000000" w:rsidRDefault="00000000">
      <w:pPr>
        <w:pStyle w:val="SingleTxt"/>
      </w:pPr>
      <w:r>
        <w:t>С согласия матери дедушка или бабушка также могут осуществить право на получение отпуска по уходу за ребенком в том случае, если это право не б</w:t>
      </w:r>
      <w:r>
        <w:t>у</w:t>
      </w:r>
      <w:r>
        <w:t>дет осуществлено отцом, а мать ребенка не достигла 18 лет и имеет статус учащейся ПТУ, средней школы или студентки. В этом случае отпуск предоста</w:t>
      </w:r>
      <w:r>
        <w:t>в</w:t>
      </w:r>
      <w:r>
        <w:t>ляется той же продолжительности, что и тот, на который имеют право мать или отец, за вычетом того количества дней, которое уже было использовано мат</w:t>
      </w:r>
      <w:r>
        <w:t>е</w:t>
      </w:r>
      <w:r>
        <w:t>рью или отцом ребенка.</w:t>
      </w:r>
    </w:p>
    <w:p w:rsidR="00000000" w:rsidRDefault="00000000">
      <w:pPr>
        <w:pStyle w:val="SingleTxt"/>
      </w:pPr>
      <w:r>
        <w:t>Отпуск по усыновлению (статьи 35-37) – это отпуск, который может взять один или оба приемных родителя для того, чтобы незамедлительно после ус</w:t>
      </w:r>
      <w:r>
        <w:t>ы</w:t>
      </w:r>
      <w:r>
        <w:t>новления ребенок и приемный родитель могли посвятить свое время исключ</w:t>
      </w:r>
      <w:r>
        <w:t>и</w:t>
      </w:r>
      <w:r>
        <w:t>тельно общению друг с другом. Если в момент усыновления ребенок находится в возрасте от 1 до 4 лет, отпуск по усыновлению продолжается в течение 150 дней, а если возраст ребенка составляет от 4 до 10 лет, – то в течение 120 дней. Отпуск может быть взят одним родителем или обоими родителями одновременно, однако общая продолжительность отпуска не может превышать 150 или 120 дней.</w:t>
      </w:r>
    </w:p>
    <w:p w:rsidR="00000000" w:rsidRDefault="00000000">
      <w:pPr>
        <w:pStyle w:val="SingleTxt"/>
      </w:pPr>
      <w:r>
        <w:t>Пособие родителям (статьи 38-49) представляет собой компенсацию зар</w:t>
      </w:r>
      <w:r>
        <w:t>а</w:t>
      </w:r>
      <w:r>
        <w:t>ботной платы или личных доходов, уплачиваемую в результате страхования в целях охраны материнства. Право на него имеют лица, которые имеют право на отпуск в связи с рождением ребенка и были застрахованы согласно положен</w:t>
      </w:r>
      <w:r>
        <w:t>и</w:t>
      </w:r>
      <w:r>
        <w:t>ям данного закона до наступления дня, когда начинается отсчет индивидуал</w:t>
      </w:r>
      <w:r>
        <w:t>ь</w:t>
      </w:r>
      <w:r>
        <w:t>ного типа отпуска в связи с рождением ребенка, а также лица, не имеющие права на отпуск в связи с рождением ребенка, если они были застрахованы с</w:t>
      </w:r>
      <w:r>
        <w:t>о</w:t>
      </w:r>
      <w:r>
        <w:t>гласно положениям этого закона не менее, чем в течение 12 месяцев за предш</w:t>
      </w:r>
      <w:r>
        <w:t>е</w:t>
      </w:r>
      <w:r>
        <w:t>ствующие три года до начала отсчета индивидуальных типов отпуска в связи с рождением ребенка. Правом на получение пособия родителям наделены лица в период использования отпуска в связи с рождением ребенка, за исключением отпуска по отцовству, когда в течение первых 15 дней отец имеет право на п</w:t>
      </w:r>
      <w:r>
        <w:t>о</w:t>
      </w:r>
      <w:r>
        <w:t>лучение пособия по отцовству, а в течение оставшихся 75 дней государство г</w:t>
      </w:r>
      <w:r>
        <w:t>а</w:t>
      </w:r>
      <w:r>
        <w:t>рантирует отцу выплату взносов социального страхования на основе мин</w:t>
      </w:r>
      <w:r>
        <w:t>и</w:t>
      </w:r>
      <w:r>
        <w:t>мальной заработной платы. Величина пособия родителям рассчитывается ед</w:t>
      </w:r>
      <w:r>
        <w:t>и</w:t>
      </w:r>
      <w:r>
        <w:t>ным образом применительно ко всем типам пособий, за исключением тех, что относятся к отпуску по беременности и родам, в случае с которым отсутствуют какие бы то ни было применимые предельные ограничения. Пособие составл</w:t>
      </w:r>
      <w:r>
        <w:t>я</w:t>
      </w:r>
      <w:r>
        <w:t>ет 100% от средней базовой заработной платы за последние 12 месяцев, если имеющее соответствующее право лицо было застраховано в предшествующем году в течение всего периода, но не менее 55% минимальной заработной платы в Республике Словения и максимум в 2,5 раза может превышать среднемеся</w:t>
      </w:r>
      <w:r>
        <w:t>ч</w:t>
      </w:r>
      <w:r>
        <w:t>ный размер оплаты труда в Республике Словения в расчетный период. Если имеющее соответствующее право лицо не было застраховано в течение после</w:t>
      </w:r>
      <w:r>
        <w:t>д</w:t>
      </w:r>
      <w:r>
        <w:t>них 12 месяцев, расчеты производятся при помощи специального ключа на о</w:t>
      </w:r>
      <w:r>
        <w:t>с</w:t>
      </w:r>
      <w:r>
        <w:t>нове этого зак</w:t>
      </w:r>
      <w:r>
        <w:t>о</w:t>
      </w:r>
      <w:r>
        <w:t>на.</w:t>
      </w:r>
    </w:p>
    <w:p w:rsidR="00000000" w:rsidRDefault="00000000">
      <w:pPr>
        <w:pStyle w:val="SingleTxt"/>
      </w:pPr>
      <w:r>
        <w:t>Закон об уходе за детьми и семейном доходе предусматривает такое нов</w:t>
      </w:r>
      <w:r>
        <w:t>о</w:t>
      </w:r>
      <w:r>
        <w:t>введение, как система кредитования. Если родитель или иное лицо не испол</w:t>
      </w:r>
      <w:r>
        <w:t>ь</w:t>
      </w:r>
      <w:r>
        <w:t>зует отпуск по уходу за ребенком в том объеме, на который он или она имеет право, оставшаяся часть отпуска по уходу за ребенком может быть использов</w:t>
      </w:r>
      <w:r>
        <w:t>а</w:t>
      </w:r>
      <w:r>
        <w:t>на в форме кредита, который может быть потрачен на цели оплаты услуг по уходу за ребенком, оплаты жилья и удовлетворение потребностей в жилье (п</w:t>
      </w:r>
      <w:r>
        <w:t>о</w:t>
      </w:r>
      <w:r>
        <w:t>купка квартиры или дома, реконструкция квартиры или дома, строительство дома). Кредит по своему размеру аналогичен невыплаченному пособию по ух</w:t>
      </w:r>
      <w:r>
        <w:t>о</w:t>
      </w:r>
      <w:r>
        <w:t>ду за ребенком, однако не может больше чем в 5 раз превышать соответству</w:t>
      </w:r>
      <w:r>
        <w:t>ю</w:t>
      </w:r>
      <w:r>
        <w:t>щее ежемесячное пособие, уплачиваемое в случае с отпуском по уходу за р</w:t>
      </w:r>
      <w:r>
        <w:t>е</w:t>
      </w:r>
      <w:r>
        <w:t>бенком.</w:t>
      </w:r>
    </w:p>
    <w:p w:rsidR="00000000" w:rsidRDefault="00000000">
      <w:pPr>
        <w:pStyle w:val="SingleTxt"/>
      </w:pPr>
      <w:r>
        <w:t>Этот закон также дает возможность одному из родителей, кто осущест</w:t>
      </w:r>
      <w:r>
        <w:t>в</w:t>
      </w:r>
      <w:r>
        <w:t>ляет уход за ребенком, до достижения им возраста трех лет, работать неполный рабочий день (не менее половины обязательного рабоч</w:t>
      </w:r>
      <w:r>
        <w:t>е</w:t>
      </w:r>
      <w:r>
        <w:t>го времени в неделю).</w:t>
      </w:r>
    </w:p>
    <w:p w:rsidR="00000000" w:rsidRDefault="00000000">
      <w:pPr>
        <w:pStyle w:val="SingleTxt"/>
      </w:pPr>
      <w:r>
        <w:t>Хотя отцы и наделены возможностями использовать отпуск по уходу за ребенком, в настоящее время эта возможность используется менее чем на 1%. В 2003 году для того, чтобы отцы пользовались возможностью взять отпуск по отцовству, предусмотренной в Законе об уходе за детьми и семейном доходе, и чтобы они более активно пользовались правом на этот отпуск, Управление по равным возможностям и Министерство по делам труда, семьи и социальных отношений примет ряд различных мер (создание веб-сайта в сети Интернет, подготовка информационных материалов и т. д.)</w:t>
      </w:r>
    </w:p>
    <w:p w:rsidR="00000000" w:rsidRDefault="00000000">
      <w:pPr>
        <w:pStyle w:val="SingleTxt"/>
      </w:pPr>
      <w:r>
        <w:t>В разделе, посвященном вопросам образования (статья 10), уже отмеч</w:t>
      </w:r>
      <w:r>
        <w:t>а</w:t>
      </w:r>
      <w:r>
        <w:t>лось, что в Словении сложилась развитая сеть поставщиков услуг по уходу за детьми как из государственного, так и частного секторов. Поскольку стоимость курсов подготовки к обучению в школе в государственных детских садах для родителей зависит от дохода из расчета на одного члена семьи, все родители, независимо от размера их доходов, имеют право пользоваться услугами гос</w:t>
      </w:r>
      <w:r>
        <w:t>у</w:t>
      </w:r>
      <w:r>
        <w:t>дарственных детских садов.</w:t>
      </w:r>
    </w:p>
    <w:p w:rsidR="00000000" w:rsidRDefault="00000000">
      <w:pPr>
        <w:pStyle w:val="H1"/>
        <w:ind w:left="1264" w:firstLine="0"/>
      </w:pPr>
      <w:r>
        <w:t>Статья 12</w:t>
      </w:r>
      <w:r>
        <w:br/>
        <w:t>Здоровье женщин</w:t>
      </w:r>
    </w:p>
    <w:p w:rsidR="00000000" w:rsidRDefault="00000000">
      <w:pPr>
        <w:pStyle w:val="H23"/>
      </w:pPr>
      <w:r>
        <w:t xml:space="preserve">1. </w:t>
      </w:r>
      <w:r>
        <w:rPr>
          <w:lang w:val="en-US"/>
        </w:rPr>
        <w:tab/>
      </w:r>
      <w:r>
        <w:t>Здравоохранение в Республике Словения</w:t>
      </w:r>
    </w:p>
    <w:p w:rsidR="00000000" w:rsidRDefault="00000000">
      <w:pPr>
        <w:pStyle w:val="SingleTxt"/>
      </w:pPr>
      <w:r>
        <w:t>За период, прошедший после представления Второго доклада, обсужд</w:t>
      </w:r>
      <w:r>
        <w:t>а</w:t>
      </w:r>
      <w:r>
        <w:t>лись два предлагаемых изменения, касающиеся законодательных актов по ко</w:t>
      </w:r>
      <w:r>
        <w:t>н</w:t>
      </w:r>
      <w:r>
        <w:t>кретным вопросам медицинского обслуживания женщин или их репродукти</w:t>
      </w:r>
      <w:r>
        <w:t>в</w:t>
      </w:r>
      <w:r>
        <w:t>ных прав, – Закон о лечении бесплодия и процедурах зачатия с использованием биомедицинских технологий, а также новый предлагаемый Закон о медици</w:t>
      </w:r>
      <w:r>
        <w:t>н</w:t>
      </w:r>
      <w:r>
        <w:t>ском страховании.</w:t>
      </w:r>
    </w:p>
    <w:p w:rsidR="00000000" w:rsidRDefault="00000000">
      <w:pPr>
        <w:pStyle w:val="SingleTxt"/>
      </w:pPr>
      <w:r>
        <w:t>Права на установление причин и лечение бесплодия регулируются нач</w:t>
      </w:r>
      <w:r>
        <w:t>и</w:t>
      </w:r>
      <w:r>
        <w:t>ная с 1977 года в Законе о медицинских мерах в том, что касается реализации свободы выбора в репродуктивной сфере. Благодаря прогрессу в области мед</w:t>
      </w:r>
      <w:r>
        <w:t>и</w:t>
      </w:r>
      <w:r>
        <w:t>цины возникли новые юридические вопросы в связи с процедурами лечения бесплодия и фертилизации с использованием биомедицинских технологий, к</w:t>
      </w:r>
      <w:r>
        <w:t>о</w:t>
      </w:r>
      <w:r>
        <w:t>торые не охватывались этим законодательным актом, в результате чего возни</w:t>
      </w:r>
      <w:r>
        <w:t>к</w:t>
      </w:r>
      <w:r>
        <w:t>ла настоятельная необходимость в принятии нового закона. С самого начала обсуждения в Государственном собрании предлагаемый Закон о лечении бе</w:t>
      </w:r>
      <w:r>
        <w:t>с</w:t>
      </w:r>
      <w:r>
        <w:t>плодия и процедурах зачатия с использованием биомедицинских технологий неоднократно становился предметом полемики. Ситуация усложнялась прежде всего из-за принятия предлагаемой статьи 5, в которой определялся круг лиц, имеющих право на прохождение процедуры фертилизации с использованием биомедицинских технологий. Согласно положениям этой статьи правом на прохождение этих процедур наделяются только те мужчины и женщины, кто живет в браке или состоит во внебрачных отношениях, что означает лишение права, которым, согласно положениям Закона о мерах здравоохранения в том, что касается осуществления свободы выбора в репродуктивной сфере, были наделены все здоровые взрослые женщины, обладающие юридической прав</w:t>
      </w:r>
      <w:r>
        <w:t>о</w:t>
      </w:r>
      <w:r>
        <w:t>способностью фертильного возраста. До того, как было проведено третье чт</w:t>
      </w:r>
      <w:r>
        <w:t>е</w:t>
      </w:r>
      <w:r>
        <w:t>ние предлагаемого нового закона, одна из парламентских групп представила поправку к этой статье, согласно которой правом на прохождение процедуры фертилизации с использование биомедицинских технологий наделялись все женщины, однако эта поправка не была принята. Поэтому парламентская гру</w:t>
      </w:r>
      <w:r>
        <w:t>п</w:t>
      </w:r>
      <w:r>
        <w:t>па представила предлагаемую поправку к этому закону того же содержания. Закон с внесенными в него поправками был принят Государственным собран</w:t>
      </w:r>
      <w:r>
        <w:t>и</w:t>
      </w:r>
      <w:r>
        <w:t>ем в ускоренном порядке, однако по требованию 34 членов парламента, катег</w:t>
      </w:r>
      <w:r>
        <w:t>о</w:t>
      </w:r>
      <w:r>
        <w:t>рически возражавших против этой поправки к статье, по вопросам поправок и дополнений к Закону о лечении бесплодия и процедурах зачатия с использов</w:t>
      </w:r>
      <w:r>
        <w:t>а</w:t>
      </w:r>
      <w:r>
        <w:t>нием биомедицинских технологий был впоследствии проведен законодател</w:t>
      </w:r>
      <w:r>
        <w:t>ь</w:t>
      </w:r>
      <w:r>
        <w:t>ный референдум. В ходе референдума эта поправка была отклонена, и теперь, в соответствии с действующим законодательством, на прохождение процедур фертилизации с использованием биомедицинских технологий имеют право лишь те женщины, кто живет в браке или во внебрачном партне</w:t>
      </w:r>
      <w:r>
        <w:t>р</w:t>
      </w:r>
      <w:r>
        <w:t>стве.</w:t>
      </w:r>
    </w:p>
    <w:p w:rsidR="00000000" w:rsidRDefault="00000000">
      <w:pPr>
        <w:pStyle w:val="SingleTxt"/>
      </w:pPr>
      <w:r>
        <w:t>В середине июня 2002 года три члена парламента представили предлага</w:t>
      </w:r>
      <w:r>
        <w:t>е</w:t>
      </w:r>
      <w:r>
        <w:t>мый Закон о медицинском страховании, который был подготовлен группой эк</w:t>
      </w:r>
      <w:r>
        <w:t>с</w:t>
      </w:r>
      <w:r>
        <w:t>пертов из Института Словении по проблемам медицинского страхования. В предлагаемой статье, определяющей объем прав на получение медицинской помощи в рамках системы обязательного медицинского страхования, говор</w:t>
      </w:r>
      <w:r>
        <w:t>и</w:t>
      </w:r>
      <w:r>
        <w:t>лось, что вышеупомянутая система страхования охватывает “обследование женщин в связи с консультированием по вопросам планирования семьи, бер</w:t>
      </w:r>
      <w:r>
        <w:t>е</w:t>
      </w:r>
      <w:r>
        <w:t>менности, посещения на дому до момента рождения ребенка и после него, у</w:t>
      </w:r>
      <w:r>
        <w:t>с</w:t>
      </w:r>
      <w:r>
        <w:t>луги по раннему выявлению заболеваний и факторов риска в период фертил</w:t>
      </w:r>
      <w:r>
        <w:t>ь</w:t>
      </w:r>
      <w:r>
        <w:t>ности в соответствии с конкретными программами”. Нигде не упоминалось право на возмещение расходов, связанных с искусственным прерыванием б</w:t>
      </w:r>
      <w:r>
        <w:t>е</w:t>
      </w:r>
      <w:r>
        <w:t>ременности и стерилизацией. На этом основании можно было бы прийти к в</w:t>
      </w:r>
      <w:r>
        <w:t>ы</w:t>
      </w:r>
      <w:r>
        <w:t>воду, что предлагаемый закон предусматривает оплату таких услуг из собс</w:t>
      </w:r>
      <w:r>
        <w:t>т</w:t>
      </w:r>
      <w:r>
        <w:t>венного кармана. Этот предлагаемый новый закон противоречил Закону о м</w:t>
      </w:r>
      <w:r>
        <w:t>е</w:t>
      </w:r>
      <w:r>
        <w:t>дицинском обслуживании и медицинском страховании, согласно которому си</w:t>
      </w:r>
      <w:r>
        <w:t>с</w:t>
      </w:r>
      <w:r>
        <w:t>тема обязательного медицинского страхования гарантирует также оплату опр</w:t>
      </w:r>
      <w:r>
        <w:t>е</w:t>
      </w:r>
      <w:r>
        <w:t>деленной процентной доли расходов на искусственное прерывание беременн</w:t>
      </w:r>
      <w:r>
        <w:t>о</w:t>
      </w:r>
      <w:r>
        <w:t>сти. Таким образом, женщины лишились бы права на свободное принятие р</w:t>
      </w:r>
      <w:r>
        <w:t>е</w:t>
      </w:r>
      <w:r>
        <w:t>шения относительно рождения ребенка, которое гарантировано Конституцией. В сентябре 2002 года предлагаемый Закон о медицинском страховании был отозван из парламента, а подготовкой нового закона сейчас занимается Мин</w:t>
      </w:r>
      <w:r>
        <w:t>и</w:t>
      </w:r>
      <w:r>
        <w:t>стерство здравоохранения.</w:t>
      </w:r>
    </w:p>
    <w:p w:rsidR="00000000" w:rsidRDefault="00000000">
      <w:pPr>
        <w:pStyle w:val="H23"/>
      </w:pPr>
      <w:r>
        <w:t xml:space="preserve">2. </w:t>
      </w:r>
      <w:r>
        <w:rPr>
          <w:lang w:val="en-US"/>
        </w:rPr>
        <w:tab/>
      </w:r>
      <w:r>
        <w:t>Состояние здоровья женщин</w:t>
      </w:r>
    </w:p>
    <w:p w:rsidR="00000000" w:rsidRDefault="00000000">
      <w:pPr>
        <w:pStyle w:val="H4"/>
      </w:pPr>
      <w:r>
        <w:t xml:space="preserve">2.1. </w:t>
      </w:r>
      <w:r>
        <w:rPr>
          <w:lang w:val="en-US"/>
        </w:rPr>
        <w:tab/>
      </w:r>
      <w:r>
        <w:t>Репродуктивное здоровье</w:t>
      </w:r>
    </w:p>
    <w:p w:rsidR="00000000" w:rsidRDefault="00000000">
      <w:pPr>
        <w:pStyle w:val="SingleTxt"/>
      </w:pPr>
      <w:r>
        <w:t>Медицинское обслуживание женщин является неотъемлемой частью р</w:t>
      </w:r>
      <w:r>
        <w:t>е</w:t>
      </w:r>
      <w:r>
        <w:t>продуктивного здравоохранения, обслуживающего лиц любого пола и возраста. В Словении создана развитая система медицинских учреждений для женщин на уровне первичной медицинской помощи (общие консультации для женщин) и в форме специализированных медицинских клиник (гинекологические кл</w:t>
      </w:r>
      <w:r>
        <w:t>и</w:t>
      </w:r>
      <w:r>
        <w:t>ники).</w:t>
      </w:r>
    </w:p>
    <w:p w:rsidR="00000000" w:rsidRDefault="00000000">
      <w:pPr>
        <w:pStyle w:val="tt"/>
        <w:keepNext/>
      </w:pPr>
      <w:r>
        <w:t xml:space="preserve">Таблица 18. Уровень обслуживания женщин в возрасте 15 лет и старше, </w:t>
      </w:r>
      <w:r>
        <w:br/>
        <w:t>а также медицинский пе</w:t>
      </w:r>
      <w:r>
        <w:t>р</w:t>
      </w:r>
      <w:r>
        <w:t>сонал в 1998 и 2000 годах</w:t>
      </w:r>
    </w:p>
    <w:tbl>
      <w:tblPr>
        <w:tblW w:w="0" w:type="auto"/>
        <w:tblInd w:w="1158" w:type="dxa"/>
        <w:tblLayout w:type="fixed"/>
        <w:tblLook w:val="0000" w:firstRow="0" w:lastRow="0" w:firstColumn="0" w:lastColumn="0" w:noHBand="0" w:noVBand="0"/>
      </w:tblPr>
      <w:tblGrid>
        <w:gridCol w:w="1112"/>
        <w:gridCol w:w="1134"/>
        <w:gridCol w:w="1134"/>
        <w:gridCol w:w="2055"/>
        <w:gridCol w:w="2056"/>
      </w:tblGrid>
      <w:tr w:rsidR="00000000">
        <w:tblPrEx>
          <w:tblCellMar>
            <w:top w:w="0" w:type="dxa"/>
            <w:bottom w:w="0" w:type="dxa"/>
          </w:tblCellMar>
        </w:tblPrEx>
        <w:tc>
          <w:tcPr>
            <w:tcW w:w="1112" w:type="dxa"/>
            <w:tcBorders>
              <w:top w:val="single" w:sz="6" w:space="0" w:color="auto"/>
            </w:tcBorders>
          </w:tcPr>
          <w:p w:rsidR="00000000" w:rsidRDefault="00000000">
            <w:pPr>
              <w:pStyle w:val="SingleTxt"/>
              <w:spacing w:before="40" w:after="40" w:line="240" w:lineRule="auto"/>
              <w:ind w:left="0" w:right="0" w:firstLine="0"/>
              <w:rPr>
                <w:sz w:val="17"/>
              </w:rPr>
            </w:pPr>
          </w:p>
        </w:tc>
        <w:tc>
          <w:tcPr>
            <w:tcW w:w="2268" w:type="dxa"/>
            <w:gridSpan w:val="2"/>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К</w:t>
            </w:r>
            <w:r>
              <w:rPr>
                <w:i/>
                <w:sz w:val="17"/>
              </w:rPr>
              <w:t>о</w:t>
            </w:r>
            <w:r>
              <w:rPr>
                <w:i/>
                <w:sz w:val="17"/>
              </w:rPr>
              <w:t>личество врачей</w:t>
            </w:r>
          </w:p>
        </w:tc>
        <w:tc>
          <w:tcPr>
            <w:tcW w:w="4111" w:type="dxa"/>
            <w:gridSpan w:val="2"/>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 xml:space="preserve">Количество женщин старше 15 лет </w:t>
            </w:r>
            <w:r>
              <w:rPr>
                <w:i/>
                <w:sz w:val="17"/>
              </w:rPr>
              <w:br/>
              <w:t>на одн</w:t>
            </w:r>
            <w:r>
              <w:rPr>
                <w:i/>
                <w:sz w:val="17"/>
              </w:rPr>
              <w:t>о</w:t>
            </w:r>
            <w:r>
              <w:rPr>
                <w:i/>
                <w:sz w:val="17"/>
              </w:rPr>
              <w:t>го врача</w:t>
            </w:r>
          </w:p>
        </w:tc>
      </w:tr>
      <w:tr w:rsidR="00000000">
        <w:tblPrEx>
          <w:tblCellMar>
            <w:top w:w="0" w:type="dxa"/>
            <w:bottom w:w="0" w:type="dxa"/>
          </w:tblCellMar>
        </w:tblPrEx>
        <w:tc>
          <w:tcPr>
            <w:tcW w:w="1112" w:type="dxa"/>
            <w:tcBorders>
              <w:bottom w:val="single" w:sz="12" w:space="0" w:color="auto"/>
            </w:tcBorders>
          </w:tcPr>
          <w:p w:rsidR="00000000" w:rsidRDefault="00000000">
            <w:pPr>
              <w:pStyle w:val="SingleTxt"/>
              <w:spacing w:before="40" w:after="40" w:line="240" w:lineRule="auto"/>
              <w:ind w:left="0" w:right="0" w:firstLine="0"/>
              <w:rPr>
                <w:sz w:val="17"/>
              </w:rPr>
            </w:pPr>
          </w:p>
        </w:tc>
        <w:tc>
          <w:tcPr>
            <w:tcW w:w="1134"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 xml:space="preserve">Штатные </w:t>
            </w:r>
            <w:r>
              <w:rPr>
                <w:i/>
                <w:sz w:val="17"/>
              </w:rPr>
              <w:br/>
              <w:t>врачи</w:t>
            </w:r>
          </w:p>
        </w:tc>
        <w:tc>
          <w:tcPr>
            <w:tcW w:w="1134"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Работа</w:t>
            </w:r>
            <w:r>
              <w:rPr>
                <w:i/>
                <w:sz w:val="17"/>
              </w:rPr>
              <w:t>ю</w:t>
            </w:r>
            <w:r>
              <w:rPr>
                <w:i/>
                <w:sz w:val="17"/>
              </w:rPr>
              <w:t>щие по с</w:t>
            </w:r>
            <w:r>
              <w:rPr>
                <w:i/>
                <w:sz w:val="17"/>
              </w:rPr>
              <w:t>о</w:t>
            </w:r>
            <w:r>
              <w:rPr>
                <w:i/>
                <w:sz w:val="17"/>
              </w:rPr>
              <w:t>вмест</w:t>
            </w:r>
            <w:r>
              <w:rPr>
                <w:i/>
                <w:sz w:val="17"/>
              </w:rPr>
              <w:t>и</w:t>
            </w:r>
            <w:r>
              <w:rPr>
                <w:i/>
                <w:sz w:val="17"/>
              </w:rPr>
              <w:t>тельству</w:t>
            </w:r>
          </w:p>
        </w:tc>
        <w:tc>
          <w:tcPr>
            <w:tcW w:w="2055"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Штатные врачи</w:t>
            </w:r>
          </w:p>
        </w:tc>
        <w:tc>
          <w:tcPr>
            <w:tcW w:w="2056"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 xml:space="preserve">Работающие </w:t>
            </w:r>
            <w:r>
              <w:rPr>
                <w:i/>
                <w:sz w:val="17"/>
              </w:rPr>
              <w:br/>
              <w:t>по с</w:t>
            </w:r>
            <w:r>
              <w:rPr>
                <w:i/>
                <w:sz w:val="17"/>
              </w:rPr>
              <w:t>о</w:t>
            </w:r>
            <w:r>
              <w:rPr>
                <w:i/>
                <w:sz w:val="17"/>
              </w:rPr>
              <w:t>вместительству</w:t>
            </w:r>
          </w:p>
        </w:tc>
      </w:tr>
      <w:tr w:rsidR="00000000">
        <w:tblPrEx>
          <w:tblCellMar>
            <w:top w:w="0" w:type="dxa"/>
            <w:bottom w:w="0" w:type="dxa"/>
          </w:tblCellMar>
        </w:tblPrEx>
        <w:tc>
          <w:tcPr>
            <w:tcW w:w="1112" w:type="dxa"/>
            <w:tcBorders>
              <w:top w:val="single" w:sz="12" w:space="0" w:color="auto"/>
            </w:tcBorders>
          </w:tcPr>
          <w:p w:rsidR="00000000" w:rsidRDefault="00000000">
            <w:pPr>
              <w:pStyle w:val="SingleTxt"/>
              <w:spacing w:before="40" w:after="40" w:line="240" w:lineRule="auto"/>
              <w:ind w:left="0" w:right="0" w:firstLine="0"/>
              <w:rPr>
                <w:sz w:val="17"/>
              </w:rPr>
            </w:pPr>
            <w:r>
              <w:rPr>
                <w:sz w:val="17"/>
              </w:rPr>
              <w:t>1998</w:t>
            </w:r>
          </w:p>
        </w:tc>
        <w:tc>
          <w:tcPr>
            <w:tcW w:w="1134"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104</w:t>
            </w:r>
          </w:p>
        </w:tc>
        <w:tc>
          <w:tcPr>
            <w:tcW w:w="1134"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rPr>
                <w:sz w:val="17"/>
              </w:rPr>
            </w:pPr>
            <w:r>
              <w:rPr>
                <w:sz w:val="17"/>
              </w:rPr>
              <w:t>93,4</w:t>
            </w:r>
          </w:p>
        </w:tc>
        <w:tc>
          <w:tcPr>
            <w:tcW w:w="2055"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8243,8</w:t>
            </w:r>
          </w:p>
        </w:tc>
        <w:tc>
          <w:tcPr>
            <w:tcW w:w="2056"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9182,4</w:t>
            </w:r>
          </w:p>
        </w:tc>
      </w:tr>
      <w:tr w:rsidR="00000000">
        <w:tblPrEx>
          <w:tblCellMar>
            <w:top w:w="0" w:type="dxa"/>
            <w:bottom w:w="0" w:type="dxa"/>
          </w:tblCellMar>
        </w:tblPrEx>
        <w:tc>
          <w:tcPr>
            <w:tcW w:w="1112" w:type="dxa"/>
            <w:tcBorders>
              <w:bottom w:val="single" w:sz="12" w:space="0" w:color="auto"/>
            </w:tcBorders>
          </w:tcPr>
          <w:p w:rsidR="00000000" w:rsidRDefault="00000000">
            <w:pPr>
              <w:pStyle w:val="SingleTxt"/>
              <w:spacing w:before="40" w:after="40" w:line="240" w:lineRule="auto"/>
              <w:ind w:left="0" w:right="0" w:firstLine="0"/>
              <w:rPr>
                <w:sz w:val="17"/>
              </w:rPr>
            </w:pPr>
            <w:r>
              <w:rPr>
                <w:sz w:val="17"/>
              </w:rPr>
              <w:t>2000</w:t>
            </w:r>
          </w:p>
        </w:tc>
        <w:tc>
          <w:tcPr>
            <w:tcW w:w="1134"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101</w:t>
            </w:r>
          </w:p>
        </w:tc>
        <w:tc>
          <w:tcPr>
            <w:tcW w:w="1134"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rPr>
                <w:sz w:val="17"/>
              </w:rPr>
            </w:pPr>
            <w:r>
              <w:rPr>
                <w:sz w:val="17"/>
              </w:rPr>
              <w:t>119,3</w:t>
            </w:r>
          </w:p>
        </w:tc>
        <w:tc>
          <w:tcPr>
            <w:tcW w:w="2055"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8580,9</w:t>
            </w:r>
          </w:p>
        </w:tc>
        <w:tc>
          <w:tcPr>
            <w:tcW w:w="2056"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7264,4</w:t>
            </w:r>
          </w:p>
        </w:tc>
      </w:tr>
    </w:tbl>
    <w:p w:rsidR="00000000" w:rsidRDefault="00000000">
      <w:pPr>
        <w:pStyle w:val="SingleTxt"/>
        <w:ind w:firstLine="0"/>
      </w:pPr>
      <w:r>
        <w:rPr>
          <w:i/>
        </w:rPr>
        <w:t>Источник</w:t>
      </w:r>
      <w:r>
        <w:t>: Медицинский статистический ежегодник, Словения, 1998 год, и Медицинский статистический ежегодник, Словения, 2000 год</w:t>
      </w:r>
    </w:p>
    <w:p w:rsidR="00000000" w:rsidRDefault="00000000">
      <w:pPr>
        <w:pStyle w:val="tt"/>
        <w:keepNext/>
      </w:pPr>
      <w:r>
        <w:t xml:space="preserve">Таблица 19. Диспансеризация женщин в медицинских учреждениях </w:t>
      </w:r>
      <w:r>
        <w:br/>
        <w:t>общ</w:t>
      </w:r>
      <w:r>
        <w:t>е</w:t>
      </w:r>
      <w:r>
        <w:t xml:space="preserve">го профиля для женщин и доля женщин, направляемых </w:t>
      </w:r>
      <w:r>
        <w:br/>
        <w:t>для консул</w:t>
      </w:r>
      <w:r>
        <w:t>ь</w:t>
      </w:r>
      <w:r>
        <w:t>таций к специалистам в больницы, 1998–2000 годы</w:t>
      </w:r>
    </w:p>
    <w:tbl>
      <w:tblPr>
        <w:tblW w:w="0" w:type="auto"/>
        <w:tblInd w:w="1278" w:type="dxa"/>
        <w:tblLayout w:type="fixed"/>
        <w:tblCellMar>
          <w:left w:w="57" w:type="dxa"/>
          <w:right w:w="57" w:type="dxa"/>
        </w:tblCellMar>
        <w:tblLook w:val="0000" w:firstRow="0" w:lastRow="0" w:firstColumn="0" w:lastColumn="0" w:noHBand="0" w:noVBand="0"/>
      </w:tblPr>
      <w:tblGrid>
        <w:gridCol w:w="760"/>
        <w:gridCol w:w="850"/>
        <w:gridCol w:w="709"/>
        <w:gridCol w:w="709"/>
        <w:gridCol w:w="872"/>
        <w:gridCol w:w="704"/>
        <w:gridCol w:w="704"/>
        <w:gridCol w:w="705"/>
        <w:gridCol w:w="704"/>
        <w:gridCol w:w="705"/>
      </w:tblGrid>
      <w:tr w:rsidR="00000000">
        <w:tblPrEx>
          <w:tblCellMar>
            <w:top w:w="0" w:type="dxa"/>
            <w:bottom w:w="0" w:type="dxa"/>
          </w:tblCellMar>
        </w:tblPrEx>
        <w:trPr>
          <w:cantSplit/>
        </w:trPr>
        <w:tc>
          <w:tcPr>
            <w:tcW w:w="760" w:type="dxa"/>
            <w:tcBorders>
              <w:top w:val="single" w:sz="6" w:space="0" w:color="auto"/>
            </w:tcBorders>
          </w:tcPr>
          <w:p w:rsidR="00000000" w:rsidRDefault="00000000">
            <w:pPr>
              <w:pStyle w:val="SingleTxt"/>
              <w:keepNext/>
              <w:spacing w:before="40" w:after="40" w:line="240" w:lineRule="auto"/>
              <w:ind w:left="0" w:right="0" w:firstLine="0"/>
              <w:rPr>
                <w:sz w:val="17"/>
              </w:rPr>
            </w:pPr>
          </w:p>
        </w:tc>
        <w:tc>
          <w:tcPr>
            <w:tcW w:w="850" w:type="dxa"/>
            <w:vMerge w:val="restart"/>
            <w:tcBorders>
              <w:top w:val="single" w:sz="6"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Все п</w:t>
            </w:r>
            <w:r>
              <w:rPr>
                <w:i/>
                <w:sz w:val="17"/>
              </w:rPr>
              <w:t>о</w:t>
            </w:r>
            <w:r>
              <w:rPr>
                <w:i/>
                <w:sz w:val="17"/>
              </w:rPr>
              <w:t>сещ</w:t>
            </w:r>
            <w:r>
              <w:rPr>
                <w:i/>
                <w:sz w:val="17"/>
              </w:rPr>
              <w:t>е</w:t>
            </w:r>
            <w:r>
              <w:rPr>
                <w:i/>
                <w:sz w:val="17"/>
              </w:rPr>
              <w:t>ния</w:t>
            </w:r>
          </w:p>
        </w:tc>
        <w:tc>
          <w:tcPr>
            <w:tcW w:w="1418" w:type="dxa"/>
            <w:gridSpan w:val="2"/>
            <w:tcBorders>
              <w:top w:val="single" w:sz="6" w:space="0" w:color="auto"/>
              <w:bottom w:val="single" w:sz="6"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Все случаи ди</w:t>
            </w:r>
            <w:r>
              <w:rPr>
                <w:i/>
                <w:sz w:val="17"/>
              </w:rPr>
              <w:t>с</w:t>
            </w:r>
            <w:r>
              <w:rPr>
                <w:i/>
                <w:sz w:val="17"/>
              </w:rPr>
              <w:t>пансериз</w:t>
            </w:r>
            <w:r>
              <w:rPr>
                <w:i/>
                <w:sz w:val="17"/>
              </w:rPr>
              <w:t>а</w:t>
            </w:r>
            <w:r>
              <w:rPr>
                <w:i/>
                <w:sz w:val="17"/>
              </w:rPr>
              <w:t>ции</w:t>
            </w:r>
          </w:p>
        </w:tc>
        <w:tc>
          <w:tcPr>
            <w:tcW w:w="4394" w:type="dxa"/>
            <w:gridSpan w:val="6"/>
            <w:tcBorders>
              <w:top w:val="single" w:sz="6" w:space="0" w:color="auto"/>
              <w:bottom w:val="single" w:sz="6"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Диспансеризация</w:t>
            </w:r>
          </w:p>
        </w:tc>
      </w:tr>
      <w:tr w:rsidR="00000000">
        <w:tblPrEx>
          <w:tblCellMar>
            <w:top w:w="0" w:type="dxa"/>
            <w:bottom w:w="0" w:type="dxa"/>
          </w:tblCellMar>
        </w:tblPrEx>
        <w:trPr>
          <w:cantSplit/>
        </w:trPr>
        <w:tc>
          <w:tcPr>
            <w:tcW w:w="760" w:type="dxa"/>
            <w:tcBorders>
              <w:bottom w:val="single" w:sz="12" w:space="0" w:color="auto"/>
            </w:tcBorders>
          </w:tcPr>
          <w:p w:rsidR="00000000" w:rsidRDefault="00000000">
            <w:pPr>
              <w:pStyle w:val="SingleTxt"/>
              <w:keepNext/>
              <w:spacing w:before="40" w:after="40" w:line="240" w:lineRule="auto"/>
              <w:ind w:left="0" w:right="0" w:firstLine="0"/>
              <w:rPr>
                <w:sz w:val="17"/>
              </w:rPr>
            </w:pPr>
          </w:p>
        </w:tc>
        <w:tc>
          <w:tcPr>
            <w:tcW w:w="850" w:type="dxa"/>
            <w:vMerge/>
            <w:tcBorders>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p>
        </w:tc>
        <w:tc>
          <w:tcPr>
            <w:tcW w:w="1418" w:type="dxa"/>
            <w:gridSpan w:val="2"/>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w:t>
            </w:r>
          </w:p>
        </w:tc>
        <w:tc>
          <w:tcPr>
            <w:tcW w:w="1576" w:type="dxa"/>
            <w:gridSpan w:val="2"/>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Береме</w:t>
            </w:r>
            <w:r>
              <w:rPr>
                <w:i/>
                <w:sz w:val="17"/>
              </w:rPr>
              <w:t>н</w:t>
            </w:r>
            <w:r>
              <w:rPr>
                <w:i/>
                <w:sz w:val="17"/>
              </w:rPr>
              <w:t xml:space="preserve">ность, </w:t>
            </w:r>
            <w:r>
              <w:rPr>
                <w:i/>
                <w:sz w:val="17"/>
                <w:lang w:val="en-US"/>
              </w:rPr>
              <w:br/>
            </w:r>
            <w:r>
              <w:rPr>
                <w:i/>
                <w:sz w:val="17"/>
              </w:rPr>
              <w:t>%</w:t>
            </w:r>
          </w:p>
        </w:tc>
        <w:tc>
          <w:tcPr>
            <w:tcW w:w="1409" w:type="dxa"/>
            <w:gridSpan w:val="2"/>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Контрацепция, %</w:t>
            </w:r>
          </w:p>
        </w:tc>
        <w:tc>
          <w:tcPr>
            <w:tcW w:w="1409" w:type="dxa"/>
            <w:gridSpan w:val="2"/>
            <w:tcBorders>
              <w:top w:val="single" w:sz="6" w:space="0" w:color="auto"/>
              <w:bottom w:val="single" w:sz="12" w:space="0" w:color="auto"/>
            </w:tcBorders>
            <w:vAlign w:val="center"/>
          </w:tcPr>
          <w:p w:rsidR="00000000" w:rsidRDefault="00000000">
            <w:pPr>
              <w:pStyle w:val="SingleTxt"/>
              <w:keepNext/>
              <w:spacing w:before="40" w:after="40" w:line="240" w:lineRule="auto"/>
              <w:ind w:left="0" w:right="0" w:firstLine="0"/>
              <w:jc w:val="center"/>
              <w:rPr>
                <w:i/>
                <w:sz w:val="17"/>
              </w:rPr>
            </w:pPr>
            <w:r>
              <w:rPr>
                <w:i/>
                <w:sz w:val="17"/>
              </w:rPr>
              <w:t>Другие причины, %</w:t>
            </w:r>
          </w:p>
        </w:tc>
      </w:tr>
      <w:tr w:rsidR="00000000">
        <w:tblPrEx>
          <w:tblCellMar>
            <w:top w:w="0" w:type="dxa"/>
            <w:bottom w:w="0" w:type="dxa"/>
          </w:tblCellMar>
        </w:tblPrEx>
        <w:tc>
          <w:tcPr>
            <w:tcW w:w="760" w:type="dxa"/>
            <w:tcBorders>
              <w:top w:val="single" w:sz="12" w:space="0" w:color="auto"/>
            </w:tcBorders>
          </w:tcPr>
          <w:p w:rsidR="00000000" w:rsidRDefault="00000000">
            <w:pPr>
              <w:pStyle w:val="SingleTxt"/>
              <w:spacing w:before="40" w:after="40" w:line="240" w:lineRule="auto"/>
              <w:ind w:left="0" w:right="0" w:firstLine="0"/>
              <w:rPr>
                <w:sz w:val="17"/>
              </w:rPr>
            </w:pPr>
            <w:r>
              <w:rPr>
                <w:sz w:val="17"/>
              </w:rPr>
              <w:t>1998</w:t>
            </w:r>
          </w:p>
        </w:tc>
        <w:tc>
          <w:tcPr>
            <w:tcW w:w="850"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688724</w:t>
            </w:r>
          </w:p>
        </w:tc>
        <w:tc>
          <w:tcPr>
            <w:tcW w:w="709"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340417</w:t>
            </w:r>
          </w:p>
        </w:tc>
        <w:tc>
          <w:tcPr>
            <w:tcW w:w="709"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49,4</w:t>
            </w:r>
          </w:p>
        </w:tc>
        <w:tc>
          <w:tcPr>
            <w:tcW w:w="872"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108825</w:t>
            </w:r>
          </w:p>
        </w:tc>
        <w:tc>
          <w:tcPr>
            <w:tcW w:w="704"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31,9</w:t>
            </w:r>
          </w:p>
        </w:tc>
        <w:tc>
          <w:tcPr>
            <w:tcW w:w="704"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153419</w:t>
            </w:r>
          </w:p>
        </w:tc>
        <w:tc>
          <w:tcPr>
            <w:tcW w:w="705"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45,0</w:t>
            </w:r>
          </w:p>
        </w:tc>
        <w:tc>
          <w:tcPr>
            <w:tcW w:w="704"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78173</w:t>
            </w:r>
          </w:p>
        </w:tc>
        <w:tc>
          <w:tcPr>
            <w:tcW w:w="705"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22,9</w:t>
            </w:r>
          </w:p>
        </w:tc>
      </w:tr>
      <w:tr w:rsidR="00000000">
        <w:tblPrEx>
          <w:tblCellMar>
            <w:top w:w="0" w:type="dxa"/>
            <w:bottom w:w="0" w:type="dxa"/>
          </w:tblCellMar>
        </w:tblPrEx>
        <w:tc>
          <w:tcPr>
            <w:tcW w:w="760" w:type="dxa"/>
            <w:tcBorders>
              <w:bottom w:val="single" w:sz="12" w:space="0" w:color="auto"/>
            </w:tcBorders>
          </w:tcPr>
          <w:p w:rsidR="00000000" w:rsidRDefault="00000000">
            <w:pPr>
              <w:pStyle w:val="SingleTxt"/>
              <w:spacing w:before="40" w:after="40" w:line="240" w:lineRule="auto"/>
              <w:ind w:left="0" w:right="0" w:firstLine="0"/>
              <w:rPr>
                <w:sz w:val="17"/>
              </w:rPr>
            </w:pPr>
            <w:r>
              <w:rPr>
                <w:sz w:val="17"/>
              </w:rPr>
              <w:t>2000</w:t>
            </w:r>
          </w:p>
        </w:tc>
        <w:tc>
          <w:tcPr>
            <w:tcW w:w="850"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802053</w:t>
            </w:r>
          </w:p>
        </w:tc>
        <w:tc>
          <w:tcPr>
            <w:tcW w:w="709"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384005</w:t>
            </w:r>
          </w:p>
        </w:tc>
        <w:tc>
          <w:tcPr>
            <w:tcW w:w="709"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47,9</w:t>
            </w:r>
          </w:p>
        </w:tc>
        <w:tc>
          <w:tcPr>
            <w:tcW w:w="872"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112724</w:t>
            </w:r>
          </w:p>
        </w:tc>
        <w:tc>
          <w:tcPr>
            <w:tcW w:w="704"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29,4</w:t>
            </w:r>
          </w:p>
        </w:tc>
        <w:tc>
          <w:tcPr>
            <w:tcW w:w="704"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157743</w:t>
            </w:r>
          </w:p>
        </w:tc>
        <w:tc>
          <w:tcPr>
            <w:tcW w:w="705"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41,1</w:t>
            </w:r>
          </w:p>
        </w:tc>
        <w:tc>
          <w:tcPr>
            <w:tcW w:w="704"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113538</w:t>
            </w:r>
          </w:p>
        </w:tc>
        <w:tc>
          <w:tcPr>
            <w:tcW w:w="705"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29,6</w:t>
            </w:r>
          </w:p>
        </w:tc>
      </w:tr>
    </w:tbl>
    <w:p w:rsidR="00000000" w:rsidRDefault="00000000">
      <w:pPr>
        <w:pStyle w:val="SingleTxt"/>
        <w:ind w:firstLine="0"/>
      </w:pPr>
      <w:r>
        <w:rPr>
          <w:i/>
        </w:rPr>
        <w:t>Источник</w:t>
      </w:r>
      <w:r>
        <w:t>: Медицинский статистический ежегодник, Словения, 1998 год, и Медицинский статистический ежегодник, Словения, 2000 год</w:t>
      </w:r>
    </w:p>
    <w:p w:rsidR="00000000" w:rsidRDefault="00000000">
      <w:pPr>
        <w:pStyle w:val="tt"/>
        <w:keepNext/>
      </w:pPr>
      <w:r>
        <w:t xml:space="preserve">Таблица 20. Обращения с жалобами в клиники общего профиля </w:t>
      </w:r>
      <w:r>
        <w:br/>
        <w:t>для же</w:t>
      </w:r>
      <w:r>
        <w:t>н</w:t>
      </w:r>
      <w:r>
        <w:t>щин, 1998 и 2000 годы</w:t>
      </w:r>
    </w:p>
    <w:tbl>
      <w:tblPr>
        <w:tblW w:w="0" w:type="auto"/>
        <w:tblInd w:w="1278" w:type="dxa"/>
        <w:tblLayout w:type="fixed"/>
        <w:tblLook w:val="0000" w:firstRow="0" w:lastRow="0" w:firstColumn="0" w:lastColumn="0" w:noHBand="0" w:noVBand="0"/>
      </w:tblPr>
      <w:tblGrid>
        <w:gridCol w:w="911"/>
        <w:gridCol w:w="920"/>
        <w:gridCol w:w="862"/>
        <w:gridCol w:w="779"/>
        <w:gridCol w:w="781"/>
        <w:gridCol w:w="780"/>
        <w:gridCol w:w="780"/>
        <w:gridCol w:w="780"/>
        <w:gridCol w:w="780"/>
      </w:tblGrid>
      <w:tr w:rsidR="00000000">
        <w:tblPrEx>
          <w:tblCellMar>
            <w:top w:w="0" w:type="dxa"/>
            <w:bottom w:w="0" w:type="dxa"/>
          </w:tblCellMar>
        </w:tblPrEx>
        <w:trPr>
          <w:cantSplit/>
        </w:trPr>
        <w:tc>
          <w:tcPr>
            <w:tcW w:w="911" w:type="dxa"/>
            <w:tcBorders>
              <w:top w:val="single" w:sz="6" w:space="0" w:color="auto"/>
            </w:tcBorders>
          </w:tcPr>
          <w:p w:rsidR="00000000" w:rsidRDefault="00000000">
            <w:pPr>
              <w:pStyle w:val="SingleTxt"/>
              <w:spacing w:before="40" w:after="40" w:line="240" w:lineRule="auto"/>
              <w:ind w:left="0" w:right="0" w:firstLine="0"/>
              <w:rPr>
                <w:sz w:val="17"/>
              </w:rPr>
            </w:pPr>
          </w:p>
        </w:tc>
        <w:tc>
          <w:tcPr>
            <w:tcW w:w="920" w:type="dxa"/>
            <w:vMerge w:val="restart"/>
            <w:tcBorders>
              <w:top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Все п</w:t>
            </w:r>
            <w:r>
              <w:rPr>
                <w:i/>
                <w:sz w:val="17"/>
              </w:rPr>
              <w:t>о</w:t>
            </w:r>
            <w:r>
              <w:rPr>
                <w:i/>
                <w:sz w:val="17"/>
              </w:rPr>
              <w:t>сещ</w:t>
            </w:r>
            <w:r>
              <w:rPr>
                <w:i/>
                <w:sz w:val="17"/>
              </w:rPr>
              <w:t>е</w:t>
            </w:r>
            <w:r>
              <w:rPr>
                <w:i/>
                <w:sz w:val="17"/>
              </w:rPr>
              <w:t>ния</w:t>
            </w:r>
          </w:p>
        </w:tc>
        <w:tc>
          <w:tcPr>
            <w:tcW w:w="862" w:type="dxa"/>
            <w:vMerge w:val="restart"/>
            <w:tcBorders>
              <w:top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Все о</w:t>
            </w:r>
            <w:r>
              <w:rPr>
                <w:i/>
                <w:sz w:val="17"/>
              </w:rPr>
              <w:t>б</w:t>
            </w:r>
            <w:r>
              <w:rPr>
                <w:i/>
                <w:sz w:val="17"/>
              </w:rPr>
              <w:t>ращ</w:t>
            </w:r>
            <w:r>
              <w:rPr>
                <w:i/>
                <w:sz w:val="17"/>
              </w:rPr>
              <w:t>е</w:t>
            </w:r>
            <w:r>
              <w:rPr>
                <w:i/>
                <w:sz w:val="17"/>
              </w:rPr>
              <w:t>ния с жал</w:t>
            </w:r>
            <w:r>
              <w:rPr>
                <w:i/>
                <w:sz w:val="17"/>
              </w:rPr>
              <w:t>о</w:t>
            </w:r>
            <w:r>
              <w:rPr>
                <w:i/>
                <w:sz w:val="17"/>
              </w:rPr>
              <w:t>бами</w:t>
            </w:r>
          </w:p>
        </w:tc>
        <w:tc>
          <w:tcPr>
            <w:tcW w:w="1560" w:type="dxa"/>
            <w:gridSpan w:val="2"/>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Первые обращ</w:t>
            </w:r>
            <w:r>
              <w:rPr>
                <w:i/>
                <w:sz w:val="17"/>
              </w:rPr>
              <w:t>е</w:t>
            </w:r>
            <w:r>
              <w:rPr>
                <w:i/>
                <w:sz w:val="17"/>
              </w:rPr>
              <w:t>ния с жалобами</w:t>
            </w:r>
          </w:p>
        </w:tc>
        <w:tc>
          <w:tcPr>
            <w:tcW w:w="1560" w:type="dxa"/>
            <w:gridSpan w:val="2"/>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Направления к специал</w:t>
            </w:r>
            <w:r>
              <w:rPr>
                <w:i/>
                <w:sz w:val="17"/>
              </w:rPr>
              <w:t>и</w:t>
            </w:r>
            <w:r>
              <w:rPr>
                <w:i/>
                <w:sz w:val="17"/>
              </w:rPr>
              <w:t>стам</w:t>
            </w:r>
          </w:p>
        </w:tc>
        <w:tc>
          <w:tcPr>
            <w:tcW w:w="1560" w:type="dxa"/>
            <w:gridSpan w:val="2"/>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Направления в бол</w:t>
            </w:r>
            <w:r>
              <w:rPr>
                <w:i/>
                <w:sz w:val="17"/>
              </w:rPr>
              <w:t>ь</w:t>
            </w:r>
            <w:r>
              <w:rPr>
                <w:i/>
                <w:sz w:val="17"/>
              </w:rPr>
              <w:t>ницы</w:t>
            </w:r>
          </w:p>
        </w:tc>
      </w:tr>
      <w:tr w:rsidR="00000000">
        <w:tblPrEx>
          <w:tblCellMar>
            <w:top w:w="0" w:type="dxa"/>
            <w:bottom w:w="0" w:type="dxa"/>
          </w:tblCellMar>
        </w:tblPrEx>
        <w:trPr>
          <w:cantSplit/>
        </w:trPr>
        <w:tc>
          <w:tcPr>
            <w:tcW w:w="911" w:type="dxa"/>
            <w:tcBorders>
              <w:bottom w:val="single" w:sz="12" w:space="0" w:color="auto"/>
            </w:tcBorders>
          </w:tcPr>
          <w:p w:rsidR="00000000" w:rsidRDefault="00000000">
            <w:pPr>
              <w:pStyle w:val="SingleTxt"/>
              <w:spacing w:before="40" w:after="40" w:line="240" w:lineRule="auto"/>
              <w:ind w:left="0" w:right="0" w:firstLine="0"/>
              <w:rPr>
                <w:sz w:val="17"/>
              </w:rPr>
            </w:pPr>
          </w:p>
        </w:tc>
        <w:tc>
          <w:tcPr>
            <w:tcW w:w="920" w:type="dxa"/>
            <w:vMerge/>
            <w:tcBorders>
              <w:bottom w:val="single" w:sz="12" w:space="0" w:color="auto"/>
            </w:tcBorders>
          </w:tcPr>
          <w:p w:rsidR="00000000" w:rsidRDefault="00000000">
            <w:pPr>
              <w:pStyle w:val="SingleTxt"/>
              <w:spacing w:before="40" w:after="40" w:line="240" w:lineRule="auto"/>
              <w:ind w:left="0" w:right="0" w:firstLine="0"/>
              <w:jc w:val="center"/>
              <w:rPr>
                <w:i/>
                <w:sz w:val="17"/>
              </w:rPr>
            </w:pPr>
          </w:p>
        </w:tc>
        <w:tc>
          <w:tcPr>
            <w:tcW w:w="862" w:type="dxa"/>
            <w:vMerge/>
            <w:tcBorders>
              <w:bottom w:val="single" w:sz="12" w:space="0" w:color="auto"/>
            </w:tcBorders>
          </w:tcPr>
          <w:p w:rsidR="00000000" w:rsidRDefault="00000000">
            <w:pPr>
              <w:pStyle w:val="SingleTxt"/>
              <w:spacing w:before="40" w:after="40" w:line="240" w:lineRule="auto"/>
              <w:ind w:left="0" w:right="0" w:firstLine="0"/>
              <w:jc w:val="center"/>
              <w:rPr>
                <w:i/>
                <w:sz w:val="17"/>
              </w:rPr>
            </w:pPr>
          </w:p>
        </w:tc>
        <w:tc>
          <w:tcPr>
            <w:tcW w:w="779"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кол</w:t>
            </w:r>
            <w:r>
              <w:rPr>
                <w:i/>
                <w:sz w:val="17"/>
                <w:lang w:val="en-US"/>
              </w:rPr>
              <w:t>-</w:t>
            </w:r>
            <w:r>
              <w:rPr>
                <w:i/>
                <w:sz w:val="17"/>
              </w:rPr>
              <w:t>во</w:t>
            </w:r>
          </w:p>
        </w:tc>
        <w:tc>
          <w:tcPr>
            <w:tcW w:w="781"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в %</w:t>
            </w:r>
          </w:p>
        </w:tc>
        <w:tc>
          <w:tcPr>
            <w:tcW w:w="78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кол</w:t>
            </w:r>
            <w:r>
              <w:rPr>
                <w:i/>
                <w:sz w:val="17"/>
                <w:lang w:val="en-US"/>
              </w:rPr>
              <w:t>-</w:t>
            </w:r>
            <w:r>
              <w:rPr>
                <w:i/>
                <w:sz w:val="17"/>
              </w:rPr>
              <w:t>во</w:t>
            </w:r>
          </w:p>
        </w:tc>
        <w:tc>
          <w:tcPr>
            <w:tcW w:w="78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в %</w:t>
            </w:r>
          </w:p>
        </w:tc>
        <w:tc>
          <w:tcPr>
            <w:tcW w:w="78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кол</w:t>
            </w:r>
            <w:r>
              <w:rPr>
                <w:i/>
                <w:sz w:val="17"/>
                <w:lang w:val="en-US"/>
              </w:rPr>
              <w:t>-</w:t>
            </w:r>
            <w:r>
              <w:rPr>
                <w:i/>
                <w:sz w:val="17"/>
              </w:rPr>
              <w:t>во</w:t>
            </w:r>
          </w:p>
        </w:tc>
        <w:tc>
          <w:tcPr>
            <w:tcW w:w="780"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в %</w:t>
            </w:r>
          </w:p>
        </w:tc>
      </w:tr>
      <w:tr w:rsidR="00000000">
        <w:tblPrEx>
          <w:tblCellMar>
            <w:top w:w="0" w:type="dxa"/>
            <w:bottom w:w="0" w:type="dxa"/>
          </w:tblCellMar>
        </w:tblPrEx>
        <w:tc>
          <w:tcPr>
            <w:tcW w:w="911" w:type="dxa"/>
            <w:tcBorders>
              <w:top w:val="single" w:sz="12" w:space="0" w:color="auto"/>
            </w:tcBorders>
          </w:tcPr>
          <w:p w:rsidR="00000000" w:rsidRDefault="00000000">
            <w:pPr>
              <w:pStyle w:val="SingleTxt"/>
              <w:spacing w:before="40" w:after="40" w:line="240" w:lineRule="auto"/>
              <w:ind w:left="0" w:right="0" w:firstLine="0"/>
              <w:rPr>
                <w:sz w:val="17"/>
              </w:rPr>
            </w:pPr>
            <w:r>
              <w:rPr>
                <w:sz w:val="17"/>
              </w:rPr>
              <w:t>1998</w:t>
            </w:r>
          </w:p>
        </w:tc>
        <w:tc>
          <w:tcPr>
            <w:tcW w:w="920"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688724</w:t>
            </w:r>
          </w:p>
        </w:tc>
        <w:tc>
          <w:tcPr>
            <w:tcW w:w="862"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348307</w:t>
            </w:r>
          </w:p>
        </w:tc>
        <w:tc>
          <w:tcPr>
            <w:tcW w:w="779"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197826</w:t>
            </w:r>
          </w:p>
        </w:tc>
        <w:tc>
          <w:tcPr>
            <w:tcW w:w="781"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56,8</w:t>
            </w:r>
          </w:p>
        </w:tc>
        <w:tc>
          <w:tcPr>
            <w:tcW w:w="780"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25854</w:t>
            </w:r>
          </w:p>
        </w:tc>
        <w:tc>
          <w:tcPr>
            <w:tcW w:w="780"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3,7</w:t>
            </w:r>
          </w:p>
        </w:tc>
        <w:tc>
          <w:tcPr>
            <w:tcW w:w="780"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23265</w:t>
            </w:r>
          </w:p>
        </w:tc>
        <w:tc>
          <w:tcPr>
            <w:tcW w:w="780" w:type="dxa"/>
            <w:tcBorders>
              <w:top w:val="single" w:sz="12" w:space="0" w:color="auto"/>
            </w:tcBorders>
          </w:tcPr>
          <w:p w:rsidR="00000000" w:rsidRDefault="00000000">
            <w:pPr>
              <w:pStyle w:val="SingleTxt"/>
              <w:spacing w:before="40" w:after="40" w:line="240" w:lineRule="auto"/>
              <w:ind w:left="0" w:right="0" w:firstLine="0"/>
              <w:jc w:val="center"/>
              <w:rPr>
                <w:sz w:val="17"/>
              </w:rPr>
            </w:pPr>
            <w:r>
              <w:rPr>
                <w:sz w:val="17"/>
              </w:rPr>
              <w:t>3,3</w:t>
            </w:r>
          </w:p>
        </w:tc>
      </w:tr>
      <w:tr w:rsidR="00000000">
        <w:tblPrEx>
          <w:tblCellMar>
            <w:top w:w="0" w:type="dxa"/>
            <w:bottom w:w="0" w:type="dxa"/>
          </w:tblCellMar>
        </w:tblPrEx>
        <w:tc>
          <w:tcPr>
            <w:tcW w:w="911" w:type="dxa"/>
            <w:tcBorders>
              <w:bottom w:val="single" w:sz="12" w:space="0" w:color="auto"/>
            </w:tcBorders>
          </w:tcPr>
          <w:p w:rsidR="00000000" w:rsidRDefault="00000000">
            <w:pPr>
              <w:pStyle w:val="SingleTxt"/>
              <w:spacing w:before="40" w:after="40" w:line="240" w:lineRule="auto"/>
              <w:ind w:left="0" w:right="0" w:firstLine="0"/>
              <w:rPr>
                <w:sz w:val="17"/>
              </w:rPr>
            </w:pPr>
            <w:r>
              <w:rPr>
                <w:sz w:val="17"/>
              </w:rPr>
              <w:t>2000</w:t>
            </w:r>
          </w:p>
        </w:tc>
        <w:tc>
          <w:tcPr>
            <w:tcW w:w="920"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802053</w:t>
            </w:r>
          </w:p>
        </w:tc>
        <w:tc>
          <w:tcPr>
            <w:tcW w:w="862"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418048</w:t>
            </w:r>
          </w:p>
        </w:tc>
        <w:tc>
          <w:tcPr>
            <w:tcW w:w="779"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229272</w:t>
            </w:r>
          </w:p>
        </w:tc>
        <w:tc>
          <w:tcPr>
            <w:tcW w:w="781"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54,8</w:t>
            </w:r>
          </w:p>
        </w:tc>
        <w:tc>
          <w:tcPr>
            <w:tcW w:w="780"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31675</w:t>
            </w:r>
          </w:p>
        </w:tc>
        <w:tc>
          <w:tcPr>
            <w:tcW w:w="780"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4,0</w:t>
            </w:r>
          </w:p>
        </w:tc>
        <w:tc>
          <w:tcPr>
            <w:tcW w:w="780"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24081</w:t>
            </w:r>
          </w:p>
        </w:tc>
        <w:tc>
          <w:tcPr>
            <w:tcW w:w="780" w:type="dxa"/>
            <w:tcBorders>
              <w:bottom w:val="single" w:sz="12" w:space="0" w:color="auto"/>
            </w:tcBorders>
          </w:tcPr>
          <w:p w:rsidR="00000000" w:rsidRDefault="00000000">
            <w:pPr>
              <w:pStyle w:val="SingleTxt"/>
              <w:spacing w:before="40" w:after="40" w:line="240" w:lineRule="auto"/>
              <w:ind w:left="0" w:right="0" w:firstLine="0"/>
              <w:jc w:val="center"/>
              <w:rPr>
                <w:sz w:val="17"/>
              </w:rPr>
            </w:pPr>
            <w:r>
              <w:rPr>
                <w:sz w:val="17"/>
              </w:rPr>
              <w:t>3,0</w:t>
            </w:r>
          </w:p>
        </w:tc>
      </w:tr>
    </w:tbl>
    <w:p w:rsidR="00000000" w:rsidRDefault="00000000">
      <w:pPr>
        <w:pStyle w:val="SingleTxt"/>
        <w:ind w:firstLine="0"/>
      </w:pPr>
      <w:r>
        <w:rPr>
          <w:i/>
        </w:rPr>
        <w:t>Источник</w:t>
      </w:r>
      <w:r>
        <w:t>: Медицинский статистический ежегодник, Словения, 1998 год, и Медицинский статистический ежегодник, Словения, 2000 год</w:t>
      </w:r>
    </w:p>
    <w:p w:rsidR="00000000" w:rsidRDefault="00000000">
      <w:pPr>
        <w:pStyle w:val="H4"/>
      </w:pPr>
      <w:r>
        <w:t xml:space="preserve">2.2. </w:t>
      </w:r>
      <w:r>
        <w:rPr>
          <w:lang w:val="en-US"/>
        </w:rPr>
        <w:tab/>
      </w:r>
      <w:r>
        <w:t>Заболеваемость и смертность женщин, а также материнская смертность</w:t>
      </w:r>
    </w:p>
    <w:p w:rsidR="00000000" w:rsidRDefault="00000000">
      <w:pPr>
        <w:pStyle w:val="SingleTxt"/>
      </w:pPr>
      <w:r>
        <w:t>В Словении был достигнут определенный успех в том, что касается с</w:t>
      </w:r>
      <w:r>
        <w:t>о</w:t>
      </w:r>
      <w:r>
        <w:t>кращения младенческой смертности, которая в 1998 году составила 5,2 случая на тысячу живорождений и 4,9 на 1000 живорождений в 2000 году.</w:t>
      </w:r>
    </w:p>
    <w:p w:rsidR="00000000" w:rsidRDefault="00000000">
      <w:pPr>
        <w:pStyle w:val="SingleTxt"/>
      </w:pPr>
      <w:r>
        <w:t>По сравнению со Вторым докладом материнская смертность (смертность в период беременности, при родах и в послеродовой период) остается весьма высокой. В 1996 году на 100 000 живорожденных детей умерло 26 женщин, а в 2000 году этот показатель возрос до 27,8 материнских смертей на 100 000 живорожденных детей. Вследствие этого Словения относится к числу европейских стран с высоким уровнем материнской смертности. К числу на</w:t>
      </w:r>
      <w:r>
        <w:t>и</w:t>
      </w:r>
      <w:r>
        <w:t>более частных причин смертности в период беременности, при родах и в п</w:t>
      </w:r>
      <w:r>
        <w:t>о</w:t>
      </w:r>
      <w:r>
        <w:t>слеродовой период относится кровотечение в период беременности и после р</w:t>
      </w:r>
      <w:r>
        <w:t>о</w:t>
      </w:r>
      <w:r>
        <w:t>дов, а также септические условия.</w:t>
      </w:r>
    </w:p>
    <w:p w:rsidR="00000000" w:rsidRDefault="00000000">
      <w:pPr>
        <w:pStyle w:val="SingleTxt"/>
      </w:pPr>
      <w:r>
        <w:t>В Словении к наиболее часто встречающимся заболеваниям, которые та</w:t>
      </w:r>
      <w:r>
        <w:t>к</w:t>
      </w:r>
      <w:r>
        <w:t>же являются причинами смерти, относятся сердечно-сосудистые и онкологич</w:t>
      </w:r>
      <w:r>
        <w:t>е</w:t>
      </w:r>
      <w:r>
        <w:t>ские заболевания. Количество случаев заболевания раком растет с каждым г</w:t>
      </w:r>
      <w:r>
        <w:t>о</w:t>
      </w:r>
      <w:r>
        <w:t>дом. Среди женщин наиболее распространен рак груди, после которого следует рак кожи, рак толстой кишки и прямой кишки, рак матки, рак шейки матки и рак легких.</w:t>
      </w:r>
    </w:p>
    <w:p w:rsidR="00000000" w:rsidRDefault="00000000">
      <w:pPr>
        <w:pStyle w:val="tt"/>
        <w:keepNext/>
      </w:pPr>
      <w:r>
        <w:t xml:space="preserve">Таблица 21. Наиболее часто встречающиеся заболевания (диагнозы) </w:t>
      </w:r>
      <w:r>
        <w:br/>
        <w:t>в ра</w:t>
      </w:r>
      <w:r>
        <w:t>з</w:t>
      </w:r>
      <w:r>
        <w:t>бивке по кодам МКБ-10 и полу в 2000 году</w:t>
      </w:r>
    </w:p>
    <w:tbl>
      <w:tblPr>
        <w:tblW w:w="0" w:type="auto"/>
        <w:tblInd w:w="1209" w:type="dxa"/>
        <w:tblLayout w:type="fixed"/>
        <w:tblCellMar>
          <w:left w:w="57" w:type="dxa"/>
          <w:right w:w="57" w:type="dxa"/>
        </w:tblCellMar>
        <w:tblLook w:val="0000" w:firstRow="0" w:lastRow="0" w:firstColumn="0" w:lastColumn="0" w:noHBand="0" w:noVBand="0"/>
      </w:tblPr>
      <w:tblGrid>
        <w:gridCol w:w="1679"/>
        <w:gridCol w:w="709"/>
        <w:gridCol w:w="709"/>
        <w:gridCol w:w="732"/>
        <w:gridCol w:w="732"/>
        <w:gridCol w:w="733"/>
        <w:gridCol w:w="732"/>
        <w:gridCol w:w="732"/>
        <w:gridCol w:w="733"/>
      </w:tblGrid>
      <w:tr w:rsidR="00000000">
        <w:tblPrEx>
          <w:tblCellMar>
            <w:top w:w="0" w:type="dxa"/>
            <w:bottom w:w="0" w:type="dxa"/>
          </w:tblCellMar>
        </w:tblPrEx>
        <w:trPr>
          <w:cantSplit/>
          <w:tblHeader/>
        </w:trPr>
        <w:tc>
          <w:tcPr>
            <w:tcW w:w="1679" w:type="dxa"/>
            <w:vMerge w:val="restart"/>
            <w:tcBorders>
              <w:top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Заболевание</w:t>
            </w:r>
          </w:p>
        </w:tc>
        <w:tc>
          <w:tcPr>
            <w:tcW w:w="1418" w:type="dxa"/>
            <w:gridSpan w:val="2"/>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Всего</w:t>
            </w:r>
          </w:p>
        </w:tc>
        <w:tc>
          <w:tcPr>
            <w:tcW w:w="2197" w:type="dxa"/>
            <w:gridSpan w:val="3"/>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Мужчины</w:t>
            </w:r>
          </w:p>
        </w:tc>
        <w:tc>
          <w:tcPr>
            <w:tcW w:w="2197" w:type="dxa"/>
            <w:gridSpan w:val="3"/>
            <w:tcBorders>
              <w:top w:val="single" w:sz="6" w:space="0" w:color="auto"/>
              <w:bottom w:val="single" w:sz="6"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Женщины</w:t>
            </w:r>
          </w:p>
        </w:tc>
      </w:tr>
      <w:tr w:rsidR="00000000">
        <w:tblPrEx>
          <w:tblCellMar>
            <w:top w:w="0" w:type="dxa"/>
            <w:bottom w:w="0" w:type="dxa"/>
          </w:tblCellMar>
        </w:tblPrEx>
        <w:trPr>
          <w:cantSplit/>
          <w:tblHeader/>
        </w:trPr>
        <w:tc>
          <w:tcPr>
            <w:tcW w:w="1679" w:type="dxa"/>
            <w:vMerge/>
            <w:tcBorders>
              <w:bottom w:val="single" w:sz="12" w:space="0" w:color="auto"/>
            </w:tcBorders>
            <w:vAlign w:val="center"/>
          </w:tcPr>
          <w:p w:rsidR="00000000" w:rsidRDefault="00000000">
            <w:pPr>
              <w:pStyle w:val="SingleTxt"/>
              <w:spacing w:before="40" w:after="40" w:line="240" w:lineRule="auto"/>
              <w:ind w:left="0" w:right="0" w:firstLine="0"/>
              <w:jc w:val="center"/>
              <w:rPr>
                <w:i/>
                <w:sz w:val="17"/>
              </w:rPr>
            </w:pPr>
          </w:p>
        </w:tc>
        <w:tc>
          <w:tcPr>
            <w:tcW w:w="70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кол-во</w:t>
            </w:r>
          </w:p>
        </w:tc>
        <w:tc>
          <w:tcPr>
            <w:tcW w:w="709"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в %</w:t>
            </w:r>
          </w:p>
        </w:tc>
        <w:tc>
          <w:tcPr>
            <w:tcW w:w="732"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кол-во</w:t>
            </w:r>
          </w:p>
        </w:tc>
        <w:tc>
          <w:tcPr>
            <w:tcW w:w="732"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доля му</w:t>
            </w:r>
            <w:r>
              <w:rPr>
                <w:i/>
                <w:sz w:val="17"/>
              </w:rPr>
              <w:t>ж</w:t>
            </w:r>
            <w:r>
              <w:rPr>
                <w:i/>
                <w:sz w:val="17"/>
              </w:rPr>
              <w:t>чин в %</w:t>
            </w:r>
          </w:p>
        </w:tc>
        <w:tc>
          <w:tcPr>
            <w:tcW w:w="733"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общая д</w:t>
            </w:r>
            <w:r>
              <w:rPr>
                <w:i/>
                <w:sz w:val="17"/>
              </w:rPr>
              <w:t>о</w:t>
            </w:r>
            <w:r>
              <w:rPr>
                <w:i/>
                <w:sz w:val="17"/>
              </w:rPr>
              <w:t xml:space="preserve">ля </w:t>
            </w:r>
            <w:r>
              <w:rPr>
                <w:i/>
                <w:sz w:val="17"/>
              </w:rPr>
              <w:br/>
              <w:t>в %</w:t>
            </w:r>
          </w:p>
        </w:tc>
        <w:tc>
          <w:tcPr>
            <w:tcW w:w="732"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кол-во</w:t>
            </w:r>
          </w:p>
        </w:tc>
        <w:tc>
          <w:tcPr>
            <w:tcW w:w="732"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доля же</w:t>
            </w:r>
            <w:r>
              <w:rPr>
                <w:i/>
                <w:sz w:val="17"/>
              </w:rPr>
              <w:t>н</w:t>
            </w:r>
            <w:r>
              <w:rPr>
                <w:i/>
                <w:sz w:val="17"/>
              </w:rPr>
              <w:t xml:space="preserve">щин </w:t>
            </w:r>
            <w:r>
              <w:rPr>
                <w:i/>
                <w:sz w:val="17"/>
              </w:rPr>
              <w:br/>
              <w:t>в %</w:t>
            </w:r>
          </w:p>
        </w:tc>
        <w:tc>
          <w:tcPr>
            <w:tcW w:w="733"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 xml:space="preserve">общая доля </w:t>
            </w:r>
            <w:r>
              <w:rPr>
                <w:i/>
                <w:sz w:val="17"/>
              </w:rPr>
              <w:br/>
              <w:t>в %</w:t>
            </w:r>
          </w:p>
        </w:tc>
      </w:tr>
      <w:tr w:rsidR="00000000">
        <w:tblPrEx>
          <w:tblCellMar>
            <w:top w:w="0" w:type="dxa"/>
            <w:bottom w:w="0" w:type="dxa"/>
          </w:tblCellMar>
        </w:tblPrEx>
        <w:tc>
          <w:tcPr>
            <w:tcW w:w="1679" w:type="dxa"/>
            <w:tcBorders>
              <w:top w:val="single" w:sz="12" w:space="0" w:color="auto"/>
            </w:tcBorders>
          </w:tcPr>
          <w:p w:rsidR="00000000" w:rsidRDefault="00000000">
            <w:pPr>
              <w:pStyle w:val="SingleTxt"/>
              <w:spacing w:before="40" w:after="40" w:line="240" w:lineRule="auto"/>
              <w:ind w:left="0" w:right="0" w:firstLine="0"/>
              <w:jc w:val="left"/>
              <w:rPr>
                <w:b/>
                <w:sz w:val="17"/>
              </w:rPr>
            </w:pPr>
            <w:r>
              <w:rPr>
                <w:b/>
                <w:sz w:val="17"/>
              </w:rPr>
              <w:t>Всего</w:t>
            </w:r>
          </w:p>
        </w:tc>
        <w:tc>
          <w:tcPr>
            <w:tcW w:w="709" w:type="dxa"/>
            <w:tcBorders>
              <w:top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273896</w:t>
            </w:r>
          </w:p>
        </w:tc>
        <w:tc>
          <w:tcPr>
            <w:tcW w:w="709" w:type="dxa"/>
            <w:tcBorders>
              <w:top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100,0</w:t>
            </w:r>
          </w:p>
        </w:tc>
        <w:tc>
          <w:tcPr>
            <w:tcW w:w="732" w:type="dxa"/>
            <w:tcBorders>
              <w:top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122178</w:t>
            </w:r>
          </w:p>
        </w:tc>
        <w:tc>
          <w:tcPr>
            <w:tcW w:w="732" w:type="dxa"/>
            <w:tcBorders>
              <w:top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100,0</w:t>
            </w:r>
          </w:p>
        </w:tc>
        <w:tc>
          <w:tcPr>
            <w:tcW w:w="733" w:type="dxa"/>
            <w:tcBorders>
              <w:top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44,6</w:t>
            </w:r>
          </w:p>
        </w:tc>
        <w:tc>
          <w:tcPr>
            <w:tcW w:w="732" w:type="dxa"/>
            <w:tcBorders>
              <w:top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153441</w:t>
            </w:r>
          </w:p>
        </w:tc>
        <w:tc>
          <w:tcPr>
            <w:tcW w:w="732" w:type="dxa"/>
            <w:tcBorders>
              <w:top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100,0</w:t>
            </w:r>
          </w:p>
        </w:tc>
        <w:tc>
          <w:tcPr>
            <w:tcW w:w="733" w:type="dxa"/>
            <w:tcBorders>
              <w:top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56,0</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Инфекционные и паразитарные б</w:t>
            </w:r>
            <w:r>
              <w:rPr>
                <w:sz w:val="17"/>
              </w:rPr>
              <w:t>о</w:t>
            </w:r>
            <w:r>
              <w:rPr>
                <w:sz w:val="17"/>
              </w:rPr>
              <w:t>лезни</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9786</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3,6</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4873</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3,9</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49,8</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4963</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3,2</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50,7</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Новообразов</w:t>
            </w:r>
            <w:r>
              <w:rPr>
                <w:sz w:val="17"/>
              </w:rPr>
              <w:t>а</w:t>
            </w:r>
            <w:r>
              <w:rPr>
                <w:sz w:val="17"/>
              </w:rPr>
              <w:t>ние</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34367</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12,5</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15790</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12,9</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45,9</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18851</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12,3</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54,8</w:t>
            </w:r>
          </w:p>
        </w:tc>
      </w:tr>
      <w:tr w:rsidR="00000000">
        <w:tblPrEx>
          <w:tblCellMar>
            <w:top w:w="0" w:type="dxa"/>
            <w:bottom w:w="0" w:type="dxa"/>
          </w:tblCellMar>
        </w:tblPrEx>
        <w:tc>
          <w:tcPr>
            <w:tcW w:w="1679" w:type="dxa"/>
          </w:tcPr>
          <w:p w:rsidR="00000000" w:rsidRDefault="00000000">
            <w:pPr>
              <w:pStyle w:val="SingleTxt"/>
              <w:keepNext/>
              <w:spacing w:before="40" w:after="40" w:line="240" w:lineRule="auto"/>
              <w:ind w:left="0" w:right="0" w:firstLine="0"/>
              <w:jc w:val="left"/>
              <w:rPr>
                <w:sz w:val="17"/>
              </w:rPr>
            </w:pPr>
            <w:r>
              <w:rPr>
                <w:sz w:val="17"/>
              </w:rPr>
              <w:t>Болезни крови и органов кровоо</w:t>
            </w:r>
            <w:r>
              <w:rPr>
                <w:sz w:val="17"/>
              </w:rPr>
              <w:t>б</w:t>
            </w:r>
            <w:r>
              <w:rPr>
                <w:sz w:val="17"/>
              </w:rPr>
              <w:t>ращения</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2896</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1,1</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1266</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1,0</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43,7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1636</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1,1</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56,5</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Болезни эндокри</w:t>
            </w:r>
            <w:r>
              <w:rPr>
                <w:sz w:val="17"/>
              </w:rPr>
              <w:t>н</w:t>
            </w:r>
            <w:r>
              <w:rPr>
                <w:sz w:val="17"/>
              </w:rPr>
              <w:t>ной системы, б</w:t>
            </w:r>
            <w:r>
              <w:rPr>
                <w:sz w:val="17"/>
              </w:rPr>
              <w:t>о</w:t>
            </w:r>
            <w:r>
              <w:rPr>
                <w:sz w:val="17"/>
              </w:rPr>
              <w:t>лезни, связанные с питанием и обм</w:t>
            </w:r>
            <w:r>
              <w:rPr>
                <w:sz w:val="17"/>
              </w:rPr>
              <w:t>е</w:t>
            </w:r>
            <w:r>
              <w:rPr>
                <w:sz w:val="17"/>
              </w:rPr>
              <w:t>ном в</w:t>
            </w:r>
            <w:r>
              <w:rPr>
                <w:sz w:val="17"/>
              </w:rPr>
              <w:t>е</w:t>
            </w:r>
            <w:r>
              <w:rPr>
                <w:sz w:val="17"/>
              </w:rPr>
              <w:t>ществ</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6610</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2,4</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2697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2,2</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40,8</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3938</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2,6</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59,6</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Психические заб</w:t>
            </w:r>
            <w:r>
              <w:rPr>
                <w:sz w:val="17"/>
              </w:rPr>
              <w:t>о</w:t>
            </w:r>
            <w:r>
              <w:rPr>
                <w:sz w:val="17"/>
              </w:rPr>
              <w:t>левания и отклон</w:t>
            </w:r>
            <w:r>
              <w:rPr>
                <w:sz w:val="17"/>
              </w:rPr>
              <w:t>е</w:t>
            </w:r>
            <w:r>
              <w:rPr>
                <w:sz w:val="17"/>
              </w:rPr>
              <w:t>ния</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11263</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4,1</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6027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4,9</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53,5</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5274</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3,4</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46,8</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Болезни централ</w:t>
            </w:r>
            <w:r>
              <w:rPr>
                <w:sz w:val="17"/>
              </w:rPr>
              <w:t>ь</w:t>
            </w:r>
            <w:r>
              <w:rPr>
                <w:sz w:val="17"/>
              </w:rPr>
              <w:t>ной нервной сист</w:t>
            </w:r>
            <w:r>
              <w:rPr>
                <w:sz w:val="17"/>
              </w:rPr>
              <w:t>е</w:t>
            </w:r>
            <w:r>
              <w:rPr>
                <w:sz w:val="17"/>
              </w:rPr>
              <w:t>мы</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7259</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2,7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3479</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2,9</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47,9</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3816</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2,5</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52,6</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Глазные болезни и болезни прида</w:t>
            </w:r>
            <w:r>
              <w:rPr>
                <w:sz w:val="17"/>
              </w:rPr>
              <w:t>т</w:t>
            </w:r>
            <w:r>
              <w:rPr>
                <w:sz w:val="17"/>
              </w:rPr>
              <w:t>ков</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7273</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2,7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3019</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2,5</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41,5</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4272</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2,8</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58,7</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Болезни органов слуха и сосцеви</w:t>
            </w:r>
            <w:r>
              <w:rPr>
                <w:sz w:val="17"/>
              </w:rPr>
              <w:t>д</w:t>
            </w:r>
            <w:r>
              <w:rPr>
                <w:sz w:val="17"/>
              </w:rPr>
              <w:t>ных отрос</w:t>
            </w:r>
            <w:r>
              <w:rPr>
                <w:sz w:val="17"/>
              </w:rPr>
              <w:t>т</w:t>
            </w:r>
            <w:r>
              <w:rPr>
                <w:sz w:val="17"/>
              </w:rPr>
              <w:t>ков</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1907</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0,7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966</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0,8</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50,7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949</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0,6</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49,8</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Болезни сосудистой си</w:t>
            </w:r>
            <w:r>
              <w:rPr>
                <w:sz w:val="17"/>
              </w:rPr>
              <w:t>с</w:t>
            </w:r>
            <w:r>
              <w:rPr>
                <w:sz w:val="17"/>
              </w:rPr>
              <w:t>темы</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35474</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12,9</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18634</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15,3</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52,5</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17019</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11,1</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48,1</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Болезни органов дых</w:t>
            </w:r>
            <w:r>
              <w:rPr>
                <w:sz w:val="17"/>
              </w:rPr>
              <w:t>а</w:t>
            </w:r>
            <w:r>
              <w:rPr>
                <w:sz w:val="17"/>
              </w:rPr>
              <w:t>ния</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25329</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9,2</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14483</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11,9</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57,2</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10903</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7,1</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34,0</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Болезни органов пищевар</w:t>
            </w:r>
            <w:r>
              <w:rPr>
                <w:sz w:val="17"/>
              </w:rPr>
              <w:t>е</w:t>
            </w:r>
            <w:r>
              <w:rPr>
                <w:sz w:val="17"/>
              </w:rPr>
              <w:t>ния</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32381</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11,8</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17295</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14,2</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53,4</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15272</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9,9</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47,2</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Болезни кожи и подкожной тк</w:t>
            </w:r>
            <w:r>
              <w:rPr>
                <w:sz w:val="17"/>
              </w:rPr>
              <w:t>а</w:t>
            </w:r>
            <w:r>
              <w:rPr>
                <w:sz w:val="17"/>
              </w:rPr>
              <w:t>ни</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6249</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2,3</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3147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2,6</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50,4</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3122</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2,0</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49,9</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Болезни мышц и скелета и соедин</w:t>
            </w:r>
            <w:r>
              <w:rPr>
                <w:sz w:val="17"/>
              </w:rPr>
              <w:t>и</w:t>
            </w:r>
            <w:r>
              <w:rPr>
                <w:sz w:val="17"/>
              </w:rPr>
              <w:t>тел</w:t>
            </w:r>
            <w:r>
              <w:rPr>
                <w:sz w:val="17"/>
              </w:rPr>
              <w:t>ь</w:t>
            </w:r>
            <w:r>
              <w:rPr>
                <w:sz w:val="17"/>
              </w:rPr>
              <w:t>ной ткани</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18346</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6,7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8123</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6,7</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44,3</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10326</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6,7</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56,3</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Болезни мочевого пузыря и половых органов</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28522</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10,4</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7333</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6,0</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25,7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21442</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13,9</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75,2</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Беременность, р</w:t>
            </w:r>
            <w:r>
              <w:rPr>
                <w:sz w:val="17"/>
              </w:rPr>
              <w:t>о</w:t>
            </w:r>
            <w:r>
              <w:rPr>
                <w:sz w:val="17"/>
              </w:rPr>
              <w:t>ды, послеродовой период</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8130</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5,3</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8130</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5,3</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100,0</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Отклонения, во</w:t>
            </w:r>
            <w:r>
              <w:rPr>
                <w:sz w:val="17"/>
              </w:rPr>
              <w:t>з</w:t>
            </w:r>
            <w:r>
              <w:rPr>
                <w:sz w:val="17"/>
              </w:rPr>
              <w:t>никшие в перин</w:t>
            </w:r>
            <w:r>
              <w:rPr>
                <w:sz w:val="17"/>
              </w:rPr>
              <w:t>а</w:t>
            </w:r>
            <w:r>
              <w:rPr>
                <w:sz w:val="17"/>
              </w:rPr>
              <w:t>тал</w:t>
            </w:r>
            <w:r>
              <w:rPr>
                <w:sz w:val="17"/>
              </w:rPr>
              <w:t>ь</w:t>
            </w:r>
            <w:r>
              <w:rPr>
                <w:sz w:val="17"/>
              </w:rPr>
              <w:t>ный период</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2567</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0,9</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1455</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1,2</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56,7</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1119</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0,7</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43,6</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Врожденные пор</w:t>
            </w:r>
            <w:r>
              <w:rPr>
                <w:sz w:val="17"/>
              </w:rPr>
              <w:t>о</w:t>
            </w:r>
            <w:r>
              <w:rPr>
                <w:sz w:val="17"/>
              </w:rPr>
              <w:t>ки, отклонения и генетические иск</w:t>
            </w:r>
            <w:r>
              <w:rPr>
                <w:sz w:val="17"/>
              </w:rPr>
              <w:t>а</w:t>
            </w:r>
            <w:r>
              <w:rPr>
                <w:sz w:val="17"/>
              </w:rPr>
              <w:t>жения</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3308</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1,2</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1793</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1,5</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54,2</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1541</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1,0</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46,6</w:t>
            </w:r>
          </w:p>
        </w:tc>
      </w:tr>
      <w:tr w:rsidR="00000000">
        <w:tblPrEx>
          <w:tblCellMar>
            <w:top w:w="0" w:type="dxa"/>
            <w:bottom w:w="0" w:type="dxa"/>
          </w:tblCellMar>
        </w:tblPrEx>
        <w:tc>
          <w:tcPr>
            <w:tcW w:w="1679" w:type="dxa"/>
          </w:tcPr>
          <w:p w:rsidR="00000000" w:rsidRDefault="00000000">
            <w:pPr>
              <w:pStyle w:val="SingleTxt"/>
              <w:spacing w:before="40" w:after="40" w:line="240" w:lineRule="auto"/>
              <w:ind w:left="0" w:right="0" w:firstLine="0"/>
              <w:jc w:val="left"/>
              <w:rPr>
                <w:sz w:val="17"/>
              </w:rPr>
            </w:pPr>
            <w:r>
              <w:rPr>
                <w:sz w:val="17"/>
              </w:rPr>
              <w:t>Неклассифицир</w:t>
            </w:r>
            <w:r>
              <w:rPr>
                <w:sz w:val="17"/>
              </w:rPr>
              <w:t>о</w:t>
            </w:r>
            <w:r>
              <w:rPr>
                <w:sz w:val="17"/>
              </w:rPr>
              <w:t>ванные симптомы, признаки, патол</w:t>
            </w:r>
            <w:r>
              <w:rPr>
                <w:sz w:val="17"/>
              </w:rPr>
              <w:t>о</w:t>
            </w:r>
            <w:r>
              <w:rPr>
                <w:sz w:val="17"/>
              </w:rPr>
              <w:t>гии, резул</w:t>
            </w:r>
            <w:r>
              <w:rPr>
                <w:sz w:val="17"/>
              </w:rPr>
              <w:t>ь</w:t>
            </w:r>
            <w:r>
              <w:rPr>
                <w:sz w:val="17"/>
              </w:rPr>
              <w:t>таты</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14259</w:t>
            </w:r>
          </w:p>
        </w:tc>
        <w:tc>
          <w:tcPr>
            <w:tcW w:w="709" w:type="dxa"/>
            <w:vAlign w:val="bottom"/>
          </w:tcPr>
          <w:p w:rsidR="00000000" w:rsidRDefault="00000000">
            <w:pPr>
              <w:pStyle w:val="SingleTxt"/>
              <w:spacing w:before="40" w:after="40" w:line="240" w:lineRule="auto"/>
              <w:ind w:left="0" w:right="0" w:firstLine="0"/>
              <w:jc w:val="right"/>
              <w:rPr>
                <w:sz w:val="17"/>
              </w:rPr>
            </w:pPr>
            <w:r>
              <w:rPr>
                <w:sz w:val="17"/>
              </w:rPr>
              <w:t>5,2</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6330</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5,2</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44,4</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8010</w:t>
            </w:r>
          </w:p>
        </w:tc>
        <w:tc>
          <w:tcPr>
            <w:tcW w:w="732" w:type="dxa"/>
            <w:vAlign w:val="bottom"/>
          </w:tcPr>
          <w:p w:rsidR="00000000" w:rsidRDefault="00000000">
            <w:pPr>
              <w:pStyle w:val="SingleTxt"/>
              <w:spacing w:before="40" w:after="40" w:line="240" w:lineRule="auto"/>
              <w:ind w:left="0" w:right="0" w:firstLine="0"/>
              <w:jc w:val="right"/>
              <w:rPr>
                <w:sz w:val="17"/>
              </w:rPr>
            </w:pPr>
            <w:r>
              <w:rPr>
                <w:sz w:val="17"/>
              </w:rPr>
              <w:t>5,2</w:t>
            </w:r>
          </w:p>
        </w:tc>
        <w:tc>
          <w:tcPr>
            <w:tcW w:w="733" w:type="dxa"/>
            <w:vAlign w:val="bottom"/>
          </w:tcPr>
          <w:p w:rsidR="00000000" w:rsidRDefault="00000000">
            <w:pPr>
              <w:pStyle w:val="SingleTxt"/>
              <w:spacing w:before="40" w:after="40" w:line="240" w:lineRule="auto"/>
              <w:ind w:left="0" w:right="0" w:firstLine="0"/>
              <w:jc w:val="right"/>
              <w:rPr>
                <w:sz w:val="17"/>
              </w:rPr>
            </w:pPr>
            <w:r>
              <w:rPr>
                <w:sz w:val="17"/>
              </w:rPr>
              <w:t>56,2</w:t>
            </w:r>
          </w:p>
        </w:tc>
      </w:tr>
      <w:tr w:rsidR="00000000">
        <w:tblPrEx>
          <w:tblCellMar>
            <w:top w:w="0" w:type="dxa"/>
            <w:bottom w:w="0" w:type="dxa"/>
          </w:tblCellMar>
        </w:tblPrEx>
        <w:tc>
          <w:tcPr>
            <w:tcW w:w="1679" w:type="dxa"/>
            <w:tcBorders>
              <w:bottom w:val="single" w:sz="12" w:space="0" w:color="auto"/>
            </w:tcBorders>
          </w:tcPr>
          <w:p w:rsidR="00000000" w:rsidRDefault="00000000">
            <w:pPr>
              <w:pStyle w:val="SingleTxt"/>
              <w:spacing w:before="40" w:after="40" w:line="240" w:lineRule="auto"/>
              <w:ind w:left="0" w:right="0" w:firstLine="0"/>
              <w:jc w:val="left"/>
              <w:rPr>
                <w:sz w:val="17"/>
              </w:rPr>
            </w:pPr>
            <w:r>
              <w:rPr>
                <w:sz w:val="17"/>
              </w:rPr>
              <w:t>Факторы, влия</w:t>
            </w:r>
            <w:r>
              <w:rPr>
                <w:sz w:val="17"/>
              </w:rPr>
              <w:t>ю</w:t>
            </w:r>
            <w:r>
              <w:rPr>
                <w:sz w:val="17"/>
              </w:rPr>
              <w:t>щие на состояние здоровья и конта</w:t>
            </w:r>
            <w:r>
              <w:rPr>
                <w:sz w:val="17"/>
              </w:rPr>
              <w:t>к</w:t>
            </w:r>
            <w:r>
              <w:rPr>
                <w:sz w:val="17"/>
              </w:rPr>
              <w:t>ты</w:t>
            </w:r>
          </w:p>
        </w:tc>
        <w:tc>
          <w:tcPr>
            <w:tcW w:w="709" w:type="dxa"/>
            <w:tcBorders>
              <w:bottom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17990</w:t>
            </w:r>
          </w:p>
        </w:tc>
        <w:tc>
          <w:tcPr>
            <w:tcW w:w="709" w:type="dxa"/>
            <w:tcBorders>
              <w:bottom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6,6</w:t>
            </w:r>
          </w:p>
        </w:tc>
        <w:tc>
          <w:tcPr>
            <w:tcW w:w="732" w:type="dxa"/>
            <w:tcBorders>
              <w:bottom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5468</w:t>
            </w:r>
          </w:p>
        </w:tc>
        <w:tc>
          <w:tcPr>
            <w:tcW w:w="732" w:type="dxa"/>
            <w:tcBorders>
              <w:bottom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4,5</w:t>
            </w:r>
          </w:p>
        </w:tc>
        <w:tc>
          <w:tcPr>
            <w:tcW w:w="733" w:type="dxa"/>
            <w:tcBorders>
              <w:bottom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30,4</w:t>
            </w:r>
          </w:p>
        </w:tc>
        <w:tc>
          <w:tcPr>
            <w:tcW w:w="732" w:type="dxa"/>
            <w:tcBorders>
              <w:bottom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12858</w:t>
            </w:r>
          </w:p>
        </w:tc>
        <w:tc>
          <w:tcPr>
            <w:tcW w:w="732" w:type="dxa"/>
            <w:tcBorders>
              <w:bottom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8,4</w:t>
            </w:r>
          </w:p>
        </w:tc>
        <w:tc>
          <w:tcPr>
            <w:tcW w:w="733" w:type="dxa"/>
            <w:tcBorders>
              <w:bottom w:val="single" w:sz="12" w:space="0" w:color="auto"/>
            </w:tcBorders>
            <w:vAlign w:val="bottom"/>
          </w:tcPr>
          <w:p w:rsidR="00000000" w:rsidRDefault="00000000">
            <w:pPr>
              <w:pStyle w:val="SingleTxt"/>
              <w:spacing w:before="40" w:after="40" w:line="240" w:lineRule="auto"/>
              <w:ind w:left="0" w:right="0" w:firstLine="0"/>
              <w:jc w:val="right"/>
              <w:rPr>
                <w:sz w:val="17"/>
              </w:rPr>
            </w:pPr>
            <w:r>
              <w:rPr>
                <w:sz w:val="17"/>
              </w:rPr>
              <w:t>71,5</w:t>
            </w:r>
          </w:p>
        </w:tc>
      </w:tr>
    </w:tbl>
    <w:p w:rsidR="00000000" w:rsidRDefault="00000000">
      <w:pPr>
        <w:pStyle w:val="SingleTxt"/>
        <w:ind w:firstLine="0"/>
      </w:pPr>
      <w:r>
        <w:rPr>
          <w:i/>
        </w:rPr>
        <w:t>Источник</w:t>
      </w:r>
      <w:r>
        <w:t>: Медицинский статистический ежегодник, Словения, 2000 год (да</w:t>
      </w:r>
      <w:r>
        <w:t>н</w:t>
      </w:r>
      <w:r>
        <w:t>ные заимствованы из трех таблиц: общие (Словения) таблица 13А-2.1, таблица с данными о положении мужчин 13А-2.3.2 и таблица с данными о положении женщин 13А-2.3.3)</w:t>
      </w:r>
    </w:p>
    <w:p w:rsidR="00000000" w:rsidRDefault="00000000">
      <w:pPr>
        <w:pStyle w:val="H23"/>
      </w:pPr>
      <w:r>
        <w:t xml:space="preserve">3. </w:t>
      </w:r>
      <w:r>
        <w:rPr>
          <w:lang w:val="en-US"/>
        </w:rPr>
        <w:tab/>
      </w:r>
      <w:r>
        <w:t>СПИД и ВИЧ</w:t>
      </w:r>
    </w:p>
    <w:p w:rsidR="00000000" w:rsidRDefault="00000000">
      <w:pPr>
        <w:pStyle w:val="SingleTxt"/>
      </w:pPr>
      <w:r>
        <w:t>В период с 1 января по 30 сентября 2002 года в Словении было зафикс</w:t>
      </w:r>
      <w:r>
        <w:t>и</w:t>
      </w:r>
      <w:r>
        <w:t>ровано в общей сложности 98 случаев заболевания СПИДом. Большинство п</w:t>
      </w:r>
      <w:r>
        <w:t>а</w:t>
      </w:r>
      <w:r>
        <w:t>циентов уже умерло и, таким образом, в Словении по-прежнему живут, как предполагается, 29 пациентов, больных С</w:t>
      </w:r>
      <w:r>
        <w:rPr>
          <w:caps/>
        </w:rPr>
        <w:t>пид</w:t>
      </w:r>
      <w:r>
        <w:t>ом. Из 98 выявленных больных 85 б</w:t>
      </w:r>
      <w:r>
        <w:t>ы</w:t>
      </w:r>
      <w:r>
        <w:t xml:space="preserve">ли мужчинами, 11 – женщинами, а двое – детьми (мальчик и девочка). </w:t>
      </w:r>
    </w:p>
    <w:p w:rsidR="00000000" w:rsidRDefault="00000000">
      <w:pPr>
        <w:pStyle w:val="SingleTxt"/>
      </w:pPr>
      <w:r>
        <w:t>За период с 1 июля по 30 сентября 2002 года в Институт медицинского страхования Республики Словения поступили сведения о шести новых выя</w:t>
      </w:r>
      <w:r>
        <w:t>в</w:t>
      </w:r>
      <w:r>
        <w:t>ленных случаях инфицирования СПИДом, в которых болезнь еще не началась, причем больными были 5 мужчин и 1 женщина. В Словении в период с 1 января 1986 года по 30 сентября 2002 года были зафиксированы 102 случая инфицирования ВИЧ, в которых СПИД еще не начался (76 мужчин, 22 женщины, двое мальчиков и две девочки).</w:t>
      </w:r>
    </w:p>
    <w:p w:rsidR="00000000" w:rsidRDefault="00000000">
      <w:pPr>
        <w:pStyle w:val="H23"/>
      </w:pPr>
      <w:r>
        <w:t xml:space="preserve">4. </w:t>
      </w:r>
      <w:r>
        <w:rPr>
          <w:lang w:val="en-US"/>
        </w:rPr>
        <w:tab/>
      </w:r>
      <w:r>
        <w:t>Программы повышения уровня информированности общественности и программы повышения уровня информированности женщин</w:t>
      </w:r>
    </w:p>
    <w:p w:rsidR="00000000" w:rsidRDefault="00000000">
      <w:pPr>
        <w:pStyle w:val="SingleTxt"/>
      </w:pPr>
      <w:r>
        <w:t>В Словении в период, прошедший после представления Второго доклада, было принято множество мер с тем, чтобы предоставить информацию по в</w:t>
      </w:r>
      <w:r>
        <w:t>о</w:t>
      </w:r>
      <w:r>
        <w:t>просам здоровья женщин. В сотрудничестве с компетентными организациями Управление по вопросам равных возможностей осуществляло деятельность в целях профилактики остеопороза, рака груди, рака шейки матки и рака яичн</w:t>
      </w:r>
      <w:r>
        <w:t>и</w:t>
      </w:r>
      <w:r>
        <w:t>ков. В 2001 году к 8 марта, то есть Международному женскому дню, и межд</w:t>
      </w:r>
      <w:r>
        <w:t>у</w:t>
      </w:r>
      <w:r>
        <w:t>народным дням борьбы против рака, было приурочено опубликование брош</w:t>
      </w:r>
      <w:r>
        <w:t>ю</w:t>
      </w:r>
      <w:r>
        <w:t>ры, знакомящей женщин с тем, что нужно предпринять для того, чтобы на ра</w:t>
      </w:r>
      <w:r>
        <w:t>н</w:t>
      </w:r>
      <w:r>
        <w:t>ней стадии обнаружить рак шейки матки и рак груди, а в 2002 году была опу</w:t>
      </w:r>
      <w:r>
        <w:t>б</w:t>
      </w:r>
      <w:r>
        <w:t>ликована брошюра, знакомящая женщин с проблемами рака яичников.</w:t>
      </w:r>
    </w:p>
    <w:p w:rsidR="00000000" w:rsidRDefault="00000000">
      <w:pPr>
        <w:pStyle w:val="SingleTxt"/>
      </w:pPr>
      <w:r>
        <w:t>Кроме того, Управление по вопросам равных возможностей выпустило брошюру, в которой привлекается внимание к праву на принятие решений в том, что касается собственного организма, на защиту неприкосновенности ч</w:t>
      </w:r>
      <w:r>
        <w:t>а</w:t>
      </w:r>
      <w:r>
        <w:t>стной жизни и личного достоинства, что имеет особенно важное значение в сфере здравоохранения. В ней речь также идет об обязанности врача разъя</w:t>
      </w:r>
      <w:r>
        <w:t>с</w:t>
      </w:r>
      <w:r>
        <w:t>нить то, каким образом будет ставиться диагноз и вестись лечение заболевания или недугов, а также о согласии на медицинское вмешательство. В этой бр</w:t>
      </w:r>
      <w:r>
        <w:t>о</w:t>
      </w:r>
      <w:r>
        <w:t xml:space="preserve">шюре также были изложены пути и средства подачи апелляций. </w:t>
      </w:r>
    </w:p>
    <w:p w:rsidR="00000000" w:rsidRDefault="00000000">
      <w:pPr>
        <w:pStyle w:val="H1"/>
        <w:ind w:left="1264" w:firstLine="0"/>
      </w:pPr>
      <w:r>
        <w:t>Статья 13</w:t>
      </w:r>
      <w:r>
        <w:br/>
        <w:t>Прочие области социально-экономической жизни</w:t>
      </w:r>
    </w:p>
    <w:p w:rsidR="00000000" w:rsidRDefault="00000000">
      <w:pPr>
        <w:pStyle w:val="H23"/>
      </w:pPr>
      <w:r>
        <w:t xml:space="preserve">1. </w:t>
      </w:r>
      <w:r>
        <w:rPr>
          <w:lang w:val="en-US"/>
        </w:rPr>
        <w:tab/>
      </w:r>
      <w:r>
        <w:t>Семейные пособия</w:t>
      </w:r>
    </w:p>
    <w:p w:rsidR="00000000" w:rsidRDefault="00000000">
      <w:pPr>
        <w:pStyle w:val="SingleTxt"/>
      </w:pPr>
      <w:r>
        <w:t>В новом Законе об уходе за детьми и семейном доходе регулируются н</w:t>
      </w:r>
      <w:r>
        <w:t>и</w:t>
      </w:r>
      <w:r>
        <w:t>жеследующие типы семейных пособий: помощь на цели ухода за детьми, п</w:t>
      </w:r>
      <w:r>
        <w:t>о</w:t>
      </w:r>
      <w:r>
        <w:t>мощь при рождении ребенка, помощь семьям с детьми, пособие в связи с большим размером семьи, пособие на цели ухода за детьми и частичное во</w:t>
      </w:r>
      <w:r>
        <w:t>з</w:t>
      </w:r>
      <w:r>
        <w:t>мещение утраченного заработка (ст</w:t>
      </w:r>
      <w:r>
        <w:t>а</w:t>
      </w:r>
      <w:r>
        <w:t>тья 57).</w:t>
      </w:r>
    </w:p>
    <w:p w:rsidR="00000000" w:rsidRDefault="00000000">
      <w:pPr>
        <w:pStyle w:val="SingleTxt"/>
      </w:pPr>
      <w:r>
        <w:rPr>
          <w:b/>
        </w:rPr>
        <w:t>Помощь на цели ухода за детьми</w:t>
      </w:r>
      <w:r>
        <w:t xml:space="preserve"> представляет собой денежные выплаты родителям, не имеющим права на получение пособия по уходу за детьми (ст</w:t>
      </w:r>
      <w:r>
        <w:t>а</w:t>
      </w:r>
      <w:r>
        <w:t>тья 58). Право на его получение имеет мать, являющаяся гражданкой Респу</w:t>
      </w:r>
      <w:r>
        <w:t>б</w:t>
      </w:r>
      <w:r>
        <w:t>лики Словения, постоянно проживающая в Республике Словения и также р</w:t>
      </w:r>
      <w:r>
        <w:t>о</w:t>
      </w:r>
      <w:r>
        <w:t>дившаяся от граждан Республики Словения. Правом на получение помощи на цели ухода за ребенком также может быть наделен отец или другое лицо, кто фактически осуществляет уход за ребенком в том случае, когда мать умирает, отказывается от ребенка, временно или постоянно неспособна вести независ</w:t>
      </w:r>
      <w:r>
        <w:t>и</w:t>
      </w:r>
      <w:r>
        <w:t>мый образ жизни и работать, или если она или он заключили трудовой договор или занялись сельскохозяйственной деятельностью, или иным независимым видом деятельности (статья 59). Помощь на цели ухода за ребенком равна 35 000 толаров (152 доллара США).</w:t>
      </w:r>
    </w:p>
    <w:p w:rsidR="00000000" w:rsidRDefault="00000000">
      <w:pPr>
        <w:pStyle w:val="SingleTxt"/>
      </w:pPr>
      <w:r>
        <w:rPr>
          <w:b/>
        </w:rPr>
        <w:t>Помощь при рождении ребенка</w:t>
      </w:r>
      <w:r>
        <w:t xml:space="preserve"> представляет собой единовременное д</w:t>
      </w:r>
      <w:r>
        <w:t>е</w:t>
      </w:r>
      <w:r>
        <w:t>нежное пособие в размере 50 000 толаров (217 долларов США), предназначе</w:t>
      </w:r>
      <w:r>
        <w:t>н</w:t>
      </w:r>
      <w:r>
        <w:t>ное для приобретения принадлежностей для новорожденного, а взамен дене</w:t>
      </w:r>
      <w:r>
        <w:t>ж</w:t>
      </w:r>
      <w:r>
        <w:t>ной выплаты в форме пакета могут быть предоставлены соответствующие пр</w:t>
      </w:r>
      <w:r>
        <w:t>и</w:t>
      </w:r>
      <w:r>
        <w:t>надлежности (статья 63). Правом на получение такой помощи располагает ка</w:t>
      </w:r>
      <w:r>
        <w:t>ж</w:t>
      </w:r>
      <w:r>
        <w:t>дый ребенок, чей отец или мать имеет постоянное местожительство в Респу</w:t>
      </w:r>
      <w:r>
        <w:t>б</w:t>
      </w:r>
      <w:r>
        <w:t>лике Словения (статья 64).</w:t>
      </w:r>
    </w:p>
    <w:p w:rsidR="00000000" w:rsidRDefault="00000000">
      <w:pPr>
        <w:pStyle w:val="SingleTxt"/>
      </w:pPr>
      <w:r>
        <w:t xml:space="preserve">В случае с </w:t>
      </w:r>
      <w:r>
        <w:rPr>
          <w:b/>
        </w:rPr>
        <w:t>помощью семьям с детьми</w:t>
      </w:r>
      <w:r>
        <w:t xml:space="preserve"> родители или ребенок получают дополнительный доход на цели питания, ухода и образования в тех случаях, к</w:t>
      </w:r>
      <w:r>
        <w:t>о</w:t>
      </w:r>
      <w:r>
        <w:t>гда доход на одного члена семьи не превышает верхний предельный уровень группы доходов, определенной в законе (статья 65). Уровень помощи в интер</w:t>
      </w:r>
      <w:r>
        <w:t>е</w:t>
      </w:r>
      <w:r>
        <w:t>сах ребенка определяется с учетом принадлежности семьи к той или иной группе по уровню доходов. Если ребенок живет в семье с одним родителем, уровень помощи в интересах ребенка повышается на 10%, а если ребенок не посещает детский сад – на 20% (статья 66). Если речь идет о ребенке, име</w:t>
      </w:r>
      <w:r>
        <w:t>ю</w:t>
      </w:r>
      <w:r>
        <w:t>щем постоянное местожительство в Республике Словения, который является гражданином Республики Словения, то правом на получение пособия на ребе</w:t>
      </w:r>
      <w:r>
        <w:t>н</w:t>
      </w:r>
      <w:r>
        <w:t>ка обладает один из родителей или другое лицо; если он или она гражданином не является, – то на началах взаимности. При условии, что, по крайней мере, один из родителей заключил трудовой договор с работодателем, имеющим з</w:t>
      </w:r>
      <w:r>
        <w:t>а</w:t>
      </w:r>
      <w:r>
        <w:t>регистрированный офис в Республике Словения, он или она имеет право на п</w:t>
      </w:r>
      <w:r>
        <w:t>о</w:t>
      </w:r>
      <w:r>
        <w:t>лучение пособия на ребенка, который не имеет местожительства в Республике Словения, если он или она являются гражданином Республики Словения и не имеет права на получение пособия на ребенка в том государстве, где он или она проживает, или если он или она не является гражданином Республики Слов</w:t>
      </w:r>
      <w:r>
        <w:t>е</w:t>
      </w:r>
      <w:r>
        <w:t>ния, о чем имеется соответствующая договоренность в международных согл</w:t>
      </w:r>
      <w:r>
        <w:t>а</w:t>
      </w:r>
      <w:r>
        <w:t>ш</w:t>
      </w:r>
      <w:r>
        <w:t>е</w:t>
      </w:r>
      <w:r>
        <w:t>ниях (статья 67).</w:t>
      </w:r>
    </w:p>
    <w:p w:rsidR="00000000" w:rsidRDefault="00000000">
      <w:pPr>
        <w:pStyle w:val="SingleTxt"/>
      </w:pPr>
      <w:r>
        <w:rPr>
          <w:b/>
        </w:rPr>
        <w:t>Пособие в связи с большим размером семьи</w:t>
      </w:r>
      <w:r>
        <w:t xml:space="preserve"> получают семьи, имеющие трех или более детей, а один из детей также имеет право на его получение в тех случаях, когда три или более ребенка из одной и той же семьи живут без род</w:t>
      </w:r>
      <w:r>
        <w:t>и</w:t>
      </w:r>
      <w:r>
        <w:t>телей. Это пособие выплачивается один раз в год и составляет 70 000 толаров (304 доллара США). Правом на получение этого пособия обладает один из р</w:t>
      </w:r>
      <w:r>
        <w:t>о</w:t>
      </w:r>
      <w:r>
        <w:t>дителей, если родители и дети являются гражданами Республики Словения и вместе имеют постоянное местожительство в Республике Словения (статьи 76 и 77).</w:t>
      </w:r>
    </w:p>
    <w:p w:rsidR="00000000" w:rsidRDefault="00000000">
      <w:pPr>
        <w:pStyle w:val="SingleTxt"/>
      </w:pPr>
      <w:r>
        <w:rPr>
          <w:b/>
        </w:rPr>
        <w:t>Пособие на цели ухода за детьми</w:t>
      </w:r>
      <w:r>
        <w:t xml:space="preserve"> представляет собой денежное пособие для ребенка, нуждающегося в особом уходе, и предназначено для возмещения возросших расходов, которые семья несет в связи с этим (статья 80). Это пос</w:t>
      </w:r>
      <w:r>
        <w:t>о</w:t>
      </w:r>
      <w:r>
        <w:t>бие выплачивается ежемесячно в сумме 18 000 толаров (78 долларов США) в случае с наличия ребенка с серьезным психическим заболеванием, а в случае с серьезным нарушением функций двигательного аппарата – в двойном размере. Правом на получение этого пособия обладает один из родителей, если ребенок является гражданином Республики Словения и имеет там постоянное местож</w:t>
      </w:r>
      <w:r>
        <w:t>и</w:t>
      </w:r>
      <w:r>
        <w:t>тельс</w:t>
      </w:r>
      <w:r>
        <w:t>т</w:t>
      </w:r>
      <w:r>
        <w:t>во (статья</w:t>
      </w:r>
      <w:r>
        <w:rPr>
          <w:lang w:val="en-US"/>
        </w:rPr>
        <w:t> </w:t>
      </w:r>
      <w:r>
        <w:t>81).</w:t>
      </w:r>
    </w:p>
    <w:p w:rsidR="00000000" w:rsidRDefault="00000000">
      <w:pPr>
        <w:pStyle w:val="SingleTxt"/>
      </w:pPr>
      <w:r>
        <w:rPr>
          <w:b/>
        </w:rPr>
        <w:t>Частичное возмещение утраченного заработка</w:t>
      </w:r>
      <w:r>
        <w:t xml:space="preserve"> представляет собой личный доход, получаемый одним из родителей, когда он или она уходит с р</w:t>
      </w:r>
      <w:r>
        <w:t>а</w:t>
      </w:r>
      <w:r>
        <w:t>боты или работает неполный рабочий день с целью ухода за ребенком с серье</w:t>
      </w:r>
      <w:r>
        <w:t>з</w:t>
      </w:r>
      <w:r>
        <w:t>ными задержками в психическом развитии или серьезными нарушениями функций двигательного аппарата (статья</w:t>
      </w:r>
      <w:r>
        <w:rPr>
          <w:lang w:val="en-US"/>
        </w:rPr>
        <w:t> </w:t>
      </w:r>
      <w:r>
        <w:t>84). Право на получение этого пос</w:t>
      </w:r>
      <w:r>
        <w:t>о</w:t>
      </w:r>
      <w:r>
        <w:t>бия имеет один из родителей, если он или она, а также ребенок, удовлетворяют условиям наличия гражданства Республики Словения и имеют также постоя</w:t>
      </w:r>
      <w:r>
        <w:t>н</w:t>
      </w:r>
      <w:r>
        <w:t>ное местожительство в Республике Словения (статья</w:t>
      </w:r>
      <w:r>
        <w:rPr>
          <w:lang w:val="en-US"/>
        </w:rPr>
        <w:t> </w:t>
      </w:r>
      <w:r>
        <w:t>85).</w:t>
      </w:r>
    </w:p>
    <w:p w:rsidR="00000000" w:rsidRDefault="00000000">
      <w:pPr>
        <w:pStyle w:val="H23"/>
      </w:pPr>
      <w:r>
        <w:t xml:space="preserve">2. </w:t>
      </w:r>
      <w:r>
        <w:rPr>
          <w:lang w:val="en-US"/>
        </w:rPr>
        <w:tab/>
      </w:r>
      <w:r>
        <w:t>Банковские ссуды и другие финансовые кредиты</w:t>
      </w:r>
    </w:p>
    <w:p w:rsidR="00000000" w:rsidRDefault="00000000">
      <w:pPr>
        <w:pStyle w:val="SingleTxt"/>
      </w:pPr>
      <w:r>
        <w:t>Женщины и мужчины обладают равными правами доступа к ссудам. Ж</w:t>
      </w:r>
      <w:r>
        <w:t>и</w:t>
      </w:r>
      <w:r>
        <w:t>лищный фонд, который был основан для стимулирования строительства домов, реконструкции и технического обслуживания квартир и многоквартирных д</w:t>
      </w:r>
      <w:r>
        <w:t>о</w:t>
      </w:r>
      <w:r>
        <w:t>мов, адаптирует критерии предоставления ссуд прежде всего к интересам тех, кто впервые решает свои жилищные проблемы. Это, прежде всего, молодые люди и молодые семьи, семьи с более чем одним ребенком, а также инвалиды. В части, касающейся расширения возможностей для появления новых дома</w:t>
      </w:r>
      <w:r>
        <w:t>ш</w:t>
      </w:r>
      <w:r>
        <w:t>них хозяйств, руководящие принципы Национальной программы в области обеспечения жильем состоят в том, что следует отслеживать другие пути их создания, в частности, появление семей с одним родителем и разводы.</w:t>
      </w:r>
    </w:p>
    <w:p w:rsidR="00000000" w:rsidRDefault="00000000">
      <w:pPr>
        <w:pStyle w:val="H23"/>
      </w:pPr>
      <w:r>
        <w:t xml:space="preserve">3. </w:t>
      </w:r>
      <w:r>
        <w:rPr>
          <w:lang w:val="en-US"/>
        </w:rPr>
        <w:tab/>
      </w:r>
      <w:r>
        <w:t>Отдых, спорт и другие аспекты культурной жизни</w:t>
      </w:r>
    </w:p>
    <w:p w:rsidR="00000000" w:rsidRDefault="00000000">
      <w:pPr>
        <w:pStyle w:val="SingleTxt"/>
      </w:pPr>
      <w:r>
        <w:t>В отношении участия женщин в рекреационной деятельности и других формах культурной жизни наиболее свежие данные отсутствуют. Проведенный в 1998 году опрос, посвященный использованию своего времени, показывает, что женщины тратят меньше времени на общение, занятия спортом, хобби, п</w:t>
      </w:r>
      <w:r>
        <w:t>у</w:t>
      </w:r>
      <w:r>
        <w:t>тешествия и т.д., чем мужчины. В Национальной программе в области спорта в Республике Словения с 2000 года особо подчеркивается необходимость сове</w:t>
      </w:r>
      <w:r>
        <w:t>р</w:t>
      </w:r>
      <w:r>
        <w:t>шенствования спортивных и рекреационных программ для различных целевых групп, в том числе групп, выделенных по половому признаку.</w:t>
      </w:r>
    </w:p>
    <w:p w:rsidR="00000000" w:rsidRDefault="00000000">
      <w:pPr>
        <w:pStyle w:val="tt"/>
        <w:keepNext/>
      </w:pPr>
      <w:r>
        <w:t xml:space="preserve">Таблица 22. Средние показатели использования времени в день </w:t>
      </w:r>
      <w:r>
        <w:br/>
        <w:t xml:space="preserve">применительно к основным видам деятельности </w:t>
      </w:r>
      <w:r>
        <w:br/>
        <w:t>(средняя продолжительность в мин</w:t>
      </w:r>
      <w:r>
        <w:t>у</w:t>
      </w:r>
      <w:r>
        <w:t>тах)</w:t>
      </w:r>
    </w:p>
    <w:tbl>
      <w:tblPr>
        <w:tblW w:w="0" w:type="auto"/>
        <w:tblInd w:w="1278" w:type="dxa"/>
        <w:tblLayout w:type="fixed"/>
        <w:tblLook w:val="0000" w:firstRow="0" w:lastRow="0" w:firstColumn="0" w:lastColumn="0" w:noHBand="0" w:noVBand="0"/>
      </w:tblPr>
      <w:tblGrid>
        <w:gridCol w:w="3119"/>
        <w:gridCol w:w="2126"/>
        <w:gridCol w:w="2126"/>
      </w:tblGrid>
      <w:tr w:rsidR="00000000">
        <w:tblPrEx>
          <w:tblCellMar>
            <w:top w:w="0" w:type="dxa"/>
            <w:bottom w:w="0" w:type="dxa"/>
          </w:tblCellMar>
        </w:tblPrEx>
        <w:tc>
          <w:tcPr>
            <w:tcW w:w="3119"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Вид деятельности</w:t>
            </w:r>
          </w:p>
        </w:tc>
        <w:tc>
          <w:tcPr>
            <w:tcW w:w="2126"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Мужчины</w:t>
            </w:r>
          </w:p>
        </w:tc>
        <w:tc>
          <w:tcPr>
            <w:tcW w:w="2126" w:type="dxa"/>
            <w:tcBorders>
              <w:top w:val="single" w:sz="6" w:space="0" w:color="auto"/>
              <w:bottom w:val="single" w:sz="12" w:space="0" w:color="auto"/>
            </w:tcBorders>
          </w:tcPr>
          <w:p w:rsidR="00000000" w:rsidRDefault="00000000">
            <w:pPr>
              <w:pStyle w:val="SingleTxt"/>
              <w:spacing w:before="40" w:after="40" w:line="240" w:lineRule="auto"/>
              <w:ind w:left="0" w:right="0" w:firstLine="0"/>
              <w:jc w:val="center"/>
              <w:rPr>
                <w:i/>
                <w:sz w:val="17"/>
              </w:rPr>
            </w:pPr>
            <w:r>
              <w:rPr>
                <w:i/>
                <w:sz w:val="17"/>
              </w:rPr>
              <w:t>Женщины</w:t>
            </w:r>
          </w:p>
        </w:tc>
      </w:tr>
      <w:tr w:rsidR="00000000">
        <w:tblPrEx>
          <w:tblCellMar>
            <w:top w:w="0" w:type="dxa"/>
            <w:bottom w:w="0" w:type="dxa"/>
          </w:tblCellMar>
        </w:tblPrEx>
        <w:tc>
          <w:tcPr>
            <w:tcW w:w="3119" w:type="dxa"/>
            <w:tcBorders>
              <w:top w:val="single" w:sz="12" w:space="0" w:color="auto"/>
            </w:tcBorders>
          </w:tcPr>
          <w:p w:rsidR="00000000" w:rsidRDefault="00000000">
            <w:pPr>
              <w:pStyle w:val="SingleTxt"/>
              <w:spacing w:before="40" w:after="40" w:line="240" w:lineRule="auto"/>
              <w:ind w:left="0" w:right="0" w:firstLine="0"/>
              <w:jc w:val="left"/>
              <w:rPr>
                <w:sz w:val="17"/>
              </w:rPr>
            </w:pPr>
            <w:r>
              <w:rPr>
                <w:sz w:val="17"/>
              </w:rPr>
              <w:t>ли</w:t>
            </w:r>
            <w:r>
              <w:rPr>
                <w:sz w:val="17"/>
              </w:rPr>
              <w:t>ч</w:t>
            </w:r>
            <w:r>
              <w:rPr>
                <w:sz w:val="17"/>
              </w:rPr>
              <w:t>ный</w:t>
            </w:r>
          </w:p>
        </w:tc>
        <w:tc>
          <w:tcPr>
            <w:tcW w:w="212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650</w:t>
            </w:r>
          </w:p>
        </w:tc>
        <w:tc>
          <w:tcPr>
            <w:tcW w:w="212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638</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работа</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210</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137</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домашнее хозя</w:t>
            </w:r>
            <w:r>
              <w:rPr>
                <w:sz w:val="17"/>
              </w:rPr>
              <w:t>й</w:t>
            </w:r>
            <w:r>
              <w:rPr>
                <w:sz w:val="17"/>
              </w:rPr>
              <w:t>ство</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139</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255</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уч</w:t>
            </w:r>
            <w:r>
              <w:rPr>
                <w:sz w:val="17"/>
              </w:rPr>
              <w:t>е</w:t>
            </w:r>
            <w:r>
              <w:rPr>
                <w:sz w:val="17"/>
              </w:rPr>
              <w:t>ба</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47</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60</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религия</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4</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5</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общение</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90</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79</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спорт</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34</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25</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хо</w:t>
            </w:r>
            <w:r>
              <w:rPr>
                <w:sz w:val="17"/>
              </w:rPr>
              <w:t>б</w:t>
            </w:r>
            <w:r>
              <w:rPr>
                <w:sz w:val="17"/>
              </w:rPr>
              <w:t>би</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15</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7</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средства массовой информ</w:t>
            </w:r>
            <w:r>
              <w:rPr>
                <w:sz w:val="17"/>
              </w:rPr>
              <w:t>а</w:t>
            </w:r>
            <w:r>
              <w:rPr>
                <w:sz w:val="17"/>
              </w:rPr>
              <w:t>ции</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162</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139</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путешествия</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84</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78</w:t>
            </w:r>
          </w:p>
        </w:tc>
      </w:tr>
      <w:tr w:rsidR="00000000">
        <w:tblPrEx>
          <w:tblCellMar>
            <w:top w:w="0" w:type="dxa"/>
            <w:bottom w:w="0" w:type="dxa"/>
          </w:tblCellMar>
        </w:tblPrEx>
        <w:tc>
          <w:tcPr>
            <w:tcW w:w="3119" w:type="dxa"/>
          </w:tcPr>
          <w:p w:rsidR="00000000" w:rsidRDefault="00000000">
            <w:pPr>
              <w:pStyle w:val="SingleTxt"/>
              <w:spacing w:before="40" w:after="40" w:line="240" w:lineRule="auto"/>
              <w:ind w:left="0" w:right="0" w:firstLine="0"/>
              <w:jc w:val="left"/>
              <w:rPr>
                <w:sz w:val="17"/>
              </w:rPr>
            </w:pPr>
            <w:r>
              <w:rPr>
                <w:sz w:val="17"/>
              </w:rPr>
              <w:t>др</w:t>
            </w:r>
            <w:r>
              <w:rPr>
                <w:sz w:val="17"/>
              </w:rPr>
              <w:t>у</w:t>
            </w:r>
            <w:r>
              <w:rPr>
                <w:sz w:val="17"/>
              </w:rPr>
              <w:t>гой</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5</w:t>
            </w:r>
          </w:p>
        </w:tc>
        <w:tc>
          <w:tcPr>
            <w:tcW w:w="212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17</w:t>
            </w:r>
          </w:p>
        </w:tc>
      </w:tr>
      <w:tr w:rsidR="00000000">
        <w:tblPrEx>
          <w:tblCellMar>
            <w:top w:w="0" w:type="dxa"/>
            <w:bottom w:w="0" w:type="dxa"/>
          </w:tblCellMar>
        </w:tblPrEx>
        <w:tc>
          <w:tcPr>
            <w:tcW w:w="3119" w:type="dxa"/>
            <w:tcBorders>
              <w:bottom w:val="single" w:sz="12" w:space="0" w:color="auto"/>
            </w:tcBorders>
          </w:tcPr>
          <w:p w:rsidR="00000000" w:rsidRDefault="00000000">
            <w:pPr>
              <w:pStyle w:val="SingleTxt"/>
              <w:spacing w:before="40" w:after="40" w:line="240" w:lineRule="auto"/>
              <w:ind w:left="0" w:right="0" w:firstLine="0"/>
              <w:jc w:val="left"/>
              <w:rPr>
                <w:b/>
                <w:sz w:val="17"/>
              </w:rPr>
            </w:pPr>
            <w:r>
              <w:rPr>
                <w:b/>
                <w:sz w:val="17"/>
              </w:rPr>
              <w:t>Вс</w:t>
            </w:r>
            <w:r>
              <w:rPr>
                <w:b/>
                <w:sz w:val="17"/>
              </w:rPr>
              <w:t>е</w:t>
            </w:r>
            <w:r>
              <w:rPr>
                <w:b/>
                <w:sz w:val="17"/>
              </w:rPr>
              <w:t>го</w:t>
            </w:r>
          </w:p>
        </w:tc>
        <w:tc>
          <w:tcPr>
            <w:tcW w:w="212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1440</w:t>
            </w:r>
          </w:p>
        </w:tc>
        <w:tc>
          <w:tcPr>
            <w:tcW w:w="212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1167"/>
              </w:tabs>
              <w:spacing w:before="40" w:after="40" w:line="240" w:lineRule="auto"/>
              <w:ind w:left="0" w:right="0" w:firstLine="0"/>
              <w:jc w:val="left"/>
              <w:rPr>
                <w:sz w:val="17"/>
              </w:rPr>
            </w:pPr>
            <w:r>
              <w:rPr>
                <w:sz w:val="17"/>
              </w:rPr>
              <w:t>1440</w:t>
            </w:r>
          </w:p>
        </w:tc>
      </w:tr>
    </w:tbl>
    <w:p w:rsidR="00000000" w:rsidRDefault="00000000">
      <w:pPr>
        <w:pStyle w:val="SingleTxt"/>
        <w:ind w:firstLine="0"/>
      </w:pPr>
      <w:r>
        <w:rPr>
          <w:i/>
        </w:rPr>
        <w:t>Источник</w:t>
      </w:r>
      <w:r>
        <w:t>: Статистическое управление Республики Словения, апрель 1998 года, обследование использов</w:t>
      </w:r>
      <w:r>
        <w:t>а</w:t>
      </w:r>
      <w:r>
        <w:t>ния времени в Словении</w:t>
      </w:r>
    </w:p>
    <w:p w:rsidR="00000000" w:rsidRDefault="00000000">
      <w:pPr>
        <w:pStyle w:val="H1"/>
        <w:ind w:left="1264" w:firstLine="0"/>
      </w:pPr>
      <w:r>
        <w:t>Статья 14</w:t>
      </w:r>
      <w:r>
        <w:br/>
        <w:t>Сельские женщины</w:t>
      </w:r>
    </w:p>
    <w:p w:rsidR="00000000" w:rsidRDefault="00000000">
      <w:pPr>
        <w:pStyle w:val="SingleTxt"/>
      </w:pPr>
      <w:r>
        <w:t>По данным переписи фермерских домашних хозяйств от 2000 года, на д</w:t>
      </w:r>
      <w:r>
        <w:t>о</w:t>
      </w:r>
      <w:r>
        <w:t>лю женщин приходится 48% всей рабочей силы на словенских фермах. Среди женщин всех возрастов, которые живут и работают в фермерских домашних х</w:t>
      </w:r>
      <w:r>
        <w:t>о</w:t>
      </w:r>
      <w:r>
        <w:t>зяйствах, 30% занимаются другими видами деятельности, 23% женщин на фермах до</w:t>
      </w:r>
      <w:r>
        <w:t>с</w:t>
      </w:r>
      <w:r>
        <w:t>тигли возраста 65 лет или старше.</w:t>
      </w:r>
    </w:p>
    <w:p w:rsidR="00000000" w:rsidRDefault="00000000">
      <w:pPr>
        <w:pStyle w:val="tt"/>
        <w:keepNext/>
      </w:pPr>
      <w:r>
        <w:t xml:space="preserve">Таблица 23. Состояние рабочей силы на фермах Словении в разбивке </w:t>
      </w:r>
      <w:r>
        <w:br/>
        <w:t>по полу (доля в %)</w:t>
      </w:r>
    </w:p>
    <w:tbl>
      <w:tblPr>
        <w:tblW w:w="0" w:type="auto"/>
        <w:tblInd w:w="1278" w:type="dxa"/>
        <w:tblLayout w:type="fixed"/>
        <w:tblLook w:val="0000" w:firstRow="0" w:lastRow="0" w:firstColumn="0" w:lastColumn="0" w:noHBand="0" w:noVBand="0"/>
      </w:tblPr>
      <w:tblGrid>
        <w:gridCol w:w="2693"/>
        <w:gridCol w:w="1169"/>
        <w:gridCol w:w="1170"/>
        <w:gridCol w:w="1169"/>
        <w:gridCol w:w="1170"/>
      </w:tblGrid>
      <w:tr w:rsidR="00000000">
        <w:tblPrEx>
          <w:tblCellMar>
            <w:top w:w="0" w:type="dxa"/>
            <w:bottom w:w="0" w:type="dxa"/>
          </w:tblCellMar>
        </w:tblPrEx>
        <w:trPr>
          <w:tblHeader/>
        </w:trPr>
        <w:tc>
          <w:tcPr>
            <w:tcW w:w="2693" w:type="dxa"/>
            <w:tcBorders>
              <w:top w:val="single" w:sz="6" w:space="0" w:color="auto"/>
              <w:bottom w:val="single" w:sz="12" w:space="0" w:color="auto"/>
            </w:tcBorders>
          </w:tcPr>
          <w:p w:rsidR="00000000" w:rsidRDefault="00000000">
            <w:pPr>
              <w:pStyle w:val="SingleTxt"/>
              <w:keepNext/>
              <w:spacing w:before="40" w:after="40" w:line="240" w:lineRule="auto"/>
              <w:ind w:left="0" w:right="0" w:firstLine="0"/>
              <w:jc w:val="center"/>
              <w:rPr>
                <w:i/>
                <w:sz w:val="17"/>
              </w:rPr>
            </w:pPr>
            <w:r>
              <w:rPr>
                <w:i/>
                <w:sz w:val="17"/>
              </w:rPr>
              <w:t>Статус</w:t>
            </w:r>
          </w:p>
        </w:tc>
        <w:tc>
          <w:tcPr>
            <w:tcW w:w="1169" w:type="dxa"/>
            <w:tcBorders>
              <w:top w:val="single" w:sz="6" w:space="0" w:color="auto"/>
              <w:bottom w:val="single" w:sz="12" w:space="0" w:color="auto"/>
            </w:tcBorders>
          </w:tcPr>
          <w:p w:rsidR="00000000" w:rsidRDefault="00000000">
            <w:pPr>
              <w:pStyle w:val="SingleTxt"/>
              <w:keepNext/>
              <w:spacing w:before="40" w:after="40" w:line="240" w:lineRule="auto"/>
              <w:ind w:left="0" w:right="0" w:firstLine="0"/>
              <w:jc w:val="center"/>
              <w:rPr>
                <w:i/>
                <w:sz w:val="17"/>
              </w:rPr>
            </w:pPr>
            <w:r>
              <w:rPr>
                <w:i/>
                <w:sz w:val="17"/>
              </w:rPr>
              <w:t>Му</w:t>
            </w:r>
            <w:r>
              <w:rPr>
                <w:i/>
                <w:sz w:val="17"/>
              </w:rPr>
              <w:t>ж</w:t>
            </w:r>
            <w:r>
              <w:rPr>
                <w:i/>
                <w:sz w:val="17"/>
              </w:rPr>
              <w:t>чины</w:t>
            </w:r>
          </w:p>
        </w:tc>
        <w:tc>
          <w:tcPr>
            <w:tcW w:w="1170" w:type="dxa"/>
            <w:tcBorders>
              <w:top w:val="single" w:sz="6" w:space="0" w:color="auto"/>
              <w:bottom w:val="single" w:sz="12" w:space="0" w:color="auto"/>
            </w:tcBorders>
          </w:tcPr>
          <w:p w:rsidR="00000000" w:rsidRDefault="00000000">
            <w:pPr>
              <w:pStyle w:val="SingleTxt"/>
              <w:keepNext/>
              <w:spacing w:before="40" w:after="40" w:line="240" w:lineRule="auto"/>
              <w:ind w:left="0" w:right="0" w:firstLine="0"/>
              <w:jc w:val="center"/>
              <w:rPr>
                <w:i/>
                <w:sz w:val="17"/>
              </w:rPr>
            </w:pPr>
            <w:r>
              <w:rPr>
                <w:i/>
                <w:sz w:val="17"/>
              </w:rPr>
              <w:t>Же</w:t>
            </w:r>
            <w:r>
              <w:rPr>
                <w:i/>
                <w:sz w:val="17"/>
              </w:rPr>
              <w:t>н</w:t>
            </w:r>
            <w:r>
              <w:rPr>
                <w:i/>
                <w:sz w:val="17"/>
              </w:rPr>
              <w:t>щины</w:t>
            </w:r>
          </w:p>
        </w:tc>
        <w:tc>
          <w:tcPr>
            <w:tcW w:w="1169" w:type="dxa"/>
            <w:tcBorders>
              <w:top w:val="single" w:sz="6" w:space="0" w:color="auto"/>
              <w:bottom w:val="single" w:sz="12" w:space="0" w:color="auto"/>
            </w:tcBorders>
          </w:tcPr>
          <w:p w:rsidR="00000000" w:rsidRDefault="00000000">
            <w:pPr>
              <w:pStyle w:val="SingleTxt"/>
              <w:keepNext/>
              <w:spacing w:before="40" w:after="40" w:line="240" w:lineRule="auto"/>
              <w:ind w:left="0" w:right="0" w:firstLine="0"/>
              <w:jc w:val="center"/>
              <w:rPr>
                <w:i/>
                <w:sz w:val="17"/>
              </w:rPr>
            </w:pPr>
            <w:r>
              <w:rPr>
                <w:i/>
                <w:sz w:val="17"/>
              </w:rPr>
              <w:t>Всего</w:t>
            </w:r>
          </w:p>
        </w:tc>
        <w:tc>
          <w:tcPr>
            <w:tcW w:w="1170" w:type="dxa"/>
            <w:tcBorders>
              <w:top w:val="single" w:sz="6" w:space="0" w:color="auto"/>
              <w:bottom w:val="single" w:sz="12" w:space="0" w:color="auto"/>
            </w:tcBorders>
          </w:tcPr>
          <w:p w:rsidR="00000000" w:rsidRDefault="00000000">
            <w:pPr>
              <w:pStyle w:val="SingleTxt"/>
              <w:keepNext/>
              <w:spacing w:before="40" w:after="40" w:line="240" w:lineRule="auto"/>
              <w:ind w:left="0" w:right="0" w:firstLine="0"/>
              <w:jc w:val="center"/>
              <w:rPr>
                <w:i/>
                <w:sz w:val="17"/>
              </w:rPr>
            </w:pPr>
            <w:r>
              <w:rPr>
                <w:i/>
                <w:sz w:val="17"/>
              </w:rPr>
              <w:t>Числе</w:t>
            </w:r>
            <w:r>
              <w:rPr>
                <w:i/>
                <w:sz w:val="17"/>
              </w:rPr>
              <w:t>н</w:t>
            </w:r>
            <w:r>
              <w:rPr>
                <w:i/>
                <w:sz w:val="17"/>
              </w:rPr>
              <w:t>ность</w:t>
            </w:r>
          </w:p>
        </w:tc>
      </w:tr>
      <w:tr w:rsidR="00000000">
        <w:tblPrEx>
          <w:tblCellMar>
            <w:top w:w="0" w:type="dxa"/>
            <w:bottom w:w="0" w:type="dxa"/>
          </w:tblCellMar>
        </w:tblPrEx>
        <w:tc>
          <w:tcPr>
            <w:tcW w:w="2693" w:type="dxa"/>
            <w:tcBorders>
              <w:top w:val="single" w:sz="12" w:space="0" w:color="auto"/>
            </w:tcBorders>
          </w:tcPr>
          <w:p w:rsidR="00000000" w:rsidRDefault="00000000">
            <w:pPr>
              <w:pStyle w:val="SingleTxt"/>
              <w:keepNext/>
              <w:spacing w:before="40" w:after="40" w:line="240" w:lineRule="auto"/>
              <w:ind w:left="0" w:right="0" w:firstLine="0"/>
              <w:jc w:val="left"/>
              <w:rPr>
                <w:sz w:val="17"/>
              </w:rPr>
            </w:pPr>
            <w:r>
              <w:rPr>
                <w:sz w:val="17"/>
              </w:rPr>
              <w:t>Фермы, сельскохозяйственные предпр</w:t>
            </w:r>
            <w:r>
              <w:rPr>
                <w:sz w:val="17"/>
              </w:rPr>
              <w:t>и</w:t>
            </w:r>
            <w:r>
              <w:rPr>
                <w:sz w:val="17"/>
              </w:rPr>
              <w:t>ятия</w:t>
            </w:r>
          </w:p>
        </w:tc>
        <w:tc>
          <w:tcPr>
            <w:tcW w:w="116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15,0</w:t>
            </w:r>
          </w:p>
        </w:tc>
        <w:tc>
          <w:tcPr>
            <w:tcW w:w="117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13,0</w:t>
            </w:r>
          </w:p>
        </w:tc>
        <w:tc>
          <w:tcPr>
            <w:tcW w:w="116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14,0</w:t>
            </w:r>
          </w:p>
        </w:tc>
        <w:tc>
          <w:tcPr>
            <w:tcW w:w="117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35182</w:t>
            </w:r>
          </w:p>
        </w:tc>
      </w:tr>
      <w:tr w:rsidR="00000000">
        <w:tblPrEx>
          <w:tblCellMar>
            <w:top w:w="0" w:type="dxa"/>
            <w:bottom w:w="0" w:type="dxa"/>
          </w:tblCellMar>
        </w:tblPrEx>
        <w:tc>
          <w:tcPr>
            <w:tcW w:w="2693" w:type="dxa"/>
          </w:tcPr>
          <w:p w:rsidR="00000000" w:rsidRDefault="00000000">
            <w:pPr>
              <w:pStyle w:val="SingleTxt"/>
              <w:keepNext/>
              <w:spacing w:before="40" w:after="40" w:line="240" w:lineRule="auto"/>
              <w:ind w:left="0" w:right="0" w:firstLine="0"/>
              <w:jc w:val="left"/>
              <w:rPr>
                <w:sz w:val="17"/>
              </w:rPr>
            </w:pPr>
            <w:r>
              <w:rPr>
                <w:sz w:val="17"/>
              </w:rPr>
              <w:t>Работа, выполняемая за пред</w:t>
            </w:r>
            <w:r>
              <w:rPr>
                <w:sz w:val="17"/>
              </w:rPr>
              <w:t>е</w:t>
            </w:r>
            <w:r>
              <w:rPr>
                <w:sz w:val="17"/>
              </w:rPr>
              <w:t>лами сельскохозяйственных предпр</w:t>
            </w:r>
            <w:r>
              <w:rPr>
                <w:sz w:val="17"/>
              </w:rPr>
              <w:t>и</w:t>
            </w:r>
            <w:r>
              <w:rPr>
                <w:sz w:val="17"/>
              </w:rPr>
              <w:t>ятий</w:t>
            </w:r>
          </w:p>
        </w:tc>
        <w:tc>
          <w:tcPr>
            <w:tcW w:w="11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43,0</w:t>
            </w:r>
          </w:p>
        </w:tc>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30,0</w:t>
            </w:r>
          </w:p>
        </w:tc>
        <w:tc>
          <w:tcPr>
            <w:tcW w:w="11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37,0</w:t>
            </w:r>
          </w:p>
        </w:tc>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92634</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jc w:val="left"/>
              <w:rPr>
                <w:sz w:val="17"/>
              </w:rPr>
            </w:pPr>
            <w:r>
              <w:rPr>
                <w:sz w:val="17"/>
              </w:rPr>
              <w:t>Безрабо</w:t>
            </w:r>
            <w:r>
              <w:rPr>
                <w:sz w:val="17"/>
              </w:rPr>
              <w:t>т</w:t>
            </w:r>
            <w:r>
              <w:rPr>
                <w:sz w:val="17"/>
              </w:rPr>
              <w:t>ные</w:t>
            </w:r>
          </w:p>
        </w:tc>
        <w:tc>
          <w:tcPr>
            <w:tcW w:w="11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6,0</w:t>
            </w:r>
          </w:p>
        </w:tc>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5,0</w:t>
            </w:r>
          </w:p>
        </w:tc>
        <w:tc>
          <w:tcPr>
            <w:tcW w:w="11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5,5</w:t>
            </w:r>
          </w:p>
        </w:tc>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13554</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jc w:val="left"/>
              <w:rPr>
                <w:sz w:val="17"/>
              </w:rPr>
            </w:pPr>
            <w:r>
              <w:rPr>
                <w:sz w:val="17"/>
              </w:rPr>
              <w:t>Домашние х</w:t>
            </w:r>
            <w:r>
              <w:rPr>
                <w:sz w:val="17"/>
              </w:rPr>
              <w:t>о</w:t>
            </w:r>
            <w:r>
              <w:rPr>
                <w:sz w:val="17"/>
              </w:rPr>
              <w:t>зяйки</w:t>
            </w:r>
          </w:p>
        </w:tc>
        <w:tc>
          <w:tcPr>
            <w:tcW w:w="11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0,0</w:t>
            </w:r>
          </w:p>
        </w:tc>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16,0</w:t>
            </w:r>
          </w:p>
        </w:tc>
        <w:tc>
          <w:tcPr>
            <w:tcW w:w="11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7,0</w:t>
            </w:r>
          </w:p>
        </w:tc>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19600</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jc w:val="left"/>
              <w:rPr>
                <w:sz w:val="17"/>
              </w:rPr>
            </w:pPr>
            <w:r>
              <w:rPr>
                <w:sz w:val="17"/>
              </w:rPr>
              <w:t>Дети, учащиеся, ст</w:t>
            </w:r>
            <w:r>
              <w:rPr>
                <w:sz w:val="17"/>
              </w:rPr>
              <w:t>у</w:t>
            </w:r>
            <w:r>
              <w:rPr>
                <w:sz w:val="17"/>
              </w:rPr>
              <w:t>денты</w:t>
            </w:r>
          </w:p>
        </w:tc>
        <w:tc>
          <w:tcPr>
            <w:tcW w:w="11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10,0</w:t>
            </w:r>
          </w:p>
        </w:tc>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11,0</w:t>
            </w:r>
          </w:p>
        </w:tc>
        <w:tc>
          <w:tcPr>
            <w:tcW w:w="11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10,5</w:t>
            </w:r>
          </w:p>
        </w:tc>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26678</w:t>
            </w:r>
          </w:p>
        </w:tc>
      </w:tr>
      <w:tr w:rsidR="00000000">
        <w:tblPrEx>
          <w:tblCellMar>
            <w:top w:w="0" w:type="dxa"/>
            <w:bottom w:w="0" w:type="dxa"/>
          </w:tblCellMar>
        </w:tblPrEx>
        <w:tc>
          <w:tcPr>
            <w:tcW w:w="2693" w:type="dxa"/>
          </w:tcPr>
          <w:p w:rsidR="00000000" w:rsidRDefault="00000000">
            <w:pPr>
              <w:pStyle w:val="SingleTxt"/>
              <w:spacing w:before="40" w:after="40" w:line="240" w:lineRule="auto"/>
              <w:ind w:left="0" w:right="0" w:firstLine="0"/>
              <w:jc w:val="left"/>
              <w:rPr>
                <w:sz w:val="17"/>
              </w:rPr>
            </w:pPr>
            <w:r>
              <w:rPr>
                <w:sz w:val="17"/>
              </w:rPr>
              <w:t>Пенсионеры, не работавшие в сельском хозя</w:t>
            </w:r>
            <w:r>
              <w:rPr>
                <w:sz w:val="17"/>
              </w:rPr>
              <w:t>й</w:t>
            </w:r>
            <w:r>
              <w:rPr>
                <w:sz w:val="17"/>
              </w:rPr>
              <w:t>стве</w:t>
            </w:r>
          </w:p>
        </w:tc>
        <w:tc>
          <w:tcPr>
            <w:tcW w:w="11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19,0</w:t>
            </w:r>
          </w:p>
        </w:tc>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16,0</w:t>
            </w:r>
          </w:p>
        </w:tc>
        <w:tc>
          <w:tcPr>
            <w:tcW w:w="11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18,0</w:t>
            </w:r>
          </w:p>
        </w:tc>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44903</w:t>
            </w:r>
          </w:p>
        </w:tc>
      </w:tr>
      <w:tr w:rsidR="00000000">
        <w:tblPrEx>
          <w:tblCellMar>
            <w:top w:w="0" w:type="dxa"/>
            <w:bottom w:w="0" w:type="dxa"/>
          </w:tblCellMar>
        </w:tblPrEx>
        <w:tc>
          <w:tcPr>
            <w:tcW w:w="2693" w:type="dxa"/>
            <w:tcBorders>
              <w:bottom w:val="single" w:sz="12" w:space="0" w:color="auto"/>
            </w:tcBorders>
          </w:tcPr>
          <w:p w:rsidR="00000000" w:rsidRDefault="00000000">
            <w:pPr>
              <w:pStyle w:val="SingleTxt"/>
              <w:spacing w:before="40" w:after="40" w:line="240" w:lineRule="auto"/>
              <w:ind w:left="0" w:right="0" w:firstLine="0"/>
              <w:jc w:val="left"/>
              <w:rPr>
                <w:sz w:val="17"/>
              </w:rPr>
            </w:pPr>
            <w:r>
              <w:rPr>
                <w:sz w:val="17"/>
              </w:rPr>
              <w:t>Пенсионеры, работавшие в сельском хозя</w:t>
            </w:r>
            <w:r>
              <w:rPr>
                <w:sz w:val="17"/>
              </w:rPr>
              <w:t>й</w:t>
            </w:r>
            <w:r>
              <w:rPr>
                <w:sz w:val="17"/>
              </w:rPr>
              <w:t>стве</w:t>
            </w:r>
          </w:p>
        </w:tc>
        <w:tc>
          <w:tcPr>
            <w:tcW w:w="116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6,0</w:t>
            </w:r>
          </w:p>
        </w:tc>
        <w:tc>
          <w:tcPr>
            <w:tcW w:w="117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10,0</w:t>
            </w:r>
          </w:p>
        </w:tc>
        <w:tc>
          <w:tcPr>
            <w:tcW w:w="116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8,0</w:t>
            </w:r>
          </w:p>
        </w:tc>
        <w:tc>
          <w:tcPr>
            <w:tcW w:w="117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567"/>
              </w:tabs>
              <w:spacing w:before="40" w:after="40" w:line="240" w:lineRule="auto"/>
              <w:ind w:left="0" w:right="0" w:firstLine="0"/>
              <w:jc w:val="left"/>
              <w:rPr>
                <w:sz w:val="17"/>
              </w:rPr>
            </w:pPr>
            <w:r>
              <w:rPr>
                <w:sz w:val="17"/>
              </w:rPr>
              <w:t>19977</w:t>
            </w:r>
          </w:p>
        </w:tc>
      </w:tr>
    </w:tbl>
    <w:p w:rsidR="00000000" w:rsidRDefault="00000000">
      <w:pPr>
        <w:pStyle w:val="SingleTxt"/>
        <w:ind w:firstLine="0"/>
      </w:pPr>
      <w:r>
        <w:rPr>
          <w:i/>
        </w:rPr>
        <w:t>Источник</w:t>
      </w:r>
      <w:r>
        <w:t>: Перепись фермерских домашних хозяйств в 2000 году</w:t>
      </w:r>
    </w:p>
    <w:p w:rsidR="00000000" w:rsidRDefault="00000000">
      <w:pPr>
        <w:pStyle w:val="SingleTxt"/>
      </w:pPr>
      <w:r>
        <w:t>Как правило, женщина, возглавляющая ферму в Словении, уже достигла преклонных лет (возможно, пережив, кроме того, своего мужа), имеет слабое общее и сельскохозяйственное образование, а также обрабатывает небольшой участок земли, где совместно с другими членами семьи выращивает в небол</w:t>
      </w:r>
      <w:r>
        <w:t>ь</w:t>
      </w:r>
      <w:r>
        <w:t>ших количествах практически все виды культур, возможно, для удовлетворения своих собственных потребностей. Представляется, что женщины в Словении зачастую начинают заниматься фермерским хозяйством из-за отсутствия более молодых членов семьи, в частности, мужчин, которые были бы готовы зан</w:t>
      </w:r>
      <w:r>
        <w:t>и</w:t>
      </w:r>
      <w:r>
        <w:t>маться фермерским хозяйством (муж умер, а никаких других наследников не осталось), и поскольку эта роль является единственным источником минимал</w:t>
      </w:r>
      <w:r>
        <w:t>ь</w:t>
      </w:r>
      <w:r>
        <w:t>ной социально-экономической безопасности.</w:t>
      </w:r>
    </w:p>
    <w:p w:rsidR="00000000" w:rsidRDefault="00000000">
      <w:pPr>
        <w:pStyle w:val="SingleTxt"/>
      </w:pPr>
      <w:r>
        <w:t>По сравнению с предыдущим законом в новый закон о пенсионном стр</w:t>
      </w:r>
      <w:r>
        <w:t>а</w:t>
      </w:r>
      <w:r>
        <w:t>ховании и страховании на случай инвалидности не было включено никаких существенно новых положений относительно обязательного страхования му</w:t>
      </w:r>
      <w:r>
        <w:t>ж</w:t>
      </w:r>
      <w:r>
        <w:t>чин и женщин-фермеров. Таким образом, фермеры (обоих полов) и работники сельскохозяйственных предприятий и другие лица, для которых сельскохозя</w:t>
      </w:r>
      <w:r>
        <w:t>й</w:t>
      </w:r>
      <w:r>
        <w:t>ственная деятельность является единственной или основной сферой профе</w:t>
      </w:r>
      <w:r>
        <w:t>с</w:t>
      </w:r>
      <w:r>
        <w:t>сиональной деятельности, подлежат обязательному страхованию при условии, что они не моложе 15 лет и удовлетворяют медицинским требованиям в отн</w:t>
      </w:r>
      <w:r>
        <w:t>о</w:t>
      </w:r>
      <w:r>
        <w:t>шении выполнения сельскохозяйственной работы, которые устанавливаются медицинским учреждением (статья 16). Дополнительное условие состоит в том, что на каждого застрахованного работника сельскохозяйственное предприятие получает кадастр и иной доход, который соответствует размеру минимальной заработной платы. Фермеры (обоих полов) могут отказаться от обязательного страхования, если ежемесячная базовая сумма для расчета налога по выпо</w:t>
      </w:r>
      <w:r>
        <w:t>л</w:t>
      </w:r>
      <w:r>
        <w:t>няемой ими работе составляет меньше половины минимальной заработной платы за последние шесть месяцев до освобождения от страхования (ст</w:t>
      </w:r>
      <w:r>
        <w:t>а</w:t>
      </w:r>
      <w:r>
        <w:t>тья 18).</w:t>
      </w:r>
    </w:p>
    <w:p w:rsidR="00000000" w:rsidRDefault="00000000">
      <w:pPr>
        <w:pStyle w:val="SingleTxt"/>
      </w:pPr>
      <w:r>
        <w:t>В Законе об уходе за детьми и семейном доходе аналогичным образом фермеры (обоих полов) учитываются в качестве страхуемых лиц применител</w:t>
      </w:r>
      <w:r>
        <w:t>ь</w:t>
      </w:r>
      <w:r>
        <w:t>но к охране материнства (статья 6), из чего следует, что они имеют право на отпуск по уходу за детьми, пособие на детей, а также права, относящиеся к к</w:t>
      </w:r>
      <w:r>
        <w:t>а</w:t>
      </w:r>
      <w:r>
        <w:t>тегории сокращенного рабочего времени. Женщины или родители, не обесп</w:t>
      </w:r>
      <w:r>
        <w:t>е</w:t>
      </w:r>
      <w:r>
        <w:t>чивающие страхование по отдельным типам отпуска по уходу за детьми, пол</w:t>
      </w:r>
      <w:r>
        <w:t>у</w:t>
      </w:r>
      <w:r>
        <w:t>чают право на пособия на цели ухода за детьми в течение 365 дней с момента рождения ребенка. С учетом незначительной доли молодых женщин-фермеров и сельских женщин, которые не уплачивают страховые взносы, подобное п</w:t>
      </w:r>
      <w:r>
        <w:t>о</w:t>
      </w:r>
      <w:r>
        <w:t>ложение является разумным.</w:t>
      </w:r>
    </w:p>
    <w:p w:rsidR="00000000" w:rsidRDefault="00000000">
      <w:pPr>
        <w:pStyle w:val="SingleTxt"/>
      </w:pPr>
      <w:r>
        <w:t>62% женщин-фермеров регулярно уплачивают взносы по всем типам страхования: пенсионное, медицинское, на случай потери работы и в целях о</w:t>
      </w:r>
      <w:r>
        <w:t>х</w:t>
      </w:r>
      <w:r>
        <w:t>раны материнства; чаще всего они платят взносы по медицинскому страхов</w:t>
      </w:r>
      <w:r>
        <w:t>а</w:t>
      </w:r>
      <w:r>
        <w:t>нию (89%) и реже всего – взносы в рамках охраны материнства. Плата взносов по вышеупомянутым типам страхования увязана со статусом в сфере занятости и возрастом женщин; чаще всего страховки не имеют женщины моложе 15 лет или старше 50 лет.</w:t>
      </w:r>
    </w:p>
    <w:p w:rsidR="00000000" w:rsidRDefault="00000000">
      <w:pPr>
        <w:pStyle w:val="SingleTxt"/>
      </w:pPr>
      <w:r>
        <w:t>Уровень образования работников словенских ферм существенно ниже, чем средний по Словении, а в этой прослойке общества гендерные различия по-прежнему чрезвычайно велики; 79% женщин имеют только лишь начальное образование или не имеют даже такового, а только 2,2% женщин имеют высшее образование или ученую степень. В процессе управления своими фермами фермеры надеются прежде всего на знания, которые они получили в процессе работы, а также практический опыт. Это справедливо, в частности, в отнош</w:t>
      </w:r>
      <w:r>
        <w:t>е</w:t>
      </w:r>
      <w:r>
        <w:t>нии женщин-фермеров, поскольку только 8% из них получили свои знания в процессе обучения в сельскохозяйственных учебных заведениях и на разли</w:t>
      </w:r>
      <w:r>
        <w:t>ч</w:t>
      </w:r>
      <w:r>
        <w:t>ных курсах по сельскому хозяйству. Только 0,3% женщин из числа руководит</w:t>
      </w:r>
      <w:r>
        <w:t>е</w:t>
      </w:r>
      <w:r>
        <w:t>лей ферм имеют высшее образование.</w:t>
      </w:r>
    </w:p>
    <w:p w:rsidR="00000000" w:rsidRDefault="00000000">
      <w:pPr>
        <w:pStyle w:val="tt"/>
        <w:keepNext/>
      </w:pPr>
      <w:r>
        <w:t xml:space="preserve">Таблица 24. Уровень образования всего населения и владельцев </w:t>
      </w:r>
      <w:r>
        <w:br/>
        <w:t>слове</w:t>
      </w:r>
      <w:r>
        <w:t>н</w:t>
      </w:r>
      <w:r>
        <w:t>ских ферм в разбивке по полу (доля в %)</w:t>
      </w:r>
    </w:p>
    <w:tbl>
      <w:tblPr>
        <w:tblW w:w="0" w:type="auto"/>
        <w:tblInd w:w="1278" w:type="dxa"/>
        <w:tblLayout w:type="fixed"/>
        <w:tblLook w:val="0000" w:firstRow="0" w:lastRow="0" w:firstColumn="0" w:lastColumn="0" w:noHBand="0" w:noVBand="0"/>
      </w:tblPr>
      <w:tblGrid>
        <w:gridCol w:w="2268"/>
        <w:gridCol w:w="851"/>
        <w:gridCol w:w="1134"/>
        <w:gridCol w:w="1076"/>
        <w:gridCol w:w="1021"/>
        <w:gridCol w:w="1021"/>
      </w:tblGrid>
      <w:tr w:rsidR="00000000">
        <w:tblPrEx>
          <w:tblCellMar>
            <w:top w:w="0" w:type="dxa"/>
            <w:bottom w:w="0" w:type="dxa"/>
          </w:tblCellMar>
        </w:tblPrEx>
        <w:tc>
          <w:tcPr>
            <w:tcW w:w="2268" w:type="dxa"/>
            <w:tcBorders>
              <w:top w:val="single" w:sz="6" w:space="0" w:color="auto"/>
              <w:bottom w:val="single" w:sz="12" w:space="0" w:color="auto"/>
            </w:tcBorders>
          </w:tcPr>
          <w:p w:rsidR="00000000" w:rsidRDefault="00000000">
            <w:pPr>
              <w:pStyle w:val="SingleTxt"/>
              <w:spacing w:before="40" w:after="40" w:line="240" w:lineRule="auto"/>
              <w:ind w:left="0" w:right="0" w:firstLine="0"/>
              <w:rPr>
                <w:sz w:val="17"/>
              </w:rPr>
            </w:pPr>
          </w:p>
        </w:tc>
        <w:tc>
          <w:tcPr>
            <w:tcW w:w="851"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Все</w:t>
            </w:r>
          </w:p>
        </w:tc>
        <w:tc>
          <w:tcPr>
            <w:tcW w:w="1134"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Мужч</w:t>
            </w:r>
            <w:r>
              <w:rPr>
                <w:i/>
                <w:sz w:val="17"/>
              </w:rPr>
              <w:t>и</w:t>
            </w:r>
            <w:r>
              <w:rPr>
                <w:i/>
                <w:sz w:val="17"/>
              </w:rPr>
              <w:t>ны</w:t>
            </w:r>
          </w:p>
        </w:tc>
        <w:tc>
          <w:tcPr>
            <w:tcW w:w="1076"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Женщ</w:t>
            </w:r>
            <w:r>
              <w:rPr>
                <w:i/>
                <w:sz w:val="17"/>
              </w:rPr>
              <w:t>и</w:t>
            </w:r>
            <w:r>
              <w:rPr>
                <w:i/>
                <w:sz w:val="17"/>
              </w:rPr>
              <w:t>ны</w:t>
            </w:r>
          </w:p>
        </w:tc>
        <w:tc>
          <w:tcPr>
            <w:tcW w:w="1021"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Мужч</w:t>
            </w:r>
            <w:r>
              <w:rPr>
                <w:i/>
                <w:sz w:val="17"/>
              </w:rPr>
              <w:t>и</w:t>
            </w:r>
            <w:r>
              <w:rPr>
                <w:i/>
                <w:sz w:val="17"/>
              </w:rPr>
              <w:t>ны-владел</w:t>
            </w:r>
            <w:r>
              <w:rPr>
                <w:i/>
                <w:sz w:val="17"/>
              </w:rPr>
              <w:t>ь</w:t>
            </w:r>
            <w:r>
              <w:rPr>
                <w:i/>
                <w:sz w:val="17"/>
              </w:rPr>
              <w:t>цы</w:t>
            </w:r>
          </w:p>
        </w:tc>
        <w:tc>
          <w:tcPr>
            <w:tcW w:w="1021" w:type="dxa"/>
            <w:tcBorders>
              <w:top w:val="single" w:sz="6" w:space="0" w:color="auto"/>
              <w:bottom w:val="single" w:sz="12" w:space="0" w:color="auto"/>
            </w:tcBorders>
            <w:vAlign w:val="center"/>
          </w:tcPr>
          <w:p w:rsidR="00000000" w:rsidRDefault="00000000">
            <w:pPr>
              <w:pStyle w:val="SingleTxt"/>
              <w:spacing w:before="40" w:after="40" w:line="240" w:lineRule="auto"/>
              <w:ind w:left="0" w:right="0" w:firstLine="0"/>
              <w:jc w:val="center"/>
              <w:rPr>
                <w:i/>
                <w:sz w:val="17"/>
              </w:rPr>
            </w:pPr>
            <w:r>
              <w:rPr>
                <w:i/>
                <w:sz w:val="17"/>
              </w:rPr>
              <w:t>Женщ</w:t>
            </w:r>
            <w:r>
              <w:rPr>
                <w:i/>
                <w:sz w:val="17"/>
              </w:rPr>
              <w:t>и</w:t>
            </w:r>
            <w:r>
              <w:rPr>
                <w:i/>
                <w:sz w:val="17"/>
              </w:rPr>
              <w:t>ны-владел</w:t>
            </w:r>
            <w:r>
              <w:rPr>
                <w:i/>
                <w:sz w:val="17"/>
              </w:rPr>
              <w:t>ь</w:t>
            </w:r>
            <w:r>
              <w:rPr>
                <w:i/>
                <w:sz w:val="17"/>
              </w:rPr>
              <w:t>цы</w:t>
            </w:r>
          </w:p>
        </w:tc>
      </w:tr>
      <w:tr w:rsidR="00000000">
        <w:tblPrEx>
          <w:tblCellMar>
            <w:top w:w="0" w:type="dxa"/>
            <w:bottom w:w="0" w:type="dxa"/>
          </w:tblCellMar>
        </w:tblPrEx>
        <w:tc>
          <w:tcPr>
            <w:tcW w:w="2268" w:type="dxa"/>
            <w:tcBorders>
              <w:top w:val="single" w:sz="12" w:space="0" w:color="auto"/>
            </w:tcBorders>
          </w:tcPr>
          <w:p w:rsidR="00000000" w:rsidRDefault="00000000">
            <w:pPr>
              <w:pStyle w:val="SingleTxt"/>
              <w:spacing w:before="40" w:after="40" w:line="240" w:lineRule="auto"/>
              <w:ind w:left="0" w:right="0" w:firstLine="0"/>
              <w:jc w:val="left"/>
              <w:rPr>
                <w:sz w:val="17"/>
              </w:rPr>
            </w:pPr>
            <w:r>
              <w:rPr>
                <w:sz w:val="17"/>
              </w:rPr>
              <w:t xml:space="preserve">Не имеющие начального </w:t>
            </w:r>
            <w:r>
              <w:rPr>
                <w:sz w:val="17"/>
              </w:rPr>
              <w:br/>
              <w:t>образ</w:t>
            </w:r>
            <w:r>
              <w:rPr>
                <w:sz w:val="17"/>
              </w:rPr>
              <w:t>о</w:t>
            </w:r>
            <w:r>
              <w:rPr>
                <w:sz w:val="17"/>
              </w:rPr>
              <w:t>вания</w:t>
            </w:r>
          </w:p>
        </w:tc>
        <w:tc>
          <w:tcPr>
            <w:tcW w:w="8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1,1</w:t>
            </w:r>
          </w:p>
        </w:tc>
        <w:tc>
          <w:tcPr>
            <w:tcW w:w="113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1.1</w:t>
            </w:r>
          </w:p>
        </w:tc>
        <w:tc>
          <w:tcPr>
            <w:tcW w:w="107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1,3</w:t>
            </w:r>
          </w:p>
        </w:tc>
        <w:tc>
          <w:tcPr>
            <w:tcW w:w="102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0,9</w:t>
            </w:r>
          </w:p>
        </w:tc>
        <w:tc>
          <w:tcPr>
            <w:tcW w:w="102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1,7</w:t>
            </w:r>
          </w:p>
        </w:tc>
      </w:tr>
      <w:tr w:rsidR="00000000">
        <w:tblPrEx>
          <w:tblCellMar>
            <w:top w:w="0" w:type="dxa"/>
            <w:bottom w:w="0" w:type="dxa"/>
          </w:tblCellMar>
        </w:tblPrEx>
        <w:tc>
          <w:tcPr>
            <w:tcW w:w="2268" w:type="dxa"/>
          </w:tcPr>
          <w:p w:rsidR="00000000" w:rsidRDefault="00000000">
            <w:pPr>
              <w:pStyle w:val="SingleTxt"/>
              <w:spacing w:before="40" w:after="40" w:line="240" w:lineRule="auto"/>
              <w:ind w:left="0" w:right="0" w:firstLine="0"/>
              <w:jc w:val="left"/>
              <w:rPr>
                <w:sz w:val="17"/>
              </w:rPr>
            </w:pPr>
            <w:r>
              <w:rPr>
                <w:sz w:val="17"/>
              </w:rPr>
              <w:t xml:space="preserve">Неоконченное начальное </w:t>
            </w:r>
            <w:r>
              <w:rPr>
                <w:sz w:val="17"/>
              </w:rPr>
              <w:br/>
              <w:t>о</w:t>
            </w:r>
            <w:r>
              <w:rPr>
                <w:sz w:val="17"/>
              </w:rPr>
              <w:t>б</w:t>
            </w:r>
            <w:r>
              <w:rPr>
                <w:sz w:val="17"/>
              </w:rPr>
              <w:t>разование</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4,8</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4,0</w:t>
            </w:r>
          </w:p>
        </w:tc>
        <w:tc>
          <w:tcPr>
            <w:tcW w:w="10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5,7</w:t>
            </w:r>
          </w:p>
        </w:tc>
        <w:tc>
          <w:tcPr>
            <w:tcW w:w="10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9,6</w:t>
            </w:r>
          </w:p>
        </w:tc>
        <w:tc>
          <w:tcPr>
            <w:tcW w:w="10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11,6</w:t>
            </w:r>
          </w:p>
        </w:tc>
      </w:tr>
      <w:tr w:rsidR="00000000">
        <w:tblPrEx>
          <w:tblCellMar>
            <w:top w:w="0" w:type="dxa"/>
            <w:bottom w:w="0" w:type="dxa"/>
          </w:tblCellMar>
        </w:tblPrEx>
        <w:tc>
          <w:tcPr>
            <w:tcW w:w="2268" w:type="dxa"/>
          </w:tcPr>
          <w:p w:rsidR="00000000" w:rsidRDefault="00000000">
            <w:pPr>
              <w:pStyle w:val="SingleTxt"/>
              <w:spacing w:before="40" w:after="40" w:line="240" w:lineRule="auto"/>
              <w:ind w:left="0" w:right="0" w:firstLine="0"/>
              <w:jc w:val="left"/>
              <w:rPr>
                <w:sz w:val="17"/>
              </w:rPr>
            </w:pPr>
            <w:r>
              <w:rPr>
                <w:sz w:val="17"/>
              </w:rPr>
              <w:t>Начальное образов</w:t>
            </w:r>
            <w:r>
              <w:rPr>
                <w:sz w:val="17"/>
              </w:rPr>
              <w:t>а</w:t>
            </w:r>
            <w:r>
              <w:rPr>
                <w:sz w:val="17"/>
              </w:rPr>
              <w:t>ние</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27,0</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21,7</w:t>
            </w:r>
          </w:p>
        </w:tc>
        <w:tc>
          <w:tcPr>
            <w:tcW w:w="10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32,0</w:t>
            </w:r>
          </w:p>
        </w:tc>
        <w:tc>
          <w:tcPr>
            <w:tcW w:w="10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40,4</w:t>
            </w:r>
          </w:p>
        </w:tc>
        <w:tc>
          <w:tcPr>
            <w:tcW w:w="10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65,4</w:t>
            </w:r>
          </w:p>
        </w:tc>
      </w:tr>
      <w:tr w:rsidR="00000000">
        <w:tblPrEx>
          <w:tblCellMar>
            <w:top w:w="0" w:type="dxa"/>
            <w:bottom w:w="0" w:type="dxa"/>
          </w:tblCellMar>
        </w:tblPrEx>
        <w:tc>
          <w:tcPr>
            <w:tcW w:w="2268" w:type="dxa"/>
          </w:tcPr>
          <w:p w:rsidR="00000000" w:rsidRDefault="00000000">
            <w:pPr>
              <w:pStyle w:val="SingleTxt"/>
              <w:spacing w:before="40" w:after="40" w:line="240" w:lineRule="auto"/>
              <w:ind w:left="0" w:right="0" w:firstLine="0"/>
              <w:jc w:val="left"/>
              <w:rPr>
                <w:sz w:val="17"/>
              </w:rPr>
            </w:pPr>
            <w:r>
              <w:rPr>
                <w:sz w:val="17"/>
              </w:rPr>
              <w:t xml:space="preserve">Среднее специальное </w:t>
            </w:r>
            <w:r>
              <w:rPr>
                <w:sz w:val="17"/>
              </w:rPr>
              <w:br/>
              <w:t>образов</w:t>
            </w:r>
            <w:r>
              <w:rPr>
                <w:sz w:val="17"/>
              </w:rPr>
              <w:t>а</w:t>
            </w:r>
            <w:r>
              <w:rPr>
                <w:sz w:val="17"/>
              </w:rPr>
              <w:t>ние</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25,2</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32,3</w:t>
            </w:r>
          </w:p>
        </w:tc>
        <w:tc>
          <w:tcPr>
            <w:tcW w:w="10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18,7</w:t>
            </w:r>
          </w:p>
        </w:tc>
        <w:tc>
          <w:tcPr>
            <w:tcW w:w="10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31,7</w:t>
            </w:r>
          </w:p>
        </w:tc>
        <w:tc>
          <w:tcPr>
            <w:tcW w:w="10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10,6</w:t>
            </w:r>
          </w:p>
        </w:tc>
      </w:tr>
      <w:tr w:rsidR="00000000">
        <w:tblPrEx>
          <w:tblCellMar>
            <w:top w:w="0" w:type="dxa"/>
            <w:bottom w:w="0" w:type="dxa"/>
          </w:tblCellMar>
        </w:tblPrEx>
        <w:tc>
          <w:tcPr>
            <w:tcW w:w="2268" w:type="dxa"/>
          </w:tcPr>
          <w:p w:rsidR="00000000" w:rsidRDefault="00000000">
            <w:pPr>
              <w:pStyle w:val="SingleTxt"/>
              <w:spacing w:before="40" w:after="40" w:line="240" w:lineRule="auto"/>
              <w:ind w:left="0" w:right="0" w:firstLine="0"/>
              <w:jc w:val="left"/>
              <w:rPr>
                <w:sz w:val="17"/>
              </w:rPr>
            </w:pPr>
            <w:r>
              <w:rPr>
                <w:sz w:val="17"/>
              </w:rPr>
              <w:t>Среднее обр</w:t>
            </w:r>
            <w:r>
              <w:rPr>
                <w:sz w:val="17"/>
              </w:rPr>
              <w:t>а</w:t>
            </w:r>
            <w:r>
              <w:rPr>
                <w:sz w:val="17"/>
              </w:rPr>
              <w:t>зование</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29,5</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28,8</w:t>
            </w:r>
          </w:p>
        </w:tc>
        <w:tc>
          <w:tcPr>
            <w:tcW w:w="10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30,2</w:t>
            </w:r>
          </w:p>
        </w:tc>
        <w:tc>
          <w:tcPr>
            <w:tcW w:w="10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13,7</w:t>
            </w:r>
          </w:p>
        </w:tc>
        <w:tc>
          <w:tcPr>
            <w:tcW w:w="10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8,5</w:t>
            </w:r>
          </w:p>
        </w:tc>
      </w:tr>
      <w:tr w:rsidR="00000000">
        <w:tblPrEx>
          <w:tblCellMar>
            <w:top w:w="0" w:type="dxa"/>
            <w:bottom w:w="0" w:type="dxa"/>
          </w:tblCellMar>
        </w:tblPrEx>
        <w:tc>
          <w:tcPr>
            <w:tcW w:w="2268" w:type="dxa"/>
          </w:tcPr>
          <w:p w:rsidR="00000000" w:rsidRDefault="00000000">
            <w:pPr>
              <w:pStyle w:val="SingleTxt"/>
              <w:spacing w:before="40" w:after="40" w:line="240" w:lineRule="auto"/>
              <w:ind w:left="0" w:right="0" w:firstLine="0"/>
              <w:jc w:val="left"/>
              <w:rPr>
                <w:sz w:val="17"/>
              </w:rPr>
            </w:pPr>
            <w:r>
              <w:rPr>
                <w:sz w:val="17"/>
              </w:rPr>
              <w:t xml:space="preserve">Двухлетнее высшее </w:t>
            </w:r>
            <w:r>
              <w:rPr>
                <w:sz w:val="17"/>
              </w:rPr>
              <w:br/>
              <w:t>образ</w:t>
            </w:r>
            <w:r>
              <w:rPr>
                <w:sz w:val="17"/>
              </w:rPr>
              <w:t>о</w:t>
            </w:r>
            <w:r>
              <w:rPr>
                <w:sz w:val="17"/>
              </w:rPr>
              <w:t>вание</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5,6</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4,9</w:t>
            </w:r>
          </w:p>
        </w:tc>
        <w:tc>
          <w:tcPr>
            <w:tcW w:w="10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6,3</w:t>
            </w:r>
          </w:p>
        </w:tc>
        <w:tc>
          <w:tcPr>
            <w:tcW w:w="10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1,9</w:t>
            </w:r>
          </w:p>
        </w:tc>
        <w:tc>
          <w:tcPr>
            <w:tcW w:w="10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1,3</w:t>
            </w:r>
          </w:p>
        </w:tc>
      </w:tr>
      <w:tr w:rsidR="00000000">
        <w:tblPrEx>
          <w:tblCellMar>
            <w:top w:w="0" w:type="dxa"/>
            <w:bottom w:w="0" w:type="dxa"/>
          </w:tblCellMar>
        </w:tblPrEx>
        <w:tc>
          <w:tcPr>
            <w:tcW w:w="2268" w:type="dxa"/>
            <w:tcBorders>
              <w:bottom w:val="single" w:sz="12" w:space="0" w:color="auto"/>
            </w:tcBorders>
          </w:tcPr>
          <w:p w:rsidR="00000000" w:rsidRDefault="00000000">
            <w:pPr>
              <w:pStyle w:val="SingleTxt"/>
              <w:spacing w:before="40" w:after="40" w:line="240" w:lineRule="auto"/>
              <w:ind w:left="0" w:right="0" w:firstLine="0"/>
              <w:jc w:val="left"/>
              <w:rPr>
                <w:sz w:val="17"/>
              </w:rPr>
            </w:pPr>
            <w:r>
              <w:rPr>
                <w:sz w:val="17"/>
              </w:rPr>
              <w:t xml:space="preserve">Четырехлетнее высшее </w:t>
            </w:r>
            <w:r>
              <w:rPr>
                <w:sz w:val="17"/>
              </w:rPr>
              <w:br/>
              <w:t>обр</w:t>
            </w:r>
            <w:r>
              <w:rPr>
                <w:sz w:val="17"/>
              </w:rPr>
              <w:t>а</w:t>
            </w:r>
            <w:r>
              <w:rPr>
                <w:sz w:val="17"/>
              </w:rPr>
              <w:t>зование</w:t>
            </w:r>
          </w:p>
        </w:tc>
        <w:tc>
          <w:tcPr>
            <w:tcW w:w="85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6,6</w:t>
            </w:r>
          </w:p>
        </w:tc>
        <w:tc>
          <w:tcPr>
            <w:tcW w:w="113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7,0</w:t>
            </w:r>
          </w:p>
        </w:tc>
        <w:tc>
          <w:tcPr>
            <w:tcW w:w="107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5,9</w:t>
            </w:r>
          </w:p>
        </w:tc>
        <w:tc>
          <w:tcPr>
            <w:tcW w:w="102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1,7</w:t>
            </w:r>
          </w:p>
        </w:tc>
        <w:tc>
          <w:tcPr>
            <w:tcW w:w="102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459"/>
              </w:tabs>
              <w:spacing w:before="40" w:after="40" w:line="240" w:lineRule="auto"/>
              <w:ind w:left="0" w:right="0" w:firstLine="0"/>
              <w:jc w:val="left"/>
              <w:rPr>
                <w:sz w:val="17"/>
              </w:rPr>
            </w:pPr>
            <w:r>
              <w:rPr>
                <w:sz w:val="17"/>
              </w:rPr>
              <w:t>0,9</w:t>
            </w:r>
          </w:p>
        </w:tc>
      </w:tr>
    </w:tbl>
    <w:p w:rsidR="00000000" w:rsidRDefault="00000000">
      <w:pPr>
        <w:pStyle w:val="SingleTxt"/>
        <w:ind w:firstLine="0"/>
      </w:pPr>
      <w:r>
        <w:rPr>
          <w:i/>
        </w:rPr>
        <w:t>Источник</w:t>
      </w:r>
      <w:r>
        <w:t>: Статистический ежегодник 2001 года и перепись фермерских д</w:t>
      </w:r>
      <w:r>
        <w:t>о</w:t>
      </w:r>
      <w:r>
        <w:t>машних хозяйств 2000 года</w:t>
      </w:r>
    </w:p>
    <w:p w:rsidR="00000000" w:rsidRDefault="00000000">
      <w:pPr>
        <w:pStyle w:val="H1"/>
        <w:ind w:left="1264" w:firstLine="0"/>
      </w:pPr>
      <w:r>
        <w:t>Статья 15</w:t>
      </w:r>
      <w:r>
        <w:br/>
        <w:t>Равенство перед законом</w:t>
      </w:r>
    </w:p>
    <w:p w:rsidR="00000000" w:rsidRDefault="00000000">
      <w:pPr>
        <w:pStyle w:val="SingleTxt"/>
      </w:pPr>
      <w:r>
        <w:t>Не произошло никаких новых изменений с момента подготовки Второго доклада.</w:t>
      </w:r>
    </w:p>
    <w:p w:rsidR="00000000" w:rsidRDefault="00000000">
      <w:pPr>
        <w:pStyle w:val="H1"/>
        <w:ind w:left="1264" w:firstLine="0"/>
      </w:pPr>
      <w:r>
        <w:t>Статья 16</w:t>
      </w:r>
      <w:r>
        <w:br/>
        <w:t>Брак и семейные отношения</w:t>
      </w:r>
    </w:p>
    <w:p w:rsidR="00000000" w:rsidRDefault="00000000">
      <w:pPr>
        <w:pStyle w:val="SingleTxt"/>
      </w:pPr>
      <w:r>
        <w:t>В том, что касается брака и семейных отношений, правовая основа ост</w:t>
      </w:r>
      <w:r>
        <w:t>а</w:t>
      </w:r>
      <w:r>
        <w:t>ется прежней, однако в рамках Министерства по делам труда, семьи и социал</w:t>
      </w:r>
      <w:r>
        <w:t>ь</w:t>
      </w:r>
      <w:r>
        <w:t>ных отношений готовится новый закон о браке и семейных о</w:t>
      </w:r>
      <w:r>
        <w:t>т</w:t>
      </w:r>
      <w:r>
        <w:t>ношениях.</w:t>
      </w:r>
    </w:p>
    <w:p w:rsidR="00000000" w:rsidRDefault="00000000">
      <w:pPr>
        <w:pStyle w:val="SingleTxt"/>
      </w:pPr>
      <w:r>
        <w:t>Важное нововведение – это внедрение концепции компенсационных ал</w:t>
      </w:r>
      <w:r>
        <w:t>и</w:t>
      </w:r>
      <w:r>
        <w:t>ментов детям, которым алименты не уплачивают те лица, которые их обязаны уплачивать. Посредством внесения поправок в закон от 1999 года гарантийный фонд был преобразован в Фонд гарантий и алиментов Республики Словения, который с этого момента также отвечает за выполнение обязательств, относ</w:t>
      </w:r>
      <w:r>
        <w:t>я</w:t>
      </w:r>
      <w:r>
        <w:t>щихся к категории прав детей в случае неуплаты алиментов. Право на компе</w:t>
      </w:r>
      <w:r>
        <w:t>н</w:t>
      </w:r>
      <w:r>
        <w:t>сационные алименты имеет ребенок, который должен получать алименты по окончательному решению суда или временному распоряжению суда, или по с</w:t>
      </w:r>
      <w:r>
        <w:t>о</w:t>
      </w:r>
      <w:r>
        <w:t>глашению с центром социальной работы, причем речь идет о тех алиментах, которые не уплачивает несущее соответствующее обязательство лицо (ст</w:t>
      </w:r>
      <w:r>
        <w:t>а</w:t>
      </w:r>
      <w:r>
        <w:t>тья 21</w:t>
      </w:r>
      <w:r>
        <w:rPr>
          <w:lang w:val="en-US"/>
        </w:rPr>
        <w:t>a</w:t>
      </w:r>
      <w:r>
        <w:t>). Алименты считаются невыплачиваемыми в том случае, когда они не уплачивались в течение трех месяцев подряд или уплачиваются нерегулярно. Кроме того, ребенок должен являться гражданином Республики Словения и иметь постоянное местожительство в Республике Словения, не может быть старше 18 лет, а доход на одного члена семьи в той семье, где живет ребенок, не может превышать 55% средней заработной платы в государстве в предыд</w:t>
      </w:r>
      <w:r>
        <w:t>у</w:t>
      </w:r>
      <w:r>
        <w:t>щем году. Право на компенсацию также имеет ребенок, являющийся иностра</w:t>
      </w:r>
      <w:r>
        <w:t>н</w:t>
      </w:r>
      <w:r>
        <w:t>цем, но имеющий постоянное местожительство в Республике Словения, если это определено в международном соглашении, или на началах взаимности (ст</w:t>
      </w:r>
      <w:r>
        <w:t>а</w:t>
      </w:r>
      <w:r>
        <w:t>тья 21</w:t>
      </w:r>
      <w:r>
        <w:rPr>
          <w:lang w:val="en-US"/>
        </w:rPr>
        <w:t>a</w:t>
      </w:r>
      <w:r>
        <w:t>). Ребенок сохраняет право на получение компенсационных алиментов до тех пор, пока ему не исполнится 15 лет либо 18 лет, если он не имеет работы (статья</w:t>
      </w:r>
      <w:r>
        <w:rPr>
          <w:lang w:val="en-US"/>
        </w:rPr>
        <w:t> </w:t>
      </w:r>
      <w:r>
        <w:t>21</w:t>
      </w:r>
      <w:r>
        <w:rPr>
          <w:lang w:val="en-US"/>
        </w:rPr>
        <w:t>b</w:t>
      </w:r>
      <w:r>
        <w:t>). Уровень компенсации определяется законодательством в завис</w:t>
      </w:r>
      <w:r>
        <w:t>и</w:t>
      </w:r>
      <w:r>
        <w:t>мости от возраста ребенка и корректируется в том же порядке, что и уровень алиментов (статья 21</w:t>
      </w:r>
      <w:r>
        <w:rPr>
          <w:lang w:val="en-US"/>
        </w:rPr>
        <w:t>d</w:t>
      </w:r>
      <w:r>
        <w:t>). В октябре 2002 года правительство Республики Слов</w:t>
      </w:r>
      <w:r>
        <w:t>е</w:t>
      </w:r>
      <w:r>
        <w:t>ния приняло предложение о внесении поправок в закон о фонде гарантий и алиментов, который в настоящее время проходит процедуру утверждения Па</w:t>
      </w:r>
      <w:r>
        <w:t>р</w:t>
      </w:r>
      <w:r>
        <w:t>ламентом. Основное предлагаемое изменение состоит в том, что право на п</w:t>
      </w:r>
      <w:r>
        <w:t>о</w:t>
      </w:r>
      <w:r>
        <w:t>лучение компенсации теперь больше не будет увязываться с доходом на члена семьи и, таким образом, дети, живущие в семье, где доход на члена семьи пр</w:t>
      </w:r>
      <w:r>
        <w:t>е</w:t>
      </w:r>
      <w:r>
        <w:t>вышает вышеупомянутое устанавливаемое переписью значение, также будут иметь право на ее получение. Именно в таком порядке будет обеспечено равное обращение с детьми, живущими в семьях с одним родителем, и в которых соо</w:t>
      </w:r>
      <w:r>
        <w:t>т</w:t>
      </w:r>
      <w:r>
        <w:t>ветствующее лицо не уплачивает алименты на цели обеспечения общих детей средствами к существованию.</w:t>
      </w:r>
    </w:p>
    <w:p w:rsidR="00000000" w:rsidRDefault="00000000">
      <w:pPr>
        <w:pStyle w:val="SingleTxt"/>
        <w:rPr>
          <w:lang w:val="en-US"/>
        </w:rPr>
      </w:pPr>
      <w:r>
        <w:t>В 2001 году фонд по уплате алиментов признал право на компенсацию алиментов за 658 детьми, а 87 детей не удовлетворили критериям получения этого права. До конца года компенсационные алименты были выплачены 2330 детям на общую сумму в 308 млн. словенских крон (1 339 130 долларов США). Посредством исполнения решений поступившие в фонд иски от детей к лицам, обязанным уплачивать алименты, совпали по объему с уплаченными денежными средствами. К концу 2001 года фонду были возмещены 7,8% всех уплаченных средств (в 2000 году – 3,1%).</w:t>
      </w:r>
    </w:p>
    <w:p w:rsidR="00000000" w:rsidRDefault="00000000">
      <w:pPr>
        <w:pStyle w:val="SingleTxt"/>
        <w:spacing w:after="0" w:line="120" w:lineRule="exact"/>
      </w:pPr>
    </w:p>
    <w:p w:rsidR="00000000" w:rsidRDefault="00000000">
      <w:pPr>
        <w:pStyle w:val="SingleTxt"/>
        <w:spacing w:after="0" w:line="120" w:lineRule="exact"/>
      </w:pPr>
    </w:p>
    <w:p w:rsidR="00000000" w:rsidRDefault="00000000">
      <w:pPr>
        <w:pStyle w:val="SingleTxt"/>
        <w:spacing w:after="0" w:line="120" w:lineRule="exact"/>
      </w:pPr>
    </w:p>
    <w:p w:rsidR="00000000" w:rsidRDefault="00000000">
      <w:pPr>
        <w:pStyle w:val="SingleTxt"/>
        <w:spacing w:after="0" w:line="120" w:lineRule="exact"/>
      </w:pPr>
      <w:r>
        <w:rPr>
          <w:noProof/>
          <w:w w:val="100"/>
        </w:rPr>
        <w:pict>
          <v:line id="_x0000_s2170" style="position:absolute;left:0;text-align:left;z-index:1;mso-position-horizontal:absolute;mso-position-horizontal-relative:text;mso-position-vertical:absolute;mso-position-vertical-relative:text" from="199.3pt,36.1pt" to="271.3pt,36.1pt" o:allowincell="f" strokeweight=".25pt"/>
        </w:pict>
      </w: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NO&gt;&gt;N0275539R&lt;&lt;ODS JOB NO&gt;&gt;</w:t>
      </w:r>
    </w:p>
    <w:p w:rsidR="00000000" w:rsidRDefault="00000000">
      <w:pPr>
        <w:pStyle w:val="CommentText"/>
        <w:rPr>
          <w:lang w:val="en-US"/>
        </w:rPr>
      </w:pPr>
      <w:r>
        <w:rPr>
          <w:lang w:val="en-US"/>
        </w:rPr>
        <w:t>&lt;&lt;ODS DOC SYMBOL1&gt;&gt;CEDAW/C/SVN/3&lt;&lt;ODS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60" w:line="200" w:lineRule="exact"/>
      <w:rPr>
        <w:rFonts w:ascii="Code 3of9 4.6" w:hAnsi="Code 3of9 4.6"/>
        <w:b w:val="0"/>
        <w:sz w:val="20"/>
      </w:rPr>
    </w:pPr>
    <w:r>
      <w:rPr>
        <w:b w:val="0"/>
        <w:sz w:val="20"/>
      </w:rPr>
      <w:t>02-75539 (R)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ind w:left="1418" w:hanging="154"/>
      </w:pPr>
      <w:r>
        <w:rPr>
          <w:rStyle w:val="FootnoteReference"/>
        </w:rPr>
        <w:t>*</w:t>
      </w:r>
      <w:r>
        <w:tab/>
        <w:t xml:space="preserve">Первоначальный доклад, представленный правительством Словении, см. в документе </w:t>
      </w:r>
      <w:r>
        <w:rPr>
          <w:lang w:val="en-US"/>
        </w:rPr>
        <w:t>CEDAW</w:t>
      </w:r>
      <w:r>
        <w:t>/</w:t>
      </w:r>
      <w:r>
        <w:rPr>
          <w:lang w:val="en-US"/>
        </w:rPr>
        <w:t>C</w:t>
      </w:r>
      <w:r>
        <w:t>/</w:t>
      </w:r>
      <w:r>
        <w:rPr>
          <w:lang w:val="en-US"/>
        </w:rPr>
        <w:t>SVN</w:t>
      </w:r>
      <w:r>
        <w:t xml:space="preserve">/1, который был рассмотрен </w:t>
      </w:r>
      <w:r>
        <w:rPr>
          <w:sz w:val="24"/>
        </w:rPr>
        <w:t>Комитетом</w:t>
      </w:r>
      <w:r>
        <w:t xml:space="preserve"> на его шестнадцатой сессии. Второй периодический доклад, представленный правительством Словении, см. в док</w:t>
      </w:r>
      <w:r>
        <w:t>у</w:t>
      </w:r>
      <w:r>
        <w:t xml:space="preserve">менте </w:t>
      </w:r>
      <w:r>
        <w:rPr>
          <w:lang w:val="en-US"/>
        </w:rPr>
        <w:t>CEDAW</w:t>
      </w:r>
      <w:r>
        <w:t>/</w:t>
      </w:r>
      <w:r>
        <w:rPr>
          <w:lang w:val="en-US"/>
        </w:rPr>
        <w:t>C</w:t>
      </w:r>
      <w:r>
        <w:t>/</w:t>
      </w:r>
      <w:r>
        <w:rPr>
          <w:lang w:val="en-US"/>
        </w:rPr>
        <w:t>SVN</w:t>
      </w:r>
      <w:r>
        <w:t>/2.</w:t>
      </w:r>
    </w:p>
  </w:footnote>
  <w:footnote w:id="2">
    <w:p w:rsidR="00000000" w:rsidRDefault="00000000">
      <w:pPr>
        <w:pStyle w:val="FootnoteText"/>
      </w:pPr>
      <w:r>
        <w:rPr>
          <w:rStyle w:val="FootnoteReference"/>
        </w:rPr>
        <w:t>**</w:t>
      </w:r>
      <w:r>
        <w:tab/>
        <w:t>Настоящий документ официально не редактировался.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0"/>
            <w:rPr>
              <w:b w:val="0"/>
              <w:spacing w:val="2"/>
              <w:w w:val="96"/>
            </w:rPr>
          </w:pPr>
          <w:r>
            <w:rPr>
              <w:b w:val="0"/>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/C/SVN/3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spacing w:before="109" w:line="240" w:lineRule="auto"/>
            <w:rPr>
              <w:b/>
              <w:sz w:val="40"/>
            </w:rPr>
          </w:pPr>
          <w:r>
            <w:rPr>
              <w:b/>
              <w:sz w:val="40"/>
            </w:rPr>
            <w:t>Конвенция о ликвидации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всех форм дискриминации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4 December 2002</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2" type="#_x0000_t202" style="position:absolute;margin-left:-5.75pt;margin-top:0;width:7in;height:50.4pt;z-index:4;mso-position-horizontal:absolute;mso-position-horizontal-relative:text;mso-position-vertical:absolute;mso-position-vertical-relative:text" o:allowincell="f" stroked="f">
          <v:textbox style="mso-next-textbox:#_x0000_s1072;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CEDAW/C/SVN/3</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1" type="#_x0000_t202" style="position:absolute;margin-left:-5.75pt;margin-top:0;width:7in;height:50.4pt;z-index:3;mso-position-horizontal:absolute;mso-position-horizontal-relative:text;mso-position-vertical:absolute;mso-position-vertical-relative:text" o:allowincell="f" stroked="f">
          <v:textbox style="mso-next-textbox:#_x0000_s1071;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CEDAW/C/SVN/3</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6A04A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E70E74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154F592"/>
    <w:lvl w:ilvl="0">
      <w:start w:val="1"/>
      <w:numFmt w:val="decimal"/>
      <w:pStyle w:val="ListNumber3"/>
      <w:lvlText w:val="%1."/>
      <w:lvlJc w:val="left"/>
      <w:pPr>
        <w:tabs>
          <w:tab w:val="num" w:pos="926"/>
        </w:tabs>
        <w:ind w:left="926" w:hanging="360"/>
      </w:pPr>
    </w:lvl>
  </w:abstractNum>
  <w:abstractNum w:abstractNumId="3">
    <w:nsid w:val="FFFFFF7F"/>
    <w:multiLevelType w:val="singleLevel"/>
    <w:tmpl w:val="9D1474D4"/>
    <w:lvl w:ilvl="0">
      <w:start w:val="1"/>
      <w:numFmt w:val="decimal"/>
      <w:pStyle w:val="ListNumber2"/>
      <w:lvlText w:val="%1."/>
      <w:lvlJc w:val="left"/>
      <w:pPr>
        <w:tabs>
          <w:tab w:val="num" w:pos="643"/>
        </w:tabs>
        <w:ind w:left="643" w:hanging="360"/>
      </w:pPr>
    </w:lvl>
  </w:abstractNum>
  <w:abstractNum w:abstractNumId="4">
    <w:nsid w:val="FFFFFF82"/>
    <w:multiLevelType w:val="singleLevel"/>
    <w:tmpl w:val="2DC09848"/>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8"/>
    <w:multiLevelType w:val="singleLevel"/>
    <w:tmpl w:val="9A9CF8C0"/>
    <w:lvl w:ilvl="0">
      <w:start w:val="1"/>
      <w:numFmt w:val="decimal"/>
      <w:pStyle w:val="ListNumber"/>
      <w:lvlText w:val="%1."/>
      <w:lvlJc w:val="left"/>
      <w:pPr>
        <w:tabs>
          <w:tab w:val="num" w:pos="360"/>
        </w:tabs>
        <w:ind w:left="360" w:hanging="360"/>
      </w:pPr>
    </w:lvl>
  </w:abstractNum>
  <w:abstractNum w:abstractNumId="6">
    <w:nsid w:val="FFFFFF89"/>
    <w:multiLevelType w:val="singleLevel"/>
    <w:tmpl w:val="98C07790"/>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E434171"/>
    <w:multiLevelType w:val="hybridMultilevel"/>
    <w:tmpl w:val="17624D30"/>
    <w:lvl w:ilvl="0">
      <w:start w:val="1"/>
      <w:numFmt w:val="bullet"/>
      <w:pStyle w:val="cherta"/>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106D698C"/>
    <w:multiLevelType w:val="singleLevel"/>
    <w:tmpl w:val="A04AB20A"/>
    <w:lvl w:ilvl="0">
      <w:start w:val="1"/>
      <w:numFmt w:val="upperLetter"/>
      <w:pStyle w:val="Heading9"/>
      <w:lvlText w:val="%1."/>
      <w:lvlJc w:val="left"/>
      <w:pPr>
        <w:tabs>
          <w:tab w:val="num" w:pos="648"/>
        </w:tabs>
        <w:ind w:left="648" w:hanging="360"/>
      </w:pPr>
      <w:rPr>
        <w:rFonts w:hint="default"/>
      </w:rPr>
    </w:lvl>
  </w:abstractNum>
  <w:abstractNum w:abstractNumId="9">
    <w:nsid w:val="21206ED8"/>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0">
    <w:nsid w:val="34DC129E"/>
    <w:multiLevelType w:val="singleLevel"/>
    <w:tmpl w:val="D37CCD44"/>
    <w:lvl w:ilvl="0">
      <w:start w:val="1"/>
      <w:numFmt w:val="decimal"/>
      <w:pStyle w:val="ListContinue2"/>
      <w:lvlText w:val="%1."/>
      <w:lvlJc w:val="right"/>
      <w:pPr>
        <w:tabs>
          <w:tab w:val="num" w:pos="792"/>
        </w:tabs>
        <w:ind w:left="792" w:hanging="317"/>
      </w:pPr>
      <w:rPr>
        <w:rFonts w:hint="default"/>
      </w:rPr>
    </w:lvl>
  </w:abstractNum>
  <w:abstractNum w:abstractNumId="11">
    <w:nsid w:val="3E8D68AE"/>
    <w:multiLevelType w:val="singleLevel"/>
    <w:tmpl w:val="A5C03CAA"/>
    <w:lvl w:ilvl="0">
      <w:start w:val="1"/>
      <w:numFmt w:val="decimal"/>
      <w:pStyle w:val="num"/>
      <w:lvlText w:val="%1."/>
      <w:lvlJc w:val="left"/>
      <w:pPr>
        <w:tabs>
          <w:tab w:val="num" w:pos="360"/>
        </w:tabs>
        <w:ind w:left="360" w:hanging="360"/>
      </w:pPr>
      <w:rPr>
        <w:rFonts w:hint="default"/>
      </w:rPr>
    </w:lvl>
  </w:abstractNum>
  <w:abstractNum w:abstractNumId="12">
    <w:nsid w:val="42127A41"/>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3">
    <w:nsid w:val="4B023DBF"/>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4">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9"/>
  </w:num>
  <w:num w:numId="2">
    <w:abstractNumId w:val="12"/>
  </w:num>
  <w:num w:numId="3">
    <w:abstractNumId w:val="13"/>
  </w:num>
  <w:num w:numId="4">
    <w:abstractNumId w:val="7"/>
  </w:num>
  <w:num w:numId="5">
    <w:abstractNumId w:val="11"/>
  </w:num>
  <w:num w:numId="6">
    <w:abstractNumId w:val="8"/>
  </w:num>
  <w:num w:numId="7">
    <w:abstractNumId w:val="6"/>
  </w:num>
  <w:num w:numId="8">
    <w:abstractNumId w:val="4"/>
  </w:num>
  <w:num w:numId="9">
    <w:abstractNumId w:val="5"/>
  </w:num>
  <w:num w:numId="10">
    <w:abstractNumId w:val="3"/>
  </w:num>
  <w:num w:numId="11">
    <w:abstractNumId w:val="2"/>
  </w:num>
  <w:num w:numId="12">
    <w:abstractNumId w:val="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88"/>
  <w:hideSpellingErrors/>
  <w:hideGrammaticalErrors/>
  <w:activeWritingStyle w:appName="MSWord" w:lang="ru-RU" w:vendorID="1" w:dllVersion="512" w:checkStyle="1"/>
  <w:activeWritingStyle w:appName="MSWord" w:lang="en-US" w:vendorID="8" w:dllVersion="513" w:checkStyle="1"/>
  <w:activeWritingStyle w:appName="MSWord" w:lang="en-GB" w:vendorID="8" w:dllVersion="513" w:checkStyle="1"/>
  <w:doNotTrackMoves/>
  <w:defaultTabStop w:val="476"/>
  <w:autoHyphenation/>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288"/>
        <w:tab w:val="left" w:pos="576"/>
        <w:tab w:val="left" w:pos="864"/>
        <w:tab w:val="left" w:pos="1152"/>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10" w:lineRule="exact"/>
      <w:ind w:right="40"/>
      <w:outlineLvl w:val="3"/>
    </w:pPr>
    <w:rPr>
      <w:b/>
      <w:bCs/>
      <w:sz w:val="17"/>
    </w:rPr>
  </w:style>
  <w:style w:type="paragraph" w:styleId="Heading5">
    <w:name w:val="heading 5"/>
    <w:basedOn w:val="Normal"/>
    <w:next w:val="Normal"/>
    <w:qFormat/>
    <w:pPr>
      <w:keepNext/>
      <w:keepLines/>
      <w:suppressLineNumbers/>
      <w:tabs>
        <w:tab w:val="right" w:pos="360"/>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before="240" w:after="120"/>
      <w:ind w:left="480" w:hanging="480"/>
      <w:jc w:val="both"/>
      <w:outlineLvl w:val="4"/>
    </w:pPr>
    <w:rPr>
      <w:snapToGrid w:val="0"/>
      <w:lang w:val="en-GB" w:eastAsia="en-US"/>
    </w:rPr>
  </w:style>
  <w:style w:type="paragraph" w:styleId="Heading6">
    <w:name w:val="heading 6"/>
    <w:basedOn w:val="Normal"/>
    <w:next w:val="Normal"/>
    <w:qFormat/>
    <w:pPr>
      <w:keepNext/>
      <w:spacing w:before="40" w:after="40" w:line="240" w:lineRule="auto"/>
      <w:jc w:val="center"/>
      <w:outlineLvl w:val="5"/>
    </w:pPr>
    <w:rPr>
      <w:b/>
      <w:i/>
      <w:iCs/>
      <w:sz w:val="17"/>
    </w:rPr>
  </w:style>
  <w:style w:type="paragraph" w:styleId="Heading7">
    <w:name w:val="heading 7"/>
    <w:basedOn w:val="Normal"/>
    <w:next w:val="Normal"/>
    <w:qFormat/>
    <w:pPr>
      <w:keepNext/>
      <w:spacing w:line="240" w:lineRule="auto"/>
      <w:jc w:val="center"/>
      <w:outlineLvl w:val="6"/>
    </w:pPr>
    <w:rPr>
      <w:i/>
      <w:iCs/>
      <w:sz w:val="18"/>
    </w:rPr>
  </w:style>
  <w:style w:type="paragraph" w:styleId="Heading8">
    <w:name w:val="heading 8"/>
    <w:basedOn w:val="Normal"/>
    <w:next w:val="Normal"/>
    <w:qFormat/>
    <w:pPr>
      <w:keepNext/>
      <w:jc w:val="center"/>
      <w:outlineLvl w:val="7"/>
    </w:pPr>
    <w:rPr>
      <w:i/>
      <w:iCs/>
      <w:sz w:val="17"/>
    </w:rPr>
  </w:style>
  <w:style w:type="paragraph" w:styleId="Heading9">
    <w:name w:val="heading 9"/>
    <w:basedOn w:val="Normal"/>
    <w:next w:val="Normal"/>
    <w:qFormat/>
    <w:pPr>
      <w:keepNext/>
      <w:numPr>
        <w:numId w:val="6"/>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keepNext/>
      <w:tabs>
        <w:tab w:val="left" w:pos="1741"/>
      </w:tabs>
      <w:suppressAutoHyphens/>
      <w:spacing w:before="240" w:after="120" w:line="270" w:lineRule="exact"/>
      <w:ind w:left="1740" w:right="1264" w:hanging="476"/>
      <w:outlineLvl w:val="0"/>
    </w:pPr>
    <w:rPr>
      <w:b/>
      <w:sz w:val="24"/>
    </w:rPr>
  </w:style>
  <w:style w:type="paragraph" w:customStyle="1" w:styleId="HCh">
    <w:name w:val="_ H _Ch"/>
    <w:basedOn w:val="H1"/>
    <w:next w:val="Normal"/>
    <w:pPr>
      <w:keepLines/>
      <w:spacing w:line="300" w:lineRule="exact"/>
      <w:ind w:left="1264" w:firstLine="0"/>
    </w:pPr>
    <w:rPr>
      <w:spacing w:val="-2"/>
      <w:sz w:val="28"/>
    </w:rPr>
  </w:style>
  <w:style w:type="paragraph" w:customStyle="1" w:styleId="H23">
    <w:name w:val="_ H_2/3"/>
    <w:basedOn w:val="H1"/>
    <w:next w:val="DualTxt"/>
    <w:pPr>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left" w:pos="1741"/>
      </w:tabs>
      <w:suppressAutoHyphens/>
      <w:spacing w:before="240" w:after="120"/>
      <w:ind w:left="1740" w:right="1264" w:hanging="476"/>
      <w:outlineLvl w:val="3"/>
    </w:pPr>
    <w:rPr>
      <w:i/>
      <w:spacing w:val="3"/>
    </w:rPr>
  </w:style>
  <w:style w:type="paragraph" w:customStyle="1" w:styleId="H56">
    <w:name w:val="_ H_5/6"/>
    <w:basedOn w:val="Normal"/>
    <w:next w:val="DualTxt"/>
    <w:pPr>
      <w:keepNext/>
      <w:keepLines/>
      <w:tabs>
        <w:tab w:val="left" w:pos="476"/>
        <w:tab w:val="left" w:pos="953"/>
        <w:tab w:val="left" w:pos="1429"/>
        <w:tab w:val="left" w:pos="1905"/>
      </w:tabs>
      <w:suppressAutoHyphens/>
      <w:spacing w:before="240" w:after="120"/>
      <w:ind w:left="1740" w:right="1264" w:hanging="476"/>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4" w:right="1264" w:firstLine="476"/>
      <w:jc w:val="both"/>
    </w:pPr>
  </w:style>
  <w:style w:type="character" w:styleId="CommentReference">
    <w:name w:val="annotation reference"/>
    <w:semiHidden/>
    <w:rPr>
      <w:sz w:val="6"/>
    </w:rPr>
  </w:style>
  <w:style w:type="character" w:styleId="FootnoteReference">
    <w:name w:val="footnote reference"/>
    <w:autoRedefine/>
    <w:semiHidden/>
    <w:rPr>
      <w:rFonts w:ascii="Times New Roman" w:hAnsi="Times New Roman"/>
      <w:dstrike w:val="0"/>
      <w:spacing w:val="-5"/>
      <w:w w:val="130"/>
      <w:position w:val="-4"/>
      <w:sz w:val="17"/>
      <w:vertAlign w:val="superscript"/>
    </w:rPr>
  </w:style>
  <w:style w:type="character" w:styleId="EndnoteReference">
    <w:name w:val="endnote reference"/>
    <w:basedOn w:val="FootnoteReference"/>
    <w:semiHidden/>
    <w:rPr>
      <w:rFonts w:ascii="Times New Roman" w:hAnsi="Times New Roman"/>
      <w:dstrike w:val="0"/>
      <w:spacing w:val="-5"/>
      <w:w w:val="130"/>
      <w:position w:val="-4"/>
      <w:sz w:val="17"/>
      <w:vertAlign w:val="superscript"/>
    </w:rPr>
  </w:style>
  <w:style w:type="paragraph" w:styleId="FootnoteText">
    <w:name w:val="footnote text"/>
    <w:basedOn w:val="Normal"/>
    <w:semiHidden/>
    <w:pPr>
      <w:widowControl w:val="0"/>
      <w:tabs>
        <w:tab w:val="right" w:pos="418"/>
      </w:tabs>
      <w:spacing w:line="210" w:lineRule="exact"/>
      <w:ind w:left="1377" w:right="1264" w:hanging="113"/>
      <w:jc w:val="both"/>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4"/>
      </w:numPr>
      <w:spacing w:after="120"/>
    </w:pPr>
  </w:style>
  <w:style w:type="paragraph" w:styleId="ListNumber">
    <w:name w:val="List Number"/>
    <w:basedOn w:val="H1"/>
    <w:next w:val="Normal"/>
    <w:semiHidden/>
    <w:pPr>
      <w:numPr>
        <w:numId w:val="9"/>
      </w:numPr>
      <w:tabs>
        <w:tab w:val="clear" w:pos="360"/>
        <w:tab w:val="num" w:pos="792"/>
      </w:tabs>
      <w:ind w:left="792" w:hanging="317"/>
    </w:pPr>
  </w:style>
  <w:style w:type="paragraph" w:styleId="ListNumber2">
    <w:name w:val="List Number 2"/>
    <w:basedOn w:val="H23"/>
    <w:next w:val="Normal"/>
    <w:semiHidden/>
    <w:pPr>
      <w:numPr>
        <w:numId w:val="10"/>
      </w:numPr>
      <w:tabs>
        <w:tab w:val="clear" w:pos="643"/>
        <w:tab w:val="num" w:pos="792"/>
      </w:tabs>
      <w:ind w:left="792" w:hanging="317"/>
    </w:pPr>
  </w:style>
  <w:style w:type="paragraph" w:styleId="ListNumber3">
    <w:name w:val="List Number 3"/>
    <w:basedOn w:val="H23"/>
    <w:next w:val="Normal"/>
    <w:semiHidden/>
    <w:pPr>
      <w:numPr>
        <w:numId w:val="11"/>
      </w:numPr>
      <w:tabs>
        <w:tab w:val="clear" w:pos="926"/>
        <w:tab w:val="num" w:pos="792"/>
      </w:tabs>
      <w:ind w:left="792" w:hanging="317"/>
    </w:pPr>
  </w:style>
  <w:style w:type="paragraph" w:styleId="ListNumber4">
    <w:name w:val="List Number 4"/>
    <w:basedOn w:val="H4"/>
    <w:next w:val="Normal"/>
    <w:semiHidden/>
    <w:pPr>
      <w:numPr>
        <w:numId w:val="12"/>
      </w:numPr>
      <w:tabs>
        <w:tab w:val="clear" w:pos="1209"/>
        <w:tab w:val="num" w:pos="792"/>
      </w:tabs>
      <w:ind w:left="792" w:hanging="317"/>
    </w:pPr>
  </w:style>
  <w:style w:type="paragraph" w:styleId="ListNumber5">
    <w:name w:val="List Number 5"/>
    <w:basedOn w:val="Normal"/>
    <w:next w:val="Normal"/>
    <w:semiHidden/>
    <w:pPr>
      <w:numPr>
        <w:numId w:val="13"/>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7"/>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semiHidden/>
    <w:pPr>
      <w:tabs>
        <w:tab w:val="left" w:pos="720"/>
        <w:tab w:val="left" w:pos="1440"/>
        <w:tab w:val="num" w:pos="1800"/>
      </w:tabs>
      <w:spacing w:line="480" w:lineRule="auto"/>
      <w:ind w:left="720" w:hanging="720"/>
      <w:jc w:val="both"/>
    </w:pPr>
    <w:rPr>
      <w:spacing w:val="0"/>
      <w:w w:val="100"/>
      <w:kern w:val="0"/>
      <w:sz w:val="28"/>
    </w:rPr>
  </w:style>
  <w:style w:type="paragraph" w:styleId="List">
    <w:name w:val="List"/>
    <w:basedOn w:val="Normal"/>
    <w:semiHidden/>
    <w:pPr>
      <w:spacing w:line="480" w:lineRule="auto"/>
      <w:ind w:left="283" w:hanging="283"/>
      <w:jc w:val="both"/>
    </w:pPr>
    <w:rPr>
      <w:spacing w:val="0"/>
      <w:w w:val="100"/>
      <w:kern w:val="0"/>
      <w:sz w:val="28"/>
    </w:rPr>
  </w:style>
  <w:style w:type="paragraph" w:styleId="List2">
    <w:name w:val="List 2"/>
    <w:basedOn w:val="Normal"/>
    <w:semiHidden/>
    <w:pPr>
      <w:spacing w:line="480" w:lineRule="auto"/>
      <w:ind w:left="566" w:hanging="283"/>
      <w:jc w:val="both"/>
    </w:pPr>
    <w:rPr>
      <w:spacing w:val="0"/>
      <w:w w:val="100"/>
      <w:kern w:val="0"/>
      <w:sz w:val="28"/>
    </w:rPr>
  </w:style>
  <w:style w:type="paragraph" w:styleId="ListBullet3">
    <w:name w:val="List Bullet 3"/>
    <w:basedOn w:val="Normal"/>
    <w:autoRedefine/>
    <w:semiHidden/>
    <w:pPr>
      <w:numPr>
        <w:numId w:val="8"/>
      </w:numPr>
      <w:spacing w:line="480" w:lineRule="auto"/>
      <w:jc w:val="both"/>
    </w:pPr>
    <w:rPr>
      <w:spacing w:val="0"/>
      <w:w w:val="100"/>
      <w:kern w:val="0"/>
      <w:sz w:val="28"/>
    </w:rPr>
  </w:style>
  <w:style w:type="paragraph" w:customStyle="1" w:styleId="2">
    <w:name w:val="заголовок 2"/>
    <w:basedOn w:val="Normal"/>
    <w:next w:val="Normal"/>
    <w:pPr>
      <w:keepNext/>
      <w:autoSpaceDE w:val="0"/>
      <w:autoSpaceDN w:val="0"/>
      <w:spacing w:line="360" w:lineRule="auto"/>
    </w:pPr>
    <w:rPr>
      <w:b/>
      <w:bCs/>
      <w:spacing w:val="0"/>
      <w:w w:val="100"/>
      <w:kern w:val="0"/>
    </w:rPr>
  </w:style>
  <w:style w:type="character" w:styleId="Hyperlink">
    <w:name w:val="Hyperlink"/>
    <w:semiHidden/>
    <w:rPr>
      <w:color w:val="0000FF"/>
      <w:u w:val="single"/>
    </w:rPr>
  </w:style>
  <w:style w:type="paragraph" w:styleId="BodyText2">
    <w:name w:val="Body Text 2"/>
    <w:basedOn w:val="Normal"/>
    <w:semiHidden/>
    <w:pPr>
      <w:spacing w:line="360" w:lineRule="auto"/>
    </w:pPr>
    <w:rPr>
      <w:i/>
      <w:spacing w:val="0"/>
      <w:w w:val="100"/>
      <w:kern w:val="0"/>
      <w:sz w:val="24"/>
      <w:lang w:eastAsia="ja-JP"/>
    </w:rPr>
  </w:style>
  <w:style w:type="paragraph" w:styleId="BodyText3">
    <w:name w:val="Body Text 3"/>
    <w:basedOn w:val="Normal"/>
    <w:semiHidden/>
    <w:pPr>
      <w:spacing w:line="360" w:lineRule="auto"/>
    </w:pPr>
    <w:rPr>
      <w:b/>
      <w:spacing w:val="0"/>
      <w:w w:val="100"/>
      <w:kern w:val="0"/>
      <w:sz w:val="24"/>
      <w:lang w:eastAsia="ja-JP"/>
    </w:rPr>
  </w:style>
  <w:style w:type="paragraph" w:customStyle="1" w:styleId="1">
    <w:name w:val="çàãîëîâîê 1"/>
    <w:basedOn w:val="Normal"/>
    <w:next w:val="Normal"/>
    <w:pPr>
      <w:keepNext/>
      <w:autoSpaceDE w:val="0"/>
      <w:autoSpaceDN w:val="0"/>
      <w:adjustRightInd w:val="0"/>
      <w:spacing w:line="360" w:lineRule="auto"/>
    </w:pPr>
    <w:rPr>
      <w:b/>
      <w:bCs/>
      <w:spacing w:val="0"/>
      <w:w w:val="100"/>
      <w:kern w:val="0"/>
      <w:sz w:val="24"/>
      <w:szCs w:val="24"/>
    </w:rPr>
  </w:style>
  <w:style w:type="paragraph" w:customStyle="1" w:styleId="20">
    <w:name w:val="Îñíîâíîé òåêñò 2"/>
    <w:basedOn w:val="Normal"/>
    <w:pPr>
      <w:autoSpaceDE w:val="0"/>
      <w:autoSpaceDN w:val="0"/>
      <w:adjustRightInd w:val="0"/>
      <w:spacing w:line="360" w:lineRule="auto"/>
    </w:pPr>
    <w:rPr>
      <w:spacing w:val="0"/>
      <w:w w:val="100"/>
      <w:kern w:val="0"/>
      <w:sz w:val="24"/>
      <w:szCs w:val="24"/>
    </w:rPr>
  </w:style>
  <w:style w:type="character" w:customStyle="1" w:styleId="a">
    <w:name w:val="çíàê ñíîñêè"/>
    <w:rPr>
      <w:vertAlign w:val="superscript"/>
    </w:rPr>
  </w:style>
  <w:style w:type="paragraph" w:customStyle="1" w:styleId="21">
    <w:name w:val="çàãîëîâîê 2"/>
    <w:basedOn w:val="Normal"/>
    <w:next w:val="Normal"/>
    <w:pPr>
      <w:keepNext/>
      <w:autoSpaceDE w:val="0"/>
      <w:autoSpaceDN w:val="0"/>
      <w:adjustRightInd w:val="0"/>
      <w:spacing w:line="360" w:lineRule="auto"/>
    </w:pPr>
    <w:rPr>
      <w:b/>
      <w:bCs/>
      <w:i/>
      <w:iCs/>
      <w:spacing w:val="0"/>
      <w:w w:val="100"/>
      <w:kern w:val="0"/>
      <w:sz w:val="24"/>
      <w:szCs w:val="24"/>
    </w:rPr>
  </w:style>
  <w:style w:type="paragraph" w:customStyle="1" w:styleId="3">
    <w:name w:val="çàãîëîâîê 3"/>
    <w:basedOn w:val="Normal"/>
    <w:next w:val="Normal"/>
    <w:pPr>
      <w:keepNext/>
      <w:autoSpaceDE w:val="0"/>
      <w:autoSpaceDN w:val="0"/>
      <w:adjustRightInd w:val="0"/>
      <w:spacing w:line="360" w:lineRule="auto"/>
    </w:pPr>
    <w:rPr>
      <w:i/>
      <w:iCs/>
      <w:spacing w:val="0"/>
      <w:w w:val="100"/>
      <w:kern w:val="0"/>
      <w:sz w:val="24"/>
      <w:szCs w:val="24"/>
    </w:rPr>
  </w:style>
  <w:style w:type="paragraph" w:customStyle="1" w:styleId="30">
    <w:name w:val="Îñíîâíîé òåêñò 3"/>
    <w:basedOn w:val="Normal"/>
    <w:pPr>
      <w:autoSpaceDE w:val="0"/>
      <w:autoSpaceDN w:val="0"/>
      <w:adjustRightInd w:val="0"/>
      <w:spacing w:line="360" w:lineRule="auto"/>
    </w:pPr>
    <w:rPr>
      <w:i/>
      <w:iCs/>
      <w:spacing w:val="0"/>
      <w:w w:val="100"/>
      <w:kern w:val="0"/>
      <w:sz w:val="24"/>
      <w:szCs w:val="24"/>
    </w:rPr>
  </w:style>
  <w:style w:type="paragraph" w:customStyle="1" w:styleId="10">
    <w:name w:val="заголовок 1"/>
    <w:basedOn w:val="Normal"/>
    <w:next w:val="Normal"/>
    <w:pPr>
      <w:keepNext/>
      <w:autoSpaceDE w:val="0"/>
      <w:autoSpaceDN w:val="0"/>
      <w:spacing w:line="360" w:lineRule="auto"/>
      <w:jc w:val="center"/>
    </w:pPr>
    <w:rPr>
      <w:spacing w:val="0"/>
      <w:w w:val="100"/>
      <w:kern w:val="0"/>
      <w:sz w:val="24"/>
      <w:szCs w:val="24"/>
    </w:rPr>
  </w:style>
  <w:style w:type="paragraph" w:customStyle="1" w:styleId="a0">
    <w:name w:val="òåêñò ñíîñêè"/>
    <w:basedOn w:val="Normal"/>
    <w:pPr>
      <w:autoSpaceDE w:val="0"/>
      <w:autoSpaceDN w:val="0"/>
      <w:adjustRightInd w:val="0"/>
      <w:spacing w:line="240" w:lineRule="auto"/>
    </w:pPr>
    <w:rPr>
      <w:spacing w:val="0"/>
      <w:w w:val="100"/>
      <w:kern w:val="0"/>
    </w:rPr>
  </w:style>
  <w:style w:type="paragraph" w:customStyle="1" w:styleId="5">
    <w:name w:val="5"/>
    <w:basedOn w:val="SingleTxt"/>
    <w:pPr>
      <w:spacing w:after="0" w:line="120" w:lineRule="exact"/>
    </w:pPr>
    <w:rPr>
      <w:sz w:val="10"/>
    </w:rPr>
  </w:style>
  <w:style w:type="paragraph" w:customStyle="1" w:styleId="a1">
    <w:name w:val="çàã. óêàç. ëèòåðàòóðû"/>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pos="9000"/>
        <w:tab w:val="right" w:pos="9360"/>
      </w:tabs>
      <w:suppressAutoHyphens/>
      <w:jc w:val="both"/>
    </w:pPr>
    <w:rPr>
      <w:lang w:val="en-US"/>
    </w:rPr>
  </w:style>
  <w:style w:type="paragraph" w:customStyle="1" w:styleId="cherta">
    <w:name w:val="cherta"/>
    <w:basedOn w:val="Normal"/>
    <w:pPr>
      <w:numPr>
        <w:numId w:val="4"/>
      </w:numPr>
      <w:tabs>
        <w:tab w:val="clear" w:pos="1040"/>
        <w:tab w:val="left" w:pos="476"/>
        <w:tab w:val="num" w:pos="993"/>
        <w:tab w:val="left" w:pos="1321"/>
        <w:tab w:val="left" w:pos="2217"/>
        <w:tab w:val="left" w:pos="2693"/>
        <w:tab w:val="left" w:pos="3181"/>
        <w:tab w:val="left" w:pos="3657"/>
        <w:tab w:val="left" w:pos="4133"/>
        <w:tab w:val="left" w:pos="4621"/>
        <w:tab w:val="left" w:pos="5097"/>
        <w:tab w:val="left" w:pos="5574"/>
        <w:tab w:val="left" w:pos="6050"/>
      </w:tabs>
      <w:ind w:left="993" w:hanging="511"/>
      <w:jc w:val="both"/>
    </w:pPr>
  </w:style>
  <w:style w:type="paragraph" w:customStyle="1" w:styleId="hAB">
    <w:name w:val="h_AB"/>
    <w:basedOn w:val="H56"/>
    <w:pPr>
      <w:ind w:left="2217" w:hanging="953"/>
    </w:pPr>
    <w:rPr>
      <w:lang w:val="en-US"/>
    </w:rPr>
  </w:style>
  <w:style w:type="paragraph" w:customStyle="1" w:styleId="a2">
    <w:name w:val="íàçâàíèå"/>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jc w:val="both"/>
    </w:pPr>
  </w:style>
  <w:style w:type="paragraph" w:customStyle="1" w:styleId="iaeaaeaiea3">
    <w:name w:val="iaeaaeaiea 3"/>
    <w:basedOn w:val="Normal"/>
    <w:pPr>
      <w:tabs>
        <w:tab w:val="left" w:leader="dot" w:pos="9000"/>
        <w:tab w:val="right" w:pos="9360"/>
      </w:tabs>
      <w:suppressAutoHyphens/>
      <w:overflowPunct w:val="0"/>
      <w:autoSpaceDE w:val="0"/>
      <w:autoSpaceDN w:val="0"/>
      <w:adjustRightInd w:val="0"/>
      <w:spacing w:line="240" w:lineRule="auto"/>
      <w:ind w:left="2160" w:right="720" w:hanging="720"/>
      <w:textAlignment w:val="baseline"/>
    </w:pPr>
    <w:rPr>
      <w:rFonts w:ascii="TMS Roman 12pt" w:hAnsi="TMS Roman 12pt"/>
      <w:spacing w:val="0"/>
      <w:w w:val="100"/>
      <w:kern w:val="0"/>
      <w:sz w:val="24"/>
      <w:lang w:val="en-US"/>
    </w:rPr>
  </w:style>
  <w:style w:type="paragraph" w:customStyle="1" w:styleId="num">
    <w:name w:val="num"/>
    <w:basedOn w:val="Normal"/>
    <w:pPr>
      <w:numPr>
        <w:numId w:val="5"/>
      </w:numPr>
      <w:tabs>
        <w:tab w:val="clear" w:pos="360"/>
        <w:tab w:val="left" w:pos="476"/>
        <w:tab w:val="left" w:pos="993"/>
        <w:tab w:val="right" w:pos="1021"/>
        <w:tab w:val="left" w:pos="1321"/>
        <w:tab w:val="left" w:pos="2217"/>
        <w:tab w:val="left" w:pos="2693"/>
        <w:tab w:val="left" w:pos="3181"/>
        <w:tab w:val="left" w:pos="3657"/>
        <w:tab w:val="left" w:pos="4133"/>
        <w:tab w:val="left" w:pos="4621"/>
        <w:tab w:val="left" w:pos="5097"/>
        <w:tab w:val="left" w:pos="5574"/>
        <w:tab w:val="left" w:pos="6050"/>
      </w:tabs>
      <w:ind w:left="992" w:hanging="510"/>
      <w:jc w:val="both"/>
    </w:pPr>
  </w:style>
  <w:style w:type="paragraph" w:customStyle="1" w:styleId="rim">
    <w:name w:val="rim"/>
    <w:basedOn w:val="SingleTxt"/>
    <w:pPr>
      <w:ind w:left="2217" w:hanging="953"/>
    </w:pPr>
  </w:style>
  <w:style w:type="paragraph" w:customStyle="1" w:styleId="tablit">
    <w:name w:val="tab_lit"/>
    <w:basedOn w:val="Normal"/>
    <w:pPr>
      <w:tabs>
        <w:tab w:val="left" w:pos="1741"/>
        <w:tab w:val="left" w:pos="2217"/>
        <w:tab w:val="left" w:pos="2693"/>
        <w:tab w:val="left" w:pos="3181"/>
        <w:tab w:val="left" w:pos="3657"/>
        <w:tab w:val="left" w:pos="4133"/>
        <w:tab w:val="left" w:pos="4621"/>
        <w:tab w:val="left" w:pos="5097"/>
        <w:tab w:val="left" w:pos="5574"/>
        <w:tab w:val="left" w:pos="6050"/>
      </w:tabs>
      <w:spacing w:after="120"/>
      <w:ind w:left="2217" w:right="1264" w:hanging="953"/>
      <w:jc w:val="both"/>
    </w:pPr>
  </w:style>
  <w:style w:type="paragraph" w:customStyle="1" w:styleId="table">
    <w:name w:val="table"/>
    <w:basedOn w:val="Normal"/>
    <w:pPr>
      <w:spacing w:before="40" w:after="40"/>
    </w:pPr>
    <w:rPr>
      <w:sz w:val="17"/>
    </w:rPr>
  </w:style>
  <w:style w:type="paragraph" w:customStyle="1" w:styleId="tire">
    <w:name w:val="tire"/>
    <w:basedOn w:val="SingleTxt"/>
    <w:pPr>
      <w:tabs>
        <w:tab w:val="clear" w:pos="1267"/>
      </w:tabs>
      <w:ind w:left="2217" w:hanging="476"/>
    </w:pPr>
  </w:style>
  <w:style w:type="paragraph" w:styleId="TOC5">
    <w:name w:val="toc 5"/>
    <w:basedOn w:val="Normal"/>
    <w:next w:val="Normal"/>
    <w:autoRedefine/>
    <w:semiHidden/>
    <w:pPr>
      <w:tabs>
        <w:tab w:val="left" w:pos="1701"/>
        <w:tab w:val="left" w:pos="2098"/>
        <w:tab w:val="left" w:pos="2495"/>
        <w:tab w:val="right" w:leader="dot" w:pos="8505"/>
      </w:tabs>
      <w:ind w:left="2098" w:right="1701" w:hanging="794"/>
    </w:pPr>
    <w:rPr>
      <w:noProof/>
      <w:lang w:val="en-US"/>
    </w:rPr>
  </w:style>
  <w:style w:type="paragraph" w:customStyle="1" w:styleId="11">
    <w:name w:val="гип1"/>
    <w:basedOn w:val="TOC5"/>
    <w:pPr>
      <w:spacing w:after="120"/>
    </w:p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tabs>
        <w:tab w:val="left" w:pos="1701"/>
        <w:tab w:val="left" w:pos="2098"/>
        <w:tab w:val="left" w:pos="2495"/>
        <w:tab w:val="right" w:leader="dot" w:pos="8505"/>
      </w:tabs>
      <w:ind w:left="1701" w:right="1701" w:hanging="397"/>
    </w:pPr>
    <w:rPr>
      <w:noProof/>
      <w:lang w:val="en-US"/>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BodyTextIndent2">
    <w:name w:val="Body Text Indent 2"/>
    <w:basedOn w:val="Normal"/>
    <w:semiHidden/>
    <w:pPr>
      <w:spacing w:line="140" w:lineRule="exact"/>
      <w:ind w:left="1264"/>
    </w:pPr>
    <w:rPr>
      <w:sz w:val="12"/>
    </w:rPr>
  </w:style>
  <w:style w:type="paragraph" w:customStyle="1" w:styleId="dot">
    <w:name w:val="dot"/>
    <w:basedOn w:val="SingleTxt"/>
    <w:pPr>
      <w:tabs>
        <w:tab w:val="right" w:pos="1685"/>
      </w:tabs>
      <w:ind w:left="1740" w:hanging="476"/>
    </w:pPr>
  </w:style>
  <w:style w:type="paragraph" w:styleId="BlockText">
    <w:name w:val="Block Text"/>
    <w:basedOn w:val="Normal"/>
    <w:semiHidden/>
    <w:pPr>
      <w:spacing w:line="240" w:lineRule="auto"/>
      <w:ind w:left="284" w:right="1384" w:hanging="284"/>
      <w:jc w:val="both"/>
    </w:pPr>
    <w:rPr>
      <w:sz w:val="17"/>
    </w:rPr>
  </w:style>
  <w:style w:type="paragraph" w:styleId="BodyTextIndent3">
    <w:name w:val="Body Text Indent 3"/>
    <w:basedOn w:val="Normal"/>
    <w:semiHidden/>
    <w:pPr>
      <w:spacing w:line="180" w:lineRule="exact"/>
      <w:ind w:left="1559" w:hanging="295"/>
    </w:pPr>
    <w:rPr>
      <w:sz w:val="17"/>
    </w:rPr>
  </w:style>
  <w:style w:type="paragraph" w:customStyle="1" w:styleId="new">
    <w:name w:val="new"/>
    <w:basedOn w:val="SingleTxt"/>
    <w:pPr>
      <w:ind w:left="1740" w:hanging="476"/>
    </w:pPr>
    <w:rPr>
      <w:i/>
      <w:iCs/>
    </w:rPr>
  </w:style>
  <w:style w:type="paragraph" w:customStyle="1" w:styleId="tt">
    <w:name w:val="tt"/>
    <w:basedOn w:val="SingleTxt"/>
    <w:pPr>
      <w:ind w:firstLine="0"/>
      <w:jc w:val="lef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18366</Words>
  <Characters>113871</Characters>
  <Application>Microsoft Office Word</Application>
  <DocSecurity>4</DocSecurity>
  <Lines>3795</Lines>
  <Paragraphs>1897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137746</CharactersWithSpaces>
  <SharedDoc>false</SharedDoc>
  <HLinks>
    <vt:vector size="6" baseType="variant">
      <vt:variant>
        <vt:i4>8257630</vt:i4>
      </vt:variant>
      <vt:variant>
        <vt:i4>271962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2003-02-14T09:58:00Z</cp:lastPrinted>
  <dcterms:created xsi:type="dcterms:W3CDTF">2003-02-14T09:53:00Z</dcterms:created>
  <dcterms:modified xsi:type="dcterms:W3CDTF">2003-02-14T10:06:00Z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57</vt:lpwstr>
  </property>
  <property fmtid="{D5CDD505-2E9C-101B-9397-08002B2CF9AE}" pid="8" name="Operator">
    <vt:lpwstr>Паничкина</vt:lpwstr>
  </property>
</Properties>
</file>