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92672BF" w14:textId="77777777" w:rsidTr="00AF53C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79E78DC9" w14:textId="77777777" w:rsidR="002D5AAC" w:rsidRDefault="002D5AAC" w:rsidP="005C02E5">
            <w:pPr>
              <w:pStyle w:val="Sinespaciado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43374FD4" w14:textId="77777777" w:rsidR="002D5AAC" w:rsidRPr="00BD33EE" w:rsidRDefault="00BD33EE" w:rsidP="007F381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3BFE62F0" w14:textId="70B0E5A9" w:rsidR="002D5AAC" w:rsidRDefault="005C02E5" w:rsidP="005C02E5">
            <w:pPr>
              <w:jc w:val="right"/>
            </w:pPr>
            <w:r w:rsidRPr="005C02E5">
              <w:rPr>
                <w:sz w:val="40"/>
              </w:rPr>
              <w:t>CRC</w:t>
            </w:r>
            <w:r>
              <w:t>/C/KGZ/Q/5-6</w:t>
            </w:r>
          </w:p>
        </w:tc>
      </w:tr>
      <w:tr w:rsidR="002D5AAC" w14:paraId="64D8276B" w14:textId="77777777" w:rsidTr="00AF53C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430CCFE5" w14:textId="77777777" w:rsidR="002D5AAC" w:rsidRDefault="007D431B" w:rsidP="007F381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B857BD7" wp14:editId="6AECB10F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905B1B" w14:textId="77777777" w:rsidR="002D5AAC" w:rsidRPr="00FB2D3D" w:rsidRDefault="004D45DB" w:rsidP="007F3812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AF459B0" w14:textId="77777777" w:rsidR="002D5AAC" w:rsidRDefault="005C02E5" w:rsidP="007F3812">
            <w:pPr>
              <w:spacing w:before="240"/>
            </w:pPr>
            <w:r>
              <w:t>Distr. general</w:t>
            </w:r>
          </w:p>
          <w:p w14:paraId="50D0CD8F" w14:textId="20E14F84" w:rsidR="005C02E5" w:rsidRDefault="00F70E0E" w:rsidP="005C02E5">
            <w:pPr>
              <w:spacing w:line="240" w:lineRule="exact"/>
            </w:pPr>
            <w:r>
              <w:t xml:space="preserve">14 </w:t>
            </w:r>
            <w:r w:rsidR="005C02E5">
              <w:t xml:space="preserve">de </w:t>
            </w:r>
            <w:r>
              <w:t xml:space="preserve">marzo </w:t>
            </w:r>
            <w:r w:rsidR="005C02E5">
              <w:t>de 2023</w:t>
            </w:r>
          </w:p>
          <w:p w14:paraId="432439B2" w14:textId="77777777" w:rsidR="005C02E5" w:rsidRDefault="005C02E5" w:rsidP="005C02E5">
            <w:pPr>
              <w:spacing w:line="240" w:lineRule="exact"/>
            </w:pPr>
            <w:r>
              <w:t>Español</w:t>
            </w:r>
          </w:p>
          <w:p w14:paraId="624079CD" w14:textId="77777777" w:rsidR="005C02E5" w:rsidRDefault="005C02E5" w:rsidP="005C02E5">
            <w:pPr>
              <w:spacing w:line="240" w:lineRule="exact"/>
            </w:pPr>
            <w:r>
              <w:t>Original: inglés</w:t>
            </w:r>
          </w:p>
          <w:p w14:paraId="06040FA0" w14:textId="5749E719" w:rsidR="00F70E0E" w:rsidRDefault="00F70E0E" w:rsidP="005C02E5">
            <w:pPr>
              <w:spacing w:line="240" w:lineRule="exact"/>
            </w:pPr>
            <w:r>
              <w:t>Español, francés, inglés y ruso únicamente</w:t>
            </w:r>
          </w:p>
        </w:tc>
      </w:tr>
    </w:tbl>
    <w:p w14:paraId="5E83E14A" w14:textId="77777777" w:rsidR="00AF53C7" w:rsidRPr="00F70E0E" w:rsidRDefault="00AF53C7" w:rsidP="00F70E0E">
      <w:pPr>
        <w:spacing w:before="120"/>
        <w:rPr>
          <w:b/>
          <w:bCs/>
          <w:sz w:val="24"/>
          <w:szCs w:val="24"/>
          <w:lang w:val="es-ES_tradnl"/>
        </w:rPr>
      </w:pPr>
      <w:r w:rsidRPr="00F70E0E">
        <w:rPr>
          <w:b/>
          <w:bCs/>
          <w:sz w:val="24"/>
          <w:szCs w:val="24"/>
          <w:lang w:val="es-ES_tradnl"/>
        </w:rPr>
        <w:t>Comité de los Derechos del Niño</w:t>
      </w:r>
    </w:p>
    <w:p w14:paraId="0466B8F7" w14:textId="183C89E8" w:rsidR="00AF53C7" w:rsidRPr="00AF53C7" w:rsidRDefault="00AF53C7" w:rsidP="00F70E0E">
      <w:pPr>
        <w:pStyle w:val="HChG"/>
        <w:rPr>
          <w:lang w:val="es-ES_tradnl"/>
        </w:rPr>
      </w:pPr>
      <w:r w:rsidRPr="00AF53C7">
        <w:rPr>
          <w:lang w:val="es-ES_tradnl"/>
        </w:rPr>
        <w:tab/>
      </w:r>
      <w:r w:rsidR="00F70E0E">
        <w:rPr>
          <w:lang w:val="es-ES_tradnl"/>
        </w:rPr>
        <w:tab/>
      </w:r>
      <w:r w:rsidRPr="00AF53C7">
        <w:rPr>
          <w:lang w:val="es-ES_tradnl"/>
        </w:rPr>
        <w:t xml:space="preserve">Lista de cuestiones relativa a los informes periódicos </w:t>
      </w:r>
      <w:r w:rsidR="00F70E0E">
        <w:rPr>
          <w:lang w:val="es-ES_tradnl"/>
        </w:rPr>
        <w:br/>
      </w:r>
      <w:r w:rsidRPr="00AF53C7">
        <w:rPr>
          <w:lang w:val="es-ES_tradnl"/>
        </w:rPr>
        <w:t>quinto y sexto combinados de Kirguistán</w:t>
      </w:r>
      <w:r w:rsidRPr="00F70E0E">
        <w:rPr>
          <w:b w:val="0"/>
          <w:bCs/>
          <w:sz w:val="20"/>
          <w:szCs w:val="14"/>
          <w:lang w:val="es-ES_tradnl"/>
        </w:rPr>
        <w:footnoteReference w:customMarkFollows="1" w:id="1"/>
        <w:t>*</w:t>
      </w:r>
    </w:p>
    <w:p w14:paraId="73D2907A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1.</w:t>
      </w:r>
      <w:r w:rsidRPr="00AF53C7">
        <w:rPr>
          <w:lang w:val="es-ES_tradnl"/>
        </w:rPr>
        <w:tab/>
        <w:t>Se pide al Estado parte que presente por escrito información adicional actualizada (en un máximo de 10.700 palabras), de ser posible antes del 2 de junio de 2023. En el diálogo con el Estado parte, el Comité puede abordar todos los aspectos de los derechos del niño contemplados en la Convención.</w:t>
      </w:r>
    </w:p>
    <w:p w14:paraId="6FFD93BA" w14:textId="77777777" w:rsidR="00AF53C7" w:rsidRPr="00AF53C7" w:rsidRDefault="00AF53C7" w:rsidP="00F70E0E">
      <w:pPr>
        <w:pStyle w:val="HChG"/>
        <w:rPr>
          <w:lang w:val="es-ES_tradnl"/>
        </w:rPr>
      </w:pPr>
      <w:r w:rsidRPr="00AF53C7">
        <w:rPr>
          <w:lang w:val="es-ES_tradnl"/>
        </w:rPr>
        <w:tab/>
      </w:r>
      <w:r w:rsidRPr="00AF53C7">
        <w:rPr>
          <w:lang w:val="es-ES_tradnl"/>
        </w:rPr>
        <w:tab/>
        <w:t>Parte I</w:t>
      </w:r>
    </w:p>
    <w:p w14:paraId="6E1926B3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2.</w:t>
      </w:r>
      <w:r w:rsidRPr="00AF53C7">
        <w:rPr>
          <w:lang w:val="es-ES_tradnl"/>
        </w:rPr>
        <w:tab/>
        <w:t>Sírvanse facilitar información sobre:</w:t>
      </w:r>
    </w:p>
    <w:p w14:paraId="55EEA307" w14:textId="2ACACD15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Los planes para aplicar el Código del Niño (2021) y las perspectivas de incluir las leyes relacionadas con los derechos del niño en el proceso de inventario jurídico;</w:t>
      </w:r>
    </w:p>
    <w:p w14:paraId="3EF12314" w14:textId="412A5567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Las medidas adoptadas para lograr una mayor coordinación de todas las políticas relacionadas con la aplicación de la Convención a nivel nacional y local y en todos los sectores, en ausencia de una autoridad gubernamental que tenga este mandato;</w:t>
      </w:r>
    </w:p>
    <w:p w14:paraId="43DB8072" w14:textId="101B21CB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El mandato y los recursos asignados a la recién creada figura del Defensor de los Derechos del Niño y las medidas adoptadas para garantizar la independencia de este cargo;</w:t>
      </w:r>
    </w:p>
    <w:p w14:paraId="56DB6882" w14:textId="7BEC2642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Los planes para digitalizar el proceso de gestión de casos;</w:t>
      </w:r>
    </w:p>
    <w:p w14:paraId="3A452DED" w14:textId="2D84B70D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e)</w:t>
      </w:r>
      <w:r w:rsidR="00AF53C7" w:rsidRPr="00AF53C7">
        <w:rPr>
          <w:lang w:val="es-ES_tradnl"/>
        </w:rPr>
        <w:tab/>
        <w:t>Los planes para entablar consultas efectivas con la sociedad civil al elaborar proyectos de ley que afecten los derechos humanos y las libertades fundamentales, en particular la libertad de asociación.</w:t>
      </w:r>
    </w:p>
    <w:p w14:paraId="0AFFA9C1" w14:textId="60C34BE2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3.</w:t>
      </w:r>
      <w:r w:rsidRPr="00AF53C7">
        <w:rPr>
          <w:lang w:val="es-ES_tradnl"/>
        </w:rPr>
        <w:tab/>
        <w:t>Sírvanse describir los mecanismos previstos para promover la participación efectiva y empoderada de los niños en la elaboración de las leyes y las políticas locales que los afecten.</w:t>
      </w:r>
    </w:p>
    <w:p w14:paraId="0D1FFDA0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4.</w:t>
      </w:r>
      <w:r w:rsidRPr="00AF53C7">
        <w:rPr>
          <w:lang w:val="es-ES_tradnl"/>
        </w:rPr>
        <w:tab/>
        <w:t>Tengan a bien informar acerca de las medidas adoptadas para:</w:t>
      </w:r>
    </w:p>
    <w:p w14:paraId="1F51928F" w14:textId="3F4303AE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Implantar el sistema informático de ciudadanía</w:t>
      </w:r>
      <w:r w:rsidR="00AF53C7" w:rsidRPr="00AF53C7">
        <w:rPr>
          <w:sz w:val="18"/>
          <w:szCs w:val="18"/>
          <w:vertAlign w:val="superscript"/>
          <w:lang w:val="es-ES_tradnl"/>
        </w:rPr>
        <w:footnoteReference w:id="2"/>
      </w:r>
      <w:r w:rsidR="00AF53C7" w:rsidRPr="00AF53C7">
        <w:rPr>
          <w:lang w:val="es-ES_tradnl"/>
        </w:rPr>
        <w:t xml:space="preserve">; </w:t>
      </w:r>
    </w:p>
    <w:p w14:paraId="17702A9B" w14:textId="08F0F73E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Velar por que los niños cuyos padres no tengan regularizada su condición de residente o tengan una nacionalidad indeterminada puedan ser inscritos en el registro de nacimientos;</w:t>
      </w:r>
    </w:p>
    <w:p w14:paraId="451F27B1" w14:textId="1F49AE83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Identificar y proteger a los niños apátridas, entre otras cosas mediante un procedimiento de determinación de su condición de apátrida.</w:t>
      </w:r>
    </w:p>
    <w:p w14:paraId="574291A8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5.</w:t>
      </w:r>
      <w:r w:rsidRPr="00AF53C7">
        <w:rPr>
          <w:lang w:val="es-ES_tradnl"/>
        </w:rPr>
        <w:tab/>
        <w:t xml:space="preserve">Sírvanse proporcionar información sobre las medidas adoptadas para que los niños puedan ejercer de manera efectiva sus derechos a la libertad de expresión –entre otros </w:t>
      </w:r>
      <w:r w:rsidRPr="00AF53C7">
        <w:rPr>
          <w:lang w:val="es-ES_tradnl"/>
        </w:rPr>
        <w:lastRenderedPageBreak/>
        <w:t>contextos en la escuela– y acceder a la información sin restricciones innecesarias, así como para que se los aliente a hacerlo.</w:t>
      </w:r>
    </w:p>
    <w:p w14:paraId="2FDACA80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6.</w:t>
      </w:r>
      <w:r w:rsidRPr="00AF53C7">
        <w:rPr>
          <w:lang w:val="es-ES_tradnl"/>
        </w:rPr>
        <w:tab/>
        <w:t>Se ruega faciliten información sobre las medidas adoptadas para:</w:t>
      </w:r>
    </w:p>
    <w:p w14:paraId="77975CA0" w14:textId="68B898C6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Eliminar los castigos corporales en todos los entornos y promover formas positivas y no violentas de crianza y disciplina de los niños, así como un cambio de actitud tanto dentro de la familia como en las instituciones penitenciarias y las escuelas, entre otras cosas mediante campañas de sensibilización;</w:t>
      </w:r>
    </w:p>
    <w:p w14:paraId="04C954F3" w14:textId="0CC9E52F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Prevenir el estigma y la victimización secundaria de los niños que son víctimas o testigos de la violencia, entre otras cosas mediante procedimientos y recursos multisectoriales y adaptados a los niños;</w:t>
      </w:r>
    </w:p>
    <w:p w14:paraId="3ACC9444" w14:textId="3869FC37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Impedir la práctica del “rapto de la novia”, llevar a cabo actividades de sensibilización al respecto entre los funcionarios judiciales y de las fuerzas del orden y prestar apoyo a las víctimas;</w:t>
      </w:r>
    </w:p>
    <w:p w14:paraId="5560D210" w14:textId="54FD900A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Reforzar los programas de prevención de los matrimonios infantiles, incluido el Plan de Prevención de los Matrimonios Precoces.</w:t>
      </w:r>
    </w:p>
    <w:p w14:paraId="7E679616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7.</w:t>
      </w:r>
      <w:r w:rsidRPr="00AF53C7">
        <w:rPr>
          <w:lang w:val="es-ES_tradnl"/>
        </w:rPr>
        <w:tab/>
        <w:t>Expliquen qué medidas se han adoptado para:</w:t>
      </w:r>
    </w:p>
    <w:p w14:paraId="66F5C7DF" w14:textId="1E8BA31B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Hacer frente al hecho de que un gran número de niños estén internados en instituciones de acogida, aprobando, por ejemplo, una estrategia de desinstitucionalización;</w:t>
      </w:r>
    </w:p>
    <w:p w14:paraId="7E0195D7" w14:textId="6DFD039E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Velar por que los niños que no pueden vivir con su familia dispongan de suficientes opciones de acogimiento familiar o comunitario, incluido el acogimiento en hogares de guarda;</w:t>
      </w:r>
    </w:p>
    <w:p w14:paraId="1DDE6586" w14:textId="1E80C92C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Prestar apoyo a los niños abandonados por padres migrantes;</w:t>
      </w:r>
    </w:p>
    <w:p w14:paraId="77E98870" w14:textId="4DB271BA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Facilitar la reunificación de los niños con sus familias cuando sea posible;</w:t>
      </w:r>
    </w:p>
    <w:p w14:paraId="55242AD2" w14:textId="51C1D71E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e)</w:t>
      </w:r>
      <w:r w:rsidR="00AF53C7" w:rsidRPr="00AF53C7">
        <w:rPr>
          <w:lang w:val="es-ES_tradnl"/>
        </w:rPr>
        <w:tab/>
        <w:t>Establecer un mecanismo de denuncia, seguimiento y reparación de los casos de violencia y malos tratos contra niños en modalidades alternativas de cuidado.</w:t>
      </w:r>
    </w:p>
    <w:p w14:paraId="678B9720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8.</w:t>
      </w:r>
      <w:r w:rsidRPr="00AF53C7">
        <w:rPr>
          <w:lang w:val="es-ES_tradnl"/>
        </w:rPr>
        <w:tab/>
        <w:t>Se ruega informen sobre las medidas adoptadas para:</w:t>
      </w:r>
    </w:p>
    <w:p w14:paraId="7131827C" w14:textId="14667EFB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Combatir la estigmatización y la discriminación de los niños con discapacidad;</w:t>
      </w:r>
    </w:p>
    <w:p w14:paraId="1367C36A" w14:textId="3B2217EF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Aprobar el proyecto de ley de derechos de las personas con discapacidad;</w:t>
      </w:r>
    </w:p>
    <w:p w14:paraId="0EC0706F" w14:textId="25FD00DF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Garantizar el derecho de los niños con discapacidad a criarse en un entorno familiar;</w:t>
      </w:r>
    </w:p>
    <w:p w14:paraId="07A60B46" w14:textId="761724B4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Investigar los casos de explotación y abusos sexuales de niñas con discapacidad.</w:t>
      </w:r>
    </w:p>
    <w:p w14:paraId="080B31B5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9.</w:t>
      </w:r>
      <w:r w:rsidRPr="00AF53C7">
        <w:rPr>
          <w:lang w:val="es-ES_tradnl"/>
        </w:rPr>
        <w:tab/>
        <w:t xml:space="preserve">Expliquen qué medidas se han adoptado para: </w:t>
      </w:r>
    </w:p>
    <w:p w14:paraId="307EA5DA" w14:textId="70E80858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Garantizar el acceso de los niños solicitantes de asilo, refugiados y apátridas, y de los niños con discapacidad, a unos servicios sanitarios asequibles;</w:t>
      </w:r>
    </w:p>
    <w:p w14:paraId="05AD5F69" w14:textId="10951B06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Hacer frente a la excesiva hospitalización de niños;</w:t>
      </w:r>
    </w:p>
    <w:p w14:paraId="6731EFFF" w14:textId="433A5CD1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Atender las necesidades de salud mental de niños y adolescentes;</w:t>
      </w:r>
    </w:p>
    <w:p w14:paraId="01D0F3F7" w14:textId="31079B23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Velar por que los adolescentes tengan acceso a información y servicios de salud sexual y reproductiva, incluidos anticonceptivos gratuitos y servicios de aborto en condiciones de seguridad;</w:t>
      </w:r>
    </w:p>
    <w:p w14:paraId="482BF48A" w14:textId="0BD7660F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e)</w:t>
      </w:r>
      <w:r w:rsidR="00AF53C7" w:rsidRPr="00AF53C7">
        <w:rPr>
          <w:lang w:val="es-ES_tradnl"/>
        </w:rPr>
        <w:tab/>
        <w:t>Reducir los niveles de contaminación atmosférica, que afectan la salud de los niños, y sensibilizar a los niños acerca del cambio climático y los desastres naturales.</w:t>
      </w:r>
    </w:p>
    <w:p w14:paraId="5951399C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10.</w:t>
      </w:r>
      <w:r w:rsidRPr="00AF53C7">
        <w:rPr>
          <w:lang w:val="es-ES_tradnl"/>
        </w:rPr>
        <w:tab/>
        <w:t>Sírvanse proporcionar información sobre las políticas o medidas vigentes encaminadas a garantizar el derecho de todos los niños a un nivel de vida adecuado, por ejemplo facilitándoles el acceso al plan nacional de protección social.</w:t>
      </w:r>
    </w:p>
    <w:p w14:paraId="1C1C0099" w14:textId="77777777" w:rsidR="00AF53C7" w:rsidRPr="00AF53C7" w:rsidRDefault="00AF53C7" w:rsidP="007A0F1D">
      <w:pPr>
        <w:pStyle w:val="SingleTxtG"/>
        <w:keepNext/>
        <w:rPr>
          <w:lang w:val="es-ES_tradnl"/>
        </w:rPr>
      </w:pPr>
      <w:r w:rsidRPr="00AF53C7">
        <w:rPr>
          <w:lang w:val="es-ES_tradnl"/>
        </w:rPr>
        <w:lastRenderedPageBreak/>
        <w:t>11.</w:t>
      </w:r>
      <w:r w:rsidRPr="00AF53C7">
        <w:rPr>
          <w:lang w:val="es-ES_tradnl"/>
        </w:rPr>
        <w:tab/>
        <w:t>Sírvanse facilitar información sobre:</w:t>
      </w:r>
    </w:p>
    <w:p w14:paraId="794FA8C6" w14:textId="617306D8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Los progresos realizados para garantizar el acceso de todos los niños con discapacidad a la educación inclusiva en escuelas ordinarias;</w:t>
      </w:r>
    </w:p>
    <w:p w14:paraId="000AA0CE" w14:textId="14DA6B8E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Las medidas adoptadas para impartir educación en los idiomas de los grupos minoritarios;</w:t>
      </w:r>
    </w:p>
    <w:p w14:paraId="32C7AF77" w14:textId="1A5CED52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Si se ha integrado o no la educación en derechos humanos en los planes de estudios obligatorios;</w:t>
      </w:r>
    </w:p>
    <w:p w14:paraId="31A33DA7" w14:textId="7A09283F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La introducción de la historia de la religión en los planes de estudios escolares y la formación del profesorado al respecto.</w:t>
      </w:r>
    </w:p>
    <w:p w14:paraId="5E80F37A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12.</w:t>
      </w:r>
      <w:r w:rsidRPr="00AF53C7">
        <w:rPr>
          <w:lang w:val="es-ES_tradnl"/>
        </w:rPr>
        <w:tab/>
        <w:t>Sírvanse facilitar información sobre:</w:t>
      </w:r>
    </w:p>
    <w:p w14:paraId="140977EC" w14:textId="4C59E156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Los planes para aplicar las anteriores recomendaciones del Comité</w:t>
      </w:r>
      <w:r w:rsidR="00AF53C7" w:rsidRPr="00AF53C7">
        <w:rPr>
          <w:sz w:val="18"/>
          <w:szCs w:val="18"/>
          <w:vertAlign w:val="superscript"/>
          <w:lang w:val="es-ES_tradnl"/>
        </w:rPr>
        <w:footnoteReference w:id="3"/>
      </w:r>
      <w:r w:rsidR="00AF53C7" w:rsidRPr="00AF53C7">
        <w:rPr>
          <w:lang w:val="es-ES_tradnl"/>
        </w:rPr>
        <w:t xml:space="preserve"> de suprimir de su legislación el requisito de notificar la visita de los inspectores de trabajo con diez días de antelación y organizar inspecciones periódicas sin previo aviso de los lugares de trabajo privados y estatales;</w:t>
      </w:r>
    </w:p>
    <w:p w14:paraId="4A4A6217" w14:textId="2F26822D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Las medidas para hacer frente a las peores formas de trabajo infantil, en particular en la minería de uranio y el trabajo doméstico.</w:t>
      </w:r>
    </w:p>
    <w:p w14:paraId="22A1DF87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13.</w:t>
      </w:r>
      <w:r w:rsidRPr="00AF53C7">
        <w:rPr>
          <w:lang w:val="es-ES_tradnl"/>
        </w:rPr>
        <w:tab/>
        <w:t>Expliquen qué medidas se han adoptado para:</w:t>
      </w:r>
    </w:p>
    <w:p w14:paraId="37090959" w14:textId="735CBB55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 xml:space="preserve">Establecer un sistema de justicia juvenil que cumpla las disposiciones de la Convención; </w:t>
      </w:r>
    </w:p>
    <w:p w14:paraId="70B863DC" w14:textId="478B948E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Aprobar un nuevo programa estatal de justicia juvenil y restablecer la operatividad del Consejo Interinstitucional de Coordinación de la Justicia Juvenil;</w:t>
      </w:r>
    </w:p>
    <w:p w14:paraId="6CDBE887" w14:textId="50CEDBFC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Evitar y limitar la imposición de la prisión preventiva, en particular para que la reclusión se emplee únicamente como medida de último recurso;</w:t>
      </w:r>
    </w:p>
    <w:p w14:paraId="4B747BC1" w14:textId="2ADA2891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Promover la mediación y otras alternativas no privativas de libertad, incluidas medidas no judiciales.</w:t>
      </w:r>
    </w:p>
    <w:p w14:paraId="4EBC6691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14.</w:t>
      </w:r>
      <w:r w:rsidRPr="00AF53C7">
        <w:rPr>
          <w:lang w:val="es-ES_tradnl"/>
        </w:rPr>
        <w:tab/>
        <w:t>Con referencia a las recomendaciones que figuran en las anteriores observaciones finales del Comité sobre los informes periódicos tercero y cuarto combinados del Estado parte</w:t>
      </w:r>
      <w:r w:rsidRPr="00AF53C7">
        <w:rPr>
          <w:sz w:val="18"/>
          <w:szCs w:val="18"/>
          <w:vertAlign w:val="superscript"/>
          <w:lang w:val="es-ES_tradnl"/>
        </w:rPr>
        <w:footnoteReference w:id="4"/>
      </w:r>
      <w:r w:rsidRPr="00AF53C7">
        <w:rPr>
          <w:lang w:val="es-ES_tradnl"/>
        </w:rPr>
        <w:t xml:space="preserve"> y las observaciones finales del Comité sobre el informe presentado por el Estado parte en virtud del Protocolo Facultativo relativo a la venta de niños, la prostitución infantil y la utilización de niños en la pornografía</w:t>
      </w:r>
      <w:r w:rsidRPr="00AF53C7">
        <w:rPr>
          <w:sz w:val="18"/>
          <w:szCs w:val="18"/>
          <w:vertAlign w:val="superscript"/>
          <w:lang w:val="es-ES_tradnl"/>
        </w:rPr>
        <w:footnoteReference w:id="5"/>
      </w:r>
      <w:r w:rsidRPr="00AF53C7">
        <w:rPr>
          <w:lang w:val="es-ES_tradnl"/>
        </w:rPr>
        <w:t>, sírvanse explicar qué medidas se han adoptado para:</w:t>
      </w:r>
    </w:p>
    <w:p w14:paraId="2CB79F25" w14:textId="0E530A3C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Definir y tipificar todos los delitos contemplados en el Protocolo Facultativo de conformidad con sus artículos 2 y 3;</w:t>
      </w:r>
    </w:p>
    <w:p w14:paraId="1B611972" w14:textId="22BC652F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Prevenir –y velar por que se investigue de manera efectiva– toda forma de venta de niños prohibida por el Protocolo Facultativo;</w:t>
      </w:r>
    </w:p>
    <w:p w14:paraId="7719FD6E" w14:textId="30827732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Establecer la jurisdicción extraterritorial de todos los delitos contemplados en el Protocolo Facultativo.</w:t>
      </w:r>
    </w:p>
    <w:p w14:paraId="3B1C6F0E" w14:textId="23DA6C6E" w:rsidR="00AF53C7" w:rsidRPr="00AF53C7" w:rsidRDefault="00AF53C7" w:rsidP="00AF53C7">
      <w:pPr>
        <w:pStyle w:val="SingleTxtG"/>
        <w:rPr>
          <w:lang w:val="es-ES_tradnl"/>
        </w:rPr>
      </w:pPr>
      <w:bookmarkStart w:id="0" w:name="_Hlk65649448"/>
      <w:r w:rsidRPr="00AF53C7">
        <w:rPr>
          <w:lang w:val="es-ES_tradnl"/>
        </w:rPr>
        <w:t>15.</w:t>
      </w:r>
      <w:r w:rsidRPr="00AF53C7">
        <w:rPr>
          <w:lang w:val="es-ES_tradnl"/>
        </w:rPr>
        <w:tab/>
        <w:t>Con referencia a las recomendaciones que figuran en las anteriores observaciones finales del Comité sobre los informes periódicos tercero y cuarto combinados del Estado parte</w:t>
      </w:r>
      <w:r w:rsidRPr="00AF53C7">
        <w:rPr>
          <w:sz w:val="18"/>
          <w:szCs w:val="18"/>
          <w:vertAlign w:val="superscript"/>
          <w:lang w:val="es-ES_tradnl"/>
        </w:rPr>
        <w:footnoteReference w:id="6"/>
      </w:r>
      <w:r w:rsidRPr="00AF53C7">
        <w:rPr>
          <w:lang w:val="es-ES_tradnl"/>
        </w:rPr>
        <w:t xml:space="preserve"> y las observaciones finales del Comité sobre el informe presentado por el Estado parte en virtud del Protocolo Facultativo relativo a la participación de niños en los conflictos armados</w:t>
      </w:r>
      <w:r w:rsidRPr="00AF53C7">
        <w:rPr>
          <w:sz w:val="18"/>
          <w:szCs w:val="18"/>
          <w:vertAlign w:val="superscript"/>
          <w:lang w:val="es-ES_tradnl"/>
        </w:rPr>
        <w:footnoteReference w:id="7"/>
      </w:r>
      <w:r w:rsidRPr="00AF53C7">
        <w:rPr>
          <w:lang w:val="es-ES_tradnl"/>
        </w:rPr>
        <w:t>, sírvanse explicar qué medidas se han adoptado para:</w:t>
      </w:r>
      <w:bookmarkEnd w:id="0"/>
    </w:p>
    <w:p w14:paraId="4CDD3CEF" w14:textId="0D7E860A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Tipificar el reclutamiento de niños menores de 18 años por parte de grupos armados no estatales;</w:t>
      </w:r>
    </w:p>
    <w:p w14:paraId="5E777649" w14:textId="49E8EB73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lastRenderedPageBreak/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Establecer un mecanismo para la detección temprana, al entrar en el Estado parte, de los niños que puedan haber participado en conflictos armados en el extranjero y proporcionarles la atención y el apoyo adecuados;</w:t>
      </w:r>
    </w:p>
    <w:p w14:paraId="2801CA14" w14:textId="079D6F00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Ampliar la jurisdicción extraterritorial a los delitos relacionados con el reclutamiento y la participación de niños en hostilidades;</w:t>
      </w:r>
    </w:p>
    <w:p w14:paraId="67B228E5" w14:textId="3DB80CC5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Prohibir la exportación de armas –incluidas las armas pequeñas– a países en los que se sabe que los niños son reclutados o utilizados en hostilidades.</w:t>
      </w:r>
    </w:p>
    <w:p w14:paraId="38D7CBE8" w14:textId="53D7D4BA" w:rsidR="00AF53C7" w:rsidRPr="00AF53C7" w:rsidRDefault="00F70E0E" w:rsidP="00F70E0E">
      <w:pPr>
        <w:pStyle w:val="HCh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ab/>
        <w:t>Parte II</w:t>
      </w:r>
    </w:p>
    <w:p w14:paraId="49B660A4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16.</w:t>
      </w:r>
      <w:r w:rsidRPr="00AF53C7">
        <w:rPr>
          <w:lang w:val="es-ES_tradnl"/>
        </w:rPr>
        <w:tab/>
        <w:t>El Comité invita al Estado parte a presentar una breve puesta al día (en tres páginas como máximo) de la información proporcionada en su informe en relación con:</w:t>
      </w:r>
    </w:p>
    <w:p w14:paraId="74A659DA" w14:textId="1A08D6BD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Los nuevos proyectos de ley o nuevas leyes y sus respectivos reglamentos;</w:t>
      </w:r>
    </w:p>
    <w:p w14:paraId="2CD1FE14" w14:textId="6022CB1A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Las nuevas instituciones y sus mandatos o reformas institucionales;</w:t>
      </w:r>
    </w:p>
    <w:p w14:paraId="0F0CFEBD" w14:textId="31D6985C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>Las políticas, los programas y los planes de acción adoptados recientemente, su alcance y la financiación aportada para su aplicación;</w:t>
      </w:r>
    </w:p>
    <w:p w14:paraId="0095585A" w14:textId="109FDB30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Las ratificaciones recientes de instrumentos de derechos humanos.</w:t>
      </w:r>
    </w:p>
    <w:p w14:paraId="7C6B374E" w14:textId="5560384B" w:rsidR="00AF53C7" w:rsidRPr="00AF53C7" w:rsidRDefault="00F70E0E" w:rsidP="00F70E0E">
      <w:pPr>
        <w:pStyle w:val="HCh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ab/>
        <w:t>Parte III</w:t>
      </w:r>
    </w:p>
    <w:p w14:paraId="38359789" w14:textId="463B3A81" w:rsidR="00AF53C7" w:rsidRPr="00AF53C7" w:rsidRDefault="00F70E0E" w:rsidP="00F70E0E">
      <w:pPr>
        <w:pStyle w:val="H1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ab/>
        <w:t>Datos, estadísticas y demás información de que se disponga</w:t>
      </w:r>
    </w:p>
    <w:p w14:paraId="7B032CDF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17.</w:t>
      </w:r>
      <w:r w:rsidRPr="00AF53C7">
        <w:rPr>
          <w:lang w:val="es-ES_tradnl"/>
        </w:rPr>
        <w:tab/>
        <w:t>Sírvanse proporcionar datos presupuestarios consolidados de los tres últimos años sobre las partidas destinadas a la infancia y a los sectores sociales, indicando el porcentaje que representa cada partida respecto del presupuesto nacional total y del producto nacional bruto. Informen asimismo sobre la distribución geográfica de esos recursos.</w:t>
      </w:r>
    </w:p>
    <w:p w14:paraId="43DD5981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18.</w:t>
      </w:r>
      <w:r w:rsidRPr="00AF53C7">
        <w:rPr>
          <w:lang w:val="es-ES_tradnl"/>
        </w:rPr>
        <w:tab/>
        <w:t>Se ruega faciliten datos estadísticos actualizados, correspondientes a los tres últimos años, desglosados por edad, sexo, origen étnico, origen nacional, ubicación geográfica y situación socioeconómica, sobre:</w:t>
      </w:r>
    </w:p>
    <w:p w14:paraId="1DBF7252" w14:textId="694039CF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a)</w:t>
      </w:r>
      <w:r w:rsidR="00AF53C7" w:rsidRPr="00AF53C7">
        <w:rPr>
          <w:lang w:val="es-ES_tradnl"/>
        </w:rPr>
        <w:tab/>
        <w:t>La tasa de inscripción de los nacimientos;</w:t>
      </w:r>
    </w:p>
    <w:p w14:paraId="54918011" w14:textId="5FF696F5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b)</w:t>
      </w:r>
      <w:r w:rsidR="00AF53C7" w:rsidRPr="00AF53C7">
        <w:rPr>
          <w:lang w:val="es-ES_tradnl"/>
        </w:rPr>
        <w:tab/>
        <w:t>Los niños que han sido identificados como apátridas;</w:t>
      </w:r>
    </w:p>
    <w:p w14:paraId="6CEAE291" w14:textId="183FF42E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c)</w:t>
      </w:r>
      <w:r w:rsidR="00AF53C7" w:rsidRPr="00AF53C7">
        <w:rPr>
          <w:lang w:val="es-ES_tradnl"/>
        </w:rPr>
        <w:tab/>
        <w:t xml:space="preserve">Los casos de violencia contra los niños </w:t>
      </w:r>
      <w:r w:rsidR="001E6875">
        <w:rPr>
          <w:lang w:val="es-ES_tradnl"/>
        </w:rPr>
        <w:t>—</w:t>
      </w:r>
      <w:r w:rsidR="00AF53C7" w:rsidRPr="00AF53C7">
        <w:rPr>
          <w:lang w:val="es-ES_tradnl"/>
        </w:rPr>
        <w:t>lo cual comprende el maltrato, el descuido y la explotación y los abusos sexuales</w:t>
      </w:r>
      <w:r w:rsidR="001E6875">
        <w:rPr>
          <w:lang w:val="es-ES_tradnl"/>
        </w:rPr>
        <w:t>—</w:t>
      </w:r>
      <w:r w:rsidR="00AF53C7" w:rsidRPr="00AF53C7">
        <w:rPr>
          <w:lang w:val="es-ES_tradnl"/>
        </w:rPr>
        <w:t xml:space="preserve"> que se han denunciado a las autoridades, investigado y enjuiciado, así como las sanciones impuestas a los autores;</w:t>
      </w:r>
    </w:p>
    <w:p w14:paraId="0A02BF14" w14:textId="2BEA4C76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d)</w:t>
      </w:r>
      <w:r w:rsidR="00AF53C7" w:rsidRPr="00AF53C7">
        <w:rPr>
          <w:lang w:val="es-ES_tradnl"/>
        </w:rPr>
        <w:tab/>
        <w:t>Los casos de “rapto de la novia” que se han denunciado a las autoridades, investigado y enjuiciado, así como las sanciones impuestas a los autores;</w:t>
      </w:r>
    </w:p>
    <w:p w14:paraId="2669130C" w14:textId="568427B4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e)</w:t>
      </w:r>
      <w:r w:rsidR="00AF53C7" w:rsidRPr="00AF53C7">
        <w:rPr>
          <w:lang w:val="es-ES_tradnl"/>
        </w:rPr>
        <w:tab/>
        <w:t>Los niños que viven en la pobreza;</w:t>
      </w:r>
    </w:p>
    <w:p w14:paraId="280C705A" w14:textId="26F40041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f)</w:t>
      </w:r>
      <w:r w:rsidR="00AF53C7" w:rsidRPr="00AF53C7">
        <w:rPr>
          <w:lang w:val="es-ES_tradnl"/>
        </w:rPr>
        <w:tab/>
        <w:t>Los niños con discapacidad que asisten a escuelas ordinarias, que no están escolarizados o que han denunciado haber sido objeto de actos de violencia;</w:t>
      </w:r>
    </w:p>
    <w:p w14:paraId="003F00FE" w14:textId="79BA8B9C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g)</w:t>
      </w:r>
      <w:r w:rsidR="00AF53C7" w:rsidRPr="00AF53C7">
        <w:rPr>
          <w:lang w:val="es-ES_tradnl"/>
        </w:rPr>
        <w:tab/>
        <w:t>Los niños en situación de calle;</w:t>
      </w:r>
    </w:p>
    <w:p w14:paraId="0C15D104" w14:textId="048AE340" w:rsidR="00AF53C7" w:rsidRPr="00AF53C7" w:rsidRDefault="00F70E0E" w:rsidP="00AF53C7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AF53C7" w:rsidRPr="00AF53C7">
        <w:rPr>
          <w:lang w:val="es-ES_tradnl"/>
        </w:rPr>
        <w:t>h)</w:t>
      </w:r>
      <w:r w:rsidR="00AF53C7" w:rsidRPr="00AF53C7">
        <w:rPr>
          <w:lang w:val="es-ES_tradnl"/>
        </w:rPr>
        <w:tab/>
        <w:t>Los niños solicitantes de asilo, refugiados o migrantes que han llegado al Estado parte procedentes de zonas en las que se podría haber reclutado o utilizado a niños en hostilidades.</w:t>
      </w:r>
    </w:p>
    <w:p w14:paraId="3C003788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t>19.</w:t>
      </w:r>
      <w:r w:rsidRPr="00AF53C7">
        <w:rPr>
          <w:lang w:val="es-ES_tradnl"/>
        </w:rPr>
        <w:tab/>
        <w:t>Se ruega faciliten información sobre la manera en que se incorpora un enfoque basado en los derechos del niño a la planificación, la aplicación y la supervisión de las medidas para lograr los Objetivos de Desarrollo Sostenible, en particular en lo que respecta a la participación de los niños y la recopilación de datos, y de qué forma promueven esas medidas la efectividad de los derechos del niño reconocidos en la Convención y en sus Protocolos Facultativos.</w:t>
      </w:r>
    </w:p>
    <w:p w14:paraId="6F5F43A5" w14:textId="77777777" w:rsidR="00AF53C7" w:rsidRPr="00AF53C7" w:rsidRDefault="00AF53C7" w:rsidP="00AF53C7">
      <w:pPr>
        <w:pStyle w:val="SingleTxtG"/>
        <w:rPr>
          <w:lang w:val="es-ES_tradnl"/>
        </w:rPr>
      </w:pPr>
      <w:r w:rsidRPr="00AF53C7">
        <w:rPr>
          <w:lang w:val="es-ES_tradnl"/>
        </w:rPr>
        <w:lastRenderedPageBreak/>
        <w:t>20.</w:t>
      </w:r>
      <w:r w:rsidRPr="00AF53C7">
        <w:rPr>
          <w:lang w:val="es-ES_tradnl"/>
        </w:rPr>
        <w:tab/>
        <w:t>Sírvanse proporcionar al Comité una actualización de los datos del informe que hayan quedado obsoletos por haberse recabado otros más recientes o como resultado de nuevos acontecimientos.</w:t>
      </w:r>
    </w:p>
    <w:p w14:paraId="34B30D66" w14:textId="05D4B41A" w:rsidR="00AF53C7" w:rsidRDefault="00AF53C7" w:rsidP="00F70E0E">
      <w:pPr>
        <w:pStyle w:val="SingleTxtG"/>
        <w:rPr>
          <w:lang w:val="es-ES_tradnl"/>
        </w:rPr>
      </w:pPr>
      <w:r w:rsidRPr="00AF53C7">
        <w:rPr>
          <w:lang w:val="es-ES_tradnl"/>
        </w:rPr>
        <w:t>21.</w:t>
      </w:r>
      <w:r w:rsidRPr="00AF53C7">
        <w:rPr>
          <w:lang w:val="es-ES_tradnl"/>
        </w:rPr>
        <w:tab/>
        <w:t>Además, el Estado parte puede citar esferas que afecten a los niños y que considere prioritarias con respecto a la aplicación de la Convención.</w:t>
      </w:r>
    </w:p>
    <w:p w14:paraId="4C0E102D" w14:textId="528F7A2B" w:rsidR="00F70E0E" w:rsidRPr="00F70E0E" w:rsidRDefault="00F70E0E" w:rsidP="00F70E0E">
      <w:pPr>
        <w:pStyle w:val="SingleTxtG"/>
        <w:suppressAutoHyphens/>
        <w:spacing w:before="240" w:after="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sectPr w:rsidR="00F70E0E" w:rsidRPr="00F70E0E" w:rsidSect="005C02E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74506" w14:textId="77777777" w:rsidR="00F020C6" w:rsidRPr="007C2DEF" w:rsidRDefault="00F020C6" w:rsidP="007C2DEF">
      <w:pPr>
        <w:pStyle w:val="Piedepgina"/>
      </w:pPr>
    </w:p>
  </w:endnote>
  <w:endnote w:type="continuationSeparator" w:id="0">
    <w:p w14:paraId="5850A1C7" w14:textId="77777777" w:rsidR="00F020C6" w:rsidRPr="007C2DEF" w:rsidRDefault="00F020C6" w:rsidP="007C2DEF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1737C" w14:textId="527D4708" w:rsidR="005C02E5" w:rsidRPr="005C02E5" w:rsidRDefault="005C02E5" w:rsidP="005C02E5">
    <w:pPr>
      <w:pStyle w:val="Piedepgina"/>
      <w:tabs>
        <w:tab w:val="right" w:pos="9638"/>
      </w:tabs>
    </w:pPr>
    <w:r w:rsidRPr="005C02E5">
      <w:rPr>
        <w:b/>
        <w:sz w:val="18"/>
      </w:rPr>
      <w:fldChar w:fldCharType="begin"/>
    </w:r>
    <w:r w:rsidRPr="005C02E5">
      <w:rPr>
        <w:b/>
        <w:sz w:val="18"/>
      </w:rPr>
      <w:instrText xml:space="preserve"> PAGE  \* MERGEFORMAT </w:instrText>
    </w:r>
    <w:r w:rsidRPr="005C02E5">
      <w:rPr>
        <w:b/>
        <w:sz w:val="18"/>
      </w:rPr>
      <w:fldChar w:fldCharType="separate"/>
    </w:r>
    <w:r w:rsidRPr="005C02E5">
      <w:rPr>
        <w:b/>
        <w:noProof/>
        <w:sz w:val="18"/>
      </w:rPr>
      <w:t>2</w:t>
    </w:r>
    <w:r w:rsidRPr="005C02E5">
      <w:rPr>
        <w:b/>
        <w:sz w:val="18"/>
      </w:rPr>
      <w:fldChar w:fldCharType="end"/>
    </w:r>
    <w:r>
      <w:rPr>
        <w:b/>
        <w:sz w:val="18"/>
      </w:rPr>
      <w:tab/>
    </w:r>
    <w:r>
      <w:t>GE.23-03647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60193" w14:textId="0B846DDB" w:rsidR="005C02E5" w:rsidRPr="005C02E5" w:rsidRDefault="005C02E5" w:rsidP="005C02E5">
    <w:pPr>
      <w:pStyle w:val="Piedepgina"/>
      <w:tabs>
        <w:tab w:val="right" w:pos="9638"/>
      </w:tabs>
      <w:rPr>
        <w:b/>
        <w:sz w:val="18"/>
      </w:rPr>
    </w:pPr>
    <w:r>
      <w:t>GE.23-03647</w:t>
    </w:r>
    <w:r>
      <w:tab/>
    </w:r>
    <w:r w:rsidRPr="005C02E5">
      <w:rPr>
        <w:b/>
        <w:sz w:val="18"/>
      </w:rPr>
      <w:fldChar w:fldCharType="begin"/>
    </w:r>
    <w:r w:rsidRPr="005C02E5">
      <w:rPr>
        <w:b/>
        <w:sz w:val="18"/>
      </w:rPr>
      <w:instrText xml:space="preserve"> PAGE  \* MERGEFORMAT </w:instrText>
    </w:r>
    <w:r w:rsidRPr="005C02E5">
      <w:rPr>
        <w:b/>
        <w:sz w:val="18"/>
      </w:rPr>
      <w:fldChar w:fldCharType="separate"/>
    </w:r>
    <w:r w:rsidRPr="005C02E5">
      <w:rPr>
        <w:b/>
        <w:noProof/>
        <w:sz w:val="18"/>
      </w:rPr>
      <w:t>3</w:t>
    </w:r>
    <w:r w:rsidRPr="005C02E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4C5B6" w14:textId="5DA9769C" w:rsidR="007E16A7" w:rsidRPr="005C02E5" w:rsidRDefault="005C02E5" w:rsidP="005C02E5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7D431B">
      <w:rPr>
        <w:noProof/>
      </w:rPr>
      <w:drawing>
        <wp:anchor distT="0" distB="0" distL="114300" distR="114300" simplePos="0" relativeHeight="251657728" behindDoc="0" locked="1" layoutInCell="1" allowOverlap="1" wp14:anchorId="02CA2407" wp14:editId="3EFC8E8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</w:t>
    </w:r>
    <w:proofErr w:type="spellEnd"/>
    <w:r>
      <w:rPr>
        <w:sz w:val="20"/>
      </w:rPr>
      <w:t>-03647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68B1D3F7" wp14:editId="1931D7EB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210423    2</w:t>
    </w:r>
    <w:r w:rsidR="0046536E">
      <w:rPr>
        <w:sz w:val="20"/>
      </w:rPr>
      <w:t>1</w:t>
    </w:r>
    <w:r>
      <w:rPr>
        <w:sz w:val="20"/>
      </w:rPr>
      <w:t>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17102" w14:textId="77777777" w:rsidR="00F020C6" w:rsidRPr="001075E9" w:rsidRDefault="00F020C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7D36516" w14:textId="77777777" w:rsidR="00F020C6" w:rsidRDefault="00F020C6" w:rsidP="007C2DEF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9EF3913" w14:textId="77777777" w:rsidR="00AF53C7" w:rsidRPr="00336EF5" w:rsidRDefault="00AF53C7" w:rsidP="007A0F1D">
      <w:pPr>
        <w:pStyle w:val="Textonotapie"/>
      </w:pPr>
      <w:r w:rsidRPr="00336EF5">
        <w:tab/>
      </w:r>
      <w:r w:rsidRPr="007A0F1D">
        <w:rPr>
          <w:sz w:val="20"/>
          <w:szCs w:val="22"/>
        </w:rPr>
        <w:t>*</w:t>
      </w:r>
      <w:r w:rsidRPr="00336EF5">
        <w:tab/>
      </w:r>
      <w:r w:rsidRPr="001E6875">
        <w:rPr>
          <w:shd w:val="clear" w:color="auto" w:fill="FFFFFF" w:themeFill="background1"/>
        </w:rPr>
        <w:t>Aprobada por el grupo de trabajo anterior al período de sesiones el</w:t>
      </w:r>
      <w:r w:rsidRPr="001E6875">
        <w:t xml:space="preserve"> 10 de febrero </w:t>
      </w:r>
      <w:r w:rsidRPr="00336EF5">
        <w:t>de 2023.</w:t>
      </w:r>
    </w:p>
  </w:footnote>
  <w:footnote w:id="2">
    <w:p w14:paraId="196D70A9" w14:textId="13B9CBCB" w:rsidR="00AF53C7" w:rsidRPr="00336EF5" w:rsidRDefault="00AF53C7" w:rsidP="007A0F1D">
      <w:pPr>
        <w:pStyle w:val="Textonotapie"/>
      </w:pPr>
      <w:r w:rsidRPr="00336EF5">
        <w:tab/>
      </w:r>
      <w:r w:rsidRPr="007A0F1D">
        <w:rPr>
          <w:rStyle w:val="Refdenotaalpie"/>
        </w:rPr>
        <w:footnoteRef/>
      </w:r>
      <w:r w:rsidRPr="00336EF5">
        <w:tab/>
      </w:r>
      <w:hyperlink r:id="rId1" w:history="1">
        <w:r w:rsidRPr="007A0F1D">
          <w:rPr>
            <w:rStyle w:val="Hipervnculo"/>
          </w:rPr>
          <w:t>CRC/C/KGZ/5-6</w:t>
        </w:r>
      </w:hyperlink>
      <w:r w:rsidRPr="00336EF5">
        <w:t>, párr. 117.</w:t>
      </w:r>
    </w:p>
  </w:footnote>
  <w:footnote w:id="3">
    <w:p w14:paraId="1687C64F" w14:textId="447E3176" w:rsidR="00AF53C7" w:rsidRPr="00336EF5" w:rsidRDefault="00AF53C7" w:rsidP="007A0F1D">
      <w:pPr>
        <w:pStyle w:val="Textonotapie"/>
      </w:pPr>
      <w:r w:rsidRPr="00336EF5">
        <w:tab/>
      </w:r>
      <w:r w:rsidRPr="007A0F1D">
        <w:rPr>
          <w:rStyle w:val="Refdenotaalpie"/>
        </w:rPr>
        <w:footnoteRef/>
      </w:r>
      <w:r w:rsidRPr="00336EF5">
        <w:rPr>
          <w:lang w:val="en-US"/>
        </w:rPr>
        <w:t xml:space="preserve"> </w:t>
      </w:r>
      <w:r w:rsidRPr="00336EF5">
        <w:rPr>
          <w:lang w:val="en-US"/>
        </w:rPr>
        <w:tab/>
      </w:r>
      <w:hyperlink r:id="rId2" w:history="1">
        <w:r w:rsidRPr="007A0F1D">
          <w:rPr>
            <w:rStyle w:val="Hipervnculo"/>
            <w:lang w:val="en-US"/>
          </w:rPr>
          <w:t>CRC/C/KGZ/CO/3-4</w:t>
        </w:r>
      </w:hyperlink>
      <w:r w:rsidRPr="00336EF5">
        <w:rPr>
          <w:lang w:val="en-US"/>
        </w:rPr>
        <w:t>, párr. 62.</w:t>
      </w:r>
    </w:p>
  </w:footnote>
  <w:footnote w:id="4">
    <w:p w14:paraId="71CF800A" w14:textId="77777777" w:rsidR="00AF53C7" w:rsidRPr="00336EF5" w:rsidRDefault="00AF53C7" w:rsidP="007A0F1D">
      <w:pPr>
        <w:pStyle w:val="Textonotapie"/>
      </w:pPr>
      <w:r w:rsidRPr="00336EF5">
        <w:rPr>
          <w:lang w:val="en-US"/>
        </w:rPr>
        <w:tab/>
      </w:r>
      <w:r w:rsidRPr="007A0F1D">
        <w:rPr>
          <w:rStyle w:val="Refdenotaalpie"/>
        </w:rPr>
        <w:footnoteRef/>
      </w:r>
      <w:r w:rsidRPr="00336EF5">
        <w:rPr>
          <w:lang w:val="en-US"/>
        </w:rPr>
        <w:t xml:space="preserve"> </w:t>
      </w:r>
      <w:r w:rsidRPr="00336EF5">
        <w:rPr>
          <w:lang w:val="en-US"/>
        </w:rPr>
        <w:tab/>
      </w:r>
      <w:r w:rsidRPr="00336EF5">
        <w:rPr>
          <w:i/>
          <w:iCs/>
          <w:lang w:val="en-US"/>
        </w:rPr>
        <w:t>Ibid.</w:t>
      </w:r>
      <w:r w:rsidRPr="00336EF5">
        <w:rPr>
          <w:lang w:val="en-US"/>
        </w:rPr>
        <w:t>, párr. 64.</w:t>
      </w:r>
    </w:p>
  </w:footnote>
  <w:footnote w:id="5">
    <w:p w14:paraId="406FFA71" w14:textId="5072C392" w:rsidR="00AF53C7" w:rsidRPr="00336EF5" w:rsidRDefault="00AF53C7" w:rsidP="007A0F1D">
      <w:pPr>
        <w:pStyle w:val="Textonotapie"/>
      </w:pPr>
      <w:r w:rsidRPr="00336EF5">
        <w:rPr>
          <w:lang w:val="en-US"/>
        </w:rPr>
        <w:tab/>
      </w:r>
      <w:r w:rsidRPr="007A0F1D">
        <w:rPr>
          <w:rStyle w:val="Refdenotaalpie"/>
        </w:rPr>
        <w:footnoteRef/>
      </w:r>
      <w:r w:rsidRPr="00336EF5">
        <w:rPr>
          <w:lang w:val="en-US"/>
        </w:rPr>
        <w:t xml:space="preserve"> </w:t>
      </w:r>
      <w:r w:rsidRPr="00336EF5">
        <w:rPr>
          <w:lang w:val="en-US"/>
        </w:rPr>
        <w:tab/>
      </w:r>
      <w:hyperlink r:id="rId3" w:history="1">
        <w:r w:rsidRPr="007A0F1D">
          <w:rPr>
            <w:rStyle w:val="Hipervnculo"/>
            <w:lang w:val="en-US"/>
          </w:rPr>
          <w:t>CRC/C/OPSC/KGZ/CO/1</w:t>
        </w:r>
      </w:hyperlink>
      <w:r w:rsidRPr="00336EF5">
        <w:rPr>
          <w:lang w:val="en-US"/>
        </w:rPr>
        <w:t>.</w:t>
      </w:r>
    </w:p>
  </w:footnote>
  <w:footnote w:id="6">
    <w:p w14:paraId="22E78FCD" w14:textId="1120FF17" w:rsidR="00AF53C7" w:rsidRPr="00336EF5" w:rsidRDefault="00AF53C7" w:rsidP="007A0F1D">
      <w:pPr>
        <w:pStyle w:val="Textonotapie"/>
      </w:pPr>
      <w:r w:rsidRPr="00336EF5">
        <w:rPr>
          <w:lang w:val="en-US"/>
        </w:rPr>
        <w:tab/>
      </w:r>
      <w:r w:rsidRPr="007A0F1D">
        <w:rPr>
          <w:rStyle w:val="Refdenotaalpie"/>
        </w:rPr>
        <w:footnoteRef/>
      </w:r>
      <w:r w:rsidRPr="00336EF5">
        <w:rPr>
          <w:lang w:val="en-US"/>
        </w:rPr>
        <w:t xml:space="preserve"> </w:t>
      </w:r>
      <w:r w:rsidRPr="00336EF5">
        <w:rPr>
          <w:lang w:val="en-US"/>
        </w:rPr>
        <w:tab/>
      </w:r>
      <w:hyperlink r:id="rId4" w:history="1">
        <w:r w:rsidRPr="007A0F1D">
          <w:rPr>
            <w:rStyle w:val="Hipervnculo"/>
            <w:lang w:val="en-US"/>
          </w:rPr>
          <w:t>CRC/C/KGZ/CO/3-4</w:t>
        </w:r>
      </w:hyperlink>
      <w:r w:rsidRPr="00336EF5">
        <w:rPr>
          <w:lang w:val="en-US"/>
        </w:rPr>
        <w:t>, párr. 65.</w:t>
      </w:r>
    </w:p>
  </w:footnote>
  <w:footnote w:id="7">
    <w:p w14:paraId="288481A4" w14:textId="6867DC56" w:rsidR="00AF53C7" w:rsidRPr="00336EF5" w:rsidRDefault="00AF53C7" w:rsidP="007A0F1D">
      <w:pPr>
        <w:pStyle w:val="Textonotapie"/>
      </w:pPr>
      <w:r w:rsidRPr="00336EF5">
        <w:rPr>
          <w:lang w:val="en-US"/>
        </w:rPr>
        <w:tab/>
      </w:r>
      <w:r w:rsidRPr="007A0F1D">
        <w:rPr>
          <w:rStyle w:val="Refdenotaalpie"/>
        </w:rPr>
        <w:footnoteRef/>
      </w:r>
      <w:r w:rsidRPr="00336EF5">
        <w:rPr>
          <w:lang w:val="en-US"/>
        </w:rPr>
        <w:t xml:space="preserve"> </w:t>
      </w:r>
      <w:r w:rsidRPr="00336EF5">
        <w:rPr>
          <w:lang w:val="en-US"/>
        </w:rPr>
        <w:tab/>
      </w:r>
      <w:hyperlink r:id="rId5" w:history="1">
        <w:r w:rsidRPr="007A0F1D">
          <w:rPr>
            <w:rStyle w:val="Hipervnculo"/>
            <w:lang w:val="en-US"/>
          </w:rPr>
          <w:t>CRC/C/OPAC/KGZ/CO/1</w:t>
        </w:r>
      </w:hyperlink>
      <w:r w:rsidRPr="00336EF5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0ABF6" w14:textId="53C4FF4F" w:rsidR="005C02E5" w:rsidRPr="005C02E5" w:rsidRDefault="00F24986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CRC/C/KGZ/Q/5-6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0236F" w14:textId="12E9952A" w:rsidR="005C02E5" w:rsidRPr="005C02E5" w:rsidRDefault="00F24986" w:rsidP="005C02E5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CRC/C/KGZ/Q/5-6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01A38D4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469905440">
    <w:abstractNumId w:val="14"/>
  </w:num>
  <w:num w:numId="2" w16cid:durableId="724763918">
    <w:abstractNumId w:val="11"/>
  </w:num>
  <w:num w:numId="3" w16cid:durableId="995230740">
    <w:abstractNumId w:val="16"/>
  </w:num>
  <w:num w:numId="4" w16cid:durableId="951277335">
    <w:abstractNumId w:val="15"/>
  </w:num>
  <w:num w:numId="5" w16cid:durableId="185407139">
    <w:abstractNumId w:val="13"/>
  </w:num>
  <w:num w:numId="6" w16cid:durableId="1058749326">
    <w:abstractNumId w:val="8"/>
  </w:num>
  <w:num w:numId="7" w16cid:durableId="1740899450">
    <w:abstractNumId w:val="3"/>
  </w:num>
  <w:num w:numId="8" w16cid:durableId="1593080898">
    <w:abstractNumId w:val="2"/>
  </w:num>
  <w:num w:numId="9" w16cid:durableId="739837740">
    <w:abstractNumId w:val="1"/>
  </w:num>
  <w:num w:numId="10" w16cid:durableId="524173444">
    <w:abstractNumId w:val="0"/>
  </w:num>
  <w:num w:numId="11" w16cid:durableId="209460002">
    <w:abstractNumId w:val="9"/>
  </w:num>
  <w:num w:numId="12" w16cid:durableId="1196845339">
    <w:abstractNumId w:val="7"/>
  </w:num>
  <w:num w:numId="13" w16cid:durableId="431248411">
    <w:abstractNumId w:val="6"/>
  </w:num>
  <w:num w:numId="14" w16cid:durableId="766387599">
    <w:abstractNumId w:val="5"/>
  </w:num>
  <w:num w:numId="15" w16cid:durableId="1867602086">
    <w:abstractNumId w:val="4"/>
  </w:num>
  <w:num w:numId="16" w16cid:durableId="649138212">
    <w:abstractNumId w:val="10"/>
  </w:num>
  <w:num w:numId="17" w16cid:durableId="49547218">
    <w:abstractNumId w:val="14"/>
  </w:num>
  <w:num w:numId="18" w16cid:durableId="849215986">
    <w:abstractNumId w:val="11"/>
  </w:num>
  <w:num w:numId="19" w16cid:durableId="170879854">
    <w:abstractNumId w:val="10"/>
  </w:num>
  <w:num w:numId="20" w16cid:durableId="805896233">
    <w:abstractNumId w:val="16"/>
  </w:num>
  <w:num w:numId="21" w16cid:durableId="634215047">
    <w:abstractNumId w:val="15"/>
  </w:num>
  <w:num w:numId="22" w16cid:durableId="1462108835">
    <w:abstractNumId w:val="12"/>
  </w:num>
  <w:num w:numId="23" w16cid:durableId="1982927813">
    <w:abstractNumId w:val="12"/>
  </w:num>
  <w:num w:numId="24" w16cid:durableId="215045244">
    <w:abstractNumId w:val="13"/>
  </w:num>
  <w:num w:numId="25" w16cid:durableId="1485005497">
    <w:abstractNumId w:val="9"/>
  </w:num>
  <w:num w:numId="26" w16cid:durableId="74667005">
    <w:abstractNumId w:val="7"/>
  </w:num>
  <w:num w:numId="27" w16cid:durableId="724960430">
    <w:abstractNumId w:val="6"/>
  </w:num>
  <w:num w:numId="28" w16cid:durableId="945700886">
    <w:abstractNumId w:val="5"/>
  </w:num>
  <w:num w:numId="29" w16cid:durableId="40597109">
    <w:abstractNumId w:val="4"/>
  </w:num>
  <w:num w:numId="30" w16cid:durableId="1270160388">
    <w:abstractNumId w:val="8"/>
  </w:num>
  <w:num w:numId="31" w16cid:durableId="1118990252">
    <w:abstractNumId w:val="3"/>
  </w:num>
  <w:num w:numId="32" w16cid:durableId="1623463526">
    <w:abstractNumId w:val="2"/>
  </w:num>
  <w:num w:numId="33" w16cid:durableId="367217019">
    <w:abstractNumId w:val="1"/>
  </w:num>
  <w:num w:numId="34" w16cid:durableId="127142778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9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0C6"/>
    <w:rsid w:val="00002131"/>
    <w:rsid w:val="00023B74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269E"/>
    <w:rsid w:val="001B5FFA"/>
    <w:rsid w:val="001C7A89"/>
    <w:rsid w:val="001D1565"/>
    <w:rsid w:val="001E6875"/>
    <w:rsid w:val="00220F72"/>
    <w:rsid w:val="00240004"/>
    <w:rsid w:val="002931F6"/>
    <w:rsid w:val="002A2EFC"/>
    <w:rsid w:val="002C0E18"/>
    <w:rsid w:val="002D5AAC"/>
    <w:rsid w:val="00301299"/>
    <w:rsid w:val="00322004"/>
    <w:rsid w:val="003402C2"/>
    <w:rsid w:val="003811F3"/>
    <w:rsid w:val="00381C24"/>
    <w:rsid w:val="003958D0"/>
    <w:rsid w:val="003B00E5"/>
    <w:rsid w:val="003D71D4"/>
    <w:rsid w:val="004043B6"/>
    <w:rsid w:val="00414A16"/>
    <w:rsid w:val="00427F10"/>
    <w:rsid w:val="00454E07"/>
    <w:rsid w:val="0046536E"/>
    <w:rsid w:val="004D45DB"/>
    <w:rsid w:val="0050108D"/>
    <w:rsid w:val="00536DF4"/>
    <w:rsid w:val="00572E19"/>
    <w:rsid w:val="005A182D"/>
    <w:rsid w:val="005C02E5"/>
    <w:rsid w:val="005C43E4"/>
    <w:rsid w:val="005D7179"/>
    <w:rsid w:val="005F0B42"/>
    <w:rsid w:val="005F2AD1"/>
    <w:rsid w:val="006B3A76"/>
    <w:rsid w:val="006F35EE"/>
    <w:rsid w:val="006F7B0F"/>
    <w:rsid w:val="007021FF"/>
    <w:rsid w:val="00757357"/>
    <w:rsid w:val="007A059A"/>
    <w:rsid w:val="007A0F1D"/>
    <w:rsid w:val="007C2DEF"/>
    <w:rsid w:val="007D0A1F"/>
    <w:rsid w:val="007D431B"/>
    <w:rsid w:val="007E16A7"/>
    <w:rsid w:val="007F3812"/>
    <w:rsid w:val="007F4281"/>
    <w:rsid w:val="008136D8"/>
    <w:rsid w:val="00834B71"/>
    <w:rsid w:val="0086445C"/>
    <w:rsid w:val="00867322"/>
    <w:rsid w:val="008675EF"/>
    <w:rsid w:val="008A08D7"/>
    <w:rsid w:val="008A3EA3"/>
    <w:rsid w:val="008C2B1A"/>
    <w:rsid w:val="008E1429"/>
    <w:rsid w:val="008F5FFF"/>
    <w:rsid w:val="00906890"/>
    <w:rsid w:val="00945724"/>
    <w:rsid w:val="00951972"/>
    <w:rsid w:val="009C646E"/>
    <w:rsid w:val="009C7505"/>
    <w:rsid w:val="009E1414"/>
    <w:rsid w:val="00A43957"/>
    <w:rsid w:val="00A5723C"/>
    <w:rsid w:val="00A917B3"/>
    <w:rsid w:val="00A9316D"/>
    <w:rsid w:val="00A97C80"/>
    <w:rsid w:val="00AB4B51"/>
    <w:rsid w:val="00AF53C7"/>
    <w:rsid w:val="00B10CC7"/>
    <w:rsid w:val="00B257EA"/>
    <w:rsid w:val="00B62458"/>
    <w:rsid w:val="00B8687E"/>
    <w:rsid w:val="00BD33EE"/>
    <w:rsid w:val="00C60F0C"/>
    <w:rsid w:val="00C67843"/>
    <w:rsid w:val="00C805C9"/>
    <w:rsid w:val="00CA1679"/>
    <w:rsid w:val="00D15EAE"/>
    <w:rsid w:val="00D318C7"/>
    <w:rsid w:val="00D33D63"/>
    <w:rsid w:val="00D83653"/>
    <w:rsid w:val="00D90138"/>
    <w:rsid w:val="00DD299D"/>
    <w:rsid w:val="00DF63E3"/>
    <w:rsid w:val="00E23796"/>
    <w:rsid w:val="00E73F76"/>
    <w:rsid w:val="00EC1B56"/>
    <w:rsid w:val="00EF1360"/>
    <w:rsid w:val="00EF3220"/>
    <w:rsid w:val="00F020C6"/>
    <w:rsid w:val="00F06458"/>
    <w:rsid w:val="00F23FB6"/>
    <w:rsid w:val="00F24986"/>
    <w:rsid w:val="00F65F7A"/>
    <w:rsid w:val="00F70E0E"/>
    <w:rsid w:val="00F80811"/>
    <w:rsid w:val="00F94155"/>
    <w:rsid w:val="00FA3077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84C4A9"/>
  <w15:docId w15:val="{4D21B316-9561-4E07-8472-ACF088196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9C750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9C750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9C7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9C7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9C7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9C7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9C7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9C7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9C7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9C7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9C7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9C750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9C750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9C7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9C7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9C7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9C750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9C7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9C7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9C7505"/>
    <w:pPr>
      <w:numPr>
        <w:numId w:val="3"/>
      </w:numPr>
    </w:pPr>
  </w:style>
  <w:style w:type="numbering" w:styleId="1ai">
    <w:name w:val="Outline List 1"/>
    <w:basedOn w:val="Sinlista"/>
    <w:rsid w:val="009C7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9C7505"/>
  </w:style>
  <w:style w:type="numbering" w:styleId="ArtculoSeccin">
    <w:name w:val="Outline List 3"/>
    <w:basedOn w:val="Sinlista"/>
    <w:rsid w:val="009C750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9C7505"/>
    <w:pPr>
      <w:ind w:left="4252"/>
    </w:pPr>
  </w:style>
  <w:style w:type="character" w:styleId="CitaHTML">
    <w:name w:val="HTML Cite"/>
    <w:semiHidden/>
    <w:rsid w:val="009C7505"/>
    <w:rPr>
      <w:i/>
      <w:iCs/>
    </w:rPr>
  </w:style>
  <w:style w:type="character" w:styleId="CdigoHTML">
    <w:name w:val="HTML Code"/>
    <w:semiHidden/>
    <w:rsid w:val="009C7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9C7505"/>
    <w:pPr>
      <w:spacing w:after="120"/>
      <w:ind w:left="283"/>
    </w:pPr>
  </w:style>
  <w:style w:type="paragraph" w:styleId="Continuarlista2">
    <w:name w:val="List Continue 2"/>
    <w:basedOn w:val="Normal"/>
    <w:semiHidden/>
    <w:rsid w:val="009C7505"/>
    <w:pPr>
      <w:spacing w:after="120"/>
      <w:ind w:left="566"/>
    </w:pPr>
  </w:style>
  <w:style w:type="paragraph" w:styleId="Continuarlista3">
    <w:name w:val="List Continue 3"/>
    <w:basedOn w:val="Normal"/>
    <w:semiHidden/>
    <w:rsid w:val="009C7505"/>
    <w:pPr>
      <w:spacing w:after="120"/>
      <w:ind w:left="849"/>
    </w:pPr>
  </w:style>
  <w:style w:type="paragraph" w:styleId="Continuarlista4">
    <w:name w:val="List Continue 4"/>
    <w:basedOn w:val="Normal"/>
    <w:semiHidden/>
    <w:rsid w:val="009C7505"/>
    <w:pPr>
      <w:spacing w:after="120"/>
      <w:ind w:left="1132"/>
    </w:pPr>
  </w:style>
  <w:style w:type="paragraph" w:styleId="Continuarlista5">
    <w:name w:val="List Continue 5"/>
    <w:basedOn w:val="Normal"/>
    <w:semiHidden/>
    <w:rsid w:val="009C7505"/>
    <w:pPr>
      <w:spacing w:after="120"/>
      <w:ind w:left="1415"/>
    </w:pPr>
  </w:style>
  <w:style w:type="character" w:styleId="DefinicinHTML">
    <w:name w:val="HTML Definition"/>
    <w:semiHidden/>
    <w:rsid w:val="009C7505"/>
    <w:rPr>
      <w:i/>
      <w:iCs/>
    </w:rPr>
  </w:style>
  <w:style w:type="paragraph" w:styleId="DireccinHTML">
    <w:name w:val="HTML Address"/>
    <w:basedOn w:val="Normal"/>
    <w:link w:val="DireccinHTMLCar"/>
    <w:semiHidden/>
    <w:rsid w:val="009C7505"/>
    <w:rPr>
      <w:i/>
      <w:iCs/>
    </w:rPr>
  </w:style>
  <w:style w:type="paragraph" w:styleId="Direccinsobre">
    <w:name w:val="envelope address"/>
    <w:basedOn w:val="Normal"/>
    <w:semiHidden/>
    <w:rsid w:val="009C7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9C750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9C7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9C7505"/>
  </w:style>
  <w:style w:type="character" w:styleId="nfasis">
    <w:name w:val="Emphasis"/>
    <w:semiHidden/>
    <w:rsid w:val="009C750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9C7505"/>
  </w:style>
  <w:style w:type="paragraph" w:styleId="Firma">
    <w:name w:val="Signature"/>
    <w:basedOn w:val="Normal"/>
    <w:link w:val="FirmaCar"/>
    <w:semiHidden/>
    <w:rsid w:val="009C750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9C7505"/>
  </w:style>
  <w:style w:type="character" w:styleId="Hipervnculo">
    <w:name w:val="Hyperlink"/>
    <w:uiPriority w:val="4"/>
    <w:rsid w:val="009C7505"/>
    <w:rPr>
      <w:color w:val="0000FF"/>
      <w:u w:val="none"/>
    </w:rPr>
  </w:style>
  <w:style w:type="character" w:styleId="Hipervnculovisitado">
    <w:name w:val="FollowedHyperlink"/>
    <w:uiPriority w:val="4"/>
    <w:rsid w:val="009C750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9C7505"/>
    <w:rPr>
      <w:rFonts w:ascii="Courier New" w:hAnsi="Courier New" w:cs="Courier New"/>
    </w:rPr>
  </w:style>
  <w:style w:type="paragraph" w:styleId="Lista">
    <w:name w:val="List"/>
    <w:basedOn w:val="Normal"/>
    <w:semiHidden/>
    <w:rsid w:val="009C7505"/>
    <w:pPr>
      <w:ind w:left="283" w:hanging="283"/>
    </w:pPr>
  </w:style>
  <w:style w:type="paragraph" w:styleId="Lista2">
    <w:name w:val="List 2"/>
    <w:basedOn w:val="Normal"/>
    <w:semiHidden/>
    <w:rsid w:val="009C7505"/>
    <w:pPr>
      <w:ind w:left="566" w:hanging="283"/>
    </w:pPr>
  </w:style>
  <w:style w:type="paragraph" w:styleId="Lista3">
    <w:name w:val="List 3"/>
    <w:basedOn w:val="Normal"/>
    <w:semiHidden/>
    <w:rsid w:val="009C7505"/>
    <w:pPr>
      <w:ind w:left="849" w:hanging="283"/>
    </w:pPr>
  </w:style>
  <w:style w:type="paragraph" w:styleId="Lista4">
    <w:name w:val="List 4"/>
    <w:basedOn w:val="Normal"/>
    <w:semiHidden/>
    <w:rsid w:val="009C7505"/>
    <w:pPr>
      <w:ind w:left="1132" w:hanging="283"/>
    </w:pPr>
  </w:style>
  <w:style w:type="paragraph" w:styleId="Lista5">
    <w:name w:val="List 5"/>
    <w:basedOn w:val="Normal"/>
    <w:semiHidden/>
    <w:rsid w:val="009C7505"/>
    <w:pPr>
      <w:ind w:left="1415" w:hanging="283"/>
    </w:pPr>
  </w:style>
  <w:style w:type="paragraph" w:styleId="Listaconnmeros">
    <w:name w:val="List Number"/>
    <w:basedOn w:val="Normal"/>
    <w:semiHidden/>
    <w:rsid w:val="009C7505"/>
    <w:pPr>
      <w:numPr>
        <w:numId w:val="30"/>
      </w:numPr>
    </w:pPr>
  </w:style>
  <w:style w:type="paragraph" w:styleId="Listaconnmeros2">
    <w:name w:val="List Number 2"/>
    <w:basedOn w:val="Normal"/>
    <w:semiHidden/>
    <w:rsid w:val="009C7505"/>
    <w:pPr>
      <w:numPr>
        <w:numId w:val="31"/>
      </w:numPr>
    </w:pPr>
  </w:style>
  <w:style w:type="paragraph" w:styleId="Listaconnmeros3">
    <w:name w:val="List Number 3"/>
    <w:basedOn w:val="Normal"/>
    <w:semiHidden/>
    <w:rsid w:val="009C7505"/>
    <w:pPr>
      <w:numPr>
        <w:numId w:val="32"/>
      </w:numPr>
    </w:pPr>
  </w:style>
  <w:style w:type="paragraph" w:styleId="Listaconnmeros4">
    <w:name w:val="List Number 4"/>
    <w:basedOn w:val="Normal"/>
    <w:semiHidden/>
    <w:rsid w:val="009C7505"/>
    <w:pPr>
      <w:numPr>
        <w:numId w:val="33"/>
      </w:numPr>
    </w:pPr>
  </w:style>
  <w:style w:type="paragraph" w:styleId="Listaconnmeros5">
    <w:name w:val="List Number 5"/>
    <w:basedOn w:val="Normal"/>
    <w:semiHidden/>
    <w:rsid w:val="009C7505"/>
    <w:pPr>
      <w:numPr>
        <w:numId w:val="34"/>
      </w:numPr>
    </w:pPr>
  </w:style>
  <w:style w:type="paragraph" w:styleId="Listaconvietas">
    <w:name w:val="List Bullet"/>
    <w:basedOn w:val="Normal"/>
    <w:semiHidden/>
    <w:rsid w:val="009C7505"/>
    <w:pPr>
      <w:numPr>
        <w:numId w:val="25"/>
      </w:numPr>
    </w:pPr>
  </w:style>
  <w:style w:type="paragraph" w:styleId="Listaconvietas2">
    <w:name w:val="List Bullet 2"/>
    <w:basedOn w:val="Normal"/>
    <w:semiHidden/>
    <w:rsid w:val="009C7505"/>
    <w:pPr>
      <w:numPr>
        <w:numId w:val="26"/>
      </w:numPr>
    </w:pPr>
  </w:style>
  <w:style w:type="paragraph" w:styleId="Listaconvietas3">
    <w:name w:val="List Bullet 3"/>
    <w:basedOn w:val="Normal"/>
    <w:semiHidden/>
    <w:rsid w:val="009C7505"/>
    <w:pPr>
      <w:numPr>
        <w:numId w:val="27"/>
      </w:numPr>
    </w:pPr>
  </w:style>
  <w:style w:type="paragraph" w:styleId="Listaconvietas4">
    <w:name w:val="List Bullet 4"/>
    <w:basedOn w:val="Normal"/>
    <w:semiHidden/>
    <w:rsid w:val="009C7505"/>
    <w:pPr>
      <w:numPr>
        <w:numId w:val="28"/>
      </w:numPr>
    </w:pPr>
  </w:style>
  <w:style w:type="paragraph" w:styleId="Listaconvietas5">
    <w:name w:val="List Bullet 5"/>
    <w:basedOn w:val="Normal"/>
    <w:semiHidden/>
    <w:rsid w:val="009C7505"/>
    <w:pPr>
      <w:numPr>
        <w:numId w:val="29"/>
      </w:numPr>
    </w:pPr>
  </w:style>
  <w:style w:type="character" w:styleId="MquinadeescribirHTML">
    <w:name w:val="HTML Typewriter"/>
    <w:semiHidden/>
    <w:rsid w:val="009C7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9C7505"/>
    <w:rPr>
      <w:sz w:val="24"/>
      <w:szCs w:val="24"/>
    </w:rPr>
  </w:style>
  <w:style w:type="character" w:styleId="Nmerodelnea">
    <w:name w:val="line number"/>
    <w:basedOn w:val="Fuentedeprrafopredeter"/>
    <w:semiHidden/>
    <w:rsid w:val="009C7505"/>
  </w:style>
  <w:style w:type="character" w:styleId="Nmerodepgina">
    <w:name w:val="page number"/>
    <w:aliases w:val="7_G"/>
    <w:uiPriority w:val="3"/>
    <w:qFormat/>
    <w:rsid w:val="009C7505"/>
    <w:rPr>
      <w:b/>
      <w:sz w:val="18"/>
    </w:rPr>
  </w:style>
  <w:style w:type="character" w:styleId="Refdenotaalfinal">
    <w:name w:val="endnote reference"/>
    <w:aliases w:val="1_G"/>
    <w:uiPriority w:val="3"/>
    <w:qFormat/>
    <w:rsid w:val="009C7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9C750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9C7505"/>
  </w:style>
  <w:style w:type="paragraph" w:styleId="Sangra2detindependiente">
    <w:name w:val="Body Text Indent 2"/>
    <w:basedOn w:val="Normal"/>
    <w:link w:val="Sangra2detindependienteCar"/>
    <w:semiHidden/>
    <w:rsid w:val="009C7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9C7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9C7505"/>
    <w:pPr>
      <w:spacing w:after="120"/>
      <w:ind w:left="283"/>
    </w:pPr>
  </w:style>
  <w:style w:type="paragraph" w:styleId="Sangranormal">
    <w:name w:val="Normal Indent"/>
    <w:basedOn w:val="Normal"/>
    <w:semiHidden/>
    <w:rsid w:val="009C7505"/>
    <w:pPr>
      <w:ind w:left="567"/>
    </w:pPr>
  </w:style>
  <w:style w:type="paragraph" w:styleId="Subttulo">
    <w:name w:val="Subtitle"/>
    <w:basedOn w:val="Normal"/>
    <w:link w:val="SubttuloCar"/>
    <w:semiHidden/>
    <w:rsid w:val="009C7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9C750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9C750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9C750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9C750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9C750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9C750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9C750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9C750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9C750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9C750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9C750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9C750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9C750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9C750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9C750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9C750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9C750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9C750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9C750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9C750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9C750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9C750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9C7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9C7505"/>
    <w:pPr>
      <w:spacing w:after="120"/>
      <w:ind w:left="1440" w:right="1440"/>
    </w:pPr>
  </w:style>
  <w:style w:type="character" w:styleId="Textoennegrita">
    <w:name w:val="Strong"/>
    <w:semiHidden/>
    <w:rsid w:val="009C750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9C750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9C750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9C7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9C750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9C750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9C7505"/>
  </w:style>
  <w:style w:type="paragraph" w:styleId="Textosinformato">
    <w:name w:val="Plain Text"/>
    <w:basedOn w:val="Normal"/>
    <w:link w:val="TextosinformatoCar"/>
    <w:semiHidden/>
    <w:rsid w:val="009C750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9C7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9C7505"/>
    <w:rPr>
      <w:i/>
      <w:iCs/>
    </w:rPr>
  </w:style>
  <w:style w:type="paragraph" w:customStyle="1" w:styleId="Bullet1G">
    <w:name w:val="_Bullet 1_G"/>
    <w:basedOn w:val="Normal"/>
    <w:uiPriority w:val="1"/>
    <w:qFormat/>
    <w:rsid w:val="009C750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9C7505"/>
    <w:pPr>
      <w:numPr>
        <w:numId w:val="18"/>
      </w:numPr>
      <w:spacing w:after="120"/>
      <w:ind w:right="1134"/>
      <w:jc w:val="both"/>
    </w:pPr>
  </w:style>
  <w:style w:type="paragraph" w:styleId="Sinespaciado">
    <w:name w:val="No Spacing"/>
    <w:uiPriority w:val="1"/>
    <w:semiHidden/>
    <w:rsid w:val="009E1414"/>
    <w:rPr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9C75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9C750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9C750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9C750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9C750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9C750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C750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C750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C750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9C750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C750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9C750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C750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C750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9C750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9C750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9C750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9C750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9C750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9C750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9C750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9C750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9C750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9C750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9C750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9C750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9C750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9C750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9C750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9C750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9C750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9C750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9C750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9C750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9C750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9C750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9C750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9C750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9C750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9C750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9C750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9C750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9C750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9C750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7A0F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es/CRC/C/OPSC/KGZ/CO/1" TargetMode="External"/><Relationship Id="rId2" Type="http://schemas.openxmlformats.org/officeDocument/2006/relationships/hyperlink" Target="https://undocs.org/es/CRC/C/KGZ/CO/3-4" TargetMode="External"/><Relationship Id="rId1" Type="http://schemas.openxmlformats.org/officeDocument/2006/relationships/hyperlink" Target="https://undocs.org/es/CRC/C/KGZ/5-6" TargetMode="External"/><Relationship Id="rId5" Type="http://schemas.openxmlformats.org/officeDocument/2006/relationships/hyperlink" Target="https://undocs.org/es/CRC/C/OPAC/KGZ/CO/1" TargetMode="External"/><Relationship Id="rId4" Type="http://schemas.openxmlformats.org/officeDocument/2006/relationships/hyperlink" Target="https://undocs.org/es/CRC/C/KGZ/CO/3-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5</Pages>
  <Words>1798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CRC/C/KGZ/Q/5-6</vt:lpstr>
    </vt:vector>
  </TitlesOfParts>
  <Company/>
  <LinksUpToDate>false</LinksUpToDate>
  <CharactersWithSpaces>11665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CRC/C/KGZ/Q/5-6</dc:title>
  <dc:subject/>
  <dc:creator>Javier RODRIGUEZ PEREZ</dc:creator>
  <cp:keywords/>
  <cp:lastModifiedBy>Javier Rodriguez Perez</cp:lastModifiedBy>
  <cp:revision>3</cp:revision>
  <cp:lastPrinted>2023-04-21T13:58:00Z</cp:lastPrinted>
  <dcterms:created xsi:type="dcterms:W3CDTF">2023-04-21T13:58:00Z</dcterms:created>
  <dcterms:modified xsi:type="dcterms:W3CDTF">2023-04-21T13:58:00Z</dcterms:modified>
</cp:coreProperties>
</file>