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5BE" w:rsidRDefault="006465BE" w:rsidP="006465BE">
      <w:pPr>
        <w:spacing w:line="60" w:lineRule="exact"/>
        <w:rPr>
          <w:sz w:val="6"/>
        </w:rPr>
        <w:sectPr w:rsidR="006465BE" w:rsidSect="00255040">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200" w:bottom="1728" w:left="1200" w:header="432" w:footer="504" w:gutter="0"/>
          <w:cols w:space="425"/>
          <w:titlePg/>
          <w:docGrid w:linePitch="312"/>
        </w:sectPr>
      </w:pPr>
      <w:r>
        <w:rPr>
          <w:rStyle w:val="a9"/>
        </w:rPr>
        <w:commentReference w:id="0"/>
      </w:r>
    </w:p>
    <w:p w:rsidR="00255040" w:rsidRPr="00D00B06" w:rsidRDefault="00255040" w:rsidP="00390C4C">
      <w:pPr>
        <w:pStyle w:val="Session"/>
        <w:spacing w:after="360"/>
      </w:pPr>
      <w:r w:rsidRPr="00D00B06">
        <w:rPr>
          <w:rFonts w:hint="eastAsia"/>
        </w:rPr>
        <w:lastRenderedPageBreak/>
        <w:t>消除对妇女歧视委员会</w:t>
      </w:r>
    </w:p>
    <w:p w:rsidR="00255040" w:rsidRPr="00D00B06" w:rsidRDefault="00255040" w:rsidP="00390C4C">
      <w:pPr>
        <w:pStyle w:val="TitleH1"/>
        <w:spacing w:after="240"/>
        <w:ind w:left="1264"/>
        <w:rPr>
          <w:snapToGrid w:val="0"/>
          <w:kern w:val="0"/>
          <w:lang w:val="en-GB"/>
        </w:rPr>
      </w:pPr>
      <w:bookmarkStart w:id="1" w:name="_GoBack"/>
      <w:bookmarkEnd w:id="1"/>
      <w:r w:rsidRPr="0085590D">
        <w:rPr>
          <w:rFonts w:hint="eastAsia"/>
          <w:lang w:val="en-GB" w:bidi="zh-CN"/>
        </w:rPr>
        <w:t>关于黑山第二次定期报告的结论性意见</w:t>
      </w:r>
      <w:r w:rsidRPr="00255040">
        <w:rPr>
          <w:rFonts w:eastAsia="PMingLiU"/>
          <w:spacing w:val="5"/>
          <w:w w:val="103"/>
          <w:sz w:val="21"/>
          <w:szCs w:val="28"/>
          <w:vertAlign w:val="superscript"/>
          <w:lang w:val="en-GB"/>
        </w:rPr>
        <w:footnoteReference w:customMarkFollows="1" w:id="1"/>
        <w:t>*</w:t>
      </w:r>
    </w:p>
    <w:p w:rsidR="00255040" w:rsidRDefault="00255040" w:rsidP="00255040">
      <w:pPr>
        <w:pStyle w:val="SingleTxt"/>
        <w:rPr>
          <w:szCs w:val="21"/>
        </w:rPr>
      </w:pPr>
      <w:r w:rsidRPr="00AA4A12">
        <w:rPr>
          <w:szCs w:val="21"/>
        </w:rPr>
        <w:t>1.</w:t>
      </w:r>
      <w:r w:rsidRPr="00AA4A12">
        <w:rPr>
          <w:szCs w:val="21"/>
        </w:rPr>
        <w:tab/>
      </w:r>
      <w:r w:rsidRPr="00AA4A12">
        <w:rPr>
          <w:rFonts w:hint="eastAsia"/>
          <w:szCs w:val="21"/>
        </w:rPr>
        <w:t>委员会在</w:t>
      </w:r>
      <w:r w:rsidRPr="00AA4A12">
        <w:rPr>
          <w:szCs w:val="21"/>
        </w:rPr>
        <w:t>2017</w:t>
      </w:r>
      <w:r w:rsidRPr="00AA4A12">
        <w:rPr>
          <w:rFonts w:hAnsi="宋体"/>
          <w:szCs w:val="21"/>
        </w:rPr>
        <w:t>年</w:t>
      </w:r>
      <w:r w:rsidRPr="00AA4A12">
        <w:rPr>
          <w:szCs w:val="21"/>
        </w:rPr>
        <w:t>7</w:t>
      </w:r>
      <w:r w:rsidRPr="00AA4A12">
        <w:rPr>
          <w:rFonts w:hAnsi="宋体"/>
          <w:szCs w:val="21"/>
        </w:rPr>
        <w:t>月</w:t>
      </w:r>
      <w:r w:rsidRPr="00AA4A12">
        <w:rPr>
          <w:szCs w:val="21"/>
        </w:rPr>
        <w:t>11</w:t>
      </w:r>
      <w:r w:rsidRPr="00AA4A12">
        <w:rPr>
          <w:rFonts w:hAnsi="宋体"/>
          <w:szCs w:val="21"/>
        </w:rPr>
        <w:t>日举行第</w:t>
      </w:r>
      <w:r w:rsidRPr="00AA4A12">
        <w:rPr>
          <w:szCs w:val="21"/>
        </w:rPr>
        <w:t>1512</w:t>
      </w:r>
      <w:r w:rsidRPr="00AA4A12">
        <w:rPr>
          <w:rFonts w:hAnsi="宋体"/>
          <w:szCs w:val="21"/>
        </w:rPr>
        <w:t>和第</w:t>
      </w:r>
      <w:r w:rsidRPr="00AA4A12">
        <w:rPr>
          <w:szCs w:val="21"/>
        </w:rPr>
        <w:t>1513</w:t>
      </w:r>
      <w:r w:rsidRPr="00AA4A12">
        <w:rPr>
          <w:rFonts w:hAnsi="宋体"/>
          <w:szCs w:val="21"/>
        </w:rPr>
        <w:t>次会议</w:t>
      </w:r>
      <w:r w:rsidRPr="00AA4A12">
        <w:rPr>
          <w:rFonts w:hAnsi="宋体" w:hint="eastAsia"/>
          <w:szCs w:val="21"/>
        </w:rPr>
        <w:t>上</w:t>
      </w:r>
      <w:r>
        <w:rPr>
          <w:rFonts w:hAnsi="宋体"/>
          <w:szCs w:val="21"/>
        </w:rPr>
        <w:t>(</w:t>
      </w:r>
      <w:r w:rsidRPr="00AA4A12">
        <w:rPr>
          <w:rFonts w:hAnsi="宋体"/>
          <w:szCs w:val="21"/>
        </w:rPr>
        <w:t>见</w:t>
      </w:r>
      <w:hyperlink r:id="rId16" w:history="1">
        <w:r w:rsidRPr="00255040">
          <w:rPr>
            <w:rStyle w:val="ad"/>
            <w:szCs w:val="21"/>
          </w:rPr>
          <w:t>CEDAW/C/SR.1512</w:t>
        </w:r>
      </w:hyperlink>
      <w:r w:rsidRPr="00AA4A12">
        <w:rPr>
          <w:rFonts w:hAnsi="宋体"/>
          <w:szCs w:val="21"/>
        </w:rPr>
        <w:t>和</w:t>
      </w:r>
      <w:r w:rsidRPr="00AA4A12">
        <w:rPr>
          <w:szCs w:val="21"/>
        </w:rPr>
        <w:t>1513</w:t>
      </w:r>
      <w:r>
        <w:rPr>
          <w:rFonts w:hAnsi="宋体"/>
          <w:szCs w:val="21"/>
        </w:rPr>
        <w:t>)</w:t>
      </w:r>
      <w:r w:rsidRPr="00AA4A12">
        <w:rPr>
          <w:rFonts w:hAnsi="宋体"/>
          <w:szCs w:val="21"/>
        </w:rPr>
        <w:t>审议了黑山的第二次定期报告</w:t>
      </w:r>
      <w:r>
        <w:rPr>
          <w:rFonts w:hAnsi="宋体"/>
          <w:szCs w:val="21"/>
        </w:rPr>
        <w:t>(</w:t>
      </w:r>
      <w:hyperlink r:id="rId17" w:history="1">
        <w:r w:rsidRPr="00255040">
          <w:rPr>
            <w:rStyle w:val="ad"/>
            <w:szCs w:val="21"/>
          </w:rPr>
          <w:t>CEDAW/C/MNE/2</w:t>
        </w:r>
      </w:hyperlink>
      <w:r>
        <w:rPr>
          <w:rFonts w:hAnsi="宋体"/>
          <w:szCs w:val="21"/>
        </w:rPr>
        <w:t>)</w:t>
      </w:r>
      <w:r w:rsidRPr="00AA4A12">
        <w:rPr>
          <w:rFonts w:hAnsi="宋体"/>
          <w:szCs w:val="21"/>
        </w:rPr>
        <w:t>。</w:t>
      </w:r>
      <w:r w:rsidRPr="00AA4A12">
        <w:rPr>
          <w:rFonts w:hAnsi="宋体" w:hint="eastAsia"/>
          <w:szCs w:val="21"/>
        </w:rPr>
        <w:t>委员会的议题和问题清单载于</w:t>
      </w:r>
      <w:hyperlink r:id="rId18" w:history="1">
        <w:r w:rsidRPr="00255040">
          <w:rPr>
            <w:rStyle w:val="ad"/>
            <w:rFonts w:hint="eastAsia"/>
            <w:szCs w:val="21"/>
          </w:rPr>
          <w:t>CEDAW/C/MNE/Q/2</w:t>
        </w:r>
      </w:hyperlink>
      <w:r w:rsidRPr="00AA4A12">
        <w:rPr>
          <w:rFonts w:hAnsi="宋体" w:hint="eastAsia"/>
          <w:szCs w:val="21"/>
        </w:rPr>
        <w:t>，黑山的答复载于</w:t>
      </w:r>
      <w:hyperlink r:id="rId19" w:history="1">
        <w:r w:rsidRPr="00255040">
          <w:rPr>
            <w:rStyle w:val="ad"/>
            <w:rFonts w:hint="eastAsia"/>
            <w:szCs w:val="21"/>
          </w:rPr>
          <w:t>CEDAW/C/MNE/Q/2/Add.1</w:t>
        </w:r>
      </w:hyperlink>
      <w:r w:rsidRPr="00AA4A12">
        <w:rPr>
          <w:rFonts w:hAnsi="宋体" w:hint="eastAsia"/>
          <w:szCs w:val="21"/>
        </w:rPr>
        <w:t>。</w:t>
      </w:r>
    </w:p>
    <w:p w:rsidR="00255040" w:rsidRPr="00EC7119" w:rsidRDefault="00255040" w:rsidP="002550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EC7119">
        <w:rPr>
          <w:rFonts w:ascii="Times New Roman"/>
        </w:rPr>
        <w:tab/>
        <w:t>A.</w:t>
      </w:r>
      <w:r w:rsidRPr="00EC7119">
        <w:rPr>
          <w:rFonts w:ascii="Times New Roman"/>
        </w:rPr>
        <w:tab/>
      </w:r>
      <w:r w:rsidRPr="00EC7119">
        <w:rPr>
          <w:rFonts w:ascii="Times New Roman" w:hint="eastAsia"/>
        </w:rPr>
        <w:t>导言</w:t>
      </w:r>
    </w:p>
    <w:p w:rsidR="00255040" w:rsidRPr="00AA4A12" w:rsidRDefault="00255040" w:rsidP="00255040">
      <w:pPr>
        <w:pStyle w:val="SingleTxt"/>
        <w:rPr>
          <w:szCs w:val="21"/>
        </w:rPr>
      </w:pPr>
      <w:r w:rsidRPr="00AA4A12">
        <w:rPr>
          <w:szCs w:val="21"/>
        </w:rPr>
        <w:t>2.</w:t>
      </w:r>
      <w:r w:rsidRPr="00AA4A12">
        <w:rPr>
          <w:szCs w:val="21"/>
        </w:rPr>
        <w:tab/>
      </w:r>
      <w:r w:rsidRPr="00AA4A12">
        <w:rPr>
          <w:rFonts w:hAnsi="宋体" w:hint="eastAsia"/>
          <w:szCs w:val="21"/>
        </w:rPr>
        <w:t>委员会对缔约国提交其第二次定期报告表示赞赏。委员会还赞赏缔约国对会前工作组提出的议题和问题清单作出书面答复，并赞赏代表团进行口头介绍，以及对委员会在对话期间的口头提出的问题作进一步解释。</w:t>
      </w:r>
    </w:p>
    <w:p w:rsidR="00255040" w:rsidRDefault="00255040" w:rsidP="00255040">
      <w:pPr>
        <w:pStyle w:val="SingleTxt"/>
        <w:rPr>
          <w:szCs w:val="21"/>
        </w:rPr>
      </w:pPr>
      <w:r w:rsidRPr="00AA4A12">
        <w:rPr>
          <w:szCs w:val="21"/>
        </w:rPr>
        <w:t>3.</w:t>
      </w:r>
      <w:r w:rsidRPr="00AA4A12">
        <w:rPr>
          <w:szCs w:val="21"/>
        </w:rPr>
        <w:tab/>
      </w:r>
      <w:r w:rsidRPr="00AA4A12">
        <w:rPr>
          <w:rFonts w:hAnsi="宋体" w:hint="eastAsia"/>
          <w:szCs w:val="21"/>
        </w:rPr>
        <w:t>委员会赞扬缔约国由人权和少数民族权利部部长穆罕默德</w:t>
      </w:r>
      <w:r w:rsidRPr="00AA4A12">
        <w:rPr>
          <w:rFonts w:hint="eastAsia"/>
          <w:szCs w:val="21"/>
        </w:rPr>
        <w:t>·</w:t>
      </w:r>
      <w:r w:rsidRPr="00AA4A12">
        <w:rPr>
          <w:rFonts w:hAnsi="宋体" w:hint="eastAsia"/>
          <w:szCs w:val="21"/>
        </w:rPr>
        <w:t>赞卡率领的高级别代表团。代表团还包括来自农业和农村发展部、劳动和社会福利部、内务部、卫生部、教育部、黑山最高法院、黑山最高检察长办公室、人权和少数民族权利部、黑山常驻联合国日内瓦办事处和日内瓦其他国际组织代表团的代表。</w:t>
      </w:r>
    </w:p>
    <w:p w:rsidR="00255040" w:rsidRPr="00EC7119" w:rsidRDefault="00255040" w:rsidP="002550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EC7119">
        <w:rPr>
          <w:rFonts w:ascii="Times New Roman"/>
        </w:rPr>
        <w:tab/>
        <w:t>B.</w:t>
      </w:r>
      <w:r w:rsidRPr="00EC7119">
        <w:rPr>
          <w:rFonts w:ascii="Times New Roman"/>
        </w:rPr>
        <w:tab/>
      </w:r>
      <w:r w:rsidRPr="00EC7119">
        <w:rPr>
          <w:rFonts w:ascii="Times New Roman" w:hint="eastAsia"/>
        </w:rPr>
        <w:t>积极方面</w:t>
      </w:r>
    </w:p>
    <w:p w:rsidR="00255040" w:rsidRPr="00AA4A12" w:rsidRDefault="00255040" w:rsidP="00255040">
      <w:pPr>
        <w:pStyle w:val="SingleTxt"/>
        <w:rPr>
          <w:szCs w:val="21"/>
        </w:rPr>
      </w:pPr>
      <w:r w:rsidRPr="00AA4A12">
        <w:rPr>
          <w:szCs w:val="21"/>
        </w:rPr>
        <w:t>4.</w:t>
      </w:r>
      <w:r w:rsidRPr="00AA4A12">
        <w:rPr>
          <w:szCs w:val="21"/>
        </w:rPr>
        <w:tab/>
      </w:r>
      <w:r w:rsidRPr="00AA4A12">
        <w:rPr>
          <w:rFonts w:hAnsi="宋体" w:hint="eastAsia"/>
          <w:szCs w:val="21"/>
        </w:rPr>
        <w:t>委员会欢迎自</w:t>
      </w:r>
      <w:r w:rsidRPr="00AA4A12">
        <w:rPr>
          <w:szCs w:val="21"/>
        </w:rPr>
        <w:t>2011</w:t>
      </w:r>
      <w:r w:rsidRPr="00AA4A12">
        <w:rPr>
          <w:rFonts w:hAnsi="宋体"/>
          <w:szCs w:val="21"/>
        </w:rPr>
        <w:t>年审议缔约国初次报告</w:t>
      </w:r>
      <w:r>
        <w:rPr>
          <w:rFonts w:hAnsi="宋体"/>
          <w:szCs w:val="21"/>
        </w:rPr>
        <w:t>(</w:t>
      </w:r>
      <w:hyperlink r:id="rId20" w:history="1">
        <w:r w:rsidRPr="00255040">
          <w:rPr>
            <w:rStyle w:val="ad"/>
            <w:szCs w:val="21"/>
          </w:rPr>
          <w:t>CEDAW/C/MNE/1</w:t>
        </w:r>
      </w:hyperlink>
      <w:r>
        <w:rPr>
          <w:rFonts w:hAnsi="宋体"/>
          <w:szCs w:val="21"/>
        </w:rPr>
        <w:t>)</w:t>
      </w:r>
      <w:r w:rsidRPr="00AA4A12">
        <w:rPr>
          <w:rFonts w:hAnsi="宋体"/>
          <w:szCs w:val="21"/>
        </w:rPr>
        <w:t>以来其在立法改革方面取得的进展，特别是通过了：</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《性别平等法》修正案</w:t>
      </w:r>
      <w:r>
        <w:rPr>
          <w:rFonts w:hAnsi="宋体" w:hint="eastAsia"/>
          <w:szCs w:val="21"/>
        </w:rPr>
        <w:t>(</w:t>
      </w:r>
      <w:r w:rsidRPr="00AA4A12">
        <w:rPr>
          <w:szCs w:val="21"/>
        </w:rPr>
        <w:t>2015</w:t>
      </w:r>
      <w:r w:rsidRPr="00AA4A12">
        <w:rPr>
          <w:rFonts w:hAnsi="宋体"/>
          <w:szCs w:val="21"/>
        </w:rPr>
        <w:t>年</w:t>
      </w:r>
      <w:r>
        <w:rPr>
          <w:rFonts w:hAnsi="宋体"/>
          <w:szCs w:val="21"/>
        </w:rPr>
        <w:t>)</w:t>
      </w:r>
      <w:r w:rsidRPr="00AA4A12">
        <w:rPr>
          <w:rFonts w:hAnsi="宋体" w:hint="eastAsia"/>
          <w:szCs w:val="21"/>
        </w:rPr>
        <w:t>，使其符合欧洲联盟标准</w:t>
      </w:r>
      <w:r w:rsidRPr="00AA4A12">
        <w:rPr>
          <w:rFonts w:hAnsi="宋体"/>
          <w:szCs w:val="21"/>
        </w:rPr>
        <w:t>；</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《免费法律援助法》修正案</w:t>
      </w:r>
      <w:r>
        <w:rPr>
          <w:rFonts w:hAnsi="宋体" w:hint="eastAsia"/>
          <w:szCs w:val="21"/>
        </w:rPr>
        <w:t>(</w:t>
      </w:r>
      <w:r w:rsidRPr="00AA4A12">
        <w:rPr>
          <w:szCs w:val="21"/>
        </w:rPr>
        <w:t>2015</w:t>
      </w:r>
      <w:r w:rsidRPr="00AA4A12">
        <w:rPr>
          <w:rFonts w:hAnsi="宋体"/>
          <w:szCs w:val="21"/>
        </w:rPr>
        <w:t>年</w:t>
      </w:r>
      <w:r>
        <w:rPr>
          <w:rFonts w:hAnsi="宋体"/>
          <w:szCs w:val="21"/>
        </w:rPr>
        <w:t>)</w:t>
      </w:r>
      <w:r w:rsidRPr="00AA4A12">
        <w:rPr>
          <w:rFonts w:hAnsi="宋体"/>
          <w:szCs w:val="21"/>
        </w:rPr>
        <w:t>，</w:t>
      </w:r>
      <w:r w:rsidRPr="00AA4A12">
        <w:rPr>
          <w:rFonts w:hAnsi="宋体" w:hint="eastAsia"/>
          <w:szCs w:val="21"/>
        </w:rPr>
        <w:t>使</w:t>
      </w:r>
      <w:r w:rsidRPr="00AA4A12">
        <w:rPr>
          <w:rFonts w:hAnsi="宋体"/>
          <w:szCs w:val="21"/>
        </w:rPr>
        <w:t>家庭暴力受害者能够接受免费的法律援助；</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《选举法》修正案</w:t>
      </w:r>
      <w:r>
        <w:rPr>
          <w:rFonts w:hAnsi="宋体" w:hint="eastAsia"/>
          <w:szCs w:val="21"/>
        </w:rPr>
        <w:t>(</w:t>
      </w:r>
      <w:r w:rsidRPr="00AA4A12">
        <w:rPr>
          <w:szCs w:val="21"/>
        </w:rPr>
        <w:t>2014</w:t>
      </w:r>
      <w:r w:rsidRPr="00AA4A12">
        <w:rPr>
          <w:rFonts w:hAnsi="宋体"/>
          <w:szCs w:val="21"/>
        </w:rPr>
        <w:t>年</w:t>
      </w:r>
      <w:r>
        <w:rPr>
          <w:rFonts w:hAnsi="宋体"/>
          <w:szCs w:val="21"/>
        </w:rPr>
        <w:t>)</w:t>
      </w:r>
      <w:r w:rsidRPr="00AA4A12">
        <w:rPr>
          <w:rFonts w:hAnsi="宋体"/>
          <w:szCs w:val="21"/>
        </w:rPr>
        <w:t>，增进妇女的政治参与。</w:t>
      </w:r>
    </w:p>
    <w:p w:rsidR="00255040" w:rsidRPr="00AA4A12" w:rsidRDefault="00255040" w:rsidP="00255040">
      <w:pPr>
        <w:pStyle w:val="SingleTxt"/>
        <w:rPr>
          <w:szCs w:val="21"/>
        </w:rPr>
      </w:pPr>
      <w:r w:rsidRPr="00AA4A12">
        <w:rPr>
          <w:szCs w:val="21"/>
        </w:rPr>
        <w:lastRenderedPageBreak/>
        <w:t>5.</w:t>
      </w:r>
      <w:r w:rsidRPr="00AA4A12">
        <w:rPr>
          <w:szCs w:val="21"/>
        </w:rPr>
        <w:tab/>
      </w:r>
      <w:r w:rsidRPr="00AA4A12">
        <w:rPr>
          <w:rFonts w:hAnsi="宋体" w:hint="eastAsia"/>
          <w:szCs w:val="21"/>
        </w:rPr>
        <w:t>委员会欢迎缔约国努力完善其旨在加快消除对妇女歧视并促进性别平等的体制和政策框架，例如通过了《</w:t>
      </w:r>
      <w:r w:rsidRPr="00AA4A12">
        <w:rPr>
          <w:szCs w:val="21"/>
        </w:rPr>
        <w:t>2017</w:t>
      </w:r>
      <w:r w:rsidRPr="00AA4A12">
        <w:rPr>
          <w:rFonts w:hint="eastAsia"/>
          <w:szCs w:val="21"/>
        </w:rPr>
        <w:t>-</w:t>
      </w:r>
      <w:r w:rsidRPr="00AA4A12">
        <w:rPr>
          <w:szCs w:val="21"/>
        </w:rPr>
        <w:t>2021</w:t>
      </w:r>
      <w:r w:rsidRPr="00AA4A12">
        <w:rPr>
          <w:rFonts w:hAnsi="宋体"/>
          <w:szCs w:val="21"/>
        </w:rPr>
        <w:t>年</w:t>
      </w:r>
      <w:r w:rsidRPr="00AA4A12">
        <w:rPr>
          <w:rFonts w:hAnsi="宋体" w:hint="eastAsia"/>
          <w:szCs w:val="21"/>
        </w:rPr>
        <w:t>国家性别平等行动计划》</w:t>
      </w:r>
      <w:r w:rsidRPr="00AA4A12">
        <w:rPr>
          <w:rFonts w:hAnsi="宋体"/>
          <w:szCs w:val="21"/>
        </w:rPr>
        <w:t>和</w:t>
      </w:r>
      <w:r w:rsidRPr="00AA4A12">
        <w:rPr>
          <w:rFonts w:hAnsi="宋体" w:hint="eastAsia"/>
          <w:szCs w:val="21"/>
        </w:rPr>
        <w:t>《</w:t>
      </w:r>
      <w:r w:rsidRPr="00AA4A12">
        <w:rPr>
          <w:szCs w:val="21"/>
        </w:rPr>
        <w:t>2016-2020</w:t>
      </w:r>
      <w:r w:rsidRPr="00AA4A12">
        <w:rPr>
          <w:rFonts w:hAnsi="宋体"/>
          <w:szCs w:val="21"/>
        </w:rPr>
        <w:t>年防止家庭暴力战略</w:t>
      </w:r>
      <w:r w:rsidRPr="00AA4A12">
        <w:rPr>
          <w:rFonts w:hAnsi="宋体" w:hint="eastAsia"/>
          <w:szCs w:val="21"/>
        </w:rPr>
        <w:t>》。</w:t>
      </w:r>
    </w:p>
    <w:p w:rsidR="00255040" w:rsidRPr="00AA4A12" w:rsidRDefault="00255040" w:rsidP="00255040">
      <w:pPr>
        <w:pStyle w:val="SingleTxt"/>
        <w:rPr>
          <w:szCs w:val="21"/>
        </w:rPr>
      </w:pPr>
      <w:r w:rsidRPr="00AA4A12">
        <w:rPr>
          <w:szCs w:val="21"/>
        </w:rPr>
        <w:t>6.</w:t>
      </w:r>
      <w:r w:rsidRPr="00AA4A12">
        <w:rPr>
          <w:szCs w:val="21"/>
        </w:rPr>
        <w:tab/>
      </w:r>
      <w:r w:rsidRPr="00346AFE">
        <w:rPr>
          <w:rFonts w:hAnsi="宋体" w:hint="eastAsia"/>
          <w:spacing w:val="6"/>
          <w:szCs w:val="21"/>
        </w:rPr>
        <w:t>委员会欢迎自审议上一次报告以来，缔约国批准或加入了以下国际和区域文书：</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《儿童权利公约关于设定来文程序的任择议定书》，</w:t>
      </w:r>
      <w:r w:rsidRPr="00AA4A12">
        <w:rPr>
          <w:szCs w:val="21"/>
        </w:rPr>
        <w:t>2013</w:t>
      </w:r>
      <w:r w:rsidRPr="00AA4A12">
        <w:rPr>
          <w:rFonts w:hAnsi="宋体"/>
          <w:szCs w:val="21"/>
        </w:rPr>
        <w:t>年；</w:t>
      </w:r>
    </w:p>
    <w:p w:rsidR="00255040"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《欧洲委员会预防和打击暴力侵害妇女行为及家庭暴力公约》，</w:t>
      </w:r>
      <w:r w:rsidRPr="00AA4A12">
        <w:rPr>
          <w:szCs w:val="21"/>
        </w:rPr>
        <w:t>2013</w:t>
      </w:r>
      <w:r w:rsidRPr="00AA4A12">
        <w:rPr>
          <w:rFonts w:hAnsi="宋体"/>
          <w:szCs w:val="21"/>
        </w:rPr>
        <w:t>年。</w:t>
      </w:r>
    </w:p>
    <w:p w:rsidR="00255040" w:rsidRPr="00EC7119" w:rsidRDefault="00255040" w:rsidP="002550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EC7119">
        <w:rPr>
          <w:rFonts w:ascii="Times New Roman"/>
        </w:rPr>
        <w:tab/>
        <w:t>C.</w:t>
      </w:r>
      <w:r w:rsidRPr="00EC7119">
        <w:rPr>
          <w:rFonts w:ascii="Times New Roman"/>
        </w:rPr>
        <w:tab/>
      </w:r>
      <w:r w:rsidRPr="00EC7119">
        <w:rPr>
          <w:rFonts w:ascii="Times New Roman" w:hint="eastAsia"/>
        </w:rPr>
        <w:t>议会</w:t>
      </w:r>
    </w:p>
    <w:p w:rsidR="00255040" w:rsidRDefault="00255040" w:rsidP="00255040">
      <w:pPr>
        <w:pStyle w:val="SingleTxt"/>
        <w:rPr>
          <w:szCs w:val="21"/>
        </w:rPr>
      </w:pPr>
      <w:r w:rsidRPr="00AA4A12">
        <w:rPr>
          <w:szCs w:val="21"/>
        </w:rPr>
        <w:t>7.</w:t>
      </w:r>
      <w:r w:rsidRPr="00AA4A12">
        <w:rPr>
          <w:szCs w:val="21"/>
        </w:rPr>
        <w:tab/>
      </w:r>
      <w:r w:rsidRPr="00AA4A12">
        <w:rPr>
          <w:rFonts w:eastAsia="黑体" w:hAnsi="黑体" w:hint="eastAsia"/>
          <w:szCs w:val="21"/>
        </w:rPr>
        <w:t>委员会强调立法机构在确保全面执行《公约》方面发挥</w:t>
      </w:r>
      <w:r>
        <w:rPr>
          <w:rFonts w:eastAsia="黑体" w:hAnsi="黑体" w:hint="eastAsia"/>
          <w:szCs w:val="21"/>
        </w:rPr>
        <w:t>着</w:t>
      </w:r>
      <w:r w:rsidRPr="00AA4A12">
        <w:rPr>
          <w:rFonts w:eastAsia="黑体" w:hAnsi="黑体" w:hint="eastAsia"/>
          <w:szCs w:val="21"/>
        </w:rPr>
        <w:t>关键作用</w:t>
      </w:r>
      <w:r>
        <w:rPr>
          <w:rFonts w:eastAsia="黑体" w:hAnsi="黑体" w:hint="eastAsia"/>
          <w:szCs w:val="21"/>
        </w:rPr>
        <w:t>(</w:t>
      </w:r>
      <w:r w:rsidRPr="00AA4A12">
        <w:rPr>
          <w:rFonts w:eastAsia="黑体" w:hAnsi="黑体" w:hint="eastAsia"/>
          <w:szCs w:val="21"/>
        </w:rPr>
        <w:t>见委员会</w:t>
      </w:r>
      <w:r w:rsidRPr="00AA4A12">
        <w:rPr>
          <w:rFonts w:eastAsia="黑体" w:hAnsi="黑体"/>
          <w:szCs w:val="21"/>
        </w:rPr>
        <w:t>关于</w:t>
      </w:r>
      <w:r>
        <w:rPr>
          <w:rFonts w:eastAsia="黑体" w:hAnsi="黑体" w:hint="eastAsia"/>
          <w:szCs w:val="21"/>
        </w:rPr>
        <w:t>其</w:t>
      </w:r>
      <w:r w:rsidRPr="00AA4A12">
        <w:rPr>
          <w:rFonts w:eastAsia="黑体" w:hAnsi="黑体"/>
          <w:szCs w:val="21"/>
        </w:rPr>
        <w:t>与</w:t>
      </w:r>
      <w:r>
        <w:rPr>
          <w:rFonts w:eastAsia="黑体" w:hAnsi="黑体"/>
          <w:szCs w:val="21"/>
        </w:rPr>
        <w:t>议员</w:t>
      </w:r>
      <w:r w:rsidRPr="00AA4A12">
        <w:rPr>
          <w:rFonts w:eastAsia="黑体" w:hAnsi="黑体"/>
          <w:szCs w:val="21"/>
        </w:rPr>
        <w:t>关系的声明</w:t>
      </w:r>
      <w:r>
        <w:rPr>
          <w:rFonts w:eastAsia="黑体" w:hAnsi="黑体" w:hint="eastAsia"/>
          <w:szCs w:val="21"/>
        </w:rPr>
        <w:t>，</w:t>
      </w:r>
      <w:r w:rsidRPr="00AA4A12">
        <w:rPr>
          <w:rFonts w:eastAsia="黑体"/>
          <w:szCs w:val="21"/>
        </w:rPr>
        <w:t>2010</w:t>
      </w:r>
      <w:r w:rsidRPr="00AA4A12">
        <w:rPr>
          <w:rFonts w:eastAsia="黑体" w:hAnsi="黑体"/>
          <w:szCs w:val="21"/>
        </w:rPr>
        <w:t>年第四十五届会议上通过</w:t>
      </w:r>
      <w:r>
        <w:rPr>
          <w:rFonts w:eastAsia="黑体" w:hAnsi="黑体"/>
          <w:szCs w:val="21"/>
        </w:rPr>
        <w:t>)</w:t>
      </w:r>
      <w:r w:rsidRPr="00AA4A12">
        <w:rPr>
          <w:rFonts w:eastAsia="黑体" w:hAnsi="黑体"/>
          <w:szCs w:val="21"/>
        </w:rPr>
        <w:t>。</w:t>
      </w:r>
      <w:bookmarkStart w:id="2" w:name="_Hlk493175304"/>
      <w:r w:rsidRPr="00AA4A12">
        <w:rPr>
          <w:rFonts w:eastAsia="黑体" w:hAnsi="黑体" w:hint="eastAsia"/>
          <w:szCs w:val="21"/>
        </w:rPr>
        <w:t>委员会请议会按照其任务授权</w:t>
      </w:r>
      <w:bookmarkStart w:id="3" w:name="_Hlk493175377"/>
      <w:r w:rsidRPr="00AA4A12">
        <w:rPr>
          <w:rFonts w:eastAsia="黑体" w:hAnsi="黑体" w:hint="eastAsia"/>
          <w:szCs w:val="21"/>
        </w:rPr>
        <w:t>采取必要措施，</w:t>
      </w:r>
      <w:bookmarkStart w:id="4" w:name="_Hlk493175339"/>
      <w:r w:rsidRPr="00AA4A12">
        <w:rPr>
          <w:rFonts w:eastAsia="黑体" w:hAnsi="黑体" w:hint="eastAsia"/>
          <w:szCs w:val="21"/>
        </w:rPr>
        <w:t>从现在起</w:t>
      </w:r>
      <w:r>
        <w:rPr>
          <w:rFonts w:eastAsia="黑体" w:hAnsi="黑体" w:hint="eastAsia"/>
          <w:szCs w:val="21"/>
        </w:rPr>
        <w:t>直至根据</w:t>
      </w:r>
      <w:r w:rsidRPr="00AA4A12">
        <w:rPr>
          <w:rFonts w:eastAsia="黑体" w:hAnsi="黑体" w:hint="eastAsia"/>
          <w:szCs w:val="21"/>
        </w:rPr>
        <w:t>《公约》</w:t>
      </w:r>
      <w:r>
        <w:rPr>
          <w:rFonts w:eastAsia="黑体" w:hAnsi="黑体" w:hint="eastAsia"/>
          <w:szCs w:val="21"/>
        </w:rPr>
        <w:t>提交</w:t>
      </w:r>
      <w:r w:rsidRPr="00AA4A12">
        <w:rPr>
          <w:rFonts w:eastAsia="黑体" w:hAnsi="黑体" w:hint="eastAsia"/>
          <w:szCs w:val="21"/>
        </w:rPr>
        <w:t>下一次报告</w:t>
      </w:r>
      <w:r>
        <w:rPr>
          <w:rFonts w:eastAsia="黑体" w:hAnsi="黑体" w:hint="eastAsia"/>
          <w:szCs w:val="21"/>
        </w:rPr>
        <w:t>时</w:t>
      </w:r>
      <w:r>
        <w:rPr>
          <w:rFonts w:eastAsia="黑体" w:hAnsi="黑体"/>
          <w:szCs w:val="21"/>
        </w:rPr>
        <w:t>，</w:t>
      </w:r>
      <w:bookmarkEnd w:id="3"/>
      <w:bookmarkEnd w:id="4"/>
      <w:r w:rsidRPr="00AA4A12">
        <w:rPr>
          <w:rFonts w:eastAsia="黑体" w:hAnsi="黑体" w:hint="eastAsia"/>
          <w:szCs w:val="21"/>
        </w:rPr>
        <w:t>落实本结论性意见。</w:t>
      </w:r>
      <w:bookmarkEnd w:id="2"/>
    </w:p>
    <w:p w:rsidR="00255040" w:rsidRPr="00EC7119" w:rsidRDefault="00255040" w:rsidP="002550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jc w:val="left"/>
        <w:rPr>
          <w:rFonts w:ascii="Times New Roman"/>
        </w:rPr>
      </w:pPr>
      <w:r w:rsidRPr="00EC7119">
        <w:rPr>
          <w:rFonts w:ascii="Times New Roman"/>
        </w:rPr>
        <w:tab/>
        <w:t>D.</w:t>
      </w:r>
      <w:r w:rsidRPr="00EC7119">
        <w:rPr>
          <w:rFonts w:ascii="Times New Roman"/>
        </w:rPr>
        <w:tab/>
      </w:r>
      <w:r w:rsidRPr="00EC7119">
        <w:rPr>
          <w:rFonts w:ascii="Times New Roman" w:hint="eastAsia"/>
        </w:rPr>
        <w:t>主要关切领域和建议</w:t>
      </w:r>
    </w:p>
    <w:p w:rsidR="00255040"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AA4A12">
        <w:rPr>
          <w:rFonts w:ascii="Times New Roman"/>
          <w:szCs w:val="21"/>
        </w:rPr>
        <w:tab/>
      </w:r>
      <w:r w:rsidRPr="00AA4A12">
        <w:rPr>
          <w:rFonts w:ascii="Times New Roman"/>
          <w:szCs w:val="21"/>
        </w:rPr>
        <w:tab/>
      </w:r>
      <w:r w:rsidRPr="00EC7119">
        <w:rPr>
          <w:rFonts w:ascii="Times New Roman" w:hint="eastAsia"/>
          <w:szCs w:val="21"/>
        </w:rPr>
        <w:t>《公约》的可见度</w:t>
      </w:r>
    </w:p>
    <w:p w:rsidR="00255040" w:rsidRPr="00AA4A12" w:rsidRDefault="00255040" w:rsidP="00255040">
      <w:pPr>
        <w:pStyle w:val="SingleTxt"/>
        <w:rPr>
          <w:szCs w:val="21"/>
        </w:rPr>
      </w:pPr>
      <w:r w:rsidRPr="00AA4A12">
        <w:rPr>
          <w:szCs w:val="21"/>
        </w:rPr>
        <w:t>8.</w:t>
      </w:r>
      <w:r w:rsidRPr="00AA4A12">
        <w:rPr>
          <w:szCs w:val="21"/>
        </w:rPr>
        <w:tab/>
      </w:r>
      <w:r w:rsidRPr="00AA4A12">
        <w:rPr>
          <w:rFonts w:hAnsi="宋体" w:hint="eastAsia"/>
          <w:szCs w:val="21"/>
        </w:rPr>
        <w:t>委员会关切地注意到，缺乏任何有关直接适用或援引《公约》的法院或行政诉讼程序的信息。</w:t>
      </w:r>
    </w:p>
    <w:p w:rsidR="00255040" w:rsidRDefault="00255040" w:rsidP="00255040">
      <w:pPr>
        <w:pStyle w:val="SingleTxt"/>
        <w:rPr>
          <w:rFonts w:eastAsia="黑体"/>
          <w:szCs w:val="21"/>
        </w:rPr>
      </w:pPr>
      <w:r w:rsidRPr="00AA4A12">
        <w:rPr>
          <w:szCs w:val="21"/>
        </w:rPr>
        <w:t>9.</w:t>
      </w:r>
      <w:r w:rsidRPr="00AA4A12">
        <w:rPr>
          <w:szCs w:val="21"/>
        </w:rPr>
        <w:tab/>
      </w:r>
      <w:r w:rsidRPr="00EC7119">
        <w:rPr>
          <w:rFonts w:eastAsia="黑体" w:hAnsi="黑体"/>
          <w:szCs w:val="21"/>
        </w:rPr>
        <w:t>委员会建议缔约国推动为法官、检察官、执法人员和律师以及黑山人权和自由专员制定的有关《公约》的能力建设方案，以使他们能够在司法或行政诉讼程序中直接适用或援引《公约》条文，并对国内法律作出相应解释。</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禁止对妇女歧视的立法框架</w:t>
      </w:r>
    </w:p>
    <w:p w:rsidR="00255040" w:rsidRPr="00AA4A12" w:rsidRDefault="00255040" w:rsidP="00255040">
      <w:pPr>
        <w:pStyle w:val="SingleTxt"/>
        <w:rPr>
          <w:szCs w:val="21"/>
        </w:rPr>
      </w:pPr>
      <w:r w:rsidRPr="00AA4A12">
        <w:rPr>
          <w:szCs w:val="21"/>
        </w:rPr>
        <w:t>10.</w:t>
      </w:r>
      <w:r w:rsidRPr="00AA4A12">
        <w:rPr>
          <w:szCs w:val="21"/>
        </w:rPr>
        <w:tab/>
      </w:r>
      <w:r w:rsidRPr="00AA4A12">
        <w:rPr>
          <w:rFonts w:hAnsi="宋体" w:hint="eastAsia"/>
          <w:szCs w:val="21"/>
        </w:rPr>
        <w:t>委员会欢迎缔约国建立的消除对妇女歧视的可靠立法框架，这包括《反歧视法》、《黑山人权和自由保护专员法》和《性别平等法》。委员会还欢迎缔约国特别面向司法机关、警察和民间社会的代表采取了各类能力建设和认识提高措施，以防止和解决基于性别的歧视以及促进性别平等。但是，委员会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上述立法的效果有限，这可能表明在优先考虑性别平等和不歧视问题上执行不力且缺乏政治意愿，同时还表明就性别平等和禁止基于性别的歧视问题开展的能力建设不充分；</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人权和自由保护专员接到的基于性或性别的歧视的投诉数量偏少，而且最高法院未接到任何此类投诉。委员会感到关切的是，这或许反映出遭受歧视的妇女对国家机构不够信任。</w:t>
      </w:r>
    </w:p>
    <w:p w:rsidR="00255040" w:rsidRDefault="00255040" w:rsidP="00255040">
      <w:pPr>
        <w:pStyle w:val="SingleTxt"/>
        <w:rPr>
          <w:rFonts w:eastAsia="黑体"/>
          <w:szCs w:val="21"/>
        </w:rPr>
      </w:pPr>
      <w:r w:rsidRPr="00AA4A12">
        <w:rPr>
          <w:rFonts w:eastAsia="黑体"/>
          <w:szCs w:val="21"/>
        </w:rPr>
        <w:t>11.</w:t>
      </w:r>
      <w:r w:rsidRPr="00AA4A12">
        <w:rPr>
          <w:rFonts w:eastAsia="黑体"/>
          <w:szCs w:val="21"/>
        </w:rPr>
        <w:tab/>
      </w:r>
      <w:r w:rsidRPr="00AA4A12">
        <w:rPr>
          <w:rFonts w:eastAsia="黑体" w:hAnsi="黑体" w:hint="eastAsia"/>
          <w:szCs w:val="21"/>
        </w:rPr>
        <w:t>委员会建议缔约国大幅增加为执行有关性别平等和禁止基于性或性别歧视的立法划拨的人力、技术和财政资源，对各类能力建设工作的效果进行评估，并根据评估结果采取必要措施增加其效力。这些措施应包括信息传播，包括与人权和自由保护专员合作，面向公众传播有关诉诸司法以及获取补偿和赔偿的可用补救措施的信息。</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lastRenderedPageBreak/>
        <w:tab/>
      </w:r>
      <w:r w:rsidRPr="00EC7119">
        <w:rPr>
          <w:rFonts w:ascii="Times New Roman"/>
          <w:szCs w:val="21"/>
        </w:rPr>
        <w:tab/>
      </w:r>
      <w:r w:rsidRPr="00EC7119">
        <w:rPr>
          <w:rFonts w:ascii="Times New Roman" w:hint="eastAsia"/>
          <w:szCs w:val="21"/>
        </w:rPr>
        <w:t>提高妇女地位</w:t>
      </w:r>
      <w:r>
        <w:rPr>
          <w:rFonts w:ascii="Times New Roman" w:hint="eastAsia"/>
          <w:szCs w:val="21"/>
        </w:rPr>
        <w:t>的</w:t>
      </w:r>
      <w:r w:rsidRPr="00EC7119">
        <w:rPr>
          <w:rFonts w:ascii="Times New Roman" w:hint="eastAsia"/>
          <w:szCs w:val="21"/>
        </w:rPr>
        <w:t>国家机制</w:t>
      </w:r>
    </w:p>
    <w:p w:rsidR="00255040" w:rsidRPr="00AA4A12" w:rsidRDefault="00255040" w:rsidP="00255040">
      <w:pPr>
        <w:pStyle w:val="SingleTxt"/>
        <w:rPr>
          <w:szCs w:val="21"/>
        </w:rPr>
      </w:pPr>
      <w:r w:rsidRPr="00AA4A12">
        <w:rPr>
          <w:szCs w:val="21"/>
        </w:rPr>
        <w:t>12.</w:t>
      </w:r>
      <w:r w:rsidRPr="00AA4A12">
        <w:rPr>
          <w:szCs w:val="21"/>
        </w:rPr>
        <w:tab/>
      </w:r>
      <w:r w:rsidRPr="00AA4A12">
        <w:rPr>
          <w:rFonts w:hAnsi="宋体" w:hint="eastAsia"/>
          <w:szCs w:val="21"/>
        </w:rPr>
        <w:t>委员会赞赏人权和少数民族权利部内性别平等处做出的努力，以及于</w:t>
      </w:r>
      <w:r w:rsidRPr="00AA4A12">
        <w:rPr>
          <w:rFonts w:hint="eastAsia"/>
          <w:szCs w:val="21"/>
        </w:rPr>
        <w:t>2016</w:t>
      </w:r>
      <w:r w:rsidRPr="00AA4A12">
        <w:rPr>
          <w:rFonts w:hAnsi="宋体" w:hint="eastAsia"/>
          <w:szCs w:val="21"/>
        </w:rPr>
        <w:t>年设立国家性别平等理事会并设立议会性别平等委员会</w:t>
      </w:r>
      <w:r w:rsidRPr="00AA4A12">
        <w:rPr>
          <w:rFonts w:hAnsi="宋体"/>
          <w:szCs w:val="21"/>
        </w:rPr>
        <w:t>，并通过了</w:t>
      </w:r>
      <w:r w:rsidRPr="00346AFE">
        <w:rPr>
          <w:rFonts w:hAnsi="宋体" w:hint="eastAsia"/>
          <w:szCs w:val="21"/>
        </w:rPr>
        <w:t>《</w:t>
      </w:r>
      <w:r w:rsidRPr="00346AFE">
        <w:rPr>
          <w:szCs w:val="21"/>
        </w:rPr>
        <w:t>2017-2021</w:t>
      </w:r>
      <w:r w:rsidRPr="00346AFE">
        <w:rPr>
          <w:rFonts w:hAnsi="宋体" w:hint="eastAsia"/>
          <w:szCs w:val="21"/>
        </w:rPr>
        <w:t>年</w:t>
      </w:r>
      <w:r w:rsidRPr="00346AFE">
        <w:rPr>
          <w:rFonts w:hAnsi="宋体"/>
          <w:szCs w:val="21"/>
        </w:rPr>
        <w:t>国家性别平等行动计划</w:t>
      </w:r>
      <w:r w:rsidRPr="00346AFE">
        <w:rPr>
          <w:rFonts w:hAnsi="宋体" w:hint="eastAsia"/>
          <w:szCs w:val="21"/>
        </w:rPr>
        <w:t>》</w:t>
      </w:r>
      <w:r w:rsidRPr="00346AFE">
        <w:rPr>
          <w:rFonts w:hAnsi="宋体"/>
          <w:szCs w:val="21"/>
        </w:rPr>
        <w:t>。</w:t>
      </w:r>
      <w:r w:rsidRPr="00346AFE">
        <w:rPr>
          <w:rFonts w:hAnsi="宋体" w:hint="eastAsia"/>
          <w:szCs w:val="21"/>
        </w:rPr>
        <w:t>委员会还赞赏任命了性别相关问题协调员</w:t>
      </w:r>
      <w:r w:rsidRPr="00AA4A12">
        <w:rPr>
          <w:rFonts w:hAnsi="宋体" w:hint="eastAsia"/>
          <w:szCs w:val="21"/>
        </w:rPr>
        <w:t>并设立了性别平等理事会和办公室，以及在缔约国许多城市通过了当地的性别平等行动计划。但是，委员会关切地注意到：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向上述机构和行动计划的供资不足，这对有效执行国家和地方的性别平等行动计划产生了负面影响；</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构成国家机制一部分的机构在执行立法和编制预算方面缺乏有效的性别影响评估，而且这些机构仅发挥象征性作用，例如国家性别平等理事会处于弱势地位，即使在制定《</w:t>
      </w:r>
      <w:r w:rsidRPr="00AA4A12">
        <w:rPr>
          <w:rFonts w:hint="eastAsia"/>
          <w:szCs w:val="21"/>
        </w:rPr>
        <w:t>2017-2021</w:t>
      </w:r>
      <w:r w:rsidRPr="00AA4A12">
        <w:rPr>
          <w:rFonts w:hAnsi="宋体" w:hint="eastAsia"/>
          <w:szCs w:val="21"/>
        </w:rPr>
        <w:t>年国家性别平等</w:t>
      </w:r>
      <w:r>
        <w:rPr>
          <w:rFonts w:hAnsi="宋体" w:hint="eastAsia"/>
          <w:szCs w:val="21"/>
        </w:rPr>
        <w:t>行动</w:t>
      </w:r>
      <w:r w:rsidRPr="00261F8C">
        <w:rPr>
          <w:rFonts w:hAnsi="宋体" w:hint="eastAsia"/>
          <w:szCs w:val="21"/>
        </w:rPr>
        <w:t>计</w:t>
      </w:r>
      <w:r w:rsidRPr="00AA4A12">
        <w:rPr>
          <w:rFonts w:hAnsi="宋体" w:hint="eastAsia"/>
          <w:szCs w:val="21"/>
        </w:rPr>
        <w:t>划》的过程中，都没有与之开展磋商，再如，据称议会性别平等委员</w:t>
      </w:r>
      <w:r>
        <w:rPr>
          <w:rFonts w:hAnsi="宋体" w:hint="eastAsia"/>
          <w:szCs w:val="21"/>
        </w:rPr>
        <w:t>会</w:t>
      </w:r>
      <w:r w:rsidRPr="00AA4A12">
        <w:rPr>
          <w:rFonts w:hAnsi="宋体" w:hint="eastAsia"/>
          <w:szCs w:val="21"/>
        </w:rPr>
        <w:t>也处于被动地位；</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上一份《</w:t>
      </w:r>
      <w:r w:rsidRPr="00AA4A12">
        <w:rPr>
          <w:rFonts w:hint="eastAsia"/>
          <w:szCs w:val="21"/>
        </w:rPr>
        <w:t>2012-2017</w:t>
      </w:r>
      <w:r w:rsidRPr="00AA4A12">
        <w:rPr>
          <w:rFonts w:hAnsi="宋体" w:hint="eastAsia"/>
          <w:szCs w:val="21"/>
        </w:rPr>
        <w:t>年国家性别平等行动计划》的影响</w:t>
      </w:r>
      <w:r w:rsidRPr="00AA4A12">
        <w:rPr>
          <w:rFonts w:hAnsi="宋体"/>
          <w:szCs w:val="21"/>
        </w:rPr>
        <w:t>有限。</w:t>
      </w:r>
    </w:p>
    <w:p w:rsidR="00255040" w:rsidRPr="00AA4A12" w:rsidRDefault="00255040" w:rsidP="00255040">
      <w:pPr>
        <w:pStyle w:val="SingleTxt"/>
        <w:rPr>
          <w:rFonts w:eastAsia="黑体"/>
          <w:szCs w:val="21"/>
        </w:rPr>
      </w:pPr>
      <w:r w:rsidRPr="00AA4A12">
        <w:rPr>
          <w:rFonts w:eastAsia="黑体"/>
          <w:szCs w:val="21"/>
        </w:rPr>
        <w:t>13.</w:t>
      </w:r>
      <w:r w:rsidRPr="00AA4A12">
        <w:rPr>
          <w:rFonts w:eastAsia="黑体"/>
          <w:szCs w:val="21"/>
        </w:rPr>
        <w:tab/>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加强其提高妇女地位国家机制，通过在中央和市政各级大幅增加为之划拨的人力、技术和财政资源；</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与上述机构磋商，加强实现性别平等的问责机制，确保开展系统性的性别影响评估，并让它们积极参与制定和执行国家和地方层面的立法、政策的行动计划；</w:t>
      </w:r>
    </w:p>
    <w:p w:rsidR="00255040"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在国家和地方行动计划中设定有时限的具体目标，并根据这些具体目标对这些行动计划进行评估。</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非政府组织</w:t>
      </w:r>
    </w:p>
    <w:p w:rsidR="00255040" w:rsidRPr="00AA4A12" w:rsidRDefault="00255040" w:rsidP="00255040">
      <w:pPr>
        <w:pStyle w:val="SingleTxt"/>
        <w:rPr>
          <w:szCs w:val="21"/>
        </w:rPr>
      </w:pPr>
      <w:r w:rsidRPr="00AA4A12">
        <w:rPr>
          <w:szCs w:val="21"/>
        </w:rPr>
        <w:t>14.</w:t>
      </w:r>
      <w:r w:rsidRPr="00AA4A12">
        <w:rPr>
          <w:szCs w:val="21"/>
        </w:rPr>
        <w:tab/>
      </w:r>
      <w:r w:rsidRPr="00AA4A12">
        <w:rPr>
          <w:rFonts w:hAnsi="宋体" w:hint="eastAsia"/>
          <w:szCs w:val="21"/>
        </w:rPr>
        <w:t>委员会注意到非政府组织在执行《公约》中的重要作用。但是，委员会感到关切的是，近期通过的有关资助非政府组织的限制性立法妨碍了非政府组织的设立与活动。</w:t>
      </w:r>
    </w:p>
    <w:p w:rsidR="00255040" w:rsidRDefault="00255040" w:rsidP="00255040">
      <w:pPr>
        <w:pStyle w:val="SingleTxt"/>
        <w:rPr>
          <w:rFonts w:eastAsia="黑体"/>
          <w:szCs w:val="21"/>
        </w:rPr>
      </w:pPr>
      <w:r w:rsidRPr="00AA4A12">
        <w:rPr>
          <w:rFonts w:eastAsia="黑体"/>
          <w:szCs w:val="21"/>
        </w:rPr>
        <w:t>15.</w:t>
      </w:r>
      <w:r w:rsidRPr="00AA4A12">
        <w:rPr>
          <w:rFonts w:eastAsia="黑体"/>
          <w:szCs w:val="21"/>
        </w:rPr>
        <w:tab/>
      </w:r>
      <w:r w:rsidRPr="00AA4A12">
        <w:rPr>
          <w:rFonts w:eastAsia="黑体" w:hAnsi="黑体" w:hint="eastAsia"/>
          <w:szCs w:val="21"/>
        </w:rPr>
        <w:t>委员会建议缔约国修订其立法，为非政府组织的设立和积极参与提供扶持和有利的环境，特别是那些倡导并支持缔约国执行《公约》的非政府组织。</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暂行特别措施</w:t>
      </w:r>
    </w:p>
    <w:p w:rsidR="00255040" w:rsidRPr="00AA4A12" w:rsidRDefault="00255040" w:rsidP="00255040">
      <w:pPr>
        <w:pStyle w:val="SingleTxt"/>
        <w:rPr>
          <w:szCs w:val="21"/>
        </w:rPr>
      </w:pPr>
      <w:r w:rsidRPr="00AA4A12">
        <w:rPr>
          <w:szCs w:val="21"/>
        </w:rPr>
        <w:t>16.</w:t>
      </w:r>
      <w:r w:rsidRPr="00AA4A12">
        <w:rPr>
          <w:szCs w:val="21"/>
        </w:rPr>
        <w:tab/>
      </w:r>
      <w:r w:rsidRPr="00AA4A12">
        <w:rPr>
          <w:rFonts w:hAnsi="宋体" w:hint="eastAsia"/>
          <w:szCs w:val="21"/>
        </w:rPr>
        <w:t>委员会感到关切的是，在妇女代表不足或处于不利地位的领域，如就业领域，以及针对劳动力市场交叉形式的歧视，缺乏任何暂行特别措施。委员会还关切地注意到，缔约国，包括其国的政治领导人，均对暂行特别措施理解有限。</w:t>
      </w:r>
    </w:p>
    <w:p w:rsidR="00255040" w:rsidRDefault="00255040" w:rsidP="00255040">
      <w:pPr>
        <w:pStyle w:val="SingleTxt"/>
        <w:rPr>
          <w:rFonts w:eastAsia="黑体"/>
          <w:szCs w:val="21"/>
        </w:rPr>
      </w:pPr>
      <w:r w:rsidRPr="00AA4A12">
        <w:rPr>
          <w:rFonts w:eastAsia="黑体"/>
          <w:szCs w:val="21"/>
        </w:rPr>
        <w:t>17.</w:t>
      </w:r>
      <w:r w:rsidRPr="00AA4A12">
        <w:rPr>
          <w:rFonts w:eastAsia="黑体"/>
          <w:szCs w:val="21"/>
        </w:rPr>
        <w:tab/>
      </w:r>
      <w:r w:rsidRPr="00AA4A12">
        <w:rPr>
          <w:rFonts w:eastAsia="黑体" w:hAnsi="黑体" w:hint="eastAsia"/>
          <w:szCs w:val="21"/>
        </w:rPr>
        <w:t>委员会建议缔约国提高从政者对性别平等的认识，特别是议员、新闻工作者、教师和一般公众，尤其是男性，以促进对暂行特别措施的重要性和非歧视性质的理解。委员会还建议缔约国根据《公约》第四</w:t>
      </w:r>
      <w:r w:rsidRPr="00AA4A12">
        <w:rPr>
          <w:rFonts w:eastAsia="黑体" w:hAnsi="黑体"/>
          <w:szCs w:val="21"/>
        </w:rPr>
        <w:t>条第</w:t>
      </w:r>
      <w:r w:rsidRPr="00AA4A12">
        <w:rPr>
          <w:rFonts w:eastAsia="黑体"/>
          <w:szCs w:val="21"/>
        </w:rPr>
        <w:t>1</w:t>
      </w:r>
      <w:r w:rsidRPr="00AA4A12">
        <w:rPr>
          <w:rFonts w:eastAsia="黑体" w:hAnsi="黑体"/>
          <w:szCs w:val="21"/>
        </w:rPr>
        <w:t>款</w:t>
      </w:r>
      <w:r w:rsidRPr="00AA4A12">
        <w:rPr>
          <w:rFonts w:eastAsia="黑体" w:hAnsi="黑体" w:hint="eastAsia"/>
          <w:szCs w:val="21"/>
        </w:rPr>
        <w:t>以及</w:t>
      </w:r>
      <w:r w:rsidRPr="00AA4A12">
        <w:rPr>
          <w:rFonts w:eastAsia="黑体" w:hAnsi="黑体"/>
          <w:szCs w:val="21"/>
        </w:rPr>
        <w:t>委员会关于暂行特别措施的第</w:t>
      </w:r>
      <w:r w:rsidRPr="00AA4A12">
        <w:rPr>
          <w:rFonts w:eastAsia="黑体"/>
          <w:szCs w:val="21"/>
        </w:rPr>
        <w:t>25</w:t>
      </w:r>
      <w:r>
        <w:rPr>
          <w:rFonts w:eastAsia="黑体" w:hAnsi="黑体"/>
          <w:szCs w:val="21"/>
        </w:rPr>
        <w:t>(</w:t>
      </w:r>
      <w:r w:rsidRPr="00AA4A12">
        <w:rPr>
          <w:rFonts w:eastAsia="黑体"/>
          <w:szCs w:val="21"/>
        </w:rPr>
        <w:t>2004</w:t>
      </w:r>
      <w:r>
        <w:rPr>
          <w:rFonts w:eastAsia="黑体" w:hAnsi="黑体"/>
          <w:szCs w:val="21"/>
        </w:rPr>
        <w:t>)</w:t>
      </w:r>
      <w:r w:rsidRPr="00AA4A12">
        <w:rPr>
          <w:rFonts w:eastAsia="黑体" w:hAnsi="黑体"/>
          <w:szCs w:val="21"/>
        </w:rPr>
        <w:t>号一般性建议，在妇女代表不足或处于不利地位的所有领域采取暂行特别措施，</w:t>
      </w:r>
      <w:r w:rsidRPr="00AA4A12">
        <w:rPr>
          <w:rFonts w:eastAsia="黑体" w:hAnsi="黑体" w:hint="eastAsia"/>
          <w:szCs w:val="21"/>
        </w:rPr>
        <w:t>以便促进在</w:t>
      </w:r>
      <w:r w:rsidRPr="00AA4A12">
        <w:rPr>
          <w:rFonts w:eastAsia="黑体" w:hAnsi="黑体"/>
          <w:szCs w:val="21"/>
        </w:rPr>
        <w:t>《</w:t>
      </w:r>
      <w:r w:rsidRPr="00AA4A12">
        <w:rPr>
          <w:rFonts w:eastAsia="黑体" w:hAnsi="黑体" w:hint="eastAsia"/>
          <w:szCs w:val="21"/>
        </w:rPr>
        <w:t>公约</w:t>
      </w:r>
      <w:r w:rsidRPr="00AA4A12">
        <w:rPr>
          <w:rFonts w:eastAsia="黑体" w:hAnsi="黑体"/>
          <w:szCs w:val="21"/>
        </w:rPr>
        <w:t>》涵盖领域</w:t>
      </w:r>
      <w:r w:rsidRPr="00AA4A12">
        <w:rPr>
          <w:rFonts w:eastAsia="黑体" w:hAnsi="黑体" w:hint="eastAsia"/>
          <w:szCs w:val="21"/>
        </w:rPr>
        <w:t>实现</w:t>
      </w:r>
      <w:r w:rsidRPr="00AA4A12">
        <w:rPr>
          <w:rFonts w:eastAsia="黑体" w:hAnsi="黑体"/>
          <w:szCs w:val="21"/>
        </w:rPr>
        <w:t>实质性男女平等，特别是在妇女面临交叉形式</w:t>
      </w:r>
      <w:r w:rsidRPr="00AA4A12">
        <w:rPr>
          <w:rFonts w:eastAsia="黑体" w:hAnsi="黑体" w:hint="eastAsia"/>
          <w:szCs w:val="21"/>
        </w:rPr>
        <w:t>的</w:t>
      </w:r>
      <w:r w:rsidRPr="00AA4A12">
        <w:rPr>
          <w:rFonts w:eastAsia="黑体" w:hAnsi="黑体"/>
          <w:szCs w:val="21"/>
        </w:rPr>
        <w:t>歧视方面。</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陈规定型观念和歧视性做法</w:t>
      </w:r>
    </w:p>
    <w:p w:rsidR="00255040" w:rsidRPr="00AA4A12" w:rsidRDefault="00255040" w:rsidP="00255040">
      <w:pPr>
        <w:pStyle w:val="SingleTxt"/>
        <w:rPr>
          <w:szCs w:val="21"/>
        </w:rPr>
      </w:pPr>
      <w:r w:rsidRPr="00AA4A12">
        <w:rPr>
          <w:szCs w:val="21"/>
        </w:rPr>
        <w:t>18.</w:t>
      </w:r>
      <w:r w:rsidRPr="00AA4A12">
        <w:rPr>
          <w:szCs w:val="21"/>
        </w:rPr>
        <w:tab/>
      </w:r>
      <w:r w:rsidRPr="00AA4A12">
        <w:rPr>
          <w:rFonts w:hAnsi="宋体" w:hint="eastAsia"/>
          <w:szCs w:val="21"/>
        </w:rPr>
        <w:t>委员会欢迎缔约国按照《性别平等法》采取了各类教育措施，以消除歧视性</w:t>
      </w:r>
      <w:r>
        <w:rPr>
          <w:rFonts w:hAnsi="宋体" w:hint="eastAsia"/>
          <w:szCs w:val="21"/>
        </w:rPr>
        <w:t>性</w:t>
      </w:r>
      <w:r w:rsidRPr="00AA4A12">
        <w:rPr>
          <w:rFonts w:hAnsi="宋体" w:hint="eastAsia"/>
          <w:szCs w:val="21"/>
        </w:rPr>
        <w:t>别陈规定型观念并促使媒体更多地使用性别敏感语文。然而，委员会关切的是，社会对男女在社会和家庭中的角色、责任和预期行为仍然存有根深蒂固的重男轻女态度和陈规定型观念，从而削弱了妇女的社会地位、自主权、教育机会和职业发展，对执行《公约》造成了严重阻碍，构成了基于性别的暴力侵害妇女的主要原因。在这方面，委员会还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家庭和社会上普遍盛行重男轻女的观念，妇女在地位上从属于男子，这表现为长期存在相当数量的针对胎儿性别进行的选择性人工流产，并且妇女面临强大的社会压力，迫使其放弃遗产，使男性家庭成员受益；</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妇女往往被赋予传统家庭角色，在参与正规就业方面遭到劝阻，而父亲被认为是一家之主；</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缔约国并未充分采取措施，消除这种普遍存在的歧视性陈规定型观念。</w:t>
      </w:r>
    </w:p>
    <w:p w:rsidR="00255040" w:rsidRPr="00AA4A12" w:rsidRDefault="00255040" w:rsidP="00255040">
      <w:pPr>
        <w:pStyle w:val="SingleTxt"/>
        <w:rPr>
          <w:rFonts w:eastAsia="黑体"/>
          <w:szCs w:val="21"/>
        </w:rPr>
      </w:pPr>
      <w:r w:rsidRPr="00AA4A12">
        <w:rPr>
          <w:rFonts w:eastAsia="黑体"/>
          <w:szCs w:val="21"/>
        </w:rPr>
        <w:t>19.</w:t>
      </w:r>
      <w:r w:rsidRPr="00AA4A12">
        <w:rPr>
          <w:rFonts w:eastAsia="黑体"/>
          <w:szCs w:val="21"/>
        </w:rPr>
        <w:tab/>
      </w:r>
      <w:r w:rsidRPr="00AA4A12">
        <w:rPr>
          <w:rFonts w:eastAsia="黑体" w:hAnsi="黑体" w:hint="eastAsia"/>
          <w:szCs w:val="21"/>
        </w:rPr>
        <w:t>委员会建议缔约国主动采取长期措施，制定一项面向妇女和男子、女童和男童的全面战略并为其提供充足资源，这包括为法律和医学专业大学生设置必修课程，以消除造成对妇女歧视的重男轻女态度和陈规定型观念。这项战略应包括监督机制，以对所采取的措施的效果进行定期评估并制定补救行动措施。在这方面，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针对优选男童的性别选择对妇女人权造成的普遍负面影响问题，制定和执行面向普通公众及医生和护士等相关专业团体的认识提高措施；</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严格执行和禁止针对胎儿性别进行的选择性人工流产，提供服务，包括为被迫进行针对胎儿性别进行的选择性人工流产的妇女设立求助热线；</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继续让媒体认识到必须通过宣传妇女积极参与社会、经济和政治生活以及男子积极承担照顾家庭和抚养子女责任的正面形象来消除性别陈规定型观念；</w:t>
      </w:r>
    </w:p>
    <w:p w:rsidR="00255040"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充分监测媒体对性别敏感语文的使用情况，扩大在教材中引入性别敏感语文。</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童婚和</w:t>
      </w:r>
      <w:r>
        <w:rPr>
          <w:rFonts w:ascii="Times New Roman" w:hint="eastAsia"/>
          <w:szCs w:val="21"/>
        </w:rPr>
        <w:t>(</w:t>
      </w:r>
      <w:r w:rsidRPr="00EC7119">
        <w:rPr>
          <w:rFonts w:ascii="Times New Roman" w:hint="eastAsia"/>
          <w:szCs w:val="21"/>
        </w:rPr>
        <w:t>或</w:t>
      </w:r>
      <w:r>
        <w:rPr>
          <w:rFonts w:ascii="Times New Roman" w:hint="eastAsia"/>
          <w:szCs w:val="21"/>
        </w:rPr>
        <w:t>)</w:t>
      </w:r>
      <w:r w:rsidRPr="00EC7119">
        <w:rPr>
          <w:rFonts w:ascii="Times New Roman" w:hint="eastAsia"/>
          <w:szCs w:val="21"/>
        </w:rPr>
        <w:t>强迫婚姻</w:t>
      </w:r>
    </w:p>
    <w:p w:rsidR="00255040" w:rsidRPr="00AA4A12" w:rsidRDefault="00255040" w:rsidP="00255040">
      <w:pPr>
        <w:pStyle w:val="SingleTxt"/>
        <w:rPr>
          <w:szCs w:val="21"/>
        </w:rPr>
      </w:pPr>
      <w:r w:rsidRPr="00AA4A12">
        <w:rPr>
          <w:szCs w:val="21"/>
        </w:rPr>
        <w:t>20.</w:t>
      </w:r>
      <w:r w:rsidRPr="00AA4A12">
        <w:rPr>
          <w:szCs w:val="21"/>
        </w:rPr>
        <w:tab/>
      </w:r>
      <w:r w:rsidRPr="00AA4A12">
        <w:rPr>
          <w:rFonts w:hAnsi="宋体" w:hint="eastAsia"/>
          <w:szCs w:val="21"/>
        </w:rPr>
        <w:t>委员会感到关切的是，法定最低结婚年龄仅为</w:t>
      </w:r>
      <w:r w:rsidRPr="00AA4A12">
        <w:rPr>
          <w:szCs w:val="21"/>
        </w:rPr>
        <w:t>16</w:t>
      </w:r>
      <w:r w:rsidRPr="00AA4A12">
        <w:rPr>
          <w:rFonts w:hAnsi="宋体"/>
          <w:szCs w:val="21"/>
        </w:rPr>
        <w:t>岁，在罗姆人、阿什卡利人和埃及人社区内童婚和</w:t>
      </w:r>
      <w:r>
        <w:rPr>
          <w:rFonts w:hAnsi="宋体"/>
          <w:szCs w:val="21"/>
        </w:rPr>
        <w:t>(</w:t>
      </w:r>
      <w:r w:rsidRPr="00AA4A12">
        <w:rPr>
          <w:rFonts w:hAnsi="宋体"/>
          <w:szCs w:val="21"/>
        </w:rPr>
        <w:t>或</w:t>
      </w:r>
      <w:r>
        <w:rPr>
          <w:rFonts w:hAnsi="宋体"/>
          <w:szCs w:val="21"/>
        </w:rPr>
        <w:t>)</w:t>
      </w:r>
      <w:r w:rsidRPr="00AA4A12">
        <w:rPr>
          <w:rFonts w:hAnsi="宋体"/>
          <w:szCs w:val="21"/>
        </w:rPr>
        <w:t>强迫婚姻现象非常普遍，经常</w:t>
      </w:r>
      <w:r w:rsidRPr="00AA4A12">
        <w:rPr>
          <w:rFonts w:hAnsi="宋体" w:hint="eastAsia"/>
          <w:szCs w:val="21"/>
        </w:rPr>
        <w:t>导致</w:t>
      </w:r>
      <w:r w:rsidRPr="00AA4A12">
        <w:rPr>
          <w:rFonts w:hAnsi="宋体"/>
          <w:szCs w:val="21"/>
        </w:rPr>
        <w:t>早孕。</w:t>
      </w:r>
      <w:r w:rsidRPr="00AA4A12">
        <w:rPr>
          <w:rFonts w:hAnsi="宋体" w:hint="eastAsia"/>
          <w:szCs w:val="21"/>
        </w:rPr>
        <w:t>委员会关切地注意到，相当数量的童婚和</w:t>
      </w:r>
      <w:r>
        <w:rPr>
          <w:rFonts w:hAnsi="宋体" w:hint="eastAsia"/>
          <w:szCs w:val="21"/>
        </w:rPr>
        <w:t>(</w:t>
      </w:r>
      <w:r w:rsidRPr="00AA4A12">
        <w:rPr>
          <w:rFonts w:hAnsi="宋体" w:hint="eastAsia"/>
          <w:szCs w:val="21"/>
        </w:rPr>
        <w:t>或</w:t>
      </w:r>
      <w:r>
        <w:rPr>
          <w:rFonts w:hAnsi="宋体" w:hint="eastAsia"/>
          <w:szCs w:val="21"/>
        </w:rPr>
        <w:t>)</w:t>
      </w:r>
      <w:r w:rsidRPr="00AA4A12">
        <w:rPr>
          <w:rFonts w:hAnsi="宋体" w:hint="eastAsia"/>
          <w:szCs w:val="21"/>
        </w:rPr>
        <w:t>强迫婚姻受害者或被迫与成年男子同居并导致童婚和</w:t>
      </w:r>
      <w:r>
        <w:rPr>
          <w:rFonts w:hAnsi="宋体" w:hint="eastAsia"/>
          <w:szCs w:val="21"/>
        </w:rPr>
        <w:t>(</w:t>
      </w:r>
      <w:r w:rsidRPr="00AA4A12">
        <w:rPr>
          <w:rFonts w:hAnsi="宋体" w:hint="eastAsia"/>
          <w:szCs w:val="21"/>
        </w:rPr>
        <w:t>或</w:t>
      </w:r>
      <w:r>
        <w:rPr>
          <w:rFonts w:hAnsi="宋体" w:hint="eastAsia"/>
          <w:szCs w:val="21"/>
        </w:rPr>
        <w:t>)</w:t>
      </w:r>
      <w:r w:rsidRPr="00AA4A12">
        <w:rPr>
          <w:rFonts w:hAnsi="宋体" w:hint="eastAsia"/>
          <w:szCs w:val="21"/>
        </w:rPr>
        <w:t>强迫婚姻的女童，都是性剥削行为的受害者。委员会感到关切的是，</w:t>
      </w:r>
      <w:r w:rsidRPr="00346AFE">
        <w:rPr>
          <w:rFonts w:hAnsi="宋体" w:hint="eastAsia"/>
          <w:spacing w:val="6"/>
          <w:szCs w:val="21"/>
        </w:rPr>
        <w:t>缔约国为查明受害儿童和适当起诉并惩罚这类罪行的施害者做出的努力非常有限。</w:t>
      </w:r>
    </w:p>
    <w:p w:rsidR="00255040" w:rsidRPr="00AA4A12" w:rsidRDefault="00255040" w:rsidP="00255040">
      <w:pPr>
        <w:pStyle w:val="SingleTxt"/>
        <w:rPr>
          <w:rFonts w:eastAsia="黑体"/>
          <w:szCs w:val="21"/>
        </w:rPr>
      </w:pPr>
      <w:r w:rsidRPr="00AA4A12">
        <w:rPr>
          <w:rFonts w:eastAsia="黑体"/>
          <w:szCs w:val="21"/>
        </w:rPr>
        <w:t>21.</w:t>
      </w:r>
      <w:r w:rsidRPr="00AA4A12">
        <w:rPr>
          <w:rFonts w:eastAsia="黑体"/>
          <w:szCs w:val="21"/>
        </w:rPr>
        <w:tab/>
      </w:r>
      <w:r w:rsidRPr="00AA4A12">
        <w:rPr>
          <w:rFonts w:eastAsia="黑体" w:hAnsi="黑体" w:hint="eastAsia"/>
          <w:szCs w:val="21"/>
        </w:rPr>
        <w:t>委员会提请缔约国注意消除对妇女歧视委员会第</w:t>
      </w:r>
      <w:r w:rsidRPr="00AA4A12">
        <w:rPr>
          <w:rFonts w:eastAsia="黑体" w:hint="eastAsia"/>
          <w:szCs w:val="21"/>
        </w:rPr>
        <w:t>31</w:t>
      </w:r>
      <w:r w:rsidRPr="00AA4A12">
        <w:rPr>
          <w:rFonts w:eastAsia="黑体" w:hAnsi="黑体" w:hint="eastAsia"/>
          <w:szCs w:val="21"/>
        </w:rPr>
        <w:t>号以及儿童权利委员会有关有害做法的第</w:t>
      </w:r>
      <w:r w:rsidRPr="00AA4A12">
        <w:rPr>
          <w:rFonts w:eastAsia="黑体" w:hint="eastAsia"/>
          <w:szCs w:val="21"/>
        </w:rPr>
        <w:t>18</w:t>
      </w:r>
      <w:r w:rsidRPr="00AA4A12">
        <w:rPr>
          <w:rFonts w:eastAsia="黑体" w:hAnsi="黑体" w:hint="eastAsia"/>
          <w:szCs w:val="21"/>
        </w:rPr>
        <w:t>号联合一般性建议</w:t>
      </w:r>
      <w:r w:rsidRPr="00AA4A12">
        <w:rPr>
          <w:rFonts w:eastAsia="黑体" w:hint="eastAsia"/>
          <w:szCs w:val="21"/>
        </w:rPr>
        <w:t>/</w:t>
      </w:r>
      <w:r w:rsidRPr="00AA4A12">
        <w:rPr>
          <w:rFonts w:eastAsia="黑体" w:hAnsi="黑体" w:hint="eastAsia"/>
          <w:szCs w:val="21"/>
        </w:rPr>
        <w:t>意见</w:t>
      </w:r>
      <w:r>
        <w:rPr>
          <w:rFonts w:eastAsia="黑体" w:hAnsi="黑体" w:hint="eastAsia"/>
          <w:szCs w:val="21"/>
        </w:rPr>
        <w:t>(</w:t>
      </w:r>
      <w:r w:rsidRPr="00AA4A12">
        <w:rPr>
          <w:rFonts w:eastAsia="黑体" w:hint="eastAsia"/>
          <w:szCs w:val="21"/>
        </w:rPr>
        <w:t>2004</w:t>
      </w:r>
      <w:r>
        <w:rPr>
          <w:rFonts w:eastAsia="黑体" w:hint="eastAsia"/>
          <w:szCs w:val="21"/>
        </w:rPr>
        <w:t>年</w:t>
      </w:r>
      <w:r>
        <w:rPr>
          <w:rFonts w:eastAsia="黑体" w:hAnsi="黑体" w:hint="eastAsia"/>
          <w:szCs w:val="21"/>
        </w:rPr>
        <w:t>)</w:t>
      </w:r>
      <w:r w:rsidRPr="00AA4A12">
        <w:rPr>
          <w:rFonts w:eastAsia="黑体" w:hAnsi="黑体"/>
          <w:szCs w:val="21"/>
        </w:rPr>
        <w:t>，并建议缔约国：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加强努力提高对童婚和</w:t>
      </w:r>
      <w:r>
        <w:rPr>
          <w:rFonts w:eastAsia="黑体" w:hAnsi="黑体" w:hint="eastAsia"/>
          <w:szCs w:val="21"/>
        </w:rPr>
        <w:t>(</w:t>
      </w:r>
      <w:r w:rsidRPr="00AA4A12">
        <w:rPr>
          <w:rFonts w:eastAsia="黑体" w:hAnsi="黑体" w:hint="eastAsia"/>
          <w:szCs w:val="21"/>
        </w:rPr>
        <w:t>或</w:t>
      </w:r>
      <w:r>
        <w:rPr>
          <w:rFonts w:eastAsia="黑体" w:hAnsi="黑体" w:hint="eastAsia"/>
          <w:szCs w:val="21"/>
        </w:rPr>
        <w:t>)</w:t>
      </w:r>
      <w:r w:rsidRPr="00AA4A12">
        <w:rPr>
          <w:rFonts w:eastAsia="黑体" w:hAnsi="黑体" w:hint="eastAsia"/>
          <w:szCs w:val="21"/>
        </w:rPr>
        <w:t>强迫婚姻对女童健康、发展和教育的有害影响的认识；</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查明、营救和保护沦为被迫同居或童婚和</w:t>
      </w:r>
      <w:r>
        <w:rPr>
          <w:rFonts w:eastAsia="黑体" w:hAnsi="黑体" w:hint="eastAsia"/>
          <w:szCs w:val="21"/>
        </w:rPr>
        <w:t>(</w:t>
      </w:r>
      <w:r w:rsidRPr="00AA4A12">
        <w:rPr>
          <w:rFonts w:eastAsia="黑体" w:hAnsi="黑体" w:hint="eastAsia"/>
          <w:szCs w:val="21"/>
        </w:rPr>
        <w:t>或</w:t>
      </w:r>
      <w:r>
        <w:rPr>
          <w:rFonts w:eastAsia="黑体" w:hAnsi="黑体" w:hint="eastAsia"/>
          <w:szCs w:val="21"/>
        </w:rPr>
        <w:t>)</w:t>
      </w:r>
      <w:r w:rsidRPr="00AA4A12">
        <w:rPr>
          <w:rFonts w:eastAsia="黑体" w:hAnsi="黑体" w:hint="eastAsia"/>
          <w:szCs w:val="21"/>
        </w:rPr>
        <w:t>强迫婚姻的受害者以及那些在婚后遭受性剥削的人；</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严格执行禁止强迫同居或童婚和</w:t>
      </w:r>
      <w:r>
        <w:rPr>
          <w:rFonts w:eastAsia="黑体" w:hAnsi="黑体" w:hint="eastAsia"/>
          <w:szCs w:val="21"/>
        </w:rPr>
        <w:t>(</w:t>
      </w:r>
      <w:r w:rsidRPr="00AA4A12">
        <w:rPr>
          <w:rFonts w:eastAsia="黑体" w:hAnsi="黑体" w:hint="eastAsia"/>
          <w:szCs w:val="21"/>
        </w:rPr>
        <w:t>或</w:t>
      </w:r>
      <w:r>
        <w:rPr>
          <w:rFonts w:eastAsia="黑体" w:hAnsi="黑体" w:hint="eastAsia"/>
          <w:szCs w:val="21"/>
        </w:rPr>
        <w:t>)</w:t>
      </w:r>
      <w:r w:rsidRPr="00AA4A12">
        <w:rPr>
          <w:rFonts w:eastAsia="黑体" w:hAnsi="黑体" w:hint="eastAsia"/>
          <w:szCs w:val="21"/>
        </w:rPr>
        <w:t>强迫婚姻的措施，特别是在受害者遭到进一步性剥削的情况下，并适当起诉和惩罚此类行为的施害者；</w:t>
      </w:r>
    </w:p>
    <w:p w:rsidR="00255040"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将最低结婚年龄提高到</w:t>
      </w:r>
      <w:r w:rsidRPr="00AA4A12">
        <w:rPr>
          <w:rFonts w:eastAsia="黑体"/>
          <w:szCs w:val="21"/>
        </w:rPr>
        <w:t>18</w:t>
      </w:r>
      <w:r w:rsidRPr="00AA4A12">
        <w:rPr>
          <w:rFonts w:eastAsia="黑体" w:hAnsi="黑体"/>
          <w:szCs w:val="21"/>
        </w:rPr>
        <w:t>岁。</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基于性别的暴力侵害妇女行为</w:t>
      </w:r>
    </w:p>
    <w:p w:rsidR="00255040" w:rsidRPr="00AA4A12" w:rsidRDefault="00255040" w:rsidP="00255040">
      <w:pPr>
        <w:pStyle w:val="SingleTxt"/>
        <w:rPr>
          <w:szCs w:val="21"/>
        </w:rPr>
      </w:pPr>
      <w:r w:rsidRPr="00AA4A12">
        <w:rPr>
          <w:szCs w:val="21"/>
        </w:rPr>
        <w:t>22.</w:t>
      </w:r>
      <w:r w:rsidRPr="00AA4A12">
        <w:rPr>
          <w:szCs w:val="21"/>
        </w:rPr>
        <w:tab/>
      </w:r>
      <w:r w:rsidRPr="00AA4A12">
        <w:rPr>
          <w:rFonts w:hAnsi="宋体" w:hint="eastAsia"/>
          <w:szCs w:val="21"/>
        </w:rPr>
        <w:t>委员会赞赏地注意到，缔约国为防止和打击基于性别的暴力侵害妇女行为采取了许多立法、政策、认识提高和教育措施，例如</w:t>
      </w:r>
      <w:r w:rsidRPr="00AA4A12">
        <w:rPr>
          <w:rFonts w:hAnsi="宋体"/>
          <w:szCs w:val="21"/>
        </w:rPr>
        <w:t>《</w:t>
      </w:r>
      <w:r w:rsidRPr="00AA4A12">
        <w:rPr>
          <w:rFonts w:hAnsi="宋体" w:hint="eastAsia"/>
          <w:szCs w:val="21"/>
        </w:rPr>
        <w:t>防止家庭暴力法</w:t>
      </w:r>
      <w:r w:rsidRPr="00AA4A12">
        <w:rPr>
          <w:rFonts w:hAnsi="宋体"/>
          <w:szCs w:val="21"/>
        </w:rPr>
        <w:t>》</w:t>
      </w:r>
      <w:r w:rsidRPr="00AA4A12">
        <w:rPr>
          <w:rFonts w:hint="eastAsia"/>
          <w:szCs w:val="21"/>
        </w:rPr>
        <w:t>2014</w:t>
      </w:r>
      <w:r w:rsidRPr="00AA4A12">
        <w:rPr>
          <w:rFonts w:hAnsi="宋体" w:hint="eastAsia"/>
          <w:szCs w:val="21"/>
        </w:rPr>
        <w:t>年</w:t>
      </w:r>
      <w:r w:rsidRPr="00AA4A12">
        <w:rPr>
          <w:rFonts w:hAnsi="宋体"/>
          <w:szCs w:val="21"/>
        </w:rPr>
        <w:t>修正案，</w:t>
      </w:r>
      <w:r w:rsidRPr="00AA4A12">
        <w:rPr>
          <w:rFonts w:hAnsi="宋体" w:hint="eastAsia"/>
          <w:szCs w:val="21"/>
        </w:rPr>
        <w:t>《</w:t>
      </w:r>
      <w:r w:rsidRPr="00AA4A12">
        <w:rPr>
          <w:rFonts w:hint="eastAsia"/>
          <w:szCs w:val="21"/>
        </w:rPr>
        <w:t>2016-2020</w:t>
      </w:r>
      <w:r w:rsidRPr="00AA4A12">
        <w:rPr>
          <w:rFonts w:hAnsi="宋体" w:hint="eastAsia"/>
          <w:szCs w:val="21"/>
        </w:rPr>
        <w:t>年防止家庭暴力战略》</w:t>
      </w:r>
      <w:r w:rsidRPr="00AA4A12">
        <w:rPr>
          <w:rFonts w:hAnsi="宋体"/>
          <w:szCs w:val="21"/>
        </w:rPr>
        <w:t>，以及</w:t>
      </w:r>
      <w:r w:rsidRPr="00AA4A12">
        <w:rPr>
          <w:rFonts w:hAnsi="宋体" w:hint="eastAsia"/>
          <w:szCs w:val="21"/>
        </w:rPr>
        <w:t>在缔约国的</w:t>
      </w:r>
      <w:r w:rsidRPr="00AA4A12">
        <w:rPr>
          <w:rFonts w:hAnsi="宋体"/>
          <w:szCs w:val="21"/>
        </w:rPr>
        <w:t>所有初审法院</w:t>
      </w:r>
      <w:r w:rsidRPr="00AA4A12">
        <w:rPr>
          <w:rFonts w:hAnsi="宋体" w:hint="eastAsia"/>
          <w:szCs w:val="21"/>
        </w:rPr>
        <w:t>设立下属的</w:t>
      </w:r>
      <w:r w:rsidRPr="00AA4A12">
        <w:rPr>
          <w:rFonts w:hAnsi="宋体"/>
          <w:szCs w:val="21"/>
        </w:rPr>
        <w:t>免费法律援助办公室。</w:t>
      </w:r>
      <w:r w:rsidRPr="00AA4A12">
        <w:rPr>
          <w:rFonts w:hAnsi="宋体" w:hint="eastAsia"/>
          <w:szCs w:val="21"/>
        </w:rPr>
        <w:t>然而，委员会关切地注意到以下方面：</w:t>
      </w:r>
    </w:p>
    <w:p w:rsidR="00255040" w:rsidRPr="00AA4A12" w:rsidRDefault="00255040" w:rsidP="00255040">
      <w:pPr>
        <w:pStyle w:val="SingleTxt"/>
        <w:rPr>
          <w:szCs w:val="21"/>
        </w:rPr>
      </w:pPr>
      <w:r w:rsidRPr="00AA4A12">
        <w:rPr>
          <w:szCs w:val="21"/>
        </w:rPr>
        <w:tab/>
        <w:t>(a)</w:t>
      </w:r>
      <w:r w:rsidRPr="00AA4A12">
        <w:rPr>
          <w:szCs w:val="21"/>
        </w:rPr>
        <w:tab/>
      </w:r>
      <w:r w:rsidRPr="00AA4A12">
        <w:rPr>
          <w:rFonts w:hint="eastAsia"/>
          <w:szCs w:val="21"/>
        </w:rPr>
        <w:t>缔约国仍然普遍存在基于性别的暴力</w:t>
      </w:r>
      <w:r w:rsidRPr="00AA4A12">
        <w:rPr>
          <w:rFonts w:hAnsi="宋体" w:hint="eastAsia"/>
          <w:szCs w:val="21"/>
        </w:rPr>
        <w:t>侵害妇女的行为，包括基于性别的杀害，并且此类行为仍被社会接受，特别是在罗姆人、阿什卡利人和埃及人社区；</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法官、检察官和警察以及其他执法官员仍然对受害者表现出歧视态度和</w:t>
      </w:r>
      <w:r>
        <w:rPr>
          <w:rFonts w:hAnsi="宋体" w:hint="eastAsia"/>
          <w:szCs w:val="21"/>
        </w:rPr>
        <w:t>(</w:t>
      </w:r>
      <w:r w:rsidRPr="00AA4A12">
        <w:rPr>
          <w:rFonts w:hAnsi="宋体" w:hint="eastAsia"/>
          <w:szCs w:val="21"/>
        </w:rPr>
        <w:t>或</w:t>
      </w:r>
      <w:r>
        <w:rPr>
          <w:rFonts w:hAnsi="宋体" w:hint="eastAsia"/>
          <w:szCs w:val="21"/>
        </w:rPr>
        <w:t>)</w:t>
      </w:r>
      <w:r w:rsidRPr="00AA4A12">
        <w:rPr>
          <w:rFonts w:hAnsi="宋体" w:hint="eastAsia"/>
          <w:szCs w:val="21"/>
        </w:rPr>
        <w:t>消极态度，为维持家庭完整，他们通常优先考虑和解，而不是起诉，并将家庭暴力看作私人问题；</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防止和惩罚基于性别的暴力侵害妇女行为的法律框架得不到落实，原因在于跨部门合作不力，人力、技术和财政资源不足，法律行业从业人员的性别敏感水平偏低，即使在反复报告暴力行为后发布的保护令数量仍然很少，以及在家庭暴力案件中越来越多地诉诸指责夫妇双方的做法；</w:t>
      </w:r>
    </w:p>
    <w:p w:rsidR="00255040" w:rsidRPr="00AA4A12" w:rsidRDefault="00255040" w:rsidP="00255040">
      <w:pPr>
        <w:pStyle w:val="SingleTxt"/>
        <w:rPr>
          <w:szCs w:val="21"/>
        </w:rPr>
      </w:pPr>
      <w:r w:rsidRPr="00AA4A12">
        <w:rPr>
          <w:szCs w:val="21"/>
        </w:rPr>
        <w:tab/>
        <w:t>(d)</w:t>
      </w:r>
      <w:r w:rsidRPr="00AA4A12">
        <w:rPr>
          <w:szCs w:val="21"/>
        </w:rPr>
        <w:tab/>
      </w:r>
      <w:r w:rsidRPr="00AA4A12">
        <w:rPr>
          <w:rFonts w:hAnsi="宋体" w:hint="eastAsia"/>
          <w:szCs w:val="21"/>
        </w:rPr>
        <w:t>尽管司法委员会近期作出了从重判决的决定，但仍然对犯下基于性别的暴力侵害妇女行为的施害者从轻处罚；</w:t>
      </w:r>
    </w:p>
    <w:p w:rsidR="00255040" w:rsidRPr="00AA4A12" w:rsidRDefault="00255040" w:rsidP="00255040">
      <w:pPr>
        <w:pStyle w:val="SingleTxt"/>
        <w:rPr>
          <w:szCs w:val="21"/>
        </w:rPr>
      </w:pPr>
      <w:r w:rsidRPr="00AA4A12">
        <w:rPr>
          <w:szCs w:val="21"/>
        </w:rPr>
        <w:tab/>
        <w:t>(e)</w:t>
      </w:r>
      <w:r w:rsidRPr="00AA4A12">
        <w:rPr>
          <w:szCs w:val="21"/>
        </w:rPr>
        <w:tab/>
      </w:r>
      <w:r w:rsidRPr="00AA4A12">
        <w:rPr>
          <w:rFonts w:hAnsi="宋体" w:hint="eastAsia"/>
          <w:szCs w:val="21"/>
        </w:rPr>
        <w:t>由于污名化及社会对家庭暴力行为的接受，受害者对如何获取可利用的保护和服务缺乏了解，以及庇护所数量有限，受害者不愿报告基于性别的暴力侵害妇女的行为；</w:t>
      </w:r>
    </w:p>
    <w:p w:rsidR="00255040" w:rsidRPr="00AA4A12" w:rsidRDefault="00255040" w:rsidP="00255040">
      <w:pPr>
        <w:pStyle w:val="SingleTxt"/>
        <w:rPr>
          <w:szCs w:val="21"/>
        </w:rPr>
      </w:pPr>
      <w:r w:rsidRPr="00AA4A12">
        <w:rPr>
          <w:szCs w:val="21"/>
        </w:rPr>
        <w:tab/>
        <w:t>(f)</w:t>
      </w:r>
      <w:r w:rsidRPr="00AA4A12">
        <w:rPr>
          <w:szCs w:val="21"/>
        </w:rPr>
        <w:tab/>
      </w:r>
      <w:r w:rsidRPr="00AA4A12">
        <w:rPr>
          <w:rFonts w:hAnsi="宋体" w:hint="eastAsia"/>
          <w:szCs w:val="21"/>
        </w:rPr>
        <w:t>《刑法典》未专门将婚内强奸定为犯罪行为；</w:t>
      </w:r>
    </w:p>
    <w:p w:rsidR="00255040" w:rsidRPr="00AA4A12" w:rsidRDefault="00255040" w:rsidP="00255040">
      <w:pPr>
        <w:pStyle w:val="SingleTxt"/>
        <w:rPr>
          <w:szCs w:val="21"/>
        </w:rPr>
      </w:pPr>
      <w:r w:rsidRPr="00AA4A12">
        <w:rPr>
          <w:szCs w:val="21"/>
        </w:rPr>
        <w:tab/>
        <w:t>(g)</w:t>
      </w:r>
      <w:r w:rsidRPr="00AA4A12">
        <w:rPr>
          <w:szCs w:val="21"/>
        </w:rPr>
        <w:tab/>
      </w:r>
      <w:r w:rsidRPr="00AA4A12">
        <w:rPr>
          <w:rFonts w:hAnsi="宋体" w:hint="eastAsia"/>
          <w:szCs w:val="21"/>
        </w:rPr>
        <w:t>缔约国《刑法典》对强奸的定义不以缺乏当事人同意为依据；</w:t>
      </w:r>
    </w:p>
    <w:p w:rsidR="00255040" w:rsidRPr="00AA4A12" w:rsidRDefault="00255040" w:rsidP="00255040">
      <w:pPr>
        <w:pStyle w:val="SingleTxt"/>
        <w:rPr>
          <w:szCs w:val="21"/>
        </w:rPr>
      </w:pPr>
      <w:r w:rsidRPr="00AA4A12">
        <w:rPr>
          <w:szCs w:val="21"/>
        </w:rPr>
        <w:tab/>
        <w:t>(h)</w:t>
      </w:r>
      <w:r w:rsidRPr="00AA4A12">
        <w:rPr>
          <w:szCs w:val="21"/>
        </w:rPr>
        <w:tab/>
      </w:r>
      <w:r w:rsidRPr="00AA4A12">
        <w:rPr>
          <w:rFonts w:hAnsi="宋体" w:hint="eastAsia"/>
          <w:szCs w:val="21"/>
        </w:rPr>
        <w:t>《暴力犯罪受害者赔偿法》只有在缔约国加入欧洲联盟后才能适用；</w:t>
      </w:r>
    </w:p>
    <w:p w:rsidR="00255040" w:rsidRPr="00AA4A12" w:rsidRDefault="00255040" w:rsidP="00255040">
      <w:pPr>
        <w:pStyle w:val="SingleTxt"/>
        <w:rPr>
          <w:szCs w:val="21"/>
        </w:rPr>
      </w:pPr>
      <w:r w:rsidRPr="00AA4A12">
        <w:rPr>
          <w:szCs w:val="21"/>
        </w:rPr>
        <w:tab/>
        <w:t>(i)</w:t>
      </w:r>
      <w:r w:rsidRPr="00AA4A12">
        <w:rPr>
          <w:szCs w:val="21"/>
        </w:rPr>
        <w:tab/>
      </w:r>
      <w:r w:rsidRPr="00AA4A12">
        <w:rPr>
          <w:rFonts w:hAnsi="宋体" w:hint="eastAsia"/>
          <w:szCs w:val="21"/>
        </w:rPr>
        <w:t>缺乏关于基于性别的暴力侵害妇女行为的精确数据，特别是因为各个机构按照不同的方法收集和处理数据。</w:t>
      </w:r>
    </w:p>
    <w:p w:rsidR="00255040" w:rsidRPr="00AA4A12" w:rsidRDefault="00255040" w:rsidP="00255040">
      <w:pPr>
        <w:pStyle w:val="SingleTxt"/>
        <w:rPr>
          <w:rFonts w:eastAsia="黑体"/>
          <w:szCs w:val="21"/>
        </w:rPr>
      </w:pPr>
      <w:r w:rsidRPr="00AA4A12">
        <w:rPr>
          <w:rFonts w:eastAsia="黑体"/>
          <w:szCs w:val="21"/>
        </w:rPr>
        <w:t>23.</w:t>
      </w:r>
      <w:r w:rsidRPr="00AA4A12">
        <w:rPr>
          <w:rFonts w:eastAsia="黑体"/>
          <w:szCs w:val="21"/>
        </w:rPr>
        <w:tab/>
      </w:r>
      <w:r w:rsidRPr="00AA4A12">
        <w:rPr>
          <w:rFonts w:eastAsia="黑体" w:hAnsi="黑体" w:hint="eastAsia"/>
          <w:szCs w:val="21"/>
        </w:rPr>
        <w:t>委员会依照其关于暴力侵害妇女行为的第</w:t>
      </w:r>
      <w:r w:rsidRPr="00AA4A12">
        <w:rPr>
          <w:rFonts w:eastAsia="黑体"/>
          <w:szCs w:val="21"/>
        </w:rPr>
        <w:t>19</w:t>
      </w:r>
      <w:r>
        <w:rPr>
          <w:rFonts w:eastAsia="黑体" w:hAnsi="黑体"/>
          <w:szCs w:val="21"/>
        </w:rPr>
        <w:t>(</w:t>
      </w:r>
      <w:r w:rsidRPr="00AA4A12">
        <w:rPr>
          <w:rFonts w:eastAsia="黑体"/>
          <w:szCs w:val="21"/>
        </w:rPr>
        <w:t>1992</w:t>
      </w:r>
      <w:r>
        <w:rPr>
          <w:rFonts w:eastAsia="黑体" w:hAnsi="黑体"/>
          <w:szCs w:val="21"/>
        </w:rPr>
        <w:t>)</w:t>
      </w:r>
      <w:r w:rsidRPr="00AA4A12">
        <w:rPr>
          <w:rFonts w:eastAsia="黑体" w:hAnsi="黑体"/>
          <w:szCs w:val="21"/>
        </w:rPr>
        <w:t>号一般性建议</w:t>
      </w:r>
      <w:r w:rsidRPr="00AA4A12">
        <w:rPr>
          <w:rFonts w:eastAsia="黑体" w:hAnsi="黑体" w:hint="eastAsia"/>
          <w:szCs w:val="21"/>
        </w:rPr>
        <w:t>，</w:t>
      </w:r>
      <w:r w:rsidRPr="00AA4A12">
        <w:rPr>
          <w:rFonts w:eastAsia="黑体" w:hAnsi="黑体"/>
          <w:szCs w:val="21"/>
        </w:rPr>
        <w:t>关于</w:t>
      </w:r>
      <w:r w:rsidRPr="00AA4A12">
        <w:rPr>
          <w:rFonts w:eastAsia="黑体" w:hAnsi="黑体" w:hint="eastAsia"/>
          <w:szCs w:val="21"/>
        </w:rPr>
        <w:t>基于性别的暴力侵害妇女行为</w:t>
      </w:r>
      <w:r w:rsidRPr="00AA4A12">
        <w:rPr>
          <w:rFonts w:eastAsia="黑体" w:hAnsi="黑体"/>
          <w:szCs w:val="21"/>
        </w:rPr>
        <w:t>的第</w:t>
      </w:r>
      <w:r w:rsidRPr="00AA4A12">
        <w:rPr>
          <w:rFonts w:eastAsia="黑体"/>
          <w:szCs w:val="21"/>
        </w:rPr>
        <w:t>35</w:t>
      </w:r>
      <w:r>
        <w:rPr>
          <w:rFonts w:eastAsia="黑体" w:hAnsi="黑体"/>
          <w:szCs w:val="21"/>
        </w:rPr>
        <w:t>(</w:t>
      </w:r>
      <w:r w:rsidRPr="00AA4A12">
        <w:rPr>
          <w:rFonts w:eastAsia="黑体"/>
          <w:szCs w:val="21"/>
        </w:rPr>
        <w:t>2017</w:t>
      </w:r>
      <w:r>
        <w:rPr>
          <w:rFonts w:eastAsia="黑体" w:hAnsi="黑体"/>
          <w:szCs w:val="21"/>
        </w:rPr>
        <w:t>)</w:t>
      </w:r>
      <w:r w:rsidRPr="00AA4A12">
        <w:rPr>
          <w:rFonts w:eastAsia="黑体" w:hAnsi="黑体"/>
          <w:szCs w:val="21"/>
        </w:rPr>
        <w:t>号一般性建议</w:t>
      </w:r>
      <w:r w:rsidRPr="00AA4A12">
        <w:rPr>
          <w:rFonts w:eastAsia="黑体" w:hAnsi="黑体" w:hint="eastAsia"/>
          <w:szCs w:val="21"/>
        </w:rPr>
        <w:t>，更新第</w:t>
      </w:r>
      <w:r w:rsidRPr="00AA4A12">
        <w:rPr>
          <w:rFonts w:eastAsia="黑体" w:hint="eastAsia"/>
          <w:szCs w:val="21"/>
        </w:rPr>
        <w:t>19</w:t>
      </w:r>
      <w:r w:rsidRPr="00AA4A12">
        <w:rPr>
          <w:rFonts w:eastAsia="黑体" w:hAnsi="黑体" w:hint="eastAsia"/>
          <w:szCs w:val="21"/>
        </w:rPr>
        <w:t>号一般性建议，</w:t>
      </w:r>
      <w:r w:rsidRPr="00AA4A12">
        <w:rPr>
          <w:rFonts w:eastAsia="黑体" w:hAnsi="黑体"/>
          <w:szCs w:val="21"/>
        </w:rPr>
        <w:t>以及关于</w:t>
      </w:r>
      <w:r w:rsidRPr="00AA4A12">
        <w:rPr>
          <w:rFonts w:eastAsia="黑体" w:hAnsi="黑体" w:hint="eastAsia"/>
          <w:szCs w:val="21"/>
        </w:rPr>
        <w:t>消除公共和私营部门针对妇女和女童一切形式的暴力行为</w:t>
      </w:r>
      <w:r w:rsidRPr="00AA4A12">
        <w:rPr>
          <w:rFonts w:eastAsia="黑体" w:hAnsi="黑体"/>
          <w:szCs w:val="21"/>
        </w:rPr>
        <w:t>的可持续发展目标具体目标</w:t>
      </w:r>
      <w:r w:rsidRPr="00AA4A12">
        <w:rPr>
          <w:rFonts w:eastAsia="黑体"/>
          <w:szCs w:val="21"/>
        </w:rPr>
        <w:t>5.2</w:t>
      </w:r>
      <w:r w:rsidRPr="00AA4A12">
        <w:rPr>
          <w:rFonts w:eastAsia="黑体" w:hAnsi="黑体"/>
          <w:szCs w:val="21"/>
        </w:rPr>
        <w:t>，建议缔约国：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消除基于性别的暴力侵害妇女行为的根本原因，制定具体措施，让妇女和男子，包括来自罗姆人、阿什卡利人和埃及人社区的妇女和男子认识到基于性别的暴力侵害妇女行为的犯罪性质；</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划拨足够的人力、技术和财政资源，以消除执法机构对基于性别的暴力</w:t>
      </w:r>
      <w:r w:rsidRPr="00346AFE">
        <w:rPr>
          <w:rFonts w:eastAsia="黑体" w:hAnsi="黑体" w:hint="eastAsia"/>
          <w:spacing w:val="6"/>
          <w:szCs w:val="21"/>
        </w:rPr>
        <w:t>侵害妇女行为持有的成见和容忍态度，建立匿名举报此类行为的机制并惩罚施害者；</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采取必要的认识提高措施，抵制优先维持家庭完整而非保护妇女权利的任何处理方式，确保不再优先考虑和解而是起诉施害者，并向遭受一切形式的基于性别的暴力侵害行为的受害者提供补救和赔偿，包括补偿和复原；</w:t>
      </w:r>
    </w:p>
    <w:p w:rsidR="00255040" w:rsidRPr="00AA4A12"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继续努力使国内立法与《欧洲委员会预防和打击暴力侵害妇女行为及家庭暴力公约》相一致，确保惩罚基于性别的暴力侵害妇女行为的刑法条款得到严格执行，包括向法官、检察官和警察及其他执法官员提供有关严格适用这些条款的能力建设；</w:t>
      </w:r>
    </w:p>
    <w:p w:rsidR="00255040" w:rsidRPr="00AA4A12" w:rsidRDefault="00255040" w:rsidP="00255040">
      <w:pPr>
        <w:pStyle w:val="SingleTxt"/>
        <w:rPr>
          <w:rFonts w:eastAsia="黑体"/>
          <w:szCs w:val="21"/>
        </w:rPr>
      </w:pPr>
      <w:r w:rsidRPr="00AA4A12">
        <w:rPr>
          <w:rFonts w:eastAsia="黑体"/>
          <w:szCs w:val="21"/>
        </w:rPr>
        <w:tab/>
        <w:t>(e)</w:t>
      </w:r>
      <w:r>
        <w:rPr>
          <w:rFonts w:eastAsia="黑体" w:hint="eastAsia"/>
          <w:szCs w:val="21"/>
        </w:rPr>
        <w:tab/>
      </w:r>
      <w:r w:rsidRPr="00AA4A12">
        <w:rPr>
          <w:rFonts w:eastAsia="黑体" w:hAnsi="黑体" w:hint="eastAsia"/>
          <w:szCs w:val="21"/>
        </w:rPr>
        <w:t>实施向遭受虐待的伴侣发放保护令的举措，确保保护令得到执行，并对未履行发放保护令义务的行为施加惩罚；</w:t>
      </w:r>
    </w:p>
    <w:p w:rsidR="00255040" w:rsidRPr="00AA4A12" w:rsidRDefault="00255040" w:rsidP="00255040">
      <w:pPr>
        <w:pStyle w:val="SingleTxt"/>
        <w:rPr>
          <w:rFonts w:eastAsia="黑体"/>
          <w:szCs w:val="21"/>
        </w:rPr>
      </w:pPr>
      <w:r w:rsidRPr="00AA4A12">
        <w:rPr>
          <w:rFonts w:eastAsia="黑体"/>
          <w:szCs w:val="21"/>
        </w:rPr>
        <w:tab/>
        <w:t>(f)</w:t>
      </w:r>
      <w:r w:rsidRPr="00AA4A12">
        <w:rPr>
          <w:rFonts w:eastAsia="黑体"/>
          <w:szCs w:val="21"/>
        </w:rPr>
        <w:tab/>
      </w:r>
      <w:r w:rsidRPr="00AA4A12">
        <w:rPr>
          <w:rFonts w:eastAsia="黑体" w:hAnsi="黑体" w:hint="eastAsia"/>
          <w:szCs w:val="21"/>
        </w:rPr>
        <w:t>确保实施基于性别的暴力侵犯妇女行为的施害者受到起诉，并受到与其罪行情节相称的判决处罚，废除对受害者加以任何指责的做法；</w:t>
      </w:r>
    </w:p>
    <w:p w:rsidR="00255040" w:rsidRPr="00AA4A12" w:rsidRDefault="00255040" w:rsidP="00255040">
      <w:pPr>
        <w:pStyle w:val="SingleTxt"/>
        <w:rPr>
          <w:rFonts w:eastAsia="黑体"/>
          <w:szCs w:val="21"/>
        </w:rPr>
      </w:pPr>
      <w:r w:rsidRPr="00AA4A12">
        <w:rPr>
          <w:rFonts w:eastAsia="黑体"/>
          <w:szCs w:val="21"/>
        </w:rPr>
        <w:tab/>
        <w:t>(g)</w:t>
      </w:r>
      <w:r w:rsidRPr="00AA4A12">
        <w:rPr>
          <w:rFonts w:eastAsia="黑体"/>
          <w:szCs w:val="21"/>
        </w:rPr>
        <w:tab/>
      </w:r>
      <w:r w:rsidRPr="00AA4A12">
        <w:rPr>
          <w:rFonts w:eastAsia="黑体" w:hAnsi="黑体" w:hint="eastAsia"/>
          <w:szCs w:val="21"/>
        </w:rPr>
        <w:t>鼓励举报对妇女和女童实施家庭暴力的行为，包括通过媒体和公共教育活动发起认识提高运动以及通过增加受过良好培训和对性别问题敏感的法官和执法官员的数量，并确保举报得到有效调查并为受害者提供适当援助和保护；</w:t>
      </w:r>
    </w:p>
    <w:p w:rsidR="00255040" w:rsidRPr="00AA4A12" w:rsidRDefault="00255040" w:rsidP="00255040">
      <w:pPr>
        <w:pStyle w:val="SingleTxt"/>
        <w:rPr>
          <w:rFonts w:eastAsia="黑体"/>
          <w:szCs w:val="21"/>
        </w:rPr>
      </w:pPr>
      <w:r w:rsidRPr="00AA4A12">
        <w:rPr>
          <w:rFonts w:eastAsia="黑体"/>
          <w:szCs w:val="21"/>
        </w:rPr>
        <w:tab/>
        <w:t>(h)</w:t>
      </w:r>
      <w:r w:rsidRPr="00AA4A12">
        <w:rPr>
          <w:rFonts w:eastAsia="黑体"/>
          <w:szCs w:val="21"/>
        </w:rPr>
        <w:tab/>
      </w:r>
      <w:r w:rsidRPr="00AA4A12">
        <w:rPr>
          <w:rFonts w:eastAsia="黑体" w:hAnsi="黑体" w:hint="eastAsia"/>
          <w:szCs w:val="21"/>
        </w:rPr>
        <w:t>确保在缔约国各地区提供足够数量的适当庇护所，暴力行为受害者获得重返社会的咨询、复原和支助服务；</w:t>
      </w:r>
    </w:p>
    <w:p w:rsidR="00255040" w:rsidRPr="00AA4A12" w:rsidRDefault="00255040" w:rsidP="00255040">
      <w:pPr>
        <w:pStyle w:val="SingleTxt"/>
        <w:rPr>
          <w:rFonts w:eastAsia="黑体"/>
          <w:szCs w:val="21"/>
        </w:rPr>
      </w:pPr>
      <w:r w:rsidRPr="00AA4A12">
        <w:rPr>
          <w:rFonts w:eastAsia="黑体"/>
          <w:szCs w:val="21"/>
        </w:rPr>
        <w:tab/>
        <w:t>(i)</w:t>
      </w:r>
      <w:r w:rsidRPr="00AA4A12">
        <w:rPr>
          <w:rFonts w:eastAsia="黑体"/>
          <w:szCs w:val="21"/>
        </w:rPr>
        <w:tab/>
      </w:r>
      <w:r w:rsidRPr="00AA4A12">
        <w:rPr>
          <w:rFonts w:eastAsia="黑体" w:hAnsi="黑体" w:hint="eastAsia"/>
          <w:szCs w:val="21"/>
        </w:rPr>
        <w:t>修订相关法律，特别是将婚内强奸定为犯罪；</w:t>
      </w:r>
    </w:p>
    <w:p w:rsidR="00255040" w:rsidRPr="00AA4A12" w:rsidRDefault="00255040" w:rsidP="00255040">
      <w:pPr>
        <w:pStyle w:val="SingleTxt"/>
        <w:rPr>
          <w:rFonts w:eastAsia="黑体"/>
          <w:szCs w:val="21"/>
        </w:rPr>
      </w:pPr>
      <w:r w:rsidRPr="00AA4A12">
        <w:rPr>
          <w:rFonts w:eastAsia="黑体"/>
          <w:szCs w:val="21"/>
        </w:rPr>
        <w:tab/>
        <w:t>(j)</w:t>
      </w:r>
      <w:r w:rsidRPr="00AA4A12">
        <w:rPr>
          <w:rFonts w:eastAsia="黑体"/>
          <w:szCs w:val="21"/>
        </w:rPr>
        <w:tab/>
      </w:r>
      <w:r w:rsidRPr="00AA4A12">
        <w:rPr>
          <w:rFonts w:eastAsia="黑体" w:hAnsi="黑体" w:hint="eastAsia"/>
          <w:szCs w:val="21"/>
        </w:rPr>
        <w:t>加速批准通过《刑法典》第</w:t>
      </w:r>
      <w:r w:rsidRPr="00AA4A12">
        <w:rPr>
          <w:rFonts w:eastAsia="黑体"/>
          <w:szCs w:val="21"/>
        </w:rPr>
        <w:t>204</w:t>
      </w:r>
      <w:r>
        <w:rPr>
          <w:rFonts w:eastAsia="黑体" w:hAnsi="黑体" w:hint="eastAsia"/>
          <w:szCs w:val="21"/>
        </w:rPr>
        <w:t>(</w:t>
      </w:r>
      <w:r w:rsidRPr="00AA4A12">
        <w:rPr>
          <w:rFonts w:eastAsia="黑体"/>
          <w:szCs w:val="21"/>
        </w:rPr>
        <w:t>2</w:t>
      </w:r>
      <w:r>
        <w:rPr>
          <w:rFonts w:eastAsia="黑体" w:hAnsi="黑体" w:hint="eastAsia"/>
          <w:szCs w:val="21"/>
        </w:rPr>
        <w:t>)</w:t>
      </w:r>
      <w:r w:rsidRPr="00AA4A12">
        <w:rPr>
          <w:rFonts w:eastAsia="黑体" w:hAnsi="黑体"/>
          <w:szCs w:val="21"/>
        </w:rPr>
        <w:t>条</w:t>
      </w:r>
      <w:r w:rsidRPr="00AA4A12">
        <w:rPr>
          <w:rFonts w:eastAsia="黑体" w:hAnsi="黑体" w:hint="eastAsia"/>
          <w:szCs w:val="21"/>
        </w:rPr>
        <w:t>修正案</w:t>
      </w:r>
      <w:r w:rsidRPr="00AA4A12">
        <w:rPr>
          <w:rFonts w:eastAsia="黑体" w:hAnsi="黑体"/>
          <w:szCs w:val="21"/>
        </w:rPr>
        <w:t>，以确保强奸定义的主要要素为缺乏受害者充分的自愿同意；</w:t>
      </w:r>
    </w:p>
    <w:p w:rsidR="00255040" w:rsidRPr="00AA4A12" w:rsidRDefault="00255040" w:rsidP="00255040">
      <w:pPr>
        <w:pStyle w:val="SingleTxt"/>
        <w:rPr>
          <w:rFonts w:eastAsia="黑体"/>
          <w:szCs w:val="21"/>
        </w:rPr>
      </w:pPr>
      <w:r w:rsidRPr="00AA4A12">
        <w:rPr>
          <w:rFonts w:eastAsia="黑体"/>
          <w:szCs w:val="21"/>
        </w:rPr>
        <w:tab/>
        <w:t>(k)</w:t>
      </w:r>
      <w:r w:rsidRPr="00AA4A12">
        <w:rPr>
          <w:rFonts w:eastAsia="黑体"/>
          <w:szCs w:val="21"/>
        </w:rPr>
        <w:tab/>
      </w:r>
      <w:r w:rsidRPr="00AA4A12">
        <w:rPr>
          <w:rFonts w:eastAsia="黑体" w:hAnsi="黑体" w:hint="eastAsia"/>
          <w:szCs w:val="21"/>
        </w:rPr>
        <w:t>加速生效有关补偿暴力罪行受害者的法律，并提供特别基金，向遭受基于性别的暴力侵害妇女行为的受害者提供补偿；</w:t>
      </w:r>
    </w:p>
    <w:p w:rsidR="00255040" w:rsidRDefault="00255040" w:rsidP="00255040">
      <w:pPr>
        <w:pStyle w:val="SingleTxt"/>
        <w:rPr>
          <w:rFonts w:eastAsia="黑体"/>
          <w:szCs w:val="21"/>
        </w:rPr>
      </w:pPr>
      <w:r w:rsidRPr="00AA4A12">
        <w:rPr>
          <w:rFonts w:eastAsia="黑体"/>
          <w:szCs w:val="21"/>
        </w:rPr>
        <w:tab/>
        <w:t>(l)</w:t>
      </w:r>
      <w:r w:rsidRPr="00AA4A12">
        <w:rPr>
          <w:rFonts w:eastAsia="黑体"/>
          <w:szCs w:val="21"/>
        </w:rPr>
        <w:tab/>
      </w:r>
      <w:r w:rsidRPr="00AA4A12">
        <w:rPr>
          <w:rFonts w:eastAsia="黑体" w:hAnsi="黑体" w:hint="eastAsia"/>
          <w:szCs w:val="21"/>
        </w:rPr>
        <w:t>统一相关机构内收集和处理数据的方法。</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6D644E">
        <w:rPr>
          <w:rFonts w:ascii="Times New Roman" w:hint="eastAsia"/>
          <w:szCs w:val="21"/>
        </w:rPr>
        <w:t>人口贩运和意图营利使人卖淫</w:t>
      </w:r>
    </w:p>
    <w:p w:rsidR="00255040" w:rsidRPr="00AA4A12" w:rsidRDefault="00255040" w:rsidP="00255040">
      <w:pPr>
        <w:pStyle w:val="SingleTxt"/>
        <w:rPr>
          <w:szCs w:val="21"/>
        </w:rPr>
      </w:pPr>
      <w:r w:rsidRPr="00AA4A12">
        <w:rPr>
          <w:szCs w:val="21"/>
        </w:rPr>
        <w:t>24.</w:t>
      </w:r>
      <w:r w:rsidRPr="00AA4A12">
        <w:rPr>
          <w:szCs w:val="21"/>
        </w:rPr>
        <w:tab/>
      </w:r>
      <w:r w:rsidRPr="00AA4A12">
        <w:rPr>
          <w:rFonts w:hAnsi="宋体" w:hint="eastAsia"/>
          <w:szCs w:val="21"/>
        </w:rPr>
        <w:t>委员会赞赏地注意到缔约国为解决贩运妇女问题所做的努力，包括为打击贩运人口办公室提供更多资金，于近期通过《</w:t>
      </w:r>
      <w:r w:rsidRPr="00AA4A12">
        <w:rPr>
          <w:rFonts w:hint="eastAsia"/>
          <w:szCs w:val="21"/>
        </w:rPr>
        <w:t>2012-2018</w:t>
      </w:r>
      <w:r w:rsidRPr="00AA4A12">
        <w:rPr>
          <w:rFonts w:hAnsi="宋体" w:hint="eastAsia"/>
          <w:szCs w:val="21"/>
        </w:rPr>
        <w:t>年执行打击贩运人口战略行动计划》，</w:t>
      </w:r>
      <w:r w:rsidRPr="00AA4A12">
        <w:rPr>
          <w:rFonts w:hAnsi="宋体"/>
          <w:szCs w:val="21"/>
        </w:rPr>
        <w:t>加强与其他</w:t>
      </w:r>
      <w:r w:rsidRPr="00AA4A12">
        <w:rPr>
          <w:rFonts w:hAnsi="宋体" w:hint="eastAsia"/>
          <w:szCs w:val="21"/>
        </w:rPr>
        <w:t>各国</w:t>
      </w:r>
      <w:r w:rsidRPr="00AA4A12">
        <w:rPr>
          <w:rFonts w:hAnsi="宋体"/>
          <w:szCs w:val="21"/>
        </w:rPr>
        <w:t>在打击贩运人口</w:t>
      </w:r>
      <w:r w:rsidRPr="00AA4A12">
        <w:rPr>
          <w:rFonts w:hAnsi="宋体" w:hint="eastAsia"/>
          <w:szCs w:val="21"/>
        </w:rPr>
        <w:t>方面</w:t>
      </w:r>
      <w:r w:rsidRPr="00AA4A12">
        <w:rPr>
          <w:rFonts w:hAnsi="宋体"/>
          <w:szCs w:val="21"/>
        </w:rPr>
        <w:t>的合作，以及</w:t>
      </w:r>
      <w:r w:rsidRPr="00AA4A12">
        <w:rPr>
          <w:rFonts w:hAnsi="宋体" w:hint="eastAsia"/>
          <w:szCs w:val="21"/>
        </w:rPr>
        <w:t>为一处由</w:t>
      </w:r>
      <w:r w:rsidRPr="00AA4A12">
        <w:rPr>
          <w:rFonts w:hAnsi="宋体"/>
          <w:szCs w:val="21"/>
        </w:rPr>
        <w:t>非政府组织运营的贩运人口受害者庇护所提供财政支助。</w:t>
      </w:r>
      <w:r w:rsidRPr="00AA4A12">
        <w:rPr>
          <w:rFonts w:hAnsi="宋体" w:hint="eastAsia"/>
          <w:szCs w:val="21"/>
        </w:rPr>
        <w:t>但是，委员会关切地注意到：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int="eastAsia"/>
          <w:szCs w:val="21"/>
        </w:rPr>
        <w:t>在</w:t>
      </w:r>
      <w:r w:rsidRPr="00AA4A12">
        <w:rPr>
          <w:rFonts w:hint="eastAsia"/>
          <w:szCs w:val="21"/>
        </w:rPr>
        <w:t>2015</w:t>
      </w:r>
      <w:r w:rsidRPr="00AA4A12">
        <w:rPr>
          <w:rFonts w:hAnsi="宋体" w:hint="eastAsia"/>
          <w:szCs w:val="21"/>
        </w:rPr>
        <w:t>年和</w:t>
      </w:r>
      <w:r w:rsidRPr="00AA4A12">
        <w:rPr>
          <w:rFonts w:hint="eastAsia"/>
          <w:szCs w:val="21"/>
        </w:rPr>
        <w:t>2016</w:t>
      </w:r>
      <w:r w:rsidRPr="00AA4A12">
        <w:rPr>
          <w:rFonts w:hAnsi="宋体" w:hint="eastAsia"/>
          <w:szCs w:val="21"/>
        </w:rPr>
        <w:t>年，没有根据《刑法典》第</w:t>
      </w:r>
      <w:r w:rsidRPr="00AA4A12">
        <w:rPr>
          <w:rFonts w:hint="eastAsia"/>
          <w:szCs w:val="21"/>
        </w:rPr>
        <w:t>444</w:t>
      </w:r>
      <w:r w:rsidRPr="00AA4A12">
        <w:rPr>
          <w:rFonts w:hAnsi="宋体" w:hint="eastAsia"/>
          <w:szCs w:val="21"/>
        </w:rPr>
        <w:t>条</w:t>
      </w:r>
      <w:r>
        <w:rPr>
          <w:rFonts w:hAnsi="宋体" w:hint="eastAsia"/>
          <w:szCs w:val="21"/>
        </w:rPr>
        <w:t>(</w:t>
      </w:r>
      <w:r w:rsidRPr="00AA4A12">
        <w:rPr>
          <w:rFonts w:hAnsi="宋体" w:hint="eastAsia"/>
          <w:szCs w:val="21"/>
        </w:rPr>
        <w:t>贩运人口</w:t>
      </w:r>
      <w:r>
        <w:rPr>
          <w:rFonts w:hAnsi="宋体" w:hint="eastAsia"/>
          <w:szCs w:val="21"/>
        </w:rPr>
        <w:t>)</w:t>
      </w:r>
      <w:r w:rsidRPr="00AA4A12">
        <w:rPr>
          <w:rFonts w:hAnsi="宋体" w:hint="eastAsia"/>
          <w:szCs w:val="21"/>
        </w:rPr>
        <w:t>进行的起诉或定罪，而且若干潜在的贩运人口案件均按照从轻处罚罪行予以审判，如对中介卖淫罪行的处罚；</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罗姆、阿什卡利和埃及妇女和女童，沦为难民和寻求庇护、流离失所和境内流离失所的妇女和女童，以及残疾妇女和女童尤其容易成为贩运人口受害者；</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有报告称执法人员在贩运人口案件中勾结串通；</w:t>
      </w:r>
    </w:p>
    <w:p w:rsidR="00255040" w:rsidRPr="00AA4A12" w:rsidRDefault="00255040" w:rsidP="00255040">
      <w:pPr>
        <w:pStyle w:val="SingleTxt"/>
        <w:rPr>
          <w:szCs w:val="21"/>
        </w:rPr>
      </w:pPr>
      <w:r w:rsidRPr="00AA4A12">
        <w:rPr>
          <w:szCs w:val="21"/>
        </w:rPr>
        <w:tab/>
        <w:t>(d)</w:t>
      </w:r>
      <w:r w:rsidRPr="00AA4A12">
        <w:rPr>
          <w:szCs w:val="21"/>
        </w:rPr>
        <w:tab/>
      </w:r>
      <w:r w:rsidRPr="00AA4A12">
        <w:rPr>
          <w:rFonts w:hAnsi="宋体" w:hint="eastAsia"/>
          <w:szCs w:val="21"/>
        </w:rPr>
        <w:t>国家为贩运人口受害者提供的协助服务和资源不足；</w:t>
      </w:r>
    </w:p>
    <w:p w:rsidR="00255040" w:rsidRPr="00AA4A12" w:rsidRDefault="00255040" w:rsidP="00255040">
      <w:pPr>
        <w:pStyle w:val="SingleTxt"/>
        <w:rPr>
          <w:szCs w:val="21"/>
        </w:rPr>
      </w:pPr>
      <w:r w:rsidRPr="00AA4A12">
        <w:rPr>
          <w:szCs w:val="21"/>
        </w:rPr>
        <w:tab/>
        <w:t>(e)</w:t>
      </w:r>
      <w:r w:rsidRPr="00AA4A12">
        <w:rPr>
          <w:szCs w:val="21"/>
        </w:rPr>
        <w:tab/>
      </w:r>
      <w:r w:rsidRPr="00AA4A12">
        <w:rPr>
          <w:rFonts w:hAnsi="宋体" w:hint="eastAsia"/>
          <w:szCs w:val="21"/>
        </w:rPr>
        <w:t>未明确说明那些不愿或不能与检察机关合作的外国贩运人口受害者是否能充分获取为受害者提供的援助和保护措施。</w:t>
      </w:r>
    </w:p>
    <w:p w:rsidR="00255040" w:rsidRPr="00AA4A12" w:rsidRDefault="00255040" w:rsidP="00255040">
      <w:pPr>
        <w:pStyle w:val="SingleTxt"/>
        <w:rPr>
          <w:szCs w:val="21"/>
        </w:rPr>
      </w:pPr>
      <w:r w:rsidRPr="00AA4A12">
        <w:rPr>
          <w:szCs w:val="21"/>
        </w:rPr>
        <w:t>25.</w:t>
      </w:r>
      <w:r w:rsidRPr="00AA4A12">
        <w:rPr>
          <w:szCs w:val="21"/>
        </w:rPr>
        <w:tab/>
      </w:r>
      <w:r w:rsidRPr="00AA4A12">
        <w:rPr>
          <w:rFonts w:eastAsia="黑体" w:hAnsi="黑体" w:hint="eastAsia"/>
          <w:szCs w:val="21"/>
        </w:rPr>
        <w:t>委员会建议缔约国确保有效调查和起诉所有贩运人口案件，特别是涉及到妇女和女童的案件，并对贩运人口相关罪行的施害者，包括腐败的执法官员，判处与其罪行程度相符的惩罚。委员会还建议缔约国为罗姆、阿什卡利和埃及妇女和女童以及沦为难民和寻求庇护、流离失所和境内流离失所的妇女和女童提供有效的保护，并解决因贫穷、污名化和边缘化等因素造成的特殊脆弱性。委员会进一步建议缔约国，确保所有贩运人口受害者，不论其是否愿意或是否有能力与检察机关合作，都能自由和迅速进入庇护所，获得医疗护理、社会心理咨询、法律援助和专门的复原和重返社会服务，以及暂时居留许可。</w:t>
      </w:r>
    </w:p>
    <w:p w:rsidR="00255040" w:rsidRPr="00AA4A12" w:rsidRDefault="00255040" w:rsidP="00255040">
      <w:pPr>
        <w:pStyle w:val="SingleTxt"/>
        <w:rPr>
          <w:szCs w:val="21"/>
        </w:rPr>
      </w:pPr>
      <w:r w:rsidRPr="00AA4A12">
        <w:rPr>
          <w:szCs w:val="21"/>
        </w:rPr>
        <w:t>26.</w:t>
      </w:r>
      <w:r w:rsidRPr="00AA4A12">
        <w:rPr>
          <w:szCs w:val="21"/>
        </w:rPr>
        <w:tab/>
      </w:r>
      <w:r w:rsidRPr="00AA4A12">
        <w:rPr>
          <w:rFonts w:hAnsi="宋体" w:hint="eastAsia"/>
          <w:szCs w:val="21"/>
        </w:rPr>
        <w:t>委员会注意到缔约国禁止拉皮条行为。委员会关切地注意到以下方面：</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卖淫妇女常</w:t>
      </w:r>
      <w:r>
        <w:rPr>
          <w:rFonts w:hAnsi="宋体" w:hint="eastAsia"/>
          <w:szCs w:val="21"/>
        </w:rPr>
        <w:t>被</w:t>
      </w:r>
      <w:r w:rsidRPr="00AA4A12">
        <w:rPr>
          <w:rFonts w:hAnsi="宋体" w:hint="eastAsia"/>
          <w:szCs w:val="21"/>
        </w:rPr>
        <w:t>处以罚款或被判处徒刑，并且经常与其子女分离；</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绝大多数卖淫妇女都是因经济困难或毒品依赖而走上卖淫之路的。</w:t>
      </w:r>
    </w:p>
    <w:p w:rsidR="00255040" w:rsidRPr="00AA4A12" w:rsidRDefault="00255040" w:rsidP="00255040">
      <w:pPr>
        <w:pStyle w:val="SingleTxt"/>
        <w:rPr>
          <w:rFonts w:eastAsia="黑体"/>
          <w:szCs w:val="21"/>
        </w:rPr>
      </w:pPr>
      <w:r w:rsidRPr="00AA4A12">
        <w:rPr>
          <w:szCs w:val="21"/>
        </w:rPr>
        <w:t>27.</w:t>
      </w:r>
      <w:r w:rsidRPr="00AA4A12">
        <w:rPr>
          <w:szCs w:val="21"/>
        </w:rPr>
        <w:tab/>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取消对卖淫妇女的刑事定罪，取缔以母亲参与卖淫为由将母亲与其子女分离的做法；</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消除卖淫问题的根源，包括贫穷、歧视和毒品依赖；</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采取面向一般公众，特别是男子和男童的教育和认识提高措施，以减少对卖淫的需求。这类措施应侧重于消除一切认为妇女应居于从属地位的观念和一切形式的将妇女物化的做法；</w:t>
      </w:r>
    </w:p>
    <w:p w:rsidR="00255040"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为愿意脱离卖淫业的妇女的退出方案分配足够资源，包括提供替代性的创收机会。</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参与政治和公共生活</w:t>
      </w:r>
    </w:p>
    <w:p w:rsidR="00255040" w:rsidRPr="00AA4A12" w:rsidRDefault="00255040" w:rsidP="00255040">
      <w:pPr>
        <w:pStyle w:val="SingleTxt"/>
        <w:rPr>
          <w:szCs w:val="21"/>
        </w:rPr>
      </w:pPr>
      <w:r w:rsidRPr="00AA4A12">
        <w:rPr>
          <w:szCs w:val="21"/>
        </w:rPr>
        <w:t>28.</w:t>
      </w:r>
      <w:r w:rsidRPr="00AA4A12">
        <w:rPr>
          <w:szCs w:val="21"/>
        </w:rPr>
        <w:tab/>
      </w:r>
      <w:r w:rsidRPr="00AA4A12">
        <w:rPr>
          <w:rFonts w:hAnsi="宋体" w:hint="eastAsia"/>
          <w:szCs w:val="21"/>
        </w:rPr>
        <w:t>委员会注意到缔约国为加强妇女参与政治所采取的措施。不过，委员会关切地注意到，妇女，包括少数民族妇女，仍然在公共和政治生活中代表不足。在这方面，委员会重申了其在上一份结论性意见</w:t>
      </w:r>
      <w:r>
        <w:rPr>
          <w:rFonts w:hAnsi="宋体" w:hint="eastAsia"/>
          <w:szCs w:val="21"/>
        </w:rPr>
        <w:t>(</w:t>
      </w:r>
      <w:hyperlink r:id="rId21" w:history="1">
        <w:r w:rsidRPr="00255040">
          <w:rPr>
            <w:rStyle w:val="ad"/>
            <w:rFonts w:hint="eastAsia"/>
            <w:szCs w:val="21"/>
          </w:rPr>
          <w:t>CEDAW/C/MNE/CO/1</w:t>
        </w:r>
      </w:hyperlink>
      <w:r w:rsidRPr="00AA4A12">
        <w:rPr>
          <w:rFonts w:hAnsi="宋体" w:hint="eastAsia"/>
          <w:szCs w:val="21"/>
        </w:rPr>
        <w:t>，第</w:t>
      </w:r>
      <w:r w:rsidRPr="00AA4A12">
        <w:rPr>
          <w:rFonts w:hint="eastAsia"/>
          <w:szCs w:val="21"/>
        </w:rPr>
        <w:t>22</w:t>
      </w:r>
      <w:r w:rsidRPr="00AA4A12">
        <w:rPr>
          <w:rFonts w:hAnsi="宋体" w:hint="eastAsia"/>
          <w:szCs w:val="21"/>
        </w:rPr>
        <w:t>段</w:t>
      </w:r>
      <w:r>
        <w:rPr>
          <w:rFonts w:hAnsi="宋体" w:hint="eastAsia"/>
          <w:szCs w:val="21"/>
        </w:rPr>
        <w:t>)</w:t>
      </w:r>
      <w:r w:rsidRPr="00AA4A12">
        <w:rPr>
          <w:rFonts w:hAnsi="宋体" w:hint="eastAsia"/>
          <w:szCs w:val="21"/>
        </w:rPr>
        <w:t>中提出的关切，即，《议员及代表选举法》规定政党竞选候选人名单上女性人数应占</w:t>
      </w:r>
      <w:r w:rsidRPr="00AA4A12">
        <w:rPr>
          <w:rFonts w:hint="eastAsia"/>
          <w:szCs w:val="21"/>
        </w:rPr>
        <w:t>30%</w:t>
      </w:r>
      <w:r w:rsidRPr="00AA4A12">
        <w:rPr>
          <w:rFonts w:hAnsi="宋体" w:hint="eastAsia"/>
          <w:szCs w:val="21"/>
        </w:rPr>
        <w:t>配额，但并未规定女性候选人应获得三分之一的席位。此外，委员会关切地注意到，妇女参与政治生活还受到普遍的重男轻女态度的阻碍，并受到公共对话和媒体对妇女参与政治报道相对有限的影响。</w:t>
      </w:r>
    </w:p>
    <w:p w:rsidR="00255040" w:rsidRPr="00AA4A12" w:rsidRDefault="00255040" w:rsidP="00255040">
      <w:pPr>
        <w:pStyle w:val="SingleTxt"/>
        <w:rPr>
          <w:rFonts w:eastAsia="黑体"/>
          <w:szCs w:val="21"/>
        </w:rPr>
      </w:pPr>
      <w:r w:rsidRPr="00AA4A12">
        <w:rPr>
          <w:szCs w:val="21"/>
        </w:rPr>
        <w:t>29.</w:t>
      </w:r>
      <w:r w:rsidRPr="00AA4A12">
        <w:rPr>
          <w:szCs w:val="21"/>
        </w:rPr>
        <w:tab/>
      </w:r>
      <w:r w:rsidRPr="00EC7119">
        <w:rPr>
          <w:rFonts w:eastAsia="黑体" w:hAnsi="黑体"/>
          <w:szCs w:val="21"/>
        </w:rPr>
        <w:t>委员会重申了其之前的建议</w:t>
      </w:r>
      <w:r>
        <w:rPr>
          <w:rFonts w:eastAsia="黑体" w:hAnsi="黑体"/>
          <w:szCs w:val="21"/>
        </w:rPr>
        <w:t>(</w:t>
      </w:r>
      <w:hyperlink r:id="rId22" w:history="1">
        <w:r w:rsidRPr="00255040">
          <w:rPr>
            <w:rStyle w:val="ad"/>
            <w:rFonts w:eastAsia="黑体"/>
            <w:szCs w:val="21"/>
          </w:rPr>
          <w:t>CEDAW/C/MNE/CO/1</w:t>
        </w:r>
      </w:hyperlink>
      <w:r w:rsidRPr="00EC7119">
        <w:rPr>
          <w:rFonts w:eastAsia="黑体" w:hAnsi="黑体"/>
          <w:szCs w:val="21"/>
        </w:rPr>
        <w:t>，第</w:t>
      </w:r>
      <w:r w:rsidRPr="00EC7119">
        <w:rPr>
          <w:rFonts w:eastAsia="黑体"/>
          <w:szCs w:val="21"/>
        </w:rPr>
        <w:t>23</w:t>
      </w:r>
      <w:r>
        <w:rPr>
          <w:rFonts w:eastAsia="黑体" w:hAnsi="黑体" w:hint="eastAsia"/>
          <w:szCs w:val="21"/>
        </w:rPr>
        <w:t>(</w:t>
      </w:r>
      <w:r w:rsidRPr="00EC7119">
        <w:rPr>
          <w:rFonts w:eastAsia="黑体"/>
          <w:szCs w:val="21"/>
        </w:rPr>
        <w:t>a</w:t>
      </w:r>
      <w:r>
        <w:rPr>
          <w:rFonts w:eastAsia="黑体" w:hAnsi="黑体" w:hint="eastAsia"/>
          <w:szCs w:val="21"/>
        </w:rPr>
        <w:t>)</w:t>
      </w:r>
      <w:r w:rsidRPr="00EC7119">
        <w:rPr>
          <w:rFonts w:eastAsia="黑体" w:hAnsi="黑体"/>
          <w:szCs w:val="21"/>
        </w:rPr>
        <w:t>段</w:t>
      </w:r>
      <w:r>
        <w:rPr>
          <w:rFonts w:eastAsia="黑体" w:hAnsi="黑体"/>
          <w:szCs w:val="21"/>
        </w:rPr>
        <w:t>)</w:t>
      </w:r>
      <w:r w:rsidRPr="00EC7119">
        <w:rPr>
          <w:rFonts w:eastAsia="黑体" w:hAnsi="黑体"/>
          <w:szCs w:val="21"/>
        </w:rPr>
        <w:t>，即，对选举法中的</w:t>
      </w:r>
      <w:r w:rsidRPr="00EC7119">
        <w:rPr>
          <w:rFonts w:eastAsia="黑体"/>
          <w:szCs w:val="21"/>
        </w:rPr>
        <w:t>30%</w:t>
      </w:r>
      <w:r w:rsidRPr="00EC7119">
        <w:rPr>
          <w:rFonts w:eastAsia="黑体" w:hAnsi="黑体"/>
          <w:szCs w:val="21"/>
        </w:rPr>
        <w:t>配额予以审查，以确保政党选举名单上每三位候选人中至少有一名女性。</w:t>
      </w:r>
      <w:r w:rsidRPr="00AA4A12">
        <w:rPr>
          <w:rFonts w:eastAsia="黑体" w:hAnsi="黑体" w:hint="eastAsia"/>
          <w:szCs w:val="21"/>
        </w:rPr>
        <w:t>此外，委员会建议缔约国：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为妇女参与政治和公共生活营造有利环境，特别是针对少数民族妇女，这包括通过提高政治领导人和一般公众对妇女在与男子平等的基础上全面、平等、自由和民主地参与政治和公共生活是充分落实妇女人权的要求的认识；</w:t>
      </w:r>
    </w:p>
    <w:p w:rsidR="00255040"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加强政治领导层能力建设以及为希望参与政治生活或担任公职的妇女组织的竞选活动，鼓励媒体确保女性和男性候选人及当选代表在媒体上有同等的曝光度，特别是在选举期间。</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教育</w:t>
      </w:r>
    </w:p>
    <w:p w:rsidR="00255040" w:rsidRPr="00AA4A12" w:rsidRDefault="00255040" w:rsidP="00255040">
      <w:pPr>
        <w:pStyle w:val="SingleTxt"/>
        <w:rPr>
          <w:szCs w:val="21"/>
        </w:rPr>
      </w:pPr>
      <w:r w:rsidRPr="00AA4A12">
        <w:rPr>
          <w:szCs w:val="21"/>
        </w:rPr>
        <w:t>30.</w:t>
      </w:r>
      <w:r w:rsidRPr="00AA4A12">
        <w:rPr>
          <w:szCs w:val="21"/>
        </w:rPr>
        <w:tab/>
      </w:r>
      <w:r w:rsidRPr="00AA4A12">
        <w:rPr>
          <w:rFonts w:hAnsi="宋体" w:hint="eastAsia"/>
          <w:szCs w:val="21"/>
        </w:rPr>
        <w:t>委员会赞赏地注意到关于性别平等的若干内容已被引入初级和中级教育阶段的学校课程中。但是，委员会感到关切的是：</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教职员工培训和教材对打破传统性别角色的强调不足；</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性教育不足，未涵盖性别社会关系以及重男轻女态度和歧视性性关系成见的影响；</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罗姆人、阿什卡利人和埃及人社区中的妇女识字率低，来自这些社区的女童辍学率高，特别是在中级教育阶段；</w:t>
      </w:r>
    </w:p>
    <w:p w:rsidR="00255040" w:rsidRPr="00AA4A12" w:rsidRDefault="00255040" w:rsidP="00255040">
      <w:pPr>
        <w:pStyle w:val="SingleTxt"/>
        <w:rPr>
          <w:szCs w:val="21"/>
        </w:rPr>
      </w:pPr>
      <w:r w:rsidRPr="00AA4A12">
        <w:rPr>
          <w:szCs w:val="21"/>
        </w:rPr>
        <w:tab/>
        <w:t>(d)</w:t>
      </w:r>
      <w:r w:rsidRPr="00AA4A12">
        <w:rPr>
          <w:szCs w:val="21"/>
        </w:rPr>
        <w:tab/>
      </w:r>
      <w:r w:rsidRPr="00AA4A12">
        <w:rPr>
          <w:rFonts w:hAnsi="宋体" w:hint="eastAsia"/>
          <w:szCs w:val="21"/>
        </w:rPr>
        <w:t>寻求庇护、沦为难民、流离失所和境内流离失所的女童获得的教育机会有限；</w:t>
      </w:r>
    </w:p>
    <w:p w:rsidR="00255040" w:rsidRPr="00AA4A12" w:rsidRDefault="00255040" w:rsidP="00255040">
      <w:pPr>
        <w:pStyle w:val="SingleTxt"/>
        <w:rPr>
          <w:szCs w:val="21"/>
        </w:rPr>
      </w:pPr>
      <w:r w:rsidRPr="00AA4A12">
        <w:rPr>
          <w:szCs w:val="21"/>
        </w:rPr>
        <w:tab/>
        <w:t>(e)</w:t>
      </w:r>
      <w:r w:rsidRPr="00AA4A12">
        <w:rPr>
          <w:szCs w:val="21"/>
        </w:rPr>
        <w:tab/>
      </w:r>
      <w:r w:rsidRPr="00AA4A12">
        <w:rPr>
          <w:rFonts w:hAnsi="宋体" w:hint="eastAsia"/>
          <w:szCs w:val="21"/>
        </w:rPr>
        <w:t>女童集中于传统的学习领域；</w:t>
      </w:r>
    </w:p>
    <w:p w:rsidR="00255040" w:rsidRPr="00AA4A12" w:rsidRDefault="00255040" w:rsidP="00255040">
      <w:pPr>
        <w:pStyle w:val="SingleTxt"/>
        <w:rPr>
          <w:szCs w:val="21"/>
        </w:rPr>
      </w:pPr>
      <w:r w:rsidRPr="00AA4A12">
        <w:rPr>
          <w:szCs w:val="21"/>
        </w:rPr>
        <w:tab/>
        <w:t>(f)</w:t>
      </w:r>
      <w:r w:rsidRPr="00AA4A12">
        <w:rPr>
          <w:szCs w:val="21"/>
        </w:rPr>
        <w:tab/>
      </w:r>
      <w:r w:rsidRPr="00AA4A12">
        <w:rPr>
          <w:rFonts w:hAnsi="宋体" w:hint="eastAsia"/>
          <w:szCs w:val="21"/>
        </w:rPr>
        <w:t>大学教育中缺乏性别平等研究。</w:t>
      </w:r>
    </w:p>
    <w:p w:rsidR="00255040" w:rsidRPr="00AA4A12" w:rsidRDefault="00255040" w:rsidP="00255040">
      <w:pPr>
        <w:pStyle w:val="SingleTxt"/>
        <w:rPr>
          <w:rFonts w:eastAsia="黑体"/>
          <w:szCs w:val="21"/>
        </w:rPr>
      </w:pPr>
      <w:r w:rsidRPr="00AA4A12">
        <w:rPr>
          <w:rFonts w:eastAsia="黑体"/>
          <w:szCs w:val="21"/>
        </w:rPr>
        <w:t>31.</w:t>
      </w:r>
      <w:r w:rsidRPr="00AA4A12">
        <w:rPr>
          <w:rFonts w:eastAsia="黑体"/>
          <w:szCs w:val="21"/>
        </w:rPr>
        <w:tab/>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为各级教育中的教师执行能力建设方案，以改变现有的有关男女在家庭和社会中角色的陈规定型观念和态度；</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确保将强制性的与年龄相称的性教育融入学校课程，包括有关性和生殖</w:t>
      </w:r>
      <w:r w:rsidRPr="00346AFE">
        <w:rPr>
          <w:rFonts w:eastAsia="黑体" w:hAnsi="黑体" w:hint="eastAsia"/>
          <w:spacing w:val="6"/>
          <w:szCs w:val="21"/>
        </w:rPr>
        <w:t>健康权利的教育，并特别关注预防早孕和性传播疾病以及重男轻女态度和暴力问题；</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采取和执行更多有针对性的政策和方案，消除罗姆、阿什卡利和埃及妇女和女童以及寻求庇护、沦为难民、流离失所和境内流离失所的妇女和女童面临的教育障碍，并采取有效措施将她们留在学校，提高她们在初级和中级教育阶段的入学率；</w:t>
      </w:r>
    </w:p>
    <w:p w:rsidR="00255040" w:rsidRPr="00AA4A12"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按照关于确保所有男女平等获得负担得起的优质技术、职业和高等教育，包括大学教育的可持续发展目标具体目标</w:t>
      </w:r>
      <w:r w:rsidRPr="00AA4A12">
        <w:rPr>
          <w:rFonts w:eastAsia="黑体"/>
          <w:szCs w:val="21"/>
        </w:rPr>
        <w:t>4.3</w:t>
      </w:r>
      <w:r w:rsidRPr="00AA4A12">
        <w:rPr>
          <w:rFonts w:eastAsia="黑体" w:hAnsi="黑体"/>
          <w:szCs w:val="21"/>
        </w:rPr>
        <w:t>，优先考虑消除可能会阻碍女童进入</w:t>
      </w:r>
      <w:r w:rsidRPr="00AA4A12">
        <w:rPr>
          <w:rFonts w:eastAsia="黑体" w:hAnsi="黑体" w:hint="eastAsia"/>
          <w:szCs w:val="21"/>
        </w:rPr>
        <w:t>传统上</w:t>
      </w:r>
      <w:r w:rsidRPr="00AA4A12">
        <w:rPr>
          <w:rFonts w:eastAsia="黑体" w:hAnsi="黑体"/>
          <w:szCs w:val="21"/>
        </w:rPr>
        <w:t>由男性</w:t>
      </w:r>
      <w:r w:rsidRPr="00AA4A12">
        <w:rPr>
          <w:rFonts w:eastAsia="黑体" w:hAnsi="黑体" w:hint="eastAsia"/>
          <w:szCs w:val="21"/>
        </w:rPr>
        <w:t>主导</w:t>
      </w:r>
      <w:r w:rsidRPr="00AA4A12">
        <w:rPr>
          <w:rFonts w:eastAsia="黑体" w:hAnsi="黑体"/>
          <w:szCs w:val="21"/>
        </w:rPr>
        <w:t>的科学、技术、工程和数学等研究领域的</w:t>
      </w:r>
      <w:r w:rsidRPr="00AA4A12">
        <w:rPr>
          <w:rFonts w:eastAsia="黑体" w:hAnsi="黑体" w:hint="eastAsia"/>
          <w:szCs w:val="21"/>
        </w:rPr>
        <w:t>传统</w:t>
      </w:r>
      <w:r w:rsidRPr="00AA4A12">
        <w:rPr>
          <w:rFonts w:eastAsia="黑体" w:hAnsi="黑体"/>
          <w:szCs w:val="21"/>
        </w:rPr>
        <w:t>成见和结构性障碍，并向女童提供</w:t>
      </w:r>
      <w:r w:rsidRPr="00AA4A12">
        <w:rPr>
          <w:rFonts w:eastAsia="黑体" w:hAnsi="黑体" w:hint="eastAsia"/>
          <w:szCs w:val="21"/>
        </w:rPr>
        <w:t>关于</w:t>
      </w:r>
      <w:r w:rsidRPr="00AA4A12">
        <w:rPr>
          <w:rFonts w:eastAsia="黑体" w:hAnsi="黑体"/>
          <w:szCs w:val="21"/>
        </w:rPr>
        <w:t>非传统领域研究和</w:t>
      </w:r>
      <w:r w:rsidRPr="00AA4A12">
        <w:rPr>
          <w:rFonts w:eastAsia="黑体" w:hAnsi="黑体" w:hint="eastAsia"/>
          <w:szCs w:val="21"/>
        </w:rPr>
        <w:t>晋升途径</w:t>
      </w:r>
      <w:r w:rsidRPr="00AA4A12">
        <w:rPr>
          <w:rFonts w:eastAsia="黑体" w:hAnsi="黑体"/>
          <w:szCs w:val="21"/>
        </w:rPr>
        <w:t>的职业咨询；</w:t>
      </w:r>
    </w:p>
    <w:p w:rsidR="00255040" w:rsidRDefault="00255040" w:rsidP="00255040">
      <w:pPr>
        <w:pStyle w:val="SingleTxt"/>
        <w:rPr>
          <w:rFonts w:eastAsia="黑体"/>
          <w:szCs w:val="21"/>
        </w:rPr>
      </w:pPr>
      <w:r w:rsidRPr="00AA4A12">
        <w:rPr>
          <w:rFonts w:eastAsia="黑体"/>
          <w:szCs w:val="21"/>
        </w:rPr>
        <w:tab/>
        <w:t>(e)</w:t>
      </w:r>
      <w:r w:rsidRPr="00AA4A12">
        <w:rPr>
          <w:rFonts w:eastAsia="黑体"/>
          <w:szCs w:val="21"/>
        </w:rPr>
        <w:tab/>
      </w:r>
      <w:r w:rsidRPr="00AA4A12">
        <w:rPr>
          <w:rFonts w:eastAsia="黑体" w:hAnsi="黑体" w:hint="eastAsia"/>
          <w:szCs w:val="21"/>
        </w:rPr>
        <w:t>促进推出有关性别平等研究的专业化的硕士和博士方案。</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就业</w:t>
      </w:r>
    </w:p>
    <w:p w:rsidR="00255040" w:rsidRPr="00AA4A12" w:rsidRDefault="00255040" w:rsidP="00255040">
      <w:pPr>
        <w:pStyle w:val="SingleTxt"/>
        <w:rPr>
          <w:szCs w:val="21"/>
        </w:rPr>
      </w:pPr>
      <w:r w:rsidRPr="00AA4A12">
        <w:rPr>
          <w:szCs w:val="21"/>
        </w:rPr>
        <w:t>32.</w:t>
      </w:r>
      <w:r w:rsidRPr="00AA4A12">
        <w:rPr>
          <w:szCs w:val="21"/>
        </w:rPr>
        <w:tab/>
      </w:r>
      <w:r w:rsidRPr="00AA4A12">
        <w:rPr>
          <w:rFonts w:hAnsi="宋体" w:hint="eastAsia"/>
          <w:szCs w:val="21"/>
        </w:rPr>
        <w:t>委员会赞赏缔约国为解决正规就业领域的横向和纵向隔离所采取的措施，包</w:t>
      </w:r>
      <w:r w:rsidRPr="00346AFE">
        <w:rPr>
          <w:rFonts w:hAnsi="宋体" w:hint="eastAsia"/>
          <w:spacing w:val="6"/>
          <w:szCs w:val="21"/>
        </w:rPr>
        <w:t>括通过当前正在进一步修订的《劳动法》采取的措施。但是，委员会关切地注意到：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妇女的失业率仍然高得不成比例，特别是少数民族妇女，如罗姆、阿什卡利和埃及妇女，残疾妇女和跨性别妇女；</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管理职位和企业主中妇女代表较低；</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尽管批准通过了《同工同酬法》，但仍存在显著的</w:t>
      </w:r>
      <w:r w:rsidRPr="00AA4A12">
        <w:rPr>
          <w:rFonts w:hint="eastAsia"/>
          <w:szCs w:val="21"/>
        </w:rPr>
        <w:t>16%</w:t>
      </w:r>
      <w:r w:rsidRPr="00AA4A12">
        <w:rPr>
          <w:rFonts w:hAnsi="宋体" w:hint="eastAsia"/>
          <w:szCs w:val="21"/>
        </w:rPr>
        <w:t>的性别薪酬差距，这导致妇女相比男子获得更少的养老金福利，且面临更高的贫困风险；</w:t>
      </w:r>
    </w:p>
    <w:p w:rsidR="00255040" w:rsidRPr="00AA4A12" w:rsidRDefault="00255040" w:rsidP="00255040">
      <w:pPr>
        <w:pStyle w:val="SingleTxt"/>
        <w:rPr>
          <w:szCs w:val="21"/>
        </w:rPr>
      </w:pPr>
      <w:r w:rsidRPr="00AA4A12">
        <w:rPr>
          <w:szCs w:val="21"/>
        </w:rPr>
        <w:tab/>
        <w:t>(d)</w:t>
      </w:r>
      <w:r w:rsidRPr="00AA4A12">
        <w:rPr>
          <w:szCs w:val="21"/>
        </w:rPr>
        <w:tab/>
      </w:r>
      <w:r w:rsidRPr="00AA4A12">
        <w:rPr>
          <w:rFonts w:hAnsi="宋体" w:hint="eastAsia"/>
          <w:szCs w:val="21"/>
        </w:rPr>
        <w:t>劳动力市场仍然存在以婚姻状况和怀孕情况为依据的对妇女的歧视，并且报告不足；</w:t>
      </w:r>
    </w:p>
    <w:p w:rsidR="00255040" w:rsidRPr="00AA4A12" w:rsidRDefault="00255040" w:rsidP="00255040">
      <w:pPr>
        <w:pStyle w:val="SingleTxt"/>
        <w:rPr>
          <w:szCs w:val="21"/>
        </w:rPr>
      </w:pPr>
      <w:r w:rsidRPr="00AA4A12">
        <w:rPr>
          <w:szCs w:val="21"/>
        </w:rPr>
        <w:tab/>
        <w:t>(e)</w:t>
      </w:r>
      <w:r w:rsidRPr="00AA4A12">
        <w:rPr>
          <w:szCs w:val="21"/>
        </w:rPr>
        <w:tab/>
      </w:r>
      <w:r w:rsidRPr="00AA4A12">
        <w:rPr>
          <w:rFonts w:hint="eastAsia"/>
          <w:szCs w:val="21"/>
        </w:rPr>
        <w:t>由于</w:t>
      </w:r>
      <w:r w:rsidRPr="00AA4A12">
        <w:rPr>
          <w:rFonts w:hAnsi="宋体" w:hint="eastAsia"/>
          <w:szCs w:val="21"/>
        </w:rPr>
        <w:t>负担得起的充足高质</w:t>
      </w:r>
      <w:r>
        <w:rPr>
          <w:rFonts w:hAnsi="宋体" w:hint="eastAsia"/>
          <w:szCs w:val="21"/>
        </w:rPr>
        <w:t>量</w:t>
      </w:r>
      <w:r w:rsidRPr="00AA4A12">
        <w:rPr>
          <w:rFonts w:hAnsi="宋体" w:hint="eastAsia"/>
          <w:szCs w:val="21"/>
        </w:rPr>
        <w:t>的儿童护理设施有限，以及缺乏不可转让的育儿假，迫使许多妇女在分娩后退出劳动力队伍，特别是在她们的薪酬低于照料子女的费用的情况下；</w:t>
      </w:r>
    </w:p>
    <w:p w:rsidR="00255040" w:rsidRPr="00AA4A12" w:rsidRDefault="00255040" w:rsidP="00255040">
      <w:pPr>
        <w:pStyle w:val="SingleTxt"/>
        <w:rPr>
          <w:szCs w:val="21"/>
        </w:rPr>
      </w:pPr>
      <w:r w:rsidRPr="00AA4A12">
        <w:rPr>
          <w:szCs w:val="21"/>
        </w:rPr>
        <w:tab/>
        <w:t>(f)</w:t>
      </w:r>
      <w:r w:rsidRPr="00AA4A12">
        <w:rPr>
          <w:szCs w:val="21"/>
        </w:rPr>
        <w:tab/>
      </w:r>
      <w:r w:rsidRPr="00AA4A12">
        <w:rPr>
          <w:rFonts w:hAnsi="宋体" w:hint="eastAsia"/>
          <w:szCs w:val="21"/>
        </w:rPr>
        <w:t>缺乏有关父亲请育儿假的案例信息。</w:t>
      </w:r>
    </w:p>
    <w:p w:rsidR="00255040" w:rsidRPr="00AA4A12" w:rsidRDefault="00255040" w:rsidP="00255040">
      <w:pPr>
        <w:pStyle w:val="SingleTxt"/>
        <w:rPr>
          <w:rFonts w:eastAsia="黑体"/>
          <w:szCs w:val="21"/>
        </w:rPr>
      </w:pPr>
      <w:r w:rsidRPr="00AA4A12">
        <w:rPr>
          <w:rFonts w:eastAsia="黑体"/>
          <w:szCs w:val="21"/>
        </w:rPr>
        <w:t>33.</w:t>
      </w:r>
      <w:r w:rsidRPr="00AA4A12">
        <w:rPr>
          <w:rFonts w:eastAsia="黑体"/>
          <w:szCs w:val="21"/>
        </w:rPr>
        <w:tab/>
      </w:r>
      <w:r w:rsidRPr="00AA4A12">
        <w:rPr>
          <w:rFonts w:eastAsia="黑体" w:hAnsi="黑体" w:hint="eastAsia"/>
          <w:szCs w:val="21"/>
        </w:rPr>
        <w:t>委员会建议缔约国为妇女获得正规就业创造更多机会，包括通过和执行带有时限的具体目标和指标的政策，扭转歧视性的性别成见，以消除职业隔离并通过为妇女提供技术和职业培训，在劳动力市场，包括在传统上由男性主导的领域，实现实质性的男女平等。委员会还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采取措施有</w:t>
      </w:r>
      <w:r w:rsidRPr="00346AFE">
        <w:rPr>
          <w:rFonts w:eastAsia="黑体" w:hAnsi="黑体" w:hint="eastAsia"/>
          <w:szCs w:val="21"/>
        </w:rPr>
        <w:t>效执行同工同酬原则，缩小性别工资差距，这包括使用不带性别色彩的分析性工作分类和评价方法并开展定期</w:t>
      </w:r>
      <w:r w:rsidRPr="00AA4A12">
        <w:rPr>
          <w:rFonts w:eastAsia="黑体" w:hAnsi="黑体" w:hint="eastAsia"/>
          <w:szCs w:val="21"/>
        </w:rPr>
        <w:t>薪酬调查；</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建立保密安全的就基于性或性别的歧视提出申诉的制度，确保受害者有效获取此种补救办法，并对涉及歧视性做法的雇主及时施加相称的处罚；</w:t>
      </w:r>
    </w:p>
    <w:p w:rsidR="00255040"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促进男女平等分担家庭责任，增加充足的、负担得起的儿童保育设施，引入不可转让的带薪育儿假，在下一个报告期提供有关休育儿假父亲人数的统计信息。</w:t>
      </w:r>
    </w:p>
    <w:p w:rsidR="00255040" w:rsidRDefault="00255040">
      <w:pPr>
        <w:spacing w:line="240" w:lineRule="auto"/>
        <w:jc w:val="left"/>
        <w:rPr>
          <w:rFonts w:eastAsia="黑体"/>
          <w:spacing w:val="2"/>
          <w:szCs w:val="21"/>
        </w:rPr>
      </w:pPr>
      <w:r>
        <w:rPr>
          <w:szCs w:val="21"/>
        </w:rPr>
        <w:br w:type="page"/>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Pr>
          <w:rFonts w:ascii="Times New Roman" w:hint="eastAsia"/>
          <w:szCs w:val="21"/>
        </w:rPr>
        <w:t>保健</w:t>
      </w:r>
    </w:p>
    <w:p w:rsidR="00255040" w:rsidRPr="00AA4A12" w:rsidRDefault="00255040" w:rsidP="00255040">
      <w:pPr>
        <w:pStyle w:val="SingleTxt"/>
        <w:rPr>
          <w:szCs w:val="21"/>
        </w:rPr>
      </w:pPr>
      <w:r w:rsidRPr="00AA4A12">
        <w:rPr>
          <w:szCs w:val="21"/>
        </w:rPr>
        <w:t>34.</w:t>
      </w:r>
      <w:r w:rsidRPr="00AA4A12">
        <w:rPr>
          <w:szCs w:val="21"/>
        </w:rPr>
        <w:tab/>
      </w:r>
      <w:r w:rsidRPr="00AA4A12">
        <w:rPr>
          <w:rFonts w:hAnsi="宋体" w:hint="eastAsia"/>
          <w:szCs w:val="21"/>
        </w:rPr>
        <w:t>委员会关切地注意到：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产科病房在卫生状况、止痛、尊重隐私和充分参与决策方面提供的服务不足；</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未持有身份文件的妇女，主要是罗姆、阿什卡利和埃及妇女和女童、沦为难民和寻求庇护的妇女和女童，仅能获得紧急医疗援助；</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对现代避孕方式的利用和对性传播艾滋病毒等疾病的认识非常不足，包括罗姆人、阿什卡利人和埃及人社区的妇女和女童。</w:t>
      </w:r>
    </w:p>
    <w:p w:rsidR="00255040" w:rsidRPr="00AA4A12" w:rsidRDefault="00255040" w:rsidP="00255040">
      <w:pPr>
        <w:pStyle w:val="SingleTxt"/>
        <w:rPr>
          <w:rFonts w:eastAsia="黑体"/>
          <w:szCs w:val="21"/>
        </w:rPr>
      </w:pPr>
      <w:r w:rsidRPr="00AA4A12">
        <w:rPr>
          <w:rFonts w:eastAsia="黑体"/>
          <w:szCs w:val="21"/>
        </w:rPr>
        <w:t>35.</w:t>
      </w:r>
      <w:r w:rsidRPr="00AA4A12">
        <w:rPr>
          <w:rFonts w:eastAsia="黑体"/>
          <w:szCs w:val="21"/>
        </w:rPr>
        <w:tab/>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定期监测和显著改善产科病房的卫生条件，获取止痛，尊重隐私以及病人充分参与产科病房方面决策的情况；</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确保妇女对基本保健的获取不再取决于是否持有身份文件；</w:t>
      </w:r>
    </w:p>
    <w:p w:rsidR="00255040"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为所有妇女和女童提供现代避孕方式，如有必要则免费提供，提高对预防意外怀孕和性传播艾滋病毒等疾病的认识，并将罗姆、阿什卡利和埃及妇女和女童包括在内。</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经济和社会福利</w:t>
      </w:r>
    </w:p>
    <w:p w:rsidR="00255040" w:rsidRPr="00AA4A12" w:rsidRDefault="00255040" w:rsidP="00255040">
      <w:pPr>
        <w:pStyle w:val="SingleTxt"/>
        <w:rPr>
          <w:szCs w:val="21"/>
        </w:rPr>
      </w:pPr>
      <w:r w:rsidRPr="00AA4A12">
        <w:rPr>
          <w:szCs w:val="21"/>
        </w:rPr>
        <w:t>36.</w:t>
      </w:r>
      <w:r w:rsidRPr="00AA4A12">
        <w:rPr>
          <w:szCs w:val="21"/>
        </w:rPr>
        <w:tab/>
      </w:r>
      <w:r w:rsidRPr="00AA4A12">
        <w:rPr>
          <w:rFonts w:hAnsi="宋体" w:hint="eastAsia"/>
          <w:szCs w:val="21"/>
        </w:rPr>
        <w:t>委员会感到关切的是，</w:t>
      </w:r>
      <w:r w:rsidRPr="00AA4A12">
        <w:rPr>
          <w:rFonts w:hAnsi="宋体"/>
          <w:szCs w:val="21"/>
        </w:rPr>
        <w:t>《社会与儿童保护法》</w:t>
      </w:r>
      <w:r w:rsidRPr="00AA4A12">
        <w:rPr>
          <w:szCs w:val="21"/>
        </w:rPr>
        <w:t>2015</w:t>
      </w:r>
      <w:r w:rsidRPr="00AA4A12">
        <w:rPr>
          <w:rFonts w:hAnsi="宋体"/>
          <w:szCs w:val="21"/>
        </w:rPr>
        <w:t>年修正案</w:t>
      </w:r>
      <w:r w:rsidRPr="00AA4A12">
        <w:rPr>
          <w:rFonts w:hAnsi="宋体" w:hint="eastAsia"/>
          <w:szCs w:val="21"/>
        </w:rPr>
        <w:t>对</w:t>
      </w:r>
      <w:r w:rsidRPr="00AA4A12">
        <w:rPr>
          <w:rFonts w:hAnsi="宋体"/>
          <w:szCs w:val="21"/>
        </w:rPr>
        <w:t>那些选择获取</w:t>
      </w:r>
      <w:r w:rsidRPr="00AA4A12">
        <w:rPr>
          <w:rFonts w:hAnsi="宋体" w:hint="eastAsia"/>
          <w:szCs w:val="21"/>
        </w:rPr>
        <w:t>修正案所引入的</w:t>
      </w:r>
      <w:r w:rsidRPr="00AA4A12">
        <w:rPr>
          <w:rFonts w:hAnsi="宋体"/>
          <w:szCs w:val="21"/>
        </w:rPr>
        <w:t>福利的妇女</w:t>
      </w:r>
      <w:r w:rsidRPr="00AA4A12">
        <w:rPr>
          <w:rFonts w:hAnsi="宋体" w:hint="eastAsia"/>
          <w:szCs w:val="21"/>
        </w:rPr>
        <w:t>造成了经济影响</w:t>
      </w:r>
      <w:r w:rsidRPr="00AA4A12">
        <w:rPr>
          <w:rFonts w:hAnsi="宋体"/>
          <w:szCs w:val="21"/>
        </w:rPr>
        <w:t>，缔约国之后宣布这份修正案违宪和无效，这是缔约国自身也承认的一个问题。</w:t>
      </w:r>
      <w:r w:rsidRPr="00AA4A12">
        <w:rPr>
          <w:rFonts w:hAnsi="宋体" w:hint="eastAsia"/>
          <w:szCs w:val="21"/>
        </w:rPr>
        <w:t>委员会关切地注意到，这份修正案是在未进行任何事先性别影响评估的情况下通过的，通过提供促使其离开正规劳动力市场的激励政策强化了妇女作为家庭主妇和母亲的传统角色，因为这项法律允许向那些生育三个或三个以上子女的母亲提供终身福利。委员会尤为关切的是，在废除这部法律后，选择接受这类福利的妇女仅能在非常有限的时期内获得福利，并将面临失业以及贫困加剧的风险。</w:t>
      </w:r>
    </w:p>
    <w:p w:rsidR="00255040" w:rsidRDefault="00255040" w:rsidP="00255040">
      <w:pPr>
        <w:pStyle w:val="SingleTxt"/>
        <w:rPr>
          <w:rFonts w:eastAsia="黑体"/>
          <w:szCs w:val="21"/>
        </w:rPr>
      </w:pPr>
      <w:r w:rsidRPr="00AA4A12">
        <w:rPr>
          <w:rFonts w:eastAsia="黑体"/>
          <w:szCs w:val="21"/>
        </w:rPr>
        <w:t>37.</w:t>
      </w:r>
      <w:r w:rsidRPr="00AA4A12">
        <w:rPr>
          <w:rFonts w:eastAsia="黑体"/>
          <w:szCs w:val="21"/>
        </w:rPr>
        <w:tab/>
      </w:r>
      <w:r w:rsidRPr="00AA4A12">
        <w:rPr>
          <w:rFonts w:eastAsia="黑体" w:hAnsi="黑体" w:hint="eastAsia"/>
          <w:szCs w:val="21"/>
        </w:rPr>
        <w:t>委员会建议缔约国设立一项基金，向所有那些根据被废除的</w:t>
      </w:r>
      <w:r w:rsidRPr="00AA4A12">
        <w:rPr>
          <w:rFonts w:eastAsia="黑体" w:hAnsi="黑体"/>
          <w:szCs w:val="21"/>
        </w:rPr>
        <w:t>《社会和儿童保护法》</w:t>
      </w:r>
      <w:r w:rsidRPr="00AA4A12">
        <w:rPr>
          <w:rFonts w:eastAsia="黑体"/>
          <w:szCs w:val="21"/>
        </w:rPr>
        <w:t>2015</w:t>
      </w:r>
      <w:r w:rsidRPr="00AA4A12">
        <w:rPr>
          <w:rFonts w:eastAsia="黑体" w:hAnsi="黑体"/>
          <w:szCs w:val="21"/>
        </w:rPr>
        <w:t>年</w:t>
      </w:r>
      <w:r w:rsidRPr="00AA4A12">
        <w:rPr>
          <w:rFonts w:eastAsia="黑体" w:hAnsi="黑体" w:hint="eastAsia"/>
          <w:szCs w:val="21"/>
        </w:rPr>
        <w:t>修正案选择领取福利而</w:t>
      </w:r>
      <w:r w:rsidRPr="00AA4A12">
        <w:rPr>
          <w:rFonts w:eastAsia="黑体" w:hAnsi="黑体"/>
          <w:szCs w:val="21"/>
        </w:rPr>
        <w:t>离开正规就业</w:t>
      </w:r>
      <w:r w:rsidRPr="00AA4A12">
        <w:rPr>
          <w:rFonts w:eastAsia="黑体" w:hAnsi="黑体" w:hint="eastAsia"/>
          <w:szCs w:val="21"/>
        </w:rPr>
        <w:t>市场的妇女</w:t>
      </w:r>
      <w:r w:rsidRPr="00AA4A12">
        <w:rPr>
          <w:rFonts w:eastAsia="黑体" w:hAnsi="黑体"/>
          <w:szCs w:val="21"/>
        </w:rPr>
        <w:t>和在重新进入劳动力队伍</w:t>
      </w:r>
      <w:r w:rsidRPr="00AA4A12">
        <w:rPr>
          <w:rFonts w:eastAsia="黑体" w:hAnsi="黑体" w:hint="eastAsia"/>
          <w:szCs w:val="21"/>
        </w:rPr>
        <w:t>方面</w:t>
      </w:r>
      <w:r w:rsidRPr="00AA4A12">
        <w:rPr>
          <w:rFonts w:eastAsia="黑体" w:hAnsi="黑体"/>
          <w:szCs w:val="21"/>
        </w:rPr>
        <w:t>面临困难的妇女提供支助。</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农村妇女</w:t>
      </w:r>
    </w:p>
    <w:p w:rsidR="00255040" w:rsidRPr="00AA4A12" w:rsidRDefault="00255040" w:rsidP="00255040">
      <w:pPr>
        <w:pStyle w:val="SingleTxt"/>
        <w:rPr>
          <w:szCs w:val="21"/>
        </w:rPr>
      </w:pPr>
      <w:r w:rsidRPr="00AA4A12">
        <w:rPr>
          <w:szCs w:val="21"/>
        </w:rPr>
        <w:t>38.</w:t>
      </w:r>
      <w:r w:rsidRPr="00AA4A12">
        <w:rPr>
          <w:szCs w:val="21"/>
        </w:rPr>
        <w:tab/>
      </w:r>
      <w:r w:rsidRPr="00AA4A12">
        <w:rPr>
          <w:rFonts w:hAnsi="宋体" w:hint="eastAsia"/>
          <w:szCs w:val="21"/>
        </w:rPr>
        <w:t>委员会关切地注意到，许多农村妇女的年纪较长，背负着过重的无报酬负担，在艰苦的条件下从事着体力繁重的劳作，例如在获取自来水和</w:t>
      </w:r>
      <w:r>
        <w:rPr>
          <w:rFonts w:hAnsi="宋体" w:hint="eastAsia"/>
          <w:szCs w:val="21"/>
        </w:rPr>
        <w:t>(</w:t>
      </w:r>
      <w:r w:rsidRPr="00AA4A12">
        <w:rPr>
          <w:rFonts w:hAnsi="宋体" w:hint="eastAsia"/>
          <w:szCs w:val="21"/>
        </w:rPr>
        <w:t>或</w:t>
      </w:r>
      <w:r>
        <w:rPr>
          <w:rFonts w:hAnsi="宋体" w:hint="eastAsia"/>
          <w:szCs w:val="21"/>
        </w:rPr>
        <w:t>)</w:t>
      </w:r>
      <w:r w:rsidRPr="00AA4A12">
        <w:rPr>
          <w:rFonts w:hAnsi="宋体" w:hint="eastAsia"/>
          <w:szCs w:val="21"/>
        </w:rPr>
        <w:t>电力及儿童保育设施方面受到限制，而且农村妇女：</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尤为容易遭受性别暴力，仅能有限地诉诸司法、针对受害者的援助和保护、保健、社会保障和其他基本服务；</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经常被排除在政治和公共生活之外，特别是被排除在关于农村发展的决策过程之外。</w:t>
      </w:r>
    </w:p>
    <w:p w:rsidR="00255040" w:rsidRPr="00AA4A12" w:rsidRDefault="00255040" w:rsidP="00255040">
      <w:pPr>
        <w:pStyle w:val="SingleTxt"/>
        <w:rPr>
          <w:rFonts w:eastAsia="黑体"/>
          <w:szCs w:val="21"/>
        </w:rPr>
      </w:pPr>
      <w:r w:rsidRPr="00AA4A12">
        <w:rPr>
          <w:rFonts w:eastAsia="黑体"/>
          <w:szCs w:val="21"/>
        </w:rPr>
        <w:t>39.</w:t>
      </w:r>
      <w:r w:rsidRPr="00AA4A12">
        <w:rPr>
          <w:rFonts w:eastAsia="黑体"/>
          <w:szCs w:val="21"/>
        </w:rPr>
        <w:tab/>
      </w:r>
      <w:r w:rsidRPr="00AA4A12">
        <w:rPr>
          <w:rFonts w:eastAsia="黑体" w:hAnsi="黑体" w:hint="eastAsia"/>
          <w:szCs w:val="21"/>
        </w:rPr>
        <w:t>委员会提请缔约国注意其关于农村妇女权利的第</w:t>
      </w:r>
      <w:r w:rsidRPr="00AA4A12">
        <w:rPr>
          <w:rFonts w:eastAsia="黑体"/>
          <w:szCs w:val="21"/>
        </w:rPr>
        <w:t>34</w:t>
      </w:r>
      <w:r>
        <w:rPr>
          <w:rFonts w:eastAsia="黑体" w:hAnsi="黑体"/>
          <w:szCs w:val="21"/>
        </w:rPr>
        <w:t>(</w:t>
      </w:r>
      <w:r w:rsidRPr="00AA4A12">
        <w:rPr>
          <w:rFonts w:eastAsia="黑体"/>
          <w:szCs w:val="21"/>
        </w:rPr>
        <w:t>2016</w:t>
      </w:r>
      <w:r>
        <w:rPr>
          <w:rFonts w:eastAsia="黑体" w:hAnsi="黑体"/>
          <w:szCs w:val="21"/>
        </w:rPr>
        <w:t>)</w:t>
      </w:r>
      <w:r w:rsidRPr="00AA4A12">
        <w:rPr>
          <w:rFonts w:eastAsia="黑体" w:hAnsi="黑体"/>
          <w:szCs w:val="21"/>
        </w:rPr>
        <w:t>号一般性建议。</w:t>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依照其关于城乡家庭企业中的无酬女工的第</w:t>
      </w:r>
      <w:r w:rsidRPr="00AA4A12">
        <w:rPr>
          <w:rFonts w:eastAsia="黑体"/>
          <w:szCs w:val="21"/>
        </w:rPr>
        <w:t>16</w:t>
      </w:r>
      <w:r>
        <w:rPr>
          <w:rFonts w:eastAsia="黑体" w:hAnsi="黑体"/>
          <w:szCs w:val="21"/>
        </w:rPr>
        <w:t>(</w:t>
      </w:r>
      <w:r w:rsidRPr="00AA4A12">
        <w:rPr>
          <w:rFonts w:eastAsia="黑体"/>
          <w:szCs w:val="21"/>
        </w:rPr>
        <w:t>1991</w:t>
      </w:r>
      <w:r>
        <w:rPr>
          <w:rFonts w:eastAsia="黑体" w:hAnsi="黑体"/>
          <w:szCs w:val="21"/>
        </w:rPr>
        <w:t>)</w:t>
      </w:r>
      <w:r w:rsidRPr="00AA4A12">
        <w:rPr>
          <w:rFonts w:eastAsia="黑体" w:hAnsi="黑体"/>
          <w:szCs w:val="21"/>
        </w:rPr>
        <w:t>号一般性建议，</w:t>
      </w:r>
      <w:r w:rsidRPr="00346AFE">
        <w:rPr>
          <w:rFonts w:eastAsia="黑体" w:hAnsi="黑体"/>
          <w:spacing w:val="6"/>
          <w:szCs w:val="21"/>
        </w:rPr>
        <w:t>确保</w:t>
      </w:r>
      <w:r w:rsidRPr="00346AFE">
        <w:rPr>
          <w:rFonts w:eastAsia="黑体" w:hAnsi="黑体" w:hint="eastAsia"/>
          <w:spacing w:val="6"/>
          <w:szCs w:val="21"/>
        </w:rPr>
        <w:t>从事</w:t>
      </w:r>
      <w:r w:rsidRPr="00346AFE">
        <w:rPr>
          <w:rFonts w:eastAsia="黑体" w:hAnsi="黑体"/>
          <w:spacing w:val="6"/>
          <w:szCs w:val="21"/>
        </w:rPr>
        <w:t>无薪酬工作或在非正规部门工作的农村妇女加入非缴费型社会保障制度；</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推出旨在便利农村和偏远地区妇女诉诸司法的流动法院制度，确保这些妇女能获得免遭性别暴力侵害的保护，包括提供足够数量的庇护所，以及针对受害者的援助、复原和赔偿；</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采用对性别敏感的社会保障最低标准，确保所有农村妇女能够获得基本医疗、儿童保育设施和收入保障，部署流动医疗小组，并加强边远农村地区的公共运输服务；</w:t>
      </w:r>
    </w:p>
    <w:p w:rsidR="00255040"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依照其关于妇女参与政治和公共生活的第</w:t>
      </w:r>
      <w:r w:rsidRPr="00AA4A12">
        <w:rPr>
          <w:rFonts w:eastAsia="黑体"/>
          <w:szCs w:val="21"/>
        </w:rPr>
        <w:t>23</w:t>
      </w:r>
      <w:r>
        <w:rPr>
          <w:rFonts w:eastAsia="黑体" w:hAnsi="黑体"/>
          <w:szCs w:val="21"/>
        </w:rPr>
        <w:t>(</w:t>
      </w:r>
      <w:r w:rsidRPr="00AA4A12">
        <w:rPr>
          <w:rFonts w:eastAsia="黑体"/>
          <w:szCs w:val="21"/>
        </w:rPr>
        <w:t>1997</w:t>
      </w:r>
      <w:r>
        <w:rPr>
          <w:rFonts w:eastAsia="黑体" w:hAnsi="黑体"/>
          <w:szCs w:val="21"/>
        </w:rPr>
        <w:t>)</w:t>
      </w:r>
      <w:r w:rsidRPr="00AA4A12">
        <w:rPr>
          <w:rFonts w:eastAsia="黑体" w:hAnsi="黑体"/>
          <w:szCs w:val="21"/>
        </w:rPr>
        <w:t>号一般性建议及其第</w:t>
      </w:r>
      <w:r w:rsidRPr="00AA4A12">
        <w:rPr>
          <w:rFonts w:eastAsia="黑体"/>
          <w:szCs w:val="21"/>
        </w:rPr>
        <w:t>25</w:t>
      </w:r>
      <w:r w:rsidRPr="00AA4A12">
        <w:rPr>
          <w:rFonts w:eastAsia="黑体" w:hAnsi="黑体"/>
          <w:szCs w:val="21"/>
        </w:rPr>
        <w:t>号一般性建议，确保农村妇女自由、有效和知情</w:t>
      </w:r>
      <w:r w:rsidRPr="00AA4A12">
        <w:rPr>
          <w:rFonts w:eastAsia="黑体" w:hAnsi="黑体" w:hint="eastAsia"/>
          <w:szCs w:val="21"/>
        </w:rPr>
        <w:t>地</w:t>
      </w:r>
      <w:r w:rsidRPr="00AA4A12">
        <w:rPr>
          <w:rFonts w:eastAsia="黑体" w:hAnsi="黑体"/>
          <w:szCs w:val="21"/>
        </w:rPr>
        <w:t>参与政治和公共生活及各级决策，包括</w:t>
      </w:r>
      <w:r w:rsidRPr="00AA4A12">
        <w:rPr>
          <w:rFonts w:eastAsia="黑体" w:hAnsi="黑体" w:hint="eastAsia"/>
          <w:szCs w:val="21"/>
        </w:rPr>
        <w:t>有关</w:t>
      </w:r>
      <w:r w:rsidRPr="00AA4A12">
        <w:rPr>
          <w:rFonts w:eastAsia="黑体" w:hAnsi="黑体"/>
          <w:szCs w:val="21"/>
        </w:rPr>
        <w:t>农村发展</w:t>
      </w:r>
      <w:r w:rsidRPr="00AA4A12">
        <w:rPr>
          <w:rFonts w:eastAsia="黑体" w:hAnsi="黑体" w:hint="eastAsia"/>
          <w:szCs w:val="21"/>
        </w:rPr>
        <w:t>的决策</w:t>
      </w:r>
      <w:r w:rsidRPr="00AA4A12">
        <w:rPr>
          <w:rFonts w:eastAsia="黑体" w:hAnsi="黑体"/>
          <w:szCs w:val="21"/>
        </w:rPr>
        <w:t>。</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残疾妇女</w:t>
      </w:r>
    </w:p>
    <w:p w:rsidR="00255040" w:rsidRPr="00AA4A12" w:rsidRDefault="00255040" w:rsidP="00255040">
      <w:pPr>
        <w:pStyle w:val="SingleTxt"/>
        <w:rPr>
          <w:szCs w:val="21"/>
        </w:rPr>
      </w:pPr>
      <w:r w:rsidRPr="00AA4A12">
        <w:rPr>
          <w:szCs w:val="21"/>
        </w:rPr>
        <w:t>40.</w:t>
      </w:r>
      <w:r w:rsidRPr="00AA4A12">
        <w:rPr>
          <w:szCs w:val="21"/>
        </w:rPr>
        <w:tab/>
      </w:r>
      <w:r w:rsidRPr="00AA4A12">
        <w:rPr>
          <w:rFonts w:hAnsi="宋体" w:hint="eastAsia"/>
          <w:szCs w:val="21"/>
        </w:rPr>
        <w:t>委员会感到关切的是，残疾妇女在缔约国面临很大程度的受歧视的风险。委员会尤为关切地注意到：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促进性别平等的法律和政策以及针对残疾人的法律和政策对残疾妇女和女童的特殊需求考虑不足，例如《</w:t>
      </w:r>
      <w:r w:rsidRPr="00AA4A12">
        <w:rPr>
          <w:rFonts w:hint="eastAsia"/>
          <w:szCs w:val="21"/>
        </w:rPr>
        <w:t>2016-2020</w:t>
      </w:r>
      <w:r w:rsidRPr="00AA4A12">
        <w:rPr>
          <w:rFonts w:hAnsi="宋体" w:hint="eastAsia"/>
          <w:szCs w:val="21"/>
        </w:rPr>
        <w:t>年残疾人融入战略》</w:t>
      </w:r>
      <w:r w:rsidRPr="00AA4A12">
        <w:rPr>
          <w:rFonts w:hAnsi="宋体"/>
          <w:szCs w:val="21"/>
        </w:rPr>
        <w:t>；</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残疾妇女常被剥夺获取性和生殖健康权利以及身为人母亲的权利，而且她们的子女常被从身边带离；</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残疾妇女因就业率非常低导致贫穷风险过高，因为她们获得的收入和</w:t>
      </w:r>
      <w:r>
        <w:rPr>
          <w:rFonts w:hAnsi="宋体" w:hint="eastAsia"/>
          <w:szCs w:val="21"/>
        </w:rPr>
        <w:t>(</w:t>
      </w:r>
      <w:r w:rsidRPr="00AA4A12">
        <w:rPr>
          <w:rFonts w:hAnsi="宋体" w:hint="eastAsia"/>
          <w:szCs w:val="21"/>
        </w:rPr>
        <w:t>或</w:t>
      </w:r>
      <w:r>
        <w:rPr>
          <w:rFonts w:hAnsi="宋体" w:hint="eastAsia"/>
          <w:szCs w:val="21"/>
        </w:rPr>
        <w:t>)</w:t>
      </w:r>
      <w:r w:rsidRPr="00AA4A12">
        <w:rPr>
          <w:rFonts w:hAnsi="宋体" w:hint="eastAsia"/>
          <w:szCs w:val="21"/>
        </w:rPr>
        <w:t>福利常被全家拿来共享或完全用尽。</w:t>
      </w:r>
    </w:p>
    <w:p w:rsidR="00255040" w:rsidRPr="00AA4A12" w:rsidRDefault="00255040" w:rsidP="00255040">
      <w:pPr>
        <w:pStyle w:val="SingleTxt"/>
        <w:rPr>
          <w:rFonts w:eastAsia="黑体"/>
          <w:szCs w:val="21"/>
        </w:rPr>
      </w:pPr>
      <w:r w:rsidRPr="00AA4A12">
        <w:rPr>
          <w:rFonts w:eastAsia="黑体"/>
          <w:szCs w:val="21"/>
        </w:rPr>
        <w:t>41.</w:t>
      </w:r>
      <w:r w:rsidRPr="00AA4A12">
        <w:rPr>
          <w:rFonts w:eastAsia="黑体"/>
          <w:szCs w:val="21"/>
        </w:rPr>
        <w:tab/>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确保系统性地考虑到残疾妇女和女童的特殊需求，例如在制定和执行促进性别平等和残疾人平等的法律和政策中利用影响评估；</w:t>
      </w:r>
    </w:p>
    <w:p w:rsidR="00255040" w:rsidRPr="00AA4A12" w:rsidRDefault="00255040" w:rsidP="00255040">
      <w:pPr>
        <w:pStyle w:val="SingleTxt"/>
        <w:rPr>
          <w:rFonts w:eastAsia="黑体"/>
          <w:szCs w:val="21"/>
        </w:rPr>
      </w:pPr>
      <w:r w:rsidRPr="00AA4A12">
        <w:rPr>
          <w:rFonts w:eastAsia="黑体"/>
          <w:szCs w:val="21"/>
        </w:rPr>
        <w:tab/>
        <w:t>(b)</w:t>
      </w:r>
      <w:r>
        <w:rPr>
          <w:rFonts w:eastAsia="黑体" w:hint="eastAsia"/>
          <w:szCs w:val="21"/>
        </w:rPr>
        <w:tab/>
      </w:r>
      <w:r w:rsidRPr="00AA4A12">
        <w:rPr>
          <w:rFonts w:eastAsia="黑体" w:hAnsi="黑体" w:hint="eastAsia"/>
          <w:szCs w:val="21"/>
        </w:rPr>
        <w:t>按照《国际人口与发展会议行动纲领》以及《北京宣言》和《行动纲要》及其成果文件，确保残疾妇女有权选择其子女数量和生育间隔，以及有权在不受胁迫、歧视和暴力的情况下，自由和负责任地掌控并决定与其性行为有关的事项，包括性和生殖健康；</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确保不以母亲残疾为由将子女与其母亲分离，如有需要，应提供社区服务协助母亲抚养子女；</w:t>
      </w:r>
    </w:p>
    <w:p w:rsidR="00255040"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提高对残疾妇女经济自主重要性的认识，建立适当的程序，使残疾妇女能够在其收入和</w:t>
      </w:r>
      <w:r>
        <w:rPr>
          <w:rFonts w:eastAsia="黑体" w:hAnsi="黑体" w:hint="eastAsia"/>
          <w:szCs w:val="21"/>
        </w:rPr>
        <w:t>(</w:t>
      </w:r>
      <w:r w:rsidRPr="00AA4A12">
        <w:rPr>
          <w:rFonts w:eastAsia="黑体" w:hAnsi="黑体" w:hint="eastAsia"/>
          <w:szCs w:val="21"/>
        </w:rPr>
        <w:t>或</w:t>
      </w:r>
      <w:r>
        <w:rPr>
          <w:rFonts w:eastAsia="黑体" w:hAnsi="黑体" w:hint="eastAsia"/>
          <w:szCs w:val="21"/>
        </w:rPr>
        <w:t>)</w:t>
      </w:r>
      <w:r w:rsidRPr="00AA4A12">
        <w:rPr>
          <w:rFonts w:eastAsia="黑体" w:hAnsi="黑体" w:hint="eastAsia"/>
          <w:szCs w:val="21"/>
        </w:rPr>
        <w:t>福利被家庭成员拿走的情况下对其收入和</w:t>
      </w:r>
      <w:r>
        <w:rPr>
          <w:rFonts w:eastAsia="黑体" w:hAnsi="黑体" w:hint="eastAsia"/>
          <w:szCs w:val="21"/>
        </w:rPr>
        <w:t>(</w:t>
      </w:r>
      <w:r w:rsidRPr="00AA4A12">
        <w:rPr>
          <w:rFonts w:eastAsia="黑体" w:hAnsi="黑体" w:hint="eastAsia"/>
          <w:szCs w:val="21"/>
        </w:rPr>
        <w:t>或</w:t>
      </w:r>
      <w:r>
        <w:rPr>
          <w:rFonts w:eastAsia="黑体" w:hAnsi="黑体" w:hint="eastAsia"/>
          <w:szCs w:val="21"/>
        </w:rPr>
        <w:t>)</w:t>
      </w:r>
      <w:r w:rsidRPr="00AA4A12">
        <w:rPr>
          <w:rFonts w:eastAsia="黑体" w:hAnsi="黑体" w:hint="eastAsia"/>
          <w:szCs w:val="21"/>
        </w:rPr>
        <w:t>福利提出权利主张，并确保将福利直接转给残疾妇女，而不是转给其家庭成员。</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罗姆、阿什卡利和埃及妇女</w:t>
      </w:r>
    </w:p>
    <w:p w:rsidR="00255040" w:rsidRPr="00AA4A12" w:rsidRDefault="00255040" w:rsidP="00255040">
      <w:pPr>
        <w:pStyle w:val="SingleTxt"/>
        <w:rPr>
          <w:szCs w:val="21"/>
        </w:rPr>
      </w:pPr>
      <w:r w:rsidRPr="00AA4A12">
        <w:rPr>
          <w:szCs w:val="21"/>
        </w:rPr>
        <w:t>42.</w:t>
      </w:r>
      <w:r w:rsidRPr="00AA4A12">
        <w:rPr>
          <w:szCs w:val="21"/>
        </w:rPr>
        <w:tab/>
      </w:r>
      <w:r w:rsidRPr="00AA4A12">
        <w:rPr>
          <w:rFonts w:hAnsi="宋体" w:hint="eastAsia"/>
          <w:szCs w:val="21"/>
        </w:rPr>
        <w:t>委员会注意到，缔约国已采取措施改善罗姆、阿什卡利和埃及妇女和女童的处境，这些人通常容易遭受交叉歧视和普遍贫困。在这方面，委员会还关切地注意到，生活在波德戈里察的</w:t>
      </w:r>
      <w:bookmarkStart w:id="5" w:name="OLE_LINK3"/>
      <w:r w:rsidRPr="00AA4A12">
        <w:rPr>
          <w:rFonts w:hAnsi="宋体" w:hint="eastAsia"/>
          <w:szCs w:val="21"/>
        </w:rPr>
        <w:t>科尼克</w:t>
      </w:r>
      <w:bookmarkEnd w:id="5"/>
      <w:r w:rsidRPr="00AA4A12">
        <w:rPr>
          <w:rFonts w:hAnsi="宋体" w:hint="eastAsia"/>
          <w:szCs w:val="21"/>
        </w:rPr>
        <w:t>难民营中的罗姆、阿什卡利和埃及妇女和女童尤为悲惨的境况，她们面临基本服务和基础设施匮乏的处境。委员会关切地注意到，缔约国采取的措施仍然不够，这些措施没有得到充分的政治意愿的支撑，以有效解决罗姆、阿什卡利和埃及妇女面临的受歧视和被边缘化的问题。</w:t>
      </w:r>
    </w:p>
    <w:p w:rsidR="00255040" w:rsidRPr="00AA4A12" w:rsidRDefault="00255040" w:rsidP="00255040">
      <w:pPr>
        <w:pStyle w:val="SingleTxt"/>
        <w:rPr>
          <w:rFonts w:eastAsia="黑体"/>
          <w:szCs w:val="21"/>
        </w:rPr>
      </w:pPr>
      <w:r w:rsidRPr="00AA4A12">
        <w:rPr>
          <w:rFonts w:eastAsia="黑体"/>
          <w:szCs w:val="21"/>
        </w:rPr>
        <w:t>43.</w:t>
      </w:r>
      <w:r w:rsidRPr="00AA4A12">
        <w:rPr>
          <w:rFonts w:eastAsia="黑体"/>
          <w:szCs w:val="21"/>
        </w:rPr>
        <w:tab/>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采取有针对性的措施，包括暂行特别措施，以打击针对罗姆、阿什卡利和埃及妇女和女童实施的交叉形式歧视，包括在教育、就业和保健领域；</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为罗姆、阿什卡利和埃及妇女制定专门的扶贫和社会包容方案；</w:t>
      </w:r>
    </w:p>
    <w:p w:rsidR="00255040"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继续努力改善科尼克难民营的境况，并采取措施将生活在难民营中的人融入社区。</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被拘押妇女</w:t>
      </w:r>
    </w:p>
    <w:p w:rsidR="00255040" w:rsidRPr="00AA4A12" w:rsidRDefault="00255040" w:rsidP="00255040">
      <w:pPr>
        <w:pStyle w:val="SingleTxt"/>
        <w:rPr>
          <w:szCs w:val="21"/>
        </w:rPr>
      </w:pPr>
      <w:r w:rsidRPr="00AA4A12">
        <w:rPr>
          <w:szCs w:val="21"/>
        </w:rPr>
        <w:t>44.</w:t>
      </w:r>
      <w:r w:rsidRPr="00AA4A12">
        <w:rPr>
          <w:szCs w:val="21"/>
        </w:rPr>
        <w:tab/>
      </w:r>
      <w:r w:rsidRPr="00AA4A12">
        <w:rPr>
          <w:rFonts w:hAnsi="宋体" w:hint="eastAsia"/>
          <w:szCs w:val="21"/>
        </w:rPr>
        <w:t>委员会关切地注意到，缔约国仅有一所女子监狱，在这所监狱内，审前羁押的妇女没有与已定罪妇女分开，包括那些因重罪而长期服刑的人。委员会关切的是，如果被监禁妇女的子女或其他家庭成员生活在缔约国其他地方，距离监狱路途遥远，那么这些被监禁妇女则无法与其子女或其他家庭成员定期接触。委员会还关切地注意到以下方面：</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有报告称男性监狱工作人员对女性囚犯施加性别暴力，包括性骚扰和</w:t>
      </w:r>
      <w:r>
        <w:rPr>
          <w:rFonts w:hAnsi="宋体" w:hint="eastAsia"/>
          <w:szCs w:val="21"/>
        </w:rPr>
        <w:t>(</w:t>
      </w:r>
      <w:r w:rsidRPr="00AA4A12">
        <w:rPr>
          <w:rFonts w:hAnsi="宋体" w:hint="eastAsia"/>
          <w:szCs w:val="21"/>
        </w:rPr>
        <w:t>或</w:t>
      </w:r>
      <w:r>
        <w:rPr>
          <w:rFonts w:hAnsi="宋体" w:hint="eastAsia"/>
          <w:szCs w:val="21"/>
        </w:rPr>
        <w:t>)</w:t>
      </w:r>
      <w:r w:rsidRPr="00AA4A12">
        <w:rPr>
          <w:rFonts w:hAnsi="宋体" w:hint="eastAsia"/>
          <w:szCs w:val="21"/>
        </w:rPr>
        <w:t>攻击；</w:t>
      </w:r>
    </w:p>
    <w:p w:rsidR="00255040" w:rsidRPr="00AA4A12" w:rsidRDefault="00255040" w:rsidP="00255040">
      <w:pPr>
        <w:pStyle w:val="SingleTxt"/>
        <w:rPr>
          <w:szCs w:val="21"/>
        </w:rPr>
      </w:pPr>
      <w:r w:rsidRPr="00AA4A12">
        <w:rPr>
          <w:szCs w:val="21"/>
        </w:rPr>
        <w:tab/>
        <w:t>(b)</w:t>
      </w:r>
      <w:r w:rsidRPr="00AA4A12">
        <w:rPr>
          <w:szCs w:val="21"/>
        </w:rPr>
        <w:tab/>
      </w:r>
      <w:r w:rsidRPr="00346AFE">
        <w:rPr>
          <w:rFonts w:hAnsi="宋体" w:hint="eastAsia"/>
          <w:spacing w:val="6"/>
          <w:szCs w:val="21"/>
        </w:rPr>
        <w:t>女性囚犯获取识字和教育计划、毒品依赖治疗和重返社会方案的机会有限。</w:t>
      </w:r>
    </w:p>
    <w:p w:rsidR="00255040" w:rsidRPr="00AA4A12" w:rsidRDefault="00255040" w:rsidP="00255040">
      <w:pPr>
        <w:pStyle w:val="SingleTxt"/>
        <w:rPr>
          <w:rFonts w:eastAsia="黑体"/>
          <w:szCs w:val="21"/>
        </w:rPr>
      </w:pPr>
      <w:r w:rsidRPr="00AA4A12">
        <w:rPr>
          <w:rFonts w:eastAsia="黑体"/>
          <w:szCs w:val="21"/>
        </w:rPr>
        <w:t>45.</w:t>
      </w:r>
      <w:r w:rsidRPr="00AA4A12">
        <w:rPr>
          <w:rFonts w:eastAsia="黑体"/>
          <w:szCs w:val="21"/>
        </w:rPr>
        <w:tab/>
      </w:r>
      <w:r w:rsidRPr="00AA4A12">
        <w:rPr>
          <w:rFonts w:eastAsia="黑体" w:hAnsi="黑体" w:hint="eastAsia"/>
          <w:szCs w:val="21"/>
        </w:rPr>
        <w:t>委员会建议缔约国为执行《联合国女性囚犯待遇和女性罪犯非拘禁措施规则》</w:t>
      </w:r>
      <w:r>
        <w:rPr>
          <w:rFonts w:eastAsia="黑体" w:hAnsi="黑体" w:hint="eastAsia"/>
          <w:szCs w:val="21"/>
        </w:rPr>
        <w:t>(</w:t>
      </w:r>
      <w:r>
        <w:rPr>
          <w:rFonts w:eastAsia="黑体" w:hAnsi="黑体" w:hint="eastAsia"/>
          <w:szCs w:val="21"/>
        </w:rPr>
        <w:t>《</w:t>
      </w:r>
      <w:r w:rsidRPr="00AA4A12">
        <w:rPr>
          <w:rFonts w:eastAsia="黑体" w:hAnsi="黑体" w:hint="eastAsia"/>
          <w:szCs w:val="21"/>
        </w:rPr>
        <w:t>曼谷规则</w:t>
      </w:r>
      <w:r>
        <w:rPr>
          <w:rFonts w:eastAsia="黑体" w:hAnsi="黑体" w:hint="eastAsia"/>
          <w:szCs w:val="21"/>
        </w:rPr>
        <w:t>》</w:t>
      </w:r>
      <w:r>
        <w:rPr>
          <w:rFonts w:eastAsia="黑体" w:hAnsi="黑体" w:hint="eastAsia"/>
          <w:szCs w:val="21"/>
        </w:rPr>
        <w:t>)</w:t>
      </w:r>
      <w:r w:rsidRPr="00AA4A12">
        <w:rPr>
          <w:rFonts w:eastAsia="黑体" w:hAnsi="黑体" w:hint="eastAsia"/>
          <w:szCs w:val="21"/>
        </w:rPr>
        <w:t>分配必要资源，</w:t>
      </w:r>
      <w:r w:rsidRPr="00AA4A12">
        <w:rPr>
          <w:rFonts w:eastAsia="黑体" w:hAnsi="黑体"/>
          <w:szCs w:val="21"/>
        </w:rPr>
        <w:t>并采取以下措施：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确保所有工作人员，包括拘押设施内的男性工作人员，接受有关妇女权利和性别敏感行为的义务培训，大幅增加女性工作人员的数量，并确保被拘押女性能够保密和有效地诉诸监狱系统之外的独立司法和其他申诉机构以及诉诸监狱内的封闭投诉室；</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在缔约国全国开设更多的女子拘押设施，确保有子女妇女被关押在距其子女家距离合理的设施内；</w:t>
      </w:r>
    </w:p>
    <w:p w:rsidR="00255040"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向被拘押妇女提供充分的识字和教育方案、毒品依赖治疗、有报酬工作和重返社会方案。</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女同性恋、双性恋和跨性别妇女</w:t>
      </w:r>
    </w:p>
    <w:p w:rsidR="00255040" w:rsidRPr="00AA4A12" w:rsidRDefault="00255040" w:rsidP="00255040">
      <w:pPr>
        <w:pStyle w:val="SingleTxt"/>
        <w:rPr>
          <w:szCs w:val="21"/>
        </w:rPr>
      </w:pPr>
      <w:r w:rsidRPr="00AA4A12">
        <w:rPr>
          <w:szCs w:val="21"/>
        </w:rPr>
        <w:t>46.</w:t>
      </w:r>
      <w:r w:rsidRPr="00AA4A12">
        <w:rPr>
          <w:szCs w:val="21"/>
        </w:rPr>
        <w:tab/>
      </w:r>
      <w:r w:rsidRPr="00AA4A12">
        <w:rPr>
          <w:rFonts w:hAnsi="宋体" w:hint="eastAsia"/>
          <w:szCs w:val="21"/>
        </w:rPr>
        <w:t>委员会注意到，缔约国为消除女同性恋、双性恋和跨性别妇女遭受的歧视所采取的措施，这包括制定《</w:t>
      </w:r>
      <w:r w:rsidRPr="00AA4A12">
        <w:rPr>
          <w:rFonts w:hint="eastAsia"/>
          <w:szCs w:val="21"/>
        </w:rPr>
        <w:t>2013-2017</w:t>
      </w:r>
      <w:r w:rsidRPr="00AA4A12">
        <w:rPr>
          <w:rFonts w:hAnsi="宋体" w:hint="eastAsia"/>
          <w:szCs w:val="21"/>
        </w:rPr>
        <w:t>年改善男女同性恋、双性恋和跨性别者生活质量战略》</w:t>
      </w:r>
      <w:r w:rsidRPr="00AA4A12">
        <w:rPr>
          <w:rFonts w:hAnsi="宋体"/>
          <w:szCs w:val="21"/>
        </w:rPr>
        <w:t>以及</w:t>
      </w:r>
      <w:r w:rsidRPr="00AA4A12">
        <w:rPr>
          <w:rFonts w:hAnsi="宋体" w:hint="eastAsia"/>
          <w:szCs w:val="21"/>
        </w:rPr>
        <w:t>在</w:t>
      </w:r>
      <w:r w:rsidRPr="00AA4A12">
        <w:rPr>
          <w:rFonts w:hAnsi="宋体"/>
          <w:szCs w:val="21"/>
        </w:rPr>
        <w:t>《禁止歧视法》和《性别平等法》中</w:t>
      </w:r>
      <w:r w:rsidRPr="00AA4A12">
        <w:rPr>
          <w:rFonts w:hAnsi="宋体" w:hint="eastAsia"/>
          <w:szCs w:val="21"/>
        </w:rPr>
        <w:t>规定禁止基于</w:t>
      </w:r>
      <w:r w:rsidRPr="00AA4A12">
        <w:rPr>
          <w:rFonts w:hAnsi="宋体"/>
          <w:szCs w:val="21"/>
        </w:rPr>
        <w:t>性</w:t>
      </w:r>
      <w:r w:rsidRPr="00AA4A12">
        <w:rPr>
          <w:rFonts w:hAnsi="宋体" w:hint="eastAsia"/>
          <w:szCs w:val="21"/>
        </w:rPr>
        <w:t>取向</w:t>
      </w:r>
      <w:r w:rsidRPr="00AA4A12">
        <w:rPr>
          <w:rFonts w:hAnsi="宋体"/>
          <w:szCs w:val="21"/>
        </w:rPr>
        <w:t>和性别认同</w:t>
      </w:r>
      <w:r w:rsidRPr="00AA4A12">
        <w:rPr>
          <w:rFonts w:hAnsi="宋体" w:hint="eastAsia"/>
          <w:szCs w:val="21"/>
        </w:rPr>
        <w:t>的歧视行为</w:t>
      </w:r>
      <w:r w:rsidRPr="00AA4A12">
        <w:rPr>
          <w:rFonts w:hAnsi="宋体"/>
          <w:szCs w:val="21"/>
        </w:rPr>
        <w:t>。</w:t>
      </w:r>
      <w:r w:rsidRPr="00AA4A12">
        <w:rPr>
          <w:rFonts w:hAnsi="宋体" w:hint="eastAsia"/>
          <w:szCs w:val="21"/>
        </w:rPr>
        <w:t>但是，委员会感到关切的是，女同性恋、双性恋和跨性别妇女遭到严重歧视和性别暴力，并且社会普遍将其视为病态。委员会还感到关切的是，法律要求跨性别者接受外科手术干预以获得法律承认。</w:t>
      </w:r>
    </w:p>
    <w:p w:rsidR="00255040" w:rsidRPr="00AA4A12" w:rsidRDefault="00255040" w:rsidP="00255040">
      <w:pPr>
        <w:pStyle w:val="SingleTxt"/>
        <w:rPr>
          <w:rFonts w:eastAsia="黑体"/>
          <w:szCs w:val="21"/>
        </w:rPr>
      </w:pPr>
      <w:r w:rsidRPr="00AA4A12">
        <w:rPr>
          <w:rFonts w:eastAsia="黑体"/>
          <w:szCs w:val="21"/>
        </w:rPr>
        <w:t>47.</w:t>
      </w:r>
      <w:r w:rsidRPr="00AA4A12">
        <w:rPr>
          <w:rFonts w:eastAsia="黑体"/>
          <w:szCs w:val="21"/>
        </w:rPr>
        <w:tab/>
      </w:r>
      <w:r w:rsidRPr="00AA4A12">
        <w:rPr>
          <w:rFonts w:eastAsia="黑体" w:hAnsi="黑体" w:hint="eastAsia"/>
          <w:szCs w:val="21"/>
        </w:rPr>
        <w:t>委员会建议缔约国提高对打击歧视行为的认识，包括对女同性恋、双性恋和跨性别妇女的普遍误解。委员会还建议缔约国：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对歧视和暴力侵害女同性恋、双性恋和跨性别妇女的行为采取零容忍政策，包括通过对施害者起诉和予以适当处罚；</w:t>
      </w:r>
    </w:p>
    <w:p w:rsidR="00255040"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简化法律</w:t>
      </w:r>
      <w:r w:rsidRPr="00C31EBF">
        <w:rPr>
          <w:rFonts w:ascii="黑体" w:eastAsia="黑体" w:hAnsi="宋体" w:hint="eastAsia"/>
          <w:szCs w:val="21"/>
        </w:rPr>
        <w:t>认可</w:t>
      </w:r>
      <w:r w:rsidRPr="00AA4A12">
        <w:rPr>
          <w:rFonts w:eastAsia="黑体" w:hAnsi="黑体" w:hint="eastAsia"/>
          <w:szCs w:val="21"/>
        </w:rPr>
        <w:t>性别改变的程序，包括取缔接受绝育的要求。</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婚姻和家庭关系</w:t>
      </w:r>
    </w:p>
    <w:p w:rsidR="00255040" w:rsidRPr="00AA4A12" w:rsidRDefault="00255040" w:rsidP="00255040">
      <w:pPr>
        <w:pStyle w:val="SingleTxt"/>
        <w:rPr>
          <w:szCs w:val="21"/>
        </w:rPr>
      </w:pPr>
      <w:r w:rsidRPr="00AA4A12">
        <w:rPr>
          <w:szCs w:val="21"/>
        </w:rPr>
        <w:t>48.</w:t>
      </w:r>
      <w:r w:rsidRPr="00AA4A12">
        <w:rPr>
          <w:szCs w:val="21"/>
        </w:rPr>
        <w:tab/>
      </w:r>
      <w:r w:rsidRPr="00AA4A12">
        <w:rPr>
          <w:rFonts w:hAnsi="宋体" w:hint="eastAsia"/>
          <w:szCs w:val="21"/>
        </w:rPr>
        <w:t>委员会关切地注意到，法官在决定子女的监护权时很少考虑在家庭内部发生的基于性别的暴力侵害母亲的行为，尽管近期的《家庭法》第</w:t>
      </w:r>
      <w:r w:rsidRPr="00AA4A12">
        <w:rPr>
          <w:szCs w:val="21"/>
        </w:rPr>
        <w:t>363</w:t>
      </w:r>
      <w:r w:rsidRPr="00AA4A12">
        <w:rPr>
          <w:rFonts w:hAnsi="宋体"/>
          <w:szCs w:val="21"/>
        </w:rPr>
        <w:t>条</w:t>
      </w:r>
      <w:r w:rsidRPr="00AA4A12">
        <w:rPr>
          <w:rFonts w:hAnsi="宋体" w:hint="eastAsia"/>
          <w:szCs w:val="21"/>
        </w:rPr>
        <w:t>修正案</w:t>
      </w:r>
      <w:r w:rsidRPr="00AA4A12">
        <w:rPr>
          <w:rFonts w:hAnsi="宋体"/>
          <w:szCs w:val="21"/>
        </w:rPr>
        <w:t>规定在此类案件中应适当考虑儿童和受害者的安全。</w:t>
      </w:r>
      <w:r w:rsidRPr="00AA4A12">
        <w:rPr>
          <w:rFonts w:hAnsi="宋体" w:hint="eastAsia"/>
          <w:szCs w:val="21"/>
        </w:rPr>
        <w:t>委员会还关切地注意到以下方面：</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初审法院中的轻罪法庭和审理家庭法案件的法官之间缺乏信息交流，这导致法官不了解存在的保护措施；</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据报告，法官在多起案例中对妇女可能捏造家庭暴力指控以影响对子女监护权和探视权的判决表达了担忧，而且社会上对作为性别暴力受害者的妇女的诽谤日益增加，将她们描述为善于操纵、虚伪不诚，从而败坏了她们的名誉。</w:t>
      </w:r>
    </w:p>
    <w:p w:rsidR="00255040" w:rsidRPr="00AA4A12" w:rsidRDefault="00255040" w:rsidP="00255040">
      <w:pPr>
        <w:pStyle w:val="SingleTxt"/>
        <w:rPr>
          <w:rFonts w:eastAsia="黑体"/>
          <w:szCs w:val="21"/>
        </w:rPr>
      </w:pPr>
      <w:r w:rsidRPr="00AA4A12">
        <w:rPr>
          <w:rFonts w:eastAsia="黑体"/>
          <w:szCs w:val="21"/>
        </w:rPr>
        <w:t>49.</w:t>
      </w:r>
      <w:r w:rsidRPr="00AA4A12">
        <w:rPr>
          <w:rFonts w:eastAsia="黑体"/>
          <w:szCs w:val="21"/>
        </w:rPr>
        <w:tab/>
      </w:r>
      <w:r w:rsidRPr="00AA4A12">
        <w:rPr>
          <w:rFonts w:eastAsia="黑体" w:hAnsi="黑体" w:hint="eastAsia"/>
          <w:szCs w:val="21"/>
        </w:rPr>
        <w:t>委员会建议缔约国：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确保司法部门成员接受关于在儿童监护权案件中将性别暴力因素考虑在内的义务培训，优先考虑对罪行进行起诉而不是家庭和解，以便对基于性别的暴力侵害妇女的行为予以适当惩罚并防止其再次发生；</w:t>
      </w:r>
    </w:p>
    <w:p w:rsidR="00255040" w:rsidRPr="00AA4A12"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确保基于性别的暴力侵害妇女行为问题专家系统性地聆讯儿童监护权的程序；</w:t>
      </w:r>
    </w:p>
    <w:p w:rsidR="00255040" w:rsidRPr="00AA4A12" w:rsidRDefault="00255040" w:rsidP="00255040">
      <w:pPr>
        <w:pStyle w:val="SingleTxt"/>
        <w:rPr>
          <w:rFonts w:eastAsia="黑体"/>
          <w:szCs w:val="21"/>
        </w:rPr>
      </w:pPr>
      <w:r w:rsidRPr="00AA4A12">
        <w:rPr>
          <w:rFonts w:eastAsia="黑体"/>
          <w:szCs w:val="21"/>
        </w:rPr>
        <w:tab/>
        <w:t>(c)</w:t>
      </w:r>
      <w:r w:rsidRPr="00AA4A12">
        <w:rPr>
          <w:rFonts w:eastAsia="黑体"/>
          <w:szCs w:val="21"/>
        </w:rPr>
        <w:tab/>
      </w:r>
      <w:r w:rsidRPr="00AA4A12">
        <w:rPr>
          <w:rFonts w:eastAsia="黑体" w:hAnsi="黑体" w:hint="eastAsia"/>
          <w:szCs w:val="21"/>
        </w:rPr>
        <w:t>采取必要措施，确保主管轻罪法庭和家庭法庭就家庭法案件中现有或之前的保护措施问题系统地交流信息；</w:t>
      </w:r>
    </w:p>
    <w:p w:rsidR="00255040" w:rsidRPr="00AA4A12" w:rsidRDefault="00255040" w:rsidP="00255040">
      <w:pPr>
        <w:pStyle w:val="SingleTxt"/>
        <w:rPr>
          <w:rFonts w:eastAsia="黑体"/>
          <w:szCs w:val="21"/>
        </w:rPr>
      </w:pPr>
      <w:r w:rsidRPr="00AA4A12">
        <w:rPr>
          <w:rFonts w:eastAsia="黑体"/>
          <w:szCs w:val="21"/>
        </w:rPr>
        <w:tab/>
        <w:t>(d)</w:t>
      </w:r>
      <w:r w:rsidRPr="00AA4A12">
        <w:rPr>
          <w:rFonts w:eastAsia="黑体"/>
          <w:szCs w:val="21"/>
        </w:rPr>
        <w:tab/>
      </w:r>
      <w:r w:rsidRPr="00AA4A12">
        <w:rPr>
          <w:rFonts w:eastAsia="黑体" w:hAnsi="黑体" w:hint="eastAsia"/>
          <w:szCs w:val="21"/>
        </w:rPr>
        <w:t>提高认识，以破除司法系统中的性别主义定型观念，确保表达这种观点的法官受到适当的纪律处分；</w:t>
      </w:r>
    </w:p>
    <w:p w:rsidR="00255040" w:rsidRDefault="00255040" w:rsidP="00255040">
      <w:pPr>
        <w:pStyle w:val="SingleTxt"/>
        <w:rPr>
          <w:rFonts w:eastAsia="黑体"/>
          <w:szCs w:val="21"/>
        </w:rPr>
      </w:pPr>
      <w:r w:rsidRPr="00AA4A12">
        <w:rPr>
          <w:rFonts w:eastAsia="黑体"/>
          <w:szCs w:val="21"/>
        </w:rPr>
        <w:tab/>
        <w:t>(e)</w:t>
      </w:r>
      <w:r w:rsidRPr="00AA4A12">
        <w:rPr>
          <w:rFonts w:eastAsia="黑体"/>
          <w:szCs w:val="21"/>
        </w:rPr>
        <w:tab/>
      </w:r>
      <w:r w:rsidRPr="00AA4A12">
        <w:rPr>
          <w:rFonts w:eastAsia="黑体" w:hAnsi="黑体" w:hint="eastAsia"/>
          <w:szCs w:val="21"/>
        </w:rPr>
        <w:t>打击针对妇女的诽谤和仇恨言论，包括酌情通过诽谤法。</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离婚和分居的经济后果</w:t>
      </w:r>
    </w:p>
    <w:p w:rsidR="00255040" w:rsidRPr="00AA4A12" w:rsidRDefault="00255040" w:rsidP="00255040">
      <w:pPr>
        <w:pStyle w:val="SingleTxt"/>
        <w:rPr>
          <w:szCs w:val="21"/>
        </w:rPr>
      </w:pPr>
      <w:r w:rsidRPr="00AA4A12">
        <w:rPr>
          <w:szCs w:val="21"/>
        </w:rPr>
        <w:t>50.</w:t>
      </w:r>
      <w:r w:rsidRPr="00AA4A12">
        <w:rPr>
          <w:szCs w:val="21"/>
        </w:rPr>
        <w:tab/>
      </w:r>
      <w:r w:rsidRPr="00AA4A12">
        <w:rPr>
          <w:rFonts w:hAnsi="宋体" w:hint="eastAsia"/>
          <w:szCs w:val="21"/>
        </w:rPr>
        <w:t>委员会感到关切的是，单亲母亲面临尤为艰难的经济窘境，她们通常无法获得孩子父亲支付的抚养费，缔约国向她们提供的支助不足，而且通常未能强制孩子父亲支付抚养费。在这方面，委员会还关切地注意到，为具备领取社会福利的资格，未收到孩子父亲支付的抚养费的母亲需要对孩子父亲提起正式诉讼。</w:t>
      </w:r>
    </w:p>
    <w:p w:rsidR="00255040" w:rsidRPr="00AA4A12" w:rsidRDefault="00255040" w:rsidP="00255040">
      <w:pPr>
        <w:pStyle w:val="SingleTxt"/>
        <w:rPr>
          <w:rFonts w:eastAsia="黑体"/>
          <w:szCs w:val="21"/>
        </w:rPr>
      </w:pPr>
      <w:r w:rsidRPr="00AA4A12">
        <w:rPr>
          <w:rFonts w:eastAsia="黑体"/>
          <w:szCs w:val="21"/>
        </w:rPr>
        <w:t>51.</w:t>
      </w:r>
      <w:r w:rsidRPr="00AA4A12">
        <w:rPr>
          <w:rFonts w:eastAsia="黑体"/>
          <w:szCs w:val="21"/>
        </w:rPr>
        <w:tab/>
      </w:r>
      <w:r w:rsidRPr="00AA4A12">
        <w:rPr>
          <w:rFonts w:eastAsia="黑体" w:hAnsi="黑体" w:hint="eastAsia"/>
          <w:szCs w:val="21"/>
        </w:rPr>
        <w:t>委员会建议缔约国划拨足够的人力、技术和财政资源向单亲母亲提供支助，建立和执行有效的机制，以确保和监督孩子父亲定期及时地支付抚养费，并在孩子父亲不支付抚养费的情况下，简化母亲获取社会福利的程序。</w:t>
      </w:r>
    </w:p>
    <w:p w:rsidR="00255040" w:rsidRPr="00AA4A12" w:rsidRDefault="00255040" w:rsidP="00255040">
      <w:pPr>
        <w:pStyle w:val="SingleTxt"/>
        <w:rPr>
          <w:szCs w:val="21"/>
        </w:rPr>
      </w:pPr>
      <w:r w:rsidRPr="00AA4A12">
        <w:rPr>
          <w:szCs w:val="21"/>
        </w:rPr>
        <w:t>52.</w:t>
      </w:r>
      <w:r w:rsidRPr="00AA4A12">
        <w:rPr>
          <w:szCs w:val="21"/>
        </w:rPr>
        <w:tab/>
      </w:r>
      <w:r w:rsidRPr="00AA4A12">
        <w:rPr>
          <w:rFonts w:hAnsi="宋体" w:hint="eastAsia"/>
          <w:szCs w:val="21"/>
        </w:rPr>
        <w:t>委员会关切地注意到：</w:t>
      </w:r>
    </w:p>
    <w:p w:rsidR="00255040" w:rsidRPr="00AA4A12" w:rsidRDefault="00255040" w:rsidP="00255040">
      <w:pPr>
        <w:pStyle w:val="SingleTxt"/>
        <w:rPr>
          <w:szCs w:val="21"/>
        </w:rPr>
      </w:pPr>
      <w:r w:rsidRPr="00AA4A12">
        <w:rPr>
          <w:szCs w:val="21"/>
        </w:rPr>
        <w:tab/>
        <w:t>(a)</w:t>
      </w:r>
      <w:r w:rsidRPr="00AA4A12">
        <w:rPr>
          <w:szCs w:val="21"/>
        </w:rPr>
        <w:tab/>
      </w:r>
      <w:r w:rsidRPr="00AA4A12">
        <w:rPr>
          <w:rFonts w:hAnsi="宋体" w:hint="eastAsia"/>
          <w:szCs w:val="21"/>
        </w:rPr>
        <w:t>《家庭法》第</w:t>
      </w:r>
      <w:r w:rsidRPr="00AA4A12">
        <w:rPr>
          <w:szCs w:val="21"/>
        </w:rPr>
        <w:t>288</w:t>
      </w:r>
      <w:r w:rsidRPr="00AA4A12">
        <w:rPr>
          <w:rFonts w:hAnsi="宋体"/>
          <w:szCs w:val="21"/>
        </w:rPr>
        <w:t>条对婚姻财产的定义过于狭隘，将除未来收入能力之外</w:t>
      </w:r>
      <w:r w:rsidRPr="00AA4A12">
        <w:rPr>
          <w:rFonts w:hAnsi="宋体" w:hint="eastAsia"/>
          <w:szCs w:val="21"/>
        </w:rPr>
        <w:t>累计</w:t>
      </w:r>
      <w:r w:rsidRPr="00AA4A12">
        <w:rPr>
          <w:rFonts w:hAnsi="宋体"/>
          <w:szCs w:val="21"/>
        </w:rPr>
        <w:t>养老金</w:t>
      </w:r>
      <w:r w:rsidRPr="00AA4A12">
        <w:rPr>
          <w:rFonts w:hAnsi="宋体" w:hint="eastAsia"/>
          <w:szCs w:val="21"/>
        </w:rPr>
        <w:t>的</w:t>
      </w:r>
      <w:r w:rsidRPr="00AA4A12">
        <w:rPr>
          <w:rFonts w:hAnsi="宋体"/>
          <w:szCs w:val="21"/>
        </w:rPr>
        <w:t>权利和其他工作相关补助等无形资产排除在外，并且没有充分解决配偶间因传统工作和家庭生活模式造成的基于性别的经济</w:t>
      </w:r>
      <w:r w:rsidRPr="00AA4A12">
        <w:rPr>
          <w:rFonts w:hAnsi="宋体" w:hint="eastAsia"/>
          <w:szCs w:val="21"/>
        </w:rPr>
        <w:t>差距</w:t>
      </w:r>
      <w:r w:rsidRPr="00AA4A12">
        <w:rPr>
          <w:rFonts w:hAnsi="宋体"/>
          <w:szCs w:val="21"/>
        </w:rPr>
        <w:t>问题，这通常</w:t>
      </w:r>
      <w:r w:rsidRPr="00AA4A12">
        <w:rPr>
          <w:rFonts w:hAnsi="宋体" w:hint="eastAsia"/>
          <w:szCs w:val="21"/>
        </w:rPr>
        <w:t>导致</w:t>
      </w:r>
      <w:r w:rsidRPr="00AA4A12">
        <w:rPr>
          <w:rFonts w:hAnsi="宋体"/>
          <w:szCs w:val="21"/>
        </w:rPr>
        <w:t>男性从其</w:t>
      </w:r>
      <w:r w:rsidRPr="00AA4A12">
        <w:rPr>
          <w:rFonts w:hAnsi="宋体" w:hint="eastAsia"/>
          <w:szCs w:val="21"/>
        </w:rPr>
        <w:t>加强的</w:t>
      </w:r>
      <w:r w:rsidRPr="00AA4A12">
        <w:rPr>
          <w:rFonts w:hAnsi="宋体"/>
          <w:szCs w:val="21"/>
        </w:rPr>
        <w:t>人力资本和更大的收益潜能中获益，而妇女则是相反的结果；</w:t>
      </w:r>
    </w:p>
    <w:p w:rsidR="00255040" w:rsidRPr="00AA4A12" w:rsidRDefault="00255040" w:rsidP="00255040">
      <w:pPr>
        <w:pStyle w:val="SingleTxt"/>
        <w:rPr>
          <w:szCs w:val="21"/>
        </w:rPr>
      </w:pPr>
      <w:r w:rsidRPr="00AA4A12">
        <w:rPr>
          <w:szCs w:val="21"/>
        </w:rPr>
        <w:tab/>
        <w:t>(b)</w:t>
      </w:r>
      <w:r w:rsidRPr="00AA4A12">
        <w:rPr>
          <w:szCs w:val="21"/>
        </w:rPr>
        <w:tab/>
      </w:r>
      <w:r w:rsidRPr="00AA4A12">
        <w:rPr>
          <w:rFonts w:hAnsi="宋体" w:hint="eastAsia"/>
          <w:szCs w:val="21"/>
        </w:rPr>
        <w:t>尽管法律对共有财产制度作出规定，要求在离婚时均分婚前存续期间获得的财产，但需要妇女证明其对获取财产做出过实际的货币贡献；</w:t>
      </w:r>
    </w:p>
    <w:p w:rsidR="00255040" w:rsidRPr="00AA4A12" w:rsidRDefault="00255040" w:rsidP="00255040">
      <w:pPr>
        <w:pStyle w:val="SingleTxt"/>
        <w:rPr>
          <w:szCs w:val="21"/>
        </w:rPr>
      </w:pPr>
      <w:r w:rsidRPr="00AA4A12">
        <w:rPr>
          <w:szCs w:val="21"/>
        </w:rPr>
        <w:tab/>
        <w:t>(c)</w:t>
      </w:r>
      <w:r w:rsidRPr="00AA4A12">
        <w:rPr>
          <w:szCs w:val="21"/>
        </w:rPr>
        <w:tab/>
      </w:r>
      <w:r w:rsidRPr="00AA4A12">
        <w:rPr>
          <w:rFonts w:hAnsi="宋体" w:hint="eastAsia"/>
          <w:szCs w:val="21"/>
        </w:rPr>
        <w:t>《家庭法》第</w:t>
      </w:r>
      <w:r w:rsidRPr="00AA4A12">
        <w:rPr>
          <w:szCs w:val="21"/>
        </w:rPr>
        <w:t>294</w:t>
      </w:r>
      <w:r w:rsidRPr="00AA4A12">
        <w:rPr>
          <w:rFonts w:hAnsi="宋体"/>
          <w:szCs w:val="21"/>
        </w:rPr>
        <w:t>条规定，如配偶一方能够证明他</w:t>
      </w:r>
      <w:r w:rsidRPr="00AA4A12">
        <w:rPr>
          <w:szCs w:val="21"/>
        </w:rPr>
        <w:t>/</w:t>
      </w:r>
      <w:r w:rsidRPr="00AA4A12">
        <w:rPr>
          <w:rFonts w:hAnsi="宋体"/>
          <w:szCs w:val="21"/>
        </w:rPr>
        <w:t>她做出了更大贡献，则允许不必均分共同财产。</w:t>
      </w:r>
      <w:r w:rsidRPr="00AA4A12">
        <w:rPr>
          <w:rFonts w:hAnsi="宋体" w:hint="eastAsia"/>
          <w:szCs w:val="21"/>
        </w:rPr>
        <w:t>这构成一种财产支配情形，根据最近的研究，这对妇女不利。</w:t>
      </w:r>
    </w:p>
    <w:p w:rsidR="00255040" w:rsidRPr="00AA4A12" w:rsidRDefault="00255040" w:rsidP="00255040">
      <w:pPr>
        <w:pStyle w:val="SingleTxt"/>
        <w:rPr>
          <w:rFonts w:eastAsia="黑体"/>
          <w:szCs w:val="21"/>
        </w:rPr>
      </w:pPr>
      <w:r w:rsidRPr="00AA4A12">
        <w:rPr>
          <w:szCs w:val="21"/>
        </w:rPr>
        <w:t>53.</w:t>
      </w:r>
      <w:r w:rsidRPr="00AA4A12">
        <w:rPr>
          <w:rFonts w:eastAsia="黑体"/>
          <w:szCs w:val="21"/>
        </w:rPr>
        <w:tab/>
      </w:r>
      <w:r w:rsidRPr="00AA4A12">
        <w:rPr>
          <w:rFonts w:eastAsia="黑体" w:hAnsi="黑体" w:hint="eastAsia"/>
          <w:szCs w:val="21"/>
        </w:rPr>
        <w:t>委员会提请缔约国注意其关于婚姻、家庭关系及其解除的第</w:t>
      </w:r>
      <w:r w:rsidRPr="00AA4A12">
        <w:rPr>
          <w:rFonts w:eastAsia="黑体"/>
          <w:szCs w:val="21"/>
        </w:rPr>
        <w:t>29</w:t>
      </w:r>
      <w:r>
        <w:rPr>
          <w:rFonts w:eastAsia="黑体" w:hAnsi="黑体"/>
          <w:szCs w:val="21"/>
        </w:rPr>
        <w:t>(</w:t>
      </w:r>
      <w:r w:rsidRPr="00AA4A12">
        <w:rPr>
          <w:rFonts w:eastAsia="黑体"/>
          <w:szCs w:val="21"/>
        </w:rPr>
        <w:t>2013</w:t>
      </w:r>
      <w:r>
        <w:rPr>
          <w:rFonts w:eastAsia="黑体" w:hAnsi="黑体"/>
          <w:szCs w:val="21"/>
        </w:rPr>
        <w:t>)</w:t>
      </w:r>
      <w:r w:rsidRPr="00AA4A12">
        <w:rPr>
          <w:rFonts w:eastAsia="黑体" w:hAnsi="黑体"/>
          <w:szCs w:val="21"/>
        </w:rPr>
        <w:t>号一般性建议，并建议缔约国：</w:t>
      </w:r>
    </w:p>
    <w:p w:rsidR="00255040" w:rsidRPr="00AA4A12" w:rsidRDefault="00255040" w:rsidP="00255040">
      <w:pPr>
        <w:pStyle w:val="SingleTxt"/>
        <w:rPr>
          <w:rFonts w:eastAsia="黑体"/>
          <w:szCs w:val="21"/>
        </w:rPr>
      </w:pPr>
      <w:r w:rsidRPr="00AA4A12">
        <w:rPr>
          <w:rFonts w:eastAsia="黑体"/>
          <w:szCs w:val="21"/>
        </w:rPr>
        <w:tab/>
        <w:t>(a)</w:t>
      </w:r>
      <w:r w:rsidRPr="00AA4A12">
        <w:rPr>
          <w:rFonts w:eastAsia="黑体"/>
          <w:szCs w:val="21"/>
        </w:rPr>
        <w:tab/>
      </w:r>
      <w:r w:rsidRPr="00AA4A12">
        <w:rPr>
          <w:rFonts w:eastAsia="黑体" w:hAnsi="黑体" w:hint="eastAsia"/>
          <w:szCs w:val="21"/>
        </w:rPr>
        <w:t>修改夫妻财产的定义，以在配偶权利中除纳入未来收益外，还纳入领取权养老金和其他工作相关福利的权利，并采取其他必要法律措施，解决婚姻关系解除时男女经济差距的问题，包括特别是承认作为离婚时配偶双方待分配的婚内财产部分</w:t>
      </w:r>
      <w:r>
        <w:rPr>
          <w:rFonts w:eastAsia="黑体" w:hAnsi="黑体" w:hint="eastAsia"/>
          <w:szCs w:val="21"/>
        </w:rPr>
        <w:t>的与职业相关的所有资产</w:t>
      </w:r>
      <w:r w:rsidRPr="00AA4A12">
        <w:rPr>
          <w:rFonts w:eastAsia="黑体" w:hAnsi="黑体" w:hint="eastAsia"/>
          <w:szCs w:val="21"/>
        </w:rPr>
        <w:t>，如盈利潜力、个人信誉和得到加强的人力资本，或将其纳入离婚后的定期抚养费；</w:t>
      </w:r>
    </w:p>
    <w:p w:rsidR="00255040" w:rsidRDefault="00255040" w:rsidP="00255040">
      <w:pPr>
        <w:pStyle w:val="SingleTxt"/>
        <w:rPr>
          <w:rFonts w:eastAsia="黑体"/>
          <w:szCs w:val="21"/>
        </w:rPr>
      </w:pPr>
      <w:r w:rsidRPr="00AA4A12">
        <w:rPr>
          <w:rFonts w:eastAsia="黑体"/>
          <w:szCs w:val="21"/>
        </w:rPr>
        <w:tab/>
        <w:t>(b)</w:t>
      </w:r>
      <w:r w:rsidRPr="00AA4A12">
        <w:rPr>
          <w:rFonts w:eastAsia="黑体"/>
          <w:szCs w:val="21"/>
        </w:rPr>
        <w:tab/>
      </w:r>
      <w:r w:rsidRPr="00AA4A12">
        <w:rPr>
          <w:rFonts w:eastAsia="黑体" w:hAnsi="黑体" w:hint="eastAsia"/>
          <w:szCs w:val="21"/>
        </w:rPr>
        <w:t>确保在法律上精准执行解除婚姻关系时的共同财产制度，废除需要妇女证明其在这类共同财产中的所占份额和贡献的任何要求，排除不平等分割共同财产的可能性，并采取必要法律措施，通过承认妇女对关系存续期间积累的财产的权利，确保事实婚姻中的妇女获得经济保护。</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数据收集和分析</w:t>
      </w:r>
    </w:p>
    <w:p w:rsidR="00255040" w:rsidRPr="00AA4A12" w:rsidRDefault="00255040" w:rsidP="00255040">
      <w:pPr>
        <w:pStyle w:val="SingleTxt"/>
        <w:rPr>
          <w:szCs w:val="21"/>
        </w:rPr>
      </w:pPr>
      <w:r w:rsidRPr="00AA4A12">
        <w:rPr>
          <w:szCs w:val="21"/>
        </w:rPr>
        <w:t>54.</w:t>
      </w:r>
      <w:r w:rsidRPr="00AA4A12">
        <w:rPr>
          <w:szCs w:val="21"/>
        </w:rPr>
        <w:tab/>
      </w:r>
      <w:r w:rsidRPr="00AA4A12">
        <w:rPr>
          <w:rFonts w:hAnsi="宋体" w:hint="eastAsia"/>
          <w:szCs w:val="21"/>
        </w:rPr>
        <w:t>委员会赞赏地注意到在题为</w:t>
      </w:r>
      <w:r>
        <w:rPr>
          <w:rFonts w:hAnsi="宋体" w:hint="eastAsia"/>
          <w:szCs w:val="21"/>
        </w:rPr>
        <w:t>“</w:t>
      </w:r>
      <w:r w:rsidRPr="00AA4A12">
        <w:rPr>
          <w:szCs w:val="21"/>
        </w:rPr>
        <w:t>2016</w:t>
      </w:r>
      <w:r w:rsidRPr="00AA4A12">
        <w:rPr>
          <w:rFonts w:hAnsi="宋体"/>
          <w:szCs w:val="21"/>
        </w:rPr>
        <w:t>年黑山的妇女和男子</w:t>
      </w:r>
      <w:r>
        <w:rPr>
          <w:rFonts w:hAnsi="宋体" w:hint="eastAsia"/>
          <w:szCs w:val="21"/>
        </w:rPr>
        <w:t>”</w:t>
      </w:r>
      <w:r w:rsidRPr="00AA4A12">
        <w:rPr>
          <w:rFonts w:hAnsi="宋体"/>
          <w:szCs w:val="21"/>
        </w:rPr>
        <w:t>的出版物的背景下，开展的按性别分</w:t>
      </w:r>
      <w:r w:rsidRPr="00AA4A12">
        <w:rPr>
          <w:rFonts w:hAnsi="宋体" w:hint="eastAsia"/>
          <w:szCs w:val="21"/>
        </w:rPr>
        <w:t>列</w:t>
      </w:r>
      <w:r w:rsidRPr="00AA4A12">
        <w:rPr>
          <w:rFonts w:hAnsi="宋体"/>
          <w:szCs w:val="21"/>
        </w:rPr>
        <w:t>的数据收集和整理工作。</w:t>
      </w:r>
      <w:r w:rsidRPr="00AA4A12">
        <w:rPr>
          <w:rFonts w:hAnsi="宋体" w:hint="eastAsia"/>
          <w:szCs w:val="21"/>
        </w:rPr>
        <w:t>然而，委员会感到关切的是，各部门和机构数据收集方法并不完全一致，而且各部门还缺乏适当的电子数据收集系统。</w:t>
      </w:r>
    </w:p>
    <w:p w:rsidR="00255040" w:rsidRDefault="00255040" w:rsidP="00255040">
      <w:pPr>
        <w:pStyle w:val="SingleTxt"/>
        <w:rPr>
          <w:rFonts w:eastAsia="黑体"/>
          <w:szCs w:val="21"/>
        </w:rPr>
      </w:pPr>
      <w:r w:rsidRPr="00AA4A12">
        <w:rPr>
          <w:szCs w:val="21"/>
        </w:rPr>
        <w:t>55.</w:t>
      </w:r>
      <w:r w:rsidRPr="00AA4A12">
        <w:rPr>
          <w:szCs w:val="21"/>
        </w:rPr>
        <w:tab/>
      </w:r>
      <w:r w:rsidRPr="00AA4A12">
        <w:rPr>
          <w:rFonts w:eastAsia="黑体" w:hAnsi="黑体" w:hint="eastAsia"/>
          <w:szCs w:val="21"/>
        </w:rPr>
        <w:t>委员会建议缔约国加强收集、分析和公布按性别分列的统计数据，并特别关注妇女获得教育、就业和保健的机会，妇女的经济状况，以及基于性别的暴力侵害妇女行为的情况，尤其是对数据收集方法进行现代化更新和统一，促进各部门和机构定期交流数据，从而进行全面的数据分析以为政策制定提供资料。</w:t>
      </w:r>
    </w:p>
    <w:p w:rsidR="00255040"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b/>
          <w:szCs w:val="21"/>
        </w:rPr>
      </w:pPr>
      <w:r w:rsidRPr="00EC7119">
        <w:rPr>
          <w:rFonts w:ascii="Times New Roman"/>
          <w:szCs w:val="21"/>
        </w:rPr>
        <w:tab/>
      </w:r>
      <w:r w:rsidRPr="00EC7119">
        <w:rPr>
          <w:rFonts w:ascii="Times New Roman"/>
          <w:szCs w:val="21"/>
        </w:rPr>
        <w:tab/>
      </w:r>
      <w:r w:rsidRPr="00EC7119">
        <w:rPr>
          <w:rFonts w:ascii="Times New Roman" w:hint="eastAsia"/>
          <w:szCs w:val="21"/>
        </w:rPr>
        <w:t>《公约》第二十</w:t>
      </w:r>
      <w:r w:rsidRPr="00EC7119">
        <w:rPr>
          <w:rFonts w:ascii="Times New Roman"/>
          <w:szCs w:val="21"/>
        </w:rPr>
        <w:t>条第</w:t>
      </w:r>
      <w:r w:rsidRPr="00EC7119">
        <w:rPr>
          <w:rFonts w:ascii="Times New Roman"/>
          <w:szCs w:val="21"/>
        </w:rPr>
        <w:t>1</w:t>
      </w:r>
      <w:r w:rsidRPr="00EC7119">
        <w:rPr>
          <w:rFonts w:ascii="Times New Roman"/>
          <w:szCs w:val="21"/>
        </w:rPr>
        <w:t>款修正案</w:t>
      </w:r>
    </w:p>
    <w:p w:rsidR="00255040" w:rsidRPr="00AA4A12" w:rsidRDefault="00255040" w:rsidP="00255040">
      <w:pPr>
        <w:pStyle w:val="SingleTxt"/>
        <w:rPr>
          <w:rFonts w:eastAsia="黑体"/>
          <w:szCs w:val="21"/>
        </w:rPr>
      </w:pPr>
      <w:r w:rsidRPr="00AA4A12">
        <w:rPr>
          <w:rFonts w:eastAsia="黑体"/>
          <w:szCs w:val="21"/>
        </w:rPr>
        <w:t>56.</w:t>
      </w:r>
      <w:r w:rsidRPr="00AA4A12">
        <w:rPr>
          <w:rFonts w:eastAsia="黑体"/>
          <w:szCs w:val="21"/>
        </w:rPr>
        <w:tab/>
      </w:r>
      <w:r w:rsidRPr="00AA4A12">
        <w:rPr>
          <w:rFonts w:eastAsia="黑体" w:hAnsi="黑体" w:hint="eastAsia"/>
          <w:szCs w:val="21"/>
        </w:rPr>
        <w:t>委员会鼓励缔约国尽快接受</w:t>
      </w:r>
      <w:r w:rsidRPr="00AF2CF8">
        <w:rPr>
          <w:rFonts w:eastAsia="黑体" w:hAnsi="黑体" w:hint="eastAsia"/>
          <w:szCs w:val="21"/>
        </w:rPr>
        <w:t>对《公约》第二十条第</w:t>
      </w:r>
      <w:r w:rsidRPr="00AF2CF8">
        <w:rPr>
          <w:rFonts w:eastAsia="黑体" w:hAnsi="黑体" w:hint="eastAsia"/>
          <w:szCs w:val="21"/>
        </w:rPr>
        <w:t>1</w:t>
      </w:r>
      <w:r w:rsidRPr="00AF2CF8">
        <w:rPr>
          <w:rFonts w:eastAsia="黑体" w:hAnsi="黑体" w:hint="eastAsia"/>
          <w:szCs w:val="21"/>
        </w:rPr>
        <w:t>款作出的关于委员会会议时间的修正</w:t>
      </w:r>
      <w:r w:rsidRPr="00AA4A12">
        <w:rPr>
          <w:rFonts w:eastAsia="黑体" w:hAnsi="黑体" w:hint="eastAsia"/>
          <w:szCs w:val="21"/>
        </w:rPr>
        <w:t>。</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《北京宣言》和《行动纲要》</w:t>
      </w:r>
    </w:p>
    <w:p w:rsidR="00255040" w:rsidRDefault="00255040" w:rsidP="00255040">
      <w:pPr>
        <w:pStyle w:val="SingleTxt"/>
        <w:rPr>
          <w:rFonts w:eastAsia="黑体"/>
          <w:szCs w:val="21"/>
        </w:rPr>
      </w:pPr>
      <w:r w:rsidRPr="00AA4A12">
        <w:rPr>
          <w:rFonts w:eastAsia="黑体"/>
          <w:szCs w:val="21"/>
        </w:rPr>
        <w:t>57.</w:t>
      </w:r>
      <w:r w:rsidRPr="00AA4A12">
        <w:rPr>
          <w:rFonts w:eastAsia="黑体"/>
          <w:szCs w:val="21"/>
        </w:rPr>
        <w:tab/>
      </w:r>
      <w:r w:rsidRPr="00AA4A12">
        <w:rPr>
          <w:rFonts w:eastAsia="黑体" w:hAnsi="黑体" w:hint="eastAsia"/>
          <w:szCs w:val="21"/>
        </w:rPr>
        <w:t>委员会促请缔约国</w:t>
      </w:r>
      <w:r w:rsidRPr="00AF2CF8">
        <w:rPr>
          <w:rFonts w:eastAsia="黑体" w:hAnsi="黑体" w:hint="eastAsia"/>
          <w:szCs w:val="21"/>
        </w:rPr>
        <w:t>利用《北京宣言》和《行动纲要》，努力执行《公约》各项规定</w:t>
      </w:r>
      <w:r w:rsidRPr="00AA4A12">
        <w:rPr>
          <w:rFonts w:eastAsia="黑体" w:hAnsi="黑体" w:hint="eastAsia"/>
          <w:szCs w:val="21"/>
        </w:rPr>
        <w:t>。</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w:t>
      </w:r>
      <w:r w:rsidRPr="00EC7119">
        <w:rPr>
          <w:rFonts w:ascii="Times New Roman" w:hint="eastAsia"/>
          <w:szCs w:val="21"/>
        </w:rPr>
        <w:t>2030</w:t>
      </w:r>
      <w:r w:rsidRPr="00EC7119">
        <w:rPr>
          <w:rFonts w:ascii="Times New Roman" w:hint="eastAsia"/>
          <w:szCs w:val="21"/>
        </w:rPr>
        <w:t>年可持续发展议程》</w:t>
      </w:r>
    </w:p>
    <w:p w:rsidR="00255040" w:rsidRDefault="00255040" w:rsidP="00255040">
      <w:pPr>
        <w:pStyle w:val="SingleTxt"/>
        <w:rPr>
          <w:rFonts w:eastAsia="黑体"/>
          <w:szCs w:val="21"/>
        </w:rPr>
      </w:pPr>
      <w:r w:rsidRPr="00AA4A12">
        <w:rPr>
          <w:rFonts w:eastAsia="黑体"/>
          <w:szCs w:val="21"/>
        </w:rPr>
        <w:t>58.</w:t>
      </w:r>
      <w:r w:rsidRPr="00AA4A12">
        <w:rPr>
          <w:rFonts w:eastAsia="黑体"/>
          <w:szCs w:val="21"/>
        </w:rPr>
        <w:tab/>
      </w:r>
      <w:r w:rsidRPr="00AA4A12">
        <w:rPr>
          <w:rFonts w:eastAsia="黑体" w:hAnsi="黑体" w:hint="eastAsia"/>
          <w:szCs w:val="21"/>
        </w:rPr>
        <w:t>委员会呼吁缔约国在《</w:t>
      </w:r>
      <w:r w:rsidRPr="00AA4A12">
        <w:rPr>
          <w:rFonts w:eastAsia="黑体" w:hint="eastAsia"/>
          <w:szCs w:val="21"/>
        </w:rPr>
        <w:t>2030</w:t>
      </w:r>
      <w:r w:rsidRPr="00AA4A12">
        <w:rPr>
          <w:rFonts w:eastAsia="黑体" w:hAnsi="黑体" w:hint="eastAsia"/>
          <w:szCs w:val="21"/>
        </w:rPr>
        <w:t>年可持续发展议程》的整个执行过程中按照《公约》规定实现实质性</w:t>
      </w:r>
      <w:r>
        <w:rPr>
          <w:rFonts w:eastAsia="黑体" w:hAnsi="黑体" w:hint="eastAsia"/>
          <w:szCs w:val="21"/>
        </w:rPr>
        <w:t>的</w:t>
      </w:r>
      <w:r w:rsidRPr="00AA4A12">
        <w:rPr>
          <w:rFonts w:eastAsia="黑体" w:hAnsi="黑体" w:hint="eastAsia"/>
          <w:szCs w:val="21"/>
        </w:rPr>
        <w:t>性别平等</w:t>
      </w:r>
      <w:r w:rsidRPr="00AA4A12">
        <w:rPr>
          <w:rFonts w:eastAsia="黑体" w:hAnsi="黑体"/>
          <w:szCs w:val="21"/>
        </w:rPr>
        <w:t>。</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传播</w:t>
      </w:r>
    </w:p>
    <w:p w:rsidR="00255040" w:rsidRDefault="00255040" w:rsidP="00255040">
      <w:pPr>
        <w:pStyle w:val="SingleTxt"/>
        <w:rPr>
          <w:rFonts w:eastAsia="黑体"/>
          <w:szCs w:val="21"/>
        </w:rPr>
      </w:pPr>
      <w:r w:rsidRPr="00AA4A12">
        <w:rPr>
          <w:rFonts w:eastAsia="黑体"/>
          <w:szCs w:val="21"/>
        </w:rPr>
        <w:t>59.</w:t>
      </w:r>
      <w:r w:rsidRPr="00AA4A12">
        <w:rPr>
          <w:rFonts w:eastAsia="黑体"/>
          <w:szCs w:val="21"/>
        </w:rPr>
        <w:tab/>
      </w:r>
      <w:r w:rsidRPr="00AA4A12">
        <w:rPr>
          <w:rFonts w:eastAsia="黑体" w:hAnsi="黑体" w:hint="eastAsia"/>
          <w:szCs w:val="21"/>
        </w:rPr>
        <w:t>委员会请缔约国确保</w:t>
      </w:r>
      <w:r w:rsidRPr="00AF2CF8">
        <w:rPr>
          <w:rFonts w:eastAsia="黑体" w:hAnsi="黑体" w:hint="eastAsia"/>
          <w:szCs w:val="21"/>
        </w:rPr>
        <w:t>及时使用官方语文向各级</w:t>
      </w:r>
      <w:r>
        <w:rPr>
          <w:rFonts w:eastAsia="黑体" w:hAnsi="黑体" w:hint="eastAsia"/>
          <w:szCs w:val="21"/>
        </w:rPr>
        <w:t>(</w:t>
      </w:r>
      <w:r w:rsidRPr="00AF2CF8">
        <w:rPr>
          <w:rFonts w:eastAsia="黑体" w:hAnsi="黑体" w:hint="eastAsia"/>
          <w:szCs w:val="21"/>
        </w:rPr>
        <w:t>国家、区域和地方</w:t>
      </w:r>
      <w:r>
        <w:rPr>
          <w:rFonts w:eastAsia="黑体" w:hAnsi="黑体" w:hint="eastAsia"/>
          <w:szCs w:val="21"/>
        </w:rPr>
        <w:t>)</w:t>
      </w:r>
      <w:r w:rsidRPr="00AF2CF8">
        <w:rPr>
          <w:rFonts w:eastAsia="黑体" w:hAnsi="黑体" w:hint="eastAsia"/>
          <w:szCs w:val="21"/>
        </w:rPr>
        <w:t>所有有关国家机构</w:t>
      </w:r>
      <w:r>
        <w:rPr>
          <w:rFonts w:eastAsia="黑体" w:hAnsi="黑体" w:hint="eastAsia"/>
          <w:szCs w:val="21"/>
        </w:rPr>
        <w:t>，特别</w:t>
      </w:r>
      <w:r w:rsidRPr="00AA4A12">
        <w:rPr>
          <w:rFonts w:eastAsia="黑体" w:hAnsi="黑体" w:hint="eastAsia"/>
          <w:szCs w:val="21"/>
        </w:rPr>
        <w:t>是政府、各部委、</w:t>
      </w:r>
      <w:r>
        <w:rPr>
          <w:rFonts w:eastAsia="黑体" w:hAnsi="黑体" w:hint="eastAsia"/>
          <w:szCs w:val="21"/>
        </w:rPr>
        <w:t>国民</w:t>
      </w:r>
      <w:r w:rsidRPr="00AA4A12">
        <w:rPr>
          <w:rFonts w:eastAsia="黑体" w:hAnsi="黑体" w:hint="eastAsia"/>
          <w:szCs w:val="21"/>
        </w:rPr>
        <w:t>议会和司法机构</w:t>
      </w:r>
      <w:r>
        <w:rPr>
          <w:rFonts w:eastAsia="黑体" w:hAnsi="黑体" w:hint="eastAsia"/>
          <w:szCs w:val="21"/>
        </w:rPr>
        <w:t>传播</w:t>
      </w:r>
      <w:r w:rsidRPr="00AA4A12">
        <w:rPr>
          <w:rFonts w:eastAsia="黑体" w:hAnsi="黑体" w:hint="eastAsia"/>
          <w:szCs w:val="21"/>
        </w:rPr>
        <w:t>本结论性意见，以使其得到充分落实。</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批准其他条约</w:t>
      </w:r>
    </w:p>
    <w:p w:rsidR="00255040" w:rsidRDefault="00255040" w:rsidP="00255040">
      <w:pPr>
        <w:pStyle w:val="SingleTxt"/>
        <w:rPr>
          <w:rFonts w:eastAsia="黑体"/>
          <w:szCs w:val="21"/>
        </w:rPr>
      </w:pPr>
      <w:r w:rsidRPr="00AA4A12">
        <w:rPr>
          <w:rFonts w:eastAsia="黑体"/>
          <w:szCs w:val="21"/>
        </w:rPr>
        <w:t>60.</w:t>
      </w:r>
      <w:r w:rsidRPr="00AA4A12">
        <w:rPr>
          <w:rFonts w:eastAsia="黑体"/>
          <w:szCs w:val="21"/>
        </w:rPr>
        <w:tab/>
      </w:r>
      <w:r w:rsidRPr="00AA4A12">
        <w:rPr>
          <w:rFonts w:eastAsia="黑体" w:hAnsi="黑体" w:hint="eastAsia"/>
          <w:szCs w:val="21"/>
        </w:rPr>
        <w:t>委员会指出，缔约国加入九项国际人权文书，</w:t>
      </w:r>
      <w:r w:rsidRPr="00255040">
        <w:rPr>
          <w:szCs w:val="21"/>
          <w:vertAlign w:val="superscript"/>
        </w:rPr>
        <w:footnoteReference w:id="2"/>
      </w:r>
      <w:r w:rsidRPr="00AA4A12">
        <w:rPr>
          <w:rFonts w:eastAsia="黑体" w:hAnsi="黑体" w:hint="eastAsia"/>
          <w:szCs w:val="21"/>
        </w:rPr>
        <w:t>将促进妇女在生活的各个方面享受其人权和基本自由。因此，委员会鼓励缔约国批准其尚未加入的《保护所有移徙工人及其家庭成员权利国际公约》。</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结论性意见的后续行动</w:t>
      </w:r>
    </w:p>
    <w:p w:rsidR="00255040" w:rsidRDefault="00255040" w:rsidP="00255040">
      <w:pPr>
        <w:pStyle w:val="SingleTxt"/>
        <w:rPr>
          <w:rFonts w:eastAsia="黑体"/>
          <w:szCs w:val="21"/>
        </w:rPr>
      </w:pPr>
      <w:r w:rsidRPr="00AA4A12">
        <w:rPr>
          <w:rFonts w:eastAsia="黑体"/>
          <w:szCs w:val="21"/>
        </w:rPr>
        <w:t>61.</w:t>
      </w:r>
      <w:r w:rsidRPr="00AA4A12">
        <w:rPr>
          <w:rFonts w:eastAsia="黑体"/>
          <w:szCs w:val="21"/>
        </w:rPr>
        <w:tab/>
      </w:r>
      <w:r w:rsidRPr="00AA4A12">
        <w:rPr>
          <w:rFonts w:eastAsia="黑体" w:hAnsi="黑体" w:hint="eastAsia"/>
          <w:szCs w:val="21"/>
        </w:rPr>
        <w:t>委员会请缔约国在两年内提供书面材料，说明为执行上文第</w:t>
      </w:r>
      <w:r w:rsidRPr="00AA4A12">
        <w:rPr>
          <w:rFonts w:eastAsia="黑体"/>
          <w:szCs w:val="21"/>
        </w:rPr>
        <w:t>21(c)</w:t>
      </w:r>
      <w:r w:rsidRPr="00AA4A12">
        <w:rPr>
          <w:rFonts w:eastAsia="黑体" w:hAnsi="黑体"/>
          <w:szCs w:val="21"/>
        </w:rPr>
        <w:t>、</w:t>
      </w:r>
      <w:r w:rsidRPr="00AA4A12">
        <w:rPr>
          <w:rFonts w:eastAsia="黑体"/>
          <w:szCs w:val="21"/>
        </w:rPr>
        <w:t>37</w:t>
      </w:r>
      <w:r w:rsidRPr="00AA4A12">
        <w:rPr>
          <w:rFonts w:eastAsia="黑体" w:hAnsi="黑体"/>
          <w:szCs w:val="21"/>
        </w:rPr>
        <w:t>、</w:t>
      </w:r>
      <w:r w:rsidRPr="00AA4A12">
        <w:rPr>
          <w:rFonts w:eastAsia="黑体"/>
          <w:szCs w:val="21"/>
        </w:rPr>
        <w:t>43(c)</w:t>
      </w:r>
      <w:r w:rsidRPr="00AA4A12">
        <w:rPr>
          <w:rFonts w:eastAsia="黑体" w:hAnsi="黑体"/>
          <w:szCs w:val="21"/>
        </w:rPr>
        <w:t>和</w:t>
      </w:r>
      <w:r w:rsidRPr="00AA4A12">
        <w:rPr>
          <w:rFonts w:eastAsia="黑体"/>
          <w:szCs w:val="21"/>
        </w:rPr>
        <w:t>53(b)</w:t>
      </w:r>
      <w:r w:rsidRPr="00AA4A12">
        <w:rPr>
          <w:rFonts w:eastAsia="黑体" w:hAnsi="黑体"/>
          <w:szCs w:val="21"/>
        </w:rPr>
        <w:t>段所载建议而采取的</w:t>
      </w:r>
      <w:r>
        <w:rPr>
          <w:rFonts w:eastAsia="黑体" w:hAnsi="黑体" w:hint="eastAsia"/>
          <w:szCs w:val="21"/>
        </w:rPr>
        <w:t>步骤</w:t>
      </w:r>
      <w:r w:rsidRPr="00AA4A12">
        <w:rPr>
          <w:rFonts w:eastAsia="黑体" w:hAnsi="黑体"/>
          <w:szCs w:val="21"/>
        </w:rPr>
        <w:t>。</w:t>
      </w:r>
    </w:p>
    <w:p w:rsidR="00255040" w:rsidRPr="00EC7119" w:rsidRDefault="00255040" w:rsidP="002550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hanging="1267"/>
        <w:rPr>
          <w:rFonts w:ascii="Times New Roman"/>
          <w:szCs w:val="21"/>
        </w:rPr>
      </w:pPr>
      <w:r w:rsidRPr="00EC7119">
        <w:rPr>
          <w:rFonts w:ascii="Times New Roman"/>
          <w:szCs w:val="21"/>
        </w:rPr>
        <w:tab/>
      </w:r>
      <w:r w:rsidRPr="00EC7119">
        <w:rPr>
          <w:rFonts w:ascii="Times New Roman"/>
          <w:szCs w:val="21"/>
        </w:rPr>
        <w:tab/>
      </w:r>
      <w:r w:rsidRPr="00EC7119">
        <w:rPr>
          <w:rFonts w:ascii="Times New Roman" w:hint="eastAsia"/>
          <w:szCs w:val="21"/>
        </w:rPr>
        <w:t>编写下一次报告</w:t>
      </w:r>
    </w:p>
    <w:p w:rsidR="00255040" w:rsidRDefault="00255040" w:rsidP="00255040">
      <w:pPr>
        <w:pStyle w:val="SingleTxt"/>
        <w:rPr>
          <w:rFonts w:eastAsia="黑体" w:hAnsi="黑体"/>
          <w:szCs w:val="21"/>
        </w:rPr>
      </w:pPr>
      <w:r w:rsidRPr="00AA4A12">
        <w:rPr>
          <w:rFonts w:eastAsia="黑体"/>
          <w:szCs w:val="21"/>
        </w:rPr>
        <w:t>62.</w:t>
      </w:r>
      <w:r w:rsidRPr="00AA4A12">
        <w:rPr>
          <w:rFonts w:eastAsia="黑体"/>
          <w:szCs w:val="21"/>
        </w:rPr>
        <w:tab/>
      </w:r>
      <w:r w:rsidRPr="00AA4A12">
        <w:rPr>
          <w:rFonts w:eastAsia="黑体" w:hAnsi="黑体" w:hint="eastAsia"/>
          <w:szCs w:val="21"/>
        </w:rPr>
        <w:t>委员会请缔约国于</w:t>
      </w:r>
      <w:r w:rsidRPr="00AA4A12">
        <w:rPr>
          <w:rFonts w:eastAsia="黑体"/>
          <w:szCs w:val="21"/>
        </w:rPr>
        <w:t>2021</w:t>
      </w:r>
      <w:r w:rsidRPr="00AA4A12">
        <w:rPr>
          <w:rFonts w:eastAsia="黑体" w:hAnsi="黑体"/>
          <w:szCs w:val="21"/>
        </w:rPr>
        <w:t>年</w:t>
      </w:r>
      <w:r w:rsidRPr="00AA4A12">
        <w:rPr>
          <w:rFonts w:eastAsia="黑体"/>
          <w:szCs w:val="21"/>
        </w:rPr>
        <w:t>7</w:t>
      </w:r>
      <w:r w:rsidRPr="00AA4A12">
        <w:rPr>
          <w:rFonts w:eastAsia="黑体" w:hAnsi="黑体"/>
          <w:szCs w:val="21"/>
        </w:rPr>
        <w:t>月提交其第三次定期报告。</w:t>
      </w:r>
      <w:r w:rsidRPr="00155C16">
        <w:rPr>
          <w:rFonts w:eastAsia="黑体" w:hAnsi="黑体" w:hint="eastAsia"/>
          <w:szCs w:val="21"/>
        </w:rPr>
        <w:t>该报告应准时提交，如有延迟，则应涵盖截至提交之时的整个期间。</w:t>
      </w:r>
    </w:p>
    <w:p w:rsidR="00B31E9D" w:rsidRDefault="00255040" w:rsidP="00255040">
      <w:pPr>
        <w:pStyle w:val="SingleTxt"/>
        <w:rPr>
          <w:rFonts w:ascii="黑体" w:eastAsia="黑体" w:hAnsi="黑体"/>
          <w:szCs w:val="21"/>
        </w:rPr>
      </w:pPr>
      <w:r w:rsidRPr="00FC51A9">
        <w:rPr>
          <w:rFonts w:ascii="黑体" w:eastAsia="黑体" w:hAnsi="黑体"/>
          <w:szCs w:val="21"/>
        </w:rPr>
        <w:t>63.</w:t>
      </w:r>
      <w:r w:rsidRPr="00FC51A9">
        <w:rPr>
          <w:rFonts w:ascii="黑体" w:eastAsia="黑体" w:hAnsi="黑体"/>
          <w:szCs w:val="21"/>
        </w:rPr>
        <w:tab/>
      </w:r>
      <w:r w:rsidRPr="00FC51A9">
        <w:rPr>
          <w:rFonts w:ascii="黑体" w:eastAsia="黑体" w:hAnsi="黑体" w:hint="eastAsia"/>
          <w:szCs w:val="21"/>
        </w:rPr>
        <w:t>委员会请缔约国遵守包括共同核心文件和条约专要文件准则在内的根据国际人权条约统一提交报告准则</w:t>
      </w:r>
      <w:r>
        <w:rPr>
          <w:rFonts w:ascii="黑体" w:eastAsia="黑体" w:hAnsi="黑体" w:hint="eastAsia"/>
          <w:szCs w:val="21"/>
        </w:rPr>
        <w:t>(</w:t>
      </w:r>
      <w:r w:rsidRPr="00FC51A9">
        <w:rPr>
          <w:rFonts w:ascii="黑体" w:eastAsia="黑体" w:hAnsi="黑体" w:hint="eastAsia"/>
          <w:szCs w:val="21"/>
        </w:rPr>
        <w:t>见</w:t>
      </w:r>
      <w:hyperlink r:id="rId23" w:history="1">
        <w:r w:rsidRPr="00255040">
          <w:rPr>
            <w:rStyle w:val="ad"/>
            <w:rFonts w:eastAsia="黑体"/>
            <w:szCs w:val="21"/>
          </w:rPr>
          <w:t>HRI/GEN/2/Rev.6</w:t>
        </w:r>
      </w:hyperlink>
      <w:r w:rsidRPr="00FC51A9">
        <w:rPr>
          <w:rFonts w:ascii="黑体" w:eastAsia="黑体" w:hAnsi="黑体" w:hint="eastAsia"/>
          <w:szCs w:val="21"/>
        </w:rPr>
        <w:t>，第一章</w:t>
      </w:r>
      <w:r>
        <w:rPr>
          <w:rFonts w:ascii="黑体" w:eastAsia="黑体" w:hAnsi="黑体" w:hint="eastAsia"/>
          <w:szCs w:val="21"/>
        </w:rPr>
        <w:t>)</w:t>
      </w:r>
      <w:r w:rsidRPr="00FC51A9">
        <w:rPr>
          <w:rFonts w:ascii="黑体" w:eastAsia="黑体" w:hAnsi="黑体" w:hint="eastAsia"/>
          <w:szCs w:val="21"/>
        </w:rPr>
        <w:t>。</w:t>
      </w:r>
    </w:p>
    <w:p w:rsidR="00255040" w:rsidRPr="00255040" w:rsidRDefault="00255040" w:rsidP="00255040">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255040" w:rsidRPr="00255040" w:rsidSect="00255040">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1T20:17:00Z" w:initials="Start">
    <w:p w:rsidR="006465BE" w:rsidRDefault="006465BE">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NO&gt;&gt;N1722760C&lt;&lt;ODS JOB NO&gt;&gt;</w:t>
      </w:r>
    </w:p>
    <w:p w:rsidR="006465BE" w:rsidRDefault="006465BE">
      <w:pPr>
        <w:pStyle w:val="a7"/>
      </w:pPr>
      <w:r>
        <w:t>&lt;&lt;ODS DOC SYMBOL1&gt;&gt;CEDAW/C/MNE/CO/2&lt;&lt;ODS DOC SYMBOL1&gt;&gt;</w:t>
      </w:r>
    </w:p>
    <w:p w:rsidR="006465BE" w:rsidRDefault="006465BE">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34A" w:rsidRDefault="00FF434A">
      <w:r>
        <w:separator/>
      </w:r>
    </w:p>
  </w:endnote>
  <w:endnote w:type="continuationSeparator" w:id="0">
    <w:p w:rsidR="00FF434A" w:rsidRDefault="00FF4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465BE" w:rsidTr="006465BE">
      <w:tc>
        <w:tcPr>
          <w:tcW w:w="5028" w:type="dxa"/>
          <w:shd w:val="clear" w:color="auto" w:fill="auto"/>
        </w:tcPr>
        <w:p w:rsidR="006465BE" w:rsidRPr="006465BE" w:rsidRDefault="006465BE" w:rsidP="006465BE">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17-11287 (C)</w:t>
          </w:r>
          <w:r>
            <w:rPr>
              <w:b w:val="0"/>
              <w:w w:val="103"/>
              <w:sz w:val="14"/>
            </w:rPr>
            <w:fldChar w:fldCharType="end"/>
          </w:r>
        </w:p>
      </w:tc>
      <w:tc>
        <w:tcPr>
          <w:tcW w:w="5028" w:type="dxa"/>
          <w:shd w:val="clear" w:color="auto" w:fill="auto"/>
        </w:tcPr>
        <w:p w:rsidR="006465BE" w:rsidRPr="006465BE" w:rsidRDefault="006465BE" w:rsidP="006465BE">
          <w:pPr>
            <w:pStyle w:val="ac"/>
            <w:jc w:val="left"/>
            <w:rPr>
              <w:w w:val="103"/>
            </w:rPr>
          </w:pPr>
          <w:r>
            <w:rPr>
              <w:w w:val="103"/>
            </w:rPr>
            <w:fldChar w:fldCharType="begin"/>
          </w:r>
          <w:r>
            <w:rPr>
              <w:w w:val="103"/>
            </w:rPr>
            <w:instrText xml:space="preserve"> PAGE  \* Arabic  \* MERGEFORMAT </w:instrText>
          </w:r>
          <w:r>
            <w:rPr>
              <w:w w:val="103"/>
            </w:rPr>
            <w:fldChar w:fldCharType="separate"/>
          </w:r>
          <w:r w:rsidR="0023376D">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376D">
            <w:rPr>
              <w:w w:val="103"/>
            </w:rPr>
            <w:t>15</w:t>
          </w:r>
          <w:r>
            <w:rPr>
              <w:w w:val="103"/>
            </w:rPr>
            <w:fldChar w:fldCharType="end"/>
          </w:r>
        </w:p>
      </w:tc>
    </w:tr>
  </w:tbl>
  <w:p w:rsidR="006465BE" w:rsidRPr="006465BE" w:rsidRDefault="006465BE" w:rsidP="006465BE">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465BE" w:rsidTr="006465BE">
      <w:tc>
        <w:tcPr>
          <w:tcW w:w="5028" w:type="dxa"/>
          <w:shd w:val="clear" w:color="auto" w:fill="auto"/>
        </w:tcPr>
        <w:p w:rsidR="006465BE" w:rsidRPr="006465BE" w:rsidRDefault="006465BE" w:rsidP="006465BE">
          <w:pPr>
            <w:pStyle w:val="ac"/>
            <w:jc w:val="right"/>
          </w:pPr>
          <w:r>
            <w:fldChar w:fldCharType="begin"/>
          </w:r>
          <w:r>
            <w:instrText xml:space="preserve"> PAGE  \* Arabic  \* MERGEFORMAT </w:instrText>
          </w:r>
          <w:r>
            <w:fldChar w:fldCharType="separate"/>
          </w:r>
          <w:r w:rsidR="0023376D">
            <w:t>5</w:t>
          </w:r>
          <w:r>
            <w:fldChar w:fldCharType="end"/>
          </w:r>
          <w:r>
            <w:t>/</w:t>
          </w:r>
          <w:r w:rsidR="0023376D">
            <w:fldChar w:fldCharType="begin"/>
          </w:r>
          <w:r w:rsidR="0023376D">
            <w:instrText xml:space="preserve"> NUMPAGES  \* Arabic  \* MERGEFORMAT </w:instrText>
          </w:r>
          <w:r w:rsidR="0023376D">
            <w:fldChar w:fldCharType="separate"/>
          </w:r>
          <w:r w:rsidR="0023376D">
            <w:t>15</w:t>
          </w:r>
          <w:r w:rsidR="0023376D">
            <w:fldChar w:fldCharType="end"/>
          </w:r>
        </w:p>
      </w:tc>
      <w:tc>
        <w:tcPr>
          <w:tcW w:w="5028" w:type="dxa"/>
          <w:shd w:val="clear" w:color="auto" w:fill="auto"/>
        </w:tcPr>
        <w:p w:rsidR="006465BE" w:rsidRPr="006465BE" w:rsidRDefault="006465BE" w:rsidP="006465BE">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17-11287 (C)</w:t>
          </w:r>
          <w:r>
            <w:rPr>
              <w:b w:val="0"/>
              <w:w w:val="103"/>
              <w:sz w:val="14"/>
            </w:rPr>
            <w:fldChar w:fldCharType="end"/>
          </w:r>
        </w:p>
      </w:tc>
    </w:tr>
  </w:tbl>
  <w:p w:rsidR="006465BE" w:rsidRPr="006465BE" w:rsidRDefault="006465BE" w:rsidP="006465BE">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6465BE" w:rsidTr="006465BE">
      <w:tc>
        <w:tcPr>
          <w:tcW w:w="3744" w:type="dxa"/>
        </w:tcPr>
        <w:p w:rsidR="006465BE" w:rsidRDefault="007E3A74" w:rsidP="006465BE">
          <w:pPr>
            <w:pStyle w:val="Release"/>
          </w:pPr>
          <w:r w:rsidRPr="007E3A74">
            <w:t>17-11287 X (C)    210917    220917</w:t>
          </w:r>
          <w:r w:rsidR="006465BE">
            <w:rPr>
              <w:noProof/>
            </w:rPr>
            <w:drawing>
              <wp:anchor distT="0" distB="0" distL="114300" distR="114300" simplePos="0" relativeHeight="251658240" behindDoc="0" locked="0" layoutInCell="1" allowOverlap="1" wp14:anchorId="1079098F" wp14:editId="0E707EDB">
                <wp:simplePos x="0" y="0"/>
                <wp:positionH relativeFrom="column">
                  <wp:posOffset>5526404</wp:posOffset>
                </wp:positionH>
                <wp:positionV relativeFrom="paragraph">
                  <wp:posOffset>-351156</wp:posOffset>
                </wp:positionV>
                <wp:extent cx="694690" cy="694690"/>
                <wp:effectExtent l="0" t="0" r="0" b="0"/>
                <wp:wrapNone/>
                <wp:docPr id="3" name="图片 3" descr="https://undocs.org/m2/QRCode2.ashx?DS=CEDAW/C/MNE/CO/2&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E/CO/2&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6465BE" w:rsidRPr="006465BE" w:rsidRDefault="006465BE" w:rsidP="006465BE">
          <w:pPr>
            <w:spacing w:before="80" w:line="210" w:lineRule="exact"/>
            <w:rPr>
              <w:rFonts w:ascii="Barcode 3 of 9 by request" w:hAnsi="Barcode 3 of 9 by request"/>
              <w:sz w:val="24"/>
            </w:rPr>
          </w:pPr>
          <w:r>
            <w:rPr>
              <w:rFonts w:ascii="Barcode 3 of 9 by request" w:hAnsi="Barcode 3 of 9 by request" w:hint="eastAsia"/>
              <w:sz w:val="24"/>
            </w:rPr>
            <w:t>*1711287*</w:t>
          </w:r>
        </w:p>
      </w:tc>
      <w:tc>
        <w:tcPr>
          <w:tcW w:w="5028" w:type="dxa"/>
        </w:tcPr>
        <w:p w:rsidR="006465BE" w:rsidRDefault="006465BE" w:rsidP="006465BE">
          <w:pPr>
            <w:pStyle w:val="ac"/>
            <w:jc w:val="right"/>
            <w:rPr>
              <w:b w:val="0"/>
              <w:sz w:val="21"/>
            </w:rPr>
          </w:pPr>
          <w:r>
            <w:rPr>
              <w:b w:val="0"/>
              <w:sz w:val="21"/>
            </w:rPr>
            <w:drawing>
              <wp:inline distT="0" distB="0" distL="0" distR="0" wp14:anchorId="58A4852E" wp14:editId="3A96199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6465BE" w:rsidRPr="006465BE" w:rsidRDefault="006465BE" w:rsidP="006465BE">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34A" w:rsidRPr="00255040" w:rsidRDefault="00255040" w:rsidP="00255040">
      <w:pPr>
        <w:pStyle w:val="ac"/>
        <w:spacing w:after="80"/>
        <w:ind w:left="792"/>
        <w:rPr>
          <w:sz w:val="16"/>
        </w:rPr>
      </w:pPr>
      <w:r w:rsidRPr="00255040">
        <w:rPr>
          <w:sz w:val="16"/>
        </w:rPr>
        <w:t>__________________</w:t>
      </w:r>
    </w:p>
  </w:footnote>
  <w:footnote w:type="continuationSeparator" w:id="0">
    <w:p w:rsidR="00FF434A" w:rsidRPr="00255040" w:rsidRDefault="00255040" w:rsidP="00255040">
      <w:pPr>
        <w:pStyle w:val="ac"/>
        <w:spacing w:after="80"/>
        <w:ind w:left="792"/>
        <w:rPr>
          <w:sz w:val="16"/>
        </w:rPr>
      </w:pPr>
      <w:r w:rsidRPr="00255040">
        <w:rPr>
          <w:sz w:val="16"/>
        </w:rPr>
        <w:t>__________________</w:t>
      </w:r>
    </w:p>
  </w:footnote>
  <w:footnote w:id="1">
    <w:p w:rsidR="00255040" w:rsidRPr="00277F50" w:rsidRDefault="00255040" w:rsidP="00255040">
      <w:pPr>
        <w:pStyle w:val="a5"/>
        <w:tabs>
          <w:tab w:val="clear" w:pos="418"/>
          <w:tab w:val="right" w:pos="1195"/>
          <w:tab w:val="left" w:pos="1264"/>
          <w:tab w:val="left" w:pos="1695"/>
          <w:tab w:val="left" w:pos="2126"/>
          <w:tab w:val="left" w:pos="2557"/>
        </w:tabs>
        <w:ind w:left="1264" w:right="1264" w:hanging="432"/>
        <w:rPr>
          <w:rFonts w:eastAsiaTheme="minorEastAsia"/>
          <w:lang w:val="fr-CH"/>
        </w:rPr>
      </w:pPr>
      <w:r w:rsidRPr="00277F50">
        <w:tab/>
      </w:r>
      <w:r w:rsidRPr="00277F50">
        <w:rPr>
          <w:rStyle w:val="a3"/>
          <w:w w:val="100"/>
          <w:kern w:val="0"/>
          <w:szCs w:val="18"/>
        </w:rPr>
        <w:t>*</w:t>
      </w:r>
      <w:r w:rsidRPr="00277F50">
        <w:rPr>
          <w:rFonts w:hint="eastAsia"/>
        </w:rPr>
        <w:tab/>
      </w:r>
      <w:r w:rsidRPr="00277F50">
        <w:rPr>
          <w:rFonts w:hint="eastAsia"/>
        </w:rPr>
        <w:t>委员会第六十七届会议</w:t>
      </w:r>
      <w:r>
        <w:rPr>
          <w:rFonts w:hint="eastAsia"/>
        </w:rPr>
        <w:t>(</w:t>
      </w:r>
      <w:r w:rsidRPr="00277F50">
        <w:rPr>
          <w:rFonts w:hint="eastAsia"/>
        </w:rPr>
        <w:t>2017</w:t>
      </w:r>
      <w:r w:rsidRPr="00277F50">
        <w:rPr>
          <w:rFonts w:hint="eastAsia"/>
        </w:rPr>
        <w:t>年</w:t>
      </w:r>
      <w:r w:rsidRPr="00277F50">
        <w:rPr>
          <w:rFonts w:hint="eastAsia"/>
        </w:rPr>
        <w:t>7</w:t>
      </w:r>
      <w:r w:rsidRPr="00277F50">
        <w:rPr>
          <w:rFonts w:hint="eastAsia"/>
        </w:rPr>
        <w:t>月</w:t>
      </w:r>
      <w:r w:rsidRPr="00277F50">
        <w:rPr>
          <w:rFonts w:hint="eastAsia"/>
        </w:rPr>
        <w:t>3</w:t>
      </w:r>
      <w:r w:rsidRPr="00277F50">
        <w:rPr>
          <w:rFonts w:hint="eastAsia"/>
        </w:rPr>
        <w:t>日至</w:t>
      </w:r>
      <w:r w:rsidRPr="00277F50">
        <w:rPr>
          <w:rFonts w:hint="eastAsia"/>
        </w:rPr>
        <w:t>21</w:t>
      </w:r>
      <w:r w:rsidRPr="00277F50">
        <w:rPr>
          <w:rFonts w:hint="eastAsia"/>
        </w:rPr>
        <w:t>日</w:t>
      </w:r>
      <w:r>
        <w:rPr>
          <w:rFonts w:hint="eastAsia"/>
        </w:rPr>
        <w:t>)</w:t>
      </w:r>
      <w:r w:rsidRPr="00277F50">
        <w:rPr>
          <w:rFonts w:hint="eastAsia"/>
        </w:rPr>
        <w:t>上通过。</w:t>
      </w:r>
    </w:p>
  </w:footnote>
  <w:footnote w:id="2">
    <w:p w:rsidR="00255040" w:rsidRPr="00277F50" w:rsidRDefault="00255040" w:rsidP="00255040">
      <w:pPr>
        <w:pStyle w:val="a5"/>
        <w:tabs>
          <w:tab w:val="clear" w:pos="418"/>
          <w:tab w:val="right" w:pos="1195"/>
          <w:tab w:val="left" w:pos="1264"/>
          <w:tab w:val="left" w:pos="1695"/>
          <w:tab w:val="left" w:pos="2126"/>
          <w:tab w:val="left" w:pos="2557"/>
        </w:tabs>
        <w:ind w:left="1264" w:right="1264" w:hanging="432"/>
      </w:pPr>
      <w:r w:rsidRPr="00277F50">
        <w:tab/>
      </w:r>
      <w:r w:rsidRPr="00277F50">
        <w:rPr>
          <w:rStyle w:val="a3"/>
          <w:w w:val="100"/>
          <w:kern w:val="0"/>
        </w:rPr>
        <w:footnoteRef/>
      </w:r>
      <w:r w:rsidRPr="00277F50">
        <w:tab/>
      </w:r>
      <w:r w:rsidRPr="00277F50">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465BE" w:rsidTr="006465BE">
      <w:trPr>
        <w:trHeight w:hRule="exact" w:val="864"/>
      </w:trPr>
      <w:tc>
        <w:tcPr>
          <w:tcW w:w="4838" w:type="dxa"/>
          <w:shd w:val="clear" w:color="auto" w:fill="auto"/>
          <w:vAlign w:val="bottom"/>
        </w:tcPr>
        <w:p w:rsidR="006465BE" w:rsidRPr="006465BE" w:rsidRDefault="006465BE" w:rsidP="006465BE">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CEDAW/C/MNE/CO/2</w:t>
          </w:r>
          <w:r>
            <w:rPr>
              <w:b/>
              <w:sz w:val="17"/>
            </w:rPr>
            <w:fldChar w:fldCharType="end"/>
          </w:r>
        </w:p>
      </w:tc>
      <w:tc>
        <w:tcPr>
          <w:tcW w:w="5028" w:type="dxa"/>
          <w:shd w:val="clear" w:color="auto" w:fill="auto"/>
          <w:vAlign w:val="bottom"/>
        </w:tcPr>
        <w:p w:rsidR="006465BE" w:rsidRDefault="006465BE" w:rsidP="006465BE">
          <w:pPr>
            <w:pStyle w:val="ab"/>
          </w:pPr>
        </w:p>
      </w:tc>
    </w:tr>
  </w:tbl>
  <w:p w:rsidR="006465BE" w:rsidRPr="006465BE" w:rsidRDefault="006465BE" w:rsidP="006465B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465BE" w:rsidTr="006465BE">
      <w:trPr>
        <w:trHeight w:hRule="exact" w:val="864"/>
      </w:trPr>
      <w:tc>
        <w:tcPr>
          <w:tcW w:w="4838" w:type="dxa"/>
          <w:shd w:val="clear" w:color="auto" w:fill="auto"/>
          <w:vAlign w:val="bottom"/>
        </w:tcPr>
        <w:p w:rsidR="006465BE" w:rsidRDefault="006465BE" w:rsidP="006465BE">
          <w:pPr>
            <w:pStyle w:val="ab"/>
          </w:pPr>
        </w:p>
      </w:tc>
      <w:tc>
        <w:tcPr>
          <w:tcW w:w="5028" w:type="dxa"/>
          <w:shd w:val="clear" w:color="auto" w:fill="auto"/>
          <w:vAlign w:val="bottom"/>
        </w:tcPr>
        <w:p w:rsidR="006465BE" w:rsidRPr="006465BE" w:rsidRDefault="006465BE" w:rsidP="006465BE">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CEDAW/C/MNE/CO/2</w:t>
          </w:r>
          <w:r>
            <w:rPr>
              <w:b/>
              <w:sz w:val="17"/>
            </w:rPr>
            <w:fldChar w:fldCharType="end"/>
          </w:r>
        </w:p>
      </w:tc>
    </w:tr>
  </w:tbl>
  <w:p w:rsidR="006465BE" w:rsidRPr="006465BE" w:rsidRDefault="006465BE" w:rsidP="006465B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465BE" w:rsidTr="006465BE">
      <w:trPr>
        <w:gridAfter w:val="1"/>
        <w:wAfter w:w="12" w:type="dxa"/>
        <w:trHeight w:hRule="exact" w:val="864"/>
      </w:trPr>
      <w:tc>
        <w:tcPr>
          <w:tcW w:w="1267" w:type="dxa"/>
          <w:tcBorders>
            <w:bottom w:val="single" w:sz="4" w:space="0" w:color="auto"/>
          </w:tcBorders>
          <w:shd w:val="clear" w:color="auto" w:fill="auto"/>
          <w:vAlign w:val="bottom"/>
        </w:tcPr>
        <w:p w:rsidR="006465BE" w:rsidRDefault="006465BE" w:rsidP="006465BE">
          <w:pPr>
            <w:pStyle w:val="ab"/>
            <w:spacing w:after="120"/>
          </w:pPr>
        </w:p>
      </w:tc>
      <w:tc>
        <w:tcPr>
          <w:tcW w:w="1872" w:type="dxa"/>
          <w:tcBorders>
            <w:bottom w:val="single" w:sz="4" w:space="0" w:color="auto"/>
          </w:tcBorders>
          <w:shd w:val="clear" w:color="auto" w:fill="auto"/>
          <w:vAlign w:val="bottom"/>
        </w:tcPr>
        <w:p w:rsidR="006465BE" w:rsidRPr="006465BE" w:rsidRDefault="006465BE" w:rsidP="006465BE">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6465BE" w:rsidRDefault="006465BE" w:rsidP="006465BE">
          <w:pPr>
            <w:pStyle w:val="ab"/>
            <w:spacing w:after="120"/>
          </w:pPr>
        </w:p>
      </w:tc>
      <w:tc>
        <w:tcPr>
          <w:tcW w:w="6523" w:type="dxa"/>
          <w:gridSpan w:val="3"/>
          <w:tcBorders>
            <w:bottom w:val="single" w:sz="4" w:space="0" w:color="auto"/>
          </w:tcBorders>
          <w:shd w:val="clear" w:color="auto" w:fill="auto"/>
          <w:vAlign w:val="bottom"/>
        </w:tcPr>
        <w:p w:rsidR="006465BE" w:rsidRPr="006465BE" w:rsidRDefault="006465BE" w:rsidP="006465BE">
          <w:pPr>
            <w:spacing w:after="80" w:line="240" w:lineRule="auto"/>
            <w:jc w:val="right"/>
            <w:rPr>
              <w:position w:val="-4"/>
            </w:rPr>
          </w:pPr>
          <w:r>
            <w:rPr>
              <w:position w:val="-4"/>
              <w:sz w:val="40"/>
            </w:rPr>
            <w:t>CEDAW</w:t>
          </w:r>
          <w:r>
            <w:rPr>
              <w:position w:val="-4"/>
            </w:rPr>
            <w:t>/C/MNE/CO/2</w:t>
          </w:r>
        </w:p>
      </w:tc>
    </w:tr>
    <w:tr w:rsidR="006465BE" w:rsidRPr="006465BE" w:rsidTr="006465BE">
      <w:trPr>
        <w:trHeight w:hRule="exact" w:val="2880"/>
      </w:trPr>
      <w:tc>
        <w:tcPr>
          <w:tcW w:w="1267" w:type="dxa"/>
          <w:tcBorders>
            <w:top w:val="single" w:sz="4" w:space="0" w:color="auto"/>
            <w:bottom w:val="single" w:sz="12" w:space="0" w:color="auto"/>
          </w:tcBorders>
          <w:shd w:val="clear" w:color="auto" w:fill="auto"/>
        </w:tcPr>
        <w:p w:rsidR="006465BE" w:rsidRPr="006465BE" w:rsidRDefault="006465BE" w:rsidP="006465BE">
          <w:pPr>
            <w:pStyle w:val="ab"/>
            <w:spacing w:before="109"/>
            <w:ind w:left="-72"/>
          </w:pPr>
          <w:r>
            <w:t xml:space="preserve"> </w:t>
          </w:r>
          <w:r>
            <w:drawing>
              <wp:inline distT="0" distB="0" distL="0" distR="0" wp14:anchorId="4B57C0A9" wp14:editId="0086EBBD">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465BE" w:rsidRPr="006465BE" w:rsidRDefault="006465BE" w:rsidP="006465B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465BE" w:rsidRPr="006465BE" w:rsidRDefault="006465BE" w:rsidP="006465BE">
          <w:pPr>
            <w:pStyle w:val="ab"/>
            <w:spacing w:before="109"/>
          </w:pPr>
        </w:p>
      </w:tc>
      <w:tc>
        <w:tcPr>
          <w:tcW w:w="3180" w:type="dxa"/>
          <w:gridSpan w:val="2"/>
          <w:tcBorders>
            <w:top w:val="single" w:sz="4" w:space="0" w:color="auto"/>
            <w:bottom w:val="single" w:sz="12" w:space="0" w:color="auto"/>
          </w:tcBorders>
          <w:shd w:val="clear" w:color="auto" w:fill="auto"/>
        </w:tcPr>
        <w:p w:rsidR="006465BE" w:rsidRDefault="006465BE" w:rsidP="006465BE">
          <w:pPr>
            <w:pStyle w:val="Distr"/>
          </w:pPr>
          <w:r>
            <w:t>Distr.: General</w:t>
          </w:r>
        </w:p>
        <w:p w:rsidR="006465BE" w:rsidRDefault="006465BE" w:rsidP="006465BE">
          <w:pPr>
            <w:pStyle w:val="Publication"/>
          </w:pPr>
          <w:r>
            <w:t>24 July 2017</w:t>
          </w:r>
        </w:p>
        <w:p w:rsidR="006465BE" w:rsidRDefault="006465BE" w:rsidP="006465BE">
          <w:pPr>
            <w:spacing w:line="240" w:lineRule="exact"/>
          </w:pPr>
          <w:r>
            <w:t>Chinese</w:t>
          </w:r>
        </w:p>
        <w:p w:rsidR="006465BE" w:rsidRDefault="006465BE" w:rsidP="006465BE">
          <w:pPr>
            <w:pStyle w:val="Original"/>
          </w:pPr>
          <w:r>
            <w:t>Original: English</w:t>
          </w:r>
        </w:p>
        <w:p w:rsidR="006465BE" w:rsidRPr="006465BE" w:rsidRDefault="006465BE" w:rsidP="006465BE"/>
      </w:tc>
    </w:tr>
  </w:tbl>
  <w:p w:rsidR="006465BE" w:rsidRPr="006465BE" w:rsidRDefault="006465BE" w:rsidP="006465BE">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7*"/>
    <w:docVar w:name="CreationDt" w:val="21/09/2017 20:17:05"/>
    <w:docVar w:name="DocCategory" w:val="Doc"/>
    <w:docVar w:name="DocType" w:val="Final"/>
    <w:docVar w:name="DutyStation" w:val="New York"/>
    <w:docVar w:name="FooterJN" w:val="17-11287 (C)"/>
    <w:docVar w:name="jobn" w:val="17-11287 (C)"/>
    <w:docVar w:name="jobnDT" w:val="17-11287 (C)   210917"/>
    <w:docVar w:name="jobnDTDT" w:val="17-11287 (C)   210917   210917"/>
    <w:docVar w:name="JobNo" w:val="1711287C"/>
    <w:docVar w:name="LocalDrive" w:val="0"/>
    <w:docVar w:name="OandT" w:val="yh"/>
    <w:docVar w:name="sss1" w:val="CEDAW/C/MNE/CO/2"/>
    <w:docVar w:name="sss2" w:val="-"/>
    <w:docVar w:name="Symbol1" w:val="CEDAW/C/MNE/CO/2"/>
    <w:docVar w:name="Symbol2" w:val="-"/>
  </w:docVars>
  <w:rsids>
    <w:rsidRoot w:val="00FF434A"/>
    <w:rsid w:val="00000689"/>
    <w:rsid w:val="0000347C"/>
    <w:rsid w:val="0000715A"/>
    <w:rsid w:val="000074E0"/>
    <w:rsid w:val="000101C8"/>
    <w:rsid w:val="0001169E"/>
    <w:rsid w:val="000125BC"/>
    <w:rsid w:val="00013CD2"/>
    <w:rsid w:val="0001645E"/>
    <w:rsid w:val="0001726F"/>
    <w:rsid w:val="00021314"/>
    <w:rsid w:val="00021A2B"/>
    <w:rsid w:val="00023E1D"/>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571F8"/>
    <w:rsid w:val="00061220"/>
    <w:rsid w:val="0006608A"/>
    <w:rsid w:val="00066B28"/>
    <w:rsid w:val="00067AEB"/>
    <w:rsid w:val="00070DD0"/>
    <w:rsid w:val="00071193"/>
    <w:rsid w:val="00071F3F"/>
    <w:rsid w:val="0007337D"/>
    <w:rsid w:val="00074771"/>
    <w:rsid w:val="000758DF"/>
    <w:rsid w:val="00076EB8"/>
    <w:rsid w:val="000777FC"/>
    <w:rsid w:val="00077AEE"/>
    <w:rsid w:val="000824AD"/>
    <w:rsid w:val="00082CCB"/>
    <w:rsid w:val="00083CAB"/>
    <w:rsid w:val="00084D46"/>
    <w:rsid w:val="000863AD"/>
    <w:rsid w:val="00086972"/>
    <w:rsid w:val="000946C5"/>
    <w:rsid w:val="00095C67"/>
    <w:rsid w:val="000A31F9"/>
    <w:rsid w:val="000B04CB"/>
    <w:rsid w:val="000B2E97"/>
    <w:rsid w:val="000C1786"/>
    <w:rsid w:val="000C4C08"/>
    <w:rsid w:val="000C4DDE"/>
    <w:rsid w:val="000C5208"/>
    <w:rsid w:val="000C7AB4"/>
    <w:rsid w:val="000D32BA"/>
    <w:rsid w:val="000E240F"/>
    <w:rsid w:val="000E49A4"/>
    <w:rsid w:val="000E4FFB"/>
    <w:rsid w:val="000F1058"/>
    <w:rsid w:val="000F21E4"/>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2244"/>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376D"/>
    <w:rsid w:val="00241DB7"/>
    <w:rsid w:val="002423D2"/>
    <w:rsid w:val="00245212"/>
    <w:rsid w:val="00247382"/>
    <w:rsid w:val="00251744"/>
    <w:rsid w:val="00251C9A"/>
    <w:rsid w:val="00252E35"/>
    <w:rsid w:val="00254858"/>
    <w:rsid w:val="00254B46"/>
    <w:rsid w:val="00255040"/>
    <w:rsid w:val="00255FC4"/>
    <w:rsid w:val="00257053"/>
    <w:rsid w:val="00260C62"/>
    <w:rsid w:val="00262114"/>
    <w:rsid w:val="00263B7B"/>
    <w:rsid w:val="00266257"/>
    <w:rsid w:val="00270D00"/>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2C2F"/>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0C4C"/>
    <w:rsid w:val="00392E58"/>
    <w:rsid w:val="00394A02"/>
    <w:rsid w:val="003966E8"/>
    <w:rsid w:val="003A1C26"/>
    <w:rsid w:val="003A7B88"/>
    <w:rsid w:val="003B0568"/>
    <w:rsid w:val="003B67B9"/>
    <w:rsid w:val="003C4125"/>
    <w:rsid w:val="003C448D"/>
    <w:rsid w:val="003C7B20"/>
    <w:rsid w:val="003D075F"/>
    <w:rsid w:val="003D226D"/>
    <w:rsid w:val="003D5B4D"/>
    <w:rsid w:val="003E4565"/>
    <w:rsid w:val="003E5999"/>
    <w:rsid w:val="003E748F"/>
    <w:rsid w:val="003E7612"/>
    <w:rsid w:val="003F4BD2"/>
    <w:rsid w:val="003F7BF8"/>
    <w:rsid w:val="004044EF"/>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3360"/>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7CF"/>
    <w:rsid w:val="00615A9C"/>
    <w:rsid w:val="00617802"/>
    <w:rsid w:val="006201CE"/>
    <w:rsid w:val="006328DE"/>
    <w:rsid w:val="006353DE"/>
    <w:rsid w:val="00640671"/>
    <w:rsid w:val="006432CB"/>
    <w:rsid w:val="006465BE"/>
    <w:rsid w:val="00646B55"/>
    <w:rsid w:val="006479F1"/>
    <w:rsid w:val="00647A37"/>
    <w:rsid w:val="0065055D"/>
    <w:rsid w:val="00650BEE"/>
    <w:rsid w:val="00651B0B"/>
    <w:rsid w:val="006520FA"/>
    <w:rsid w:val="0065377D"/>
    <w:rsid w:val="00661120"/>
    <w:rsid w:val="006652C2"/>
    <w:rsid w:val="00666F57"/>
    <w:rsid w:val="006740A7"/>
    <w:rsid w:val="006767D5"/>
    <w:rsid w:val="00691524"/>
    <w:rsid w:val="006926DF"/>
    <w:rsid w:val="0069503F"/>
    <w:rsid w:val="00697E61"/>
    <w:rsid w:val="006A2730"/>
    <w:rsid w:val="006A2F63"/>
    <w:rsid w:val="006A5CFB"/>
    <w:rsid w:val="006A654B"/>
    <w:rsid w:val="006B769C"/>
    <w:rsid w:val="006C2998"/>
    <w:rsid w:val="006C4BB3"/>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6731A"/>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3A74"/>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5686C"/>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5CD6"/>
    <w:rsid w:val="00946C87"/>
    <w:rsid w:val="0095023C"/>
    <w:rsid w:val="0095295A"/>
    <w:rsid w:val="00957134"/>
    <w:rsid w:val="0096193C"/>
    <w:rsid w:val="009769E1"/>
    <w:rsid w:val="00977E0D"/>
    <w:rsid w:val="0098143C"/>
    <w:rsid w:val="00982D5C"/>
    <w:rsid w:val="00986132"/>
    <w:rsid w:val="00986C04"/>
    <w:rsid w:val="009932F9"/>
    <w:rsid w:val="009A02E7"/>
    <w:rsid w:val="009A11E3"/>
    <w:rsid w:val="009A2CBB"/>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610"/>
    <w:rsid w:val="009F2F21"/>
    <w:rsid w:val="009F3D89"/>
    <w:rsid w:val="009F47E3"/>
    <w:rsid w:val="009F6938"/>
    <w:rsid w:val="00A0537D"/>
    <w:rsid w:val="00A055AB"/>
    <w:rsid w:val="00A05AE9"/>
    <w:rsid w:val="00A069AD"/>
    <w:rsid w:val="00A07CEC"/>
    <w:rsid w:val="00A1297E"/>
    <w:rsid w:val="00A171EB"/>
    <w:rsid w:val="00A17A85"/>
    <w:rsid w:val="00A20856"/>
    <w:rsid w:val="00A2390C"/>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5BE3"/>
    <w:rsid w:val="00AD6611"/>
    <w:rsid w:val="00AE6719"/>
    <w:rsid w:val="00AE6BBF"/>
    <w:rsid w:val="00AE6C5D"/>
    <w:rsid w:val="00AE733F"/>
    <w:rsid w:val="00AF021F"/>
    <w:rsid w:val="00AF114B"/>
    <w:rsid w:val="00AF2A33"/>
    <w:rsid w:val="00AF4C2D"/>
    <w:rsid w:val="00AF4FD7"/>
    <w:rsid w:val="00AF7363"/>
    <w:rsid w:val="00B014C7"/>
    <w:rsid w:val="00B01FB8"/>
    <w:rsid w:val="00B0250B"/>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6AF"/>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B73DE"/>
    <w:rsid w:val="00BB7665"/>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847BD"/>
    <w:rsid w:val="00C900C5"/>
    <w:rsid w:val="00C92AE0"/>
    <w:rsid w:val="00C92C12"/>
    <w:rsid w:val="00C93BC6"/>
    <w:rsid w:val="00C943B4"/>
    <w:rsid w:val="00C95905"/>
    <w:rsid w:val="00C97C0D"/>
    <w:rsid w:val="00CA0B47"/>
    <w:rsid w:val="00CA2BB0"/>
    <w:rsid w:val="00CA450F"/>
    <w:rsid w:val="00CA4894"/>
    <w:rsid w:val="00CA4BBC"/>
    <w:rsid w:val="00CA7E8C"/>
    <w:rsid w:val="00CB298A"/>
    <w:rsid w:val="00CB2B1E"/>
    <w:rsid w:val="00CB6A3D"/>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562F2"/>
    <w:rsid w:val="00D613E0"/>
    <w:rsid w:val="00D676D7"/>
    <w:rsid w:val="00D6794E"/>
    <w:rsid w:val="00D7007A"/>
    <w:rsid w:val="00D71517"/>
    <w:rsid w:val="00D7168D"/>
    <w:rsid w:val="00D71A15"/>
    <w:rsid w:val="00D82311"/>
    <w:rsid w:val="00D83D1B"/>
    <w:rsid w:val="00D86A32"/>
    <w:rsid w:val="00D874E1"/>
    <w:rsid w:val="00D92B5D"/>
    <w:rsid w:val="00D92D1F"/>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33AC"/>
    <w:rsid w:val="00EB4CCB"/>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6776"/>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434A"/>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rsid w:val="00255040"/>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w:basedOn w:val="H23"/>
    <w:qFormat/>
    <w:rsid w:val="006A2F63"/>
    <w:pPr>
      <w:spacing w:line="240" w:lineRule="exact"/>
    </w:pPr>
    <w:rPr>
      <w:b/>
      <w:spacing w:val="4"/>
    </w:rPr>
  </w:style>
  <w:style w:type="paragraph" w:customStyle="1" w:styleId="Committee">
    <w:name w:val="Committee 委员会"/>
    <w:basedOn w:val="H1"/>
    <w:qFormat/>
    <w:rsid w:val="001944A4"/>
    <w:pPr>
      <w:spacing w:line="240" w:lineRule="exact"/>
    </w:pPr>
  </w:style>
  <w:style w:type="paragraph" w:customStyle="1" w:styleId="AgendaTitleNormal">
    <w:name w:val="Agenda Title Normal"/>
    <w:basedOn w:val="af"/>
    <w:qFormat/>
    <w:rsid w:val="009A2CBB"/>
    <w:pPr>
      <w:spacing w:after="60"/>
    </w:pPr>
    <w:rPr>
      <w:sz w:val="21"/>
      <w:szCs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D226D"/>
    <w:pPr>
      <w:ind w:right="1985"/>
      <w:outlineLvl w:val="1"/>
    </w:pPr>
    <w:rPr>
      <w:rFonts w:ascii="黑体" w:eastAsia="黑体" w:hAnsi="黑体"/>
      <w:szCs w:val="21"/>
    </w:rPr>
  </w:style>
  <w:style w:type="paragraph" w:customStyle="1" w:styleId="TitleHCH">
    <w:name w:val="Title_H_CH"/>
    <w:basedOn w:val="H1"/>
    <w:next w:val="a"/>
    <w:link w:val="TitleHCHChar"/>
    <w:qFormat/>
    <w:rsid w:val="00BB73DE"/>
    <w:pPr>
      <w:spacing w:line="400" w:lineRule="exact"/>
    </w:pPr>
    <w:rPr>
      <w:rFonts w:hAnsi="黑体"/>
      <w:sz w:val="28"/>
    </w:rPr>
  </w:style>
  <w:style w:type="character" w:customStyle="1" w:styleId="TitleHCHChar">
    <w:name w:val="Title_H_CH Char"/>
    <w:basedOn w:val="a0"/>
    <w:link w:val="TitleHCH"/>
    <w:rsid w:val="00BB73DE"/>
    <w:rPr>
      <w:rFonts w:ascii="黑体" w:eastAsia="黑体" w:hAnsi="黑体"/>
      <w:kern w:val="14"/>
      <w:sz w:val="28"/>
      <w:lang w:val="en-US"/>
    </w:rPr>
  </w:style>
  <w:style w:type="paragraph" w:customStyle="1" w:styleId="TitleH1">
    <w:name w:val="Title_H1"/>
    <w:basedOn w:val="a"/>
    <w:next w:val="a"/>
    <w:link w:val="TitleH1Char"/>
    <w:qFormat/>
    <w:rsid w:val="00BB73DE"/>
    <w:pPr>
      <w:keepNext/>
      <w:keepLines/>
      <w:outlineLvl w:val="0"/>
    </w:pPr>
    <w:rPr>
      <w:rFonts w:ascii="黑体" w:eastAsia="黑体" w:hAnsi="黑体"/>
      <w:sz w:val="24"/>
    </w:rPr>
  </w:style>
  <w:style w:type="paragraph" w:customStyle="1" w:styleId="TitleH2">
    <w:name w:val="Title_H2"/>
    <w:basedOn w:val="a"/>
    <w:next w:val="a"/>
    <w:link w:val="TitleH2Char"/>
    <w:qFormat/>
    <w:rsid w:val="00BB73DE"/>
    <w:pPr>
      <w:outlineLvl w:val="1"/>
    </w:pPr>
    <w:rPr>
      <w:rFonts w:ascii="黑体" w:eastAsia="黑体" w:hAnsi="黑体"/>
      <w:spacing w:val="2"/>
    </w:rPr>
  </w:style>
  <w:style w:type="character" w:customStyle="1" w:styleId="TitleH1Char">
    <w:name w:val="Title_H1 Char"/>
    <w:basedOn w:val="a0"/>
    <w:link w:val="TitleH1"/>
    <w:rsid w:val="00BB73DE"/>
    <w:rPr>
      <w:rFonts w:ascii="黑体" w:eastAsia="黑体" w:hAnsi="黑体"/>
      <w:kern w:val="14"/>
      <w:sz w:val="24"/>
      <w:lang w:val="en-US"/>
    </w:rPr>
  </w:style>
  <w:style w:type="character" w:customStyle="1" w:styleId="TitleH2Char">
    <w:name w:val="Title_H2 Char"/>
    <w:basedOn w:val="a0"/>
    <w:link w:val="TitleH2"/>
    <w:rsid w:val="00BB73DE"/>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basedOn w:val="a0"/>
    <w:link w:val="a5"/>
    <w:rsid w:val="00255040"/>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h/CEDAW/C/MNE/Q/2" TargetMode="External"/><Relationship Id="rId3" Type="http://schemas.openxmlformats.org/officeDocument/2006/relationships/styles" Target="styles.xml"/><Relationship Id="rId21" Type="http://schemas.openxmlformats.org/officeDocument/2006/relationships/hyperlink" Target="https://undocs.org/ch/CEDAW/C/MNE/CO/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h/CEDAW/C/MNE/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h/CEDAW/C/SR.1512" TargetMode="External"/><Relationship Id="rId20" Type="http://schemas.openxmlformats.org/officeDocument/2006/relationships/hyperlink" Target="https://undocs.org/ch/CEDAW/C/MNE/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ch/HRI/GEN/2/Rev.6" TargetMode="External"/><Relationship Id="rId10" Type="http://schemas.openxmlformats.org/officeDocument/2006/relationships/header" Target="header2.xml"/><Relationship Id="rId19" Type="http://schemas.openxmlformats.org/officeDocument/2006/relationships/hyperlink" Target="https://undocs.org/ch/CEDAW/C/MNE/Q/2/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h/CEDAW/C/MNE/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DCB36-339E-4702-91AC-1464A87A0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2156</Words>
  <Characters>12291</Characters>
  <Application>Microsoft Office Word</Application>
  <DocSecurity>0</DocSecurity>
  <Lines>102</Lines>
  <Paragraphs>28</Paragraphs>
  <ScaleCrop>false</ScaleCrop>
  <Company>United Nations</Company>
  <LinksUpToDate>false</LinksUpToDate>
  <CharactersWithSpaces>14419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Ctpu1</dc:creator>
  <cp:keywords/>
  <dc:description/>
  <cp:lastModifiedBy>Ctpu1</cp:lastModifiedBy>
  <cp:revision>4</cp:revision>
  <dcterms:created xsi:type="dcterms:W3CDTF">2017-09-22T00:25:00Z</dcterms:created>
  <dcterms:modified xsi:type="dcterms:W3CDTF">2017-09-22T00:25:00Z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1711287</vt:lpwstr>
  </property>
  <property fmtid="{D5CDD505-2E9C-101B-9397-08002B2CF9AE}" pid="3" name="ODSRefJobNo">
    <vt:lpwstr>1722760C</vt:lpwstr>
  </property>
  <property fmtid="{D5CDD505-2E9C-101B-9397-08002B2CF9AE}" pid="4" name="Symbol1">
    <vt:lpwstr>CEDAW/C/MNE/CO/2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yh</vt:lpwstr>
  </property>
  <property fmtid="{D5CDD505-2E9C-101B-9397-08002B2CF9AE}" pid="12" name="Distribution">
    <vt:lpwstr>General</vt:lpwstr>
  </property>
  <property fmtid="{D5CDD505-2E9C-101B-9397-08002B2CF9AE}" pid="13" name="Publication Date">
    <vt:lpwstr>24 July 2017</vt:lpwstr>
  </property>
  <property fmtid="{D5CDD505-2E9C-101B-9397-08002B2CF9AE}" pid="14" name="Original">
    <vt:lpwstr>English</vt:lpwstr>
  </property>
  <property fmtid="{D5CDD505-2E9C-101B-9397-08002B2CF9AE}" pid="15" name="Release Date">
    <vt:lpwstr/>
  </property>
  <property fmtid="{D5CDD505-2E9C-101B-9397-08002B2CF9AE}" pid="16" name="Session">
    <vt:lpwstr>消除对妇女歧视委员会</vt:lpwstr>
  </property>
  <property fmtid="{D5CDD505-2E9C-101B-9397-08002B2CF9AE}" pid="17" name="Title1">
    <vt:lpwstr>关于黑山第二次定期报告的结论性意见*</vt:lpwstr>
  </property>
</Properties>
</file>