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23E22" w:rsidP="00B23E22">
            <w:pPr>
              <w:jc w:val="right"/>
            </w:pPr>
            <w:r w:rsidRPr="00B23E22">
              <w:rPr>
                <w:sz w:val="40"/>
              </w:rPr>
              <w:t>CAT</w:t>
            </w:r>
            <w:r>
              <w:t>/C/SR.1066</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B23E22" w:rsidRDefault="00B23E22" w:rsidP="00712895">
            <w:pPr>
              <w:spacing w:before="240"/>
            </w:pPr>
            <w:r>
              <w:t>Distr. general</w:t>
            </w:r>
          </w:p>
          <w:p w:rsidR="00B23E22" w:rsidRDefault="00B23E22" w:rsidP="00B23E22">
            <w:pPr>
              <w:spacing w:line="240" w:lineRule="exact"/>
            </w:pPr>
            <w:r>
              <w:t>29 de noviembre de 2012</w:t>
            </w:r>
          </w:p>
          <w:p w:rsidR="00B23E22" w:rsidRDefault="00B23E22" w:rsidP="00B23E22">
            <w:pPr>
              <w:spacing w:line="240" w:lineRule="exact"/>
            </w:pPr>
            <w:r>
              <w:t>Español</w:t>
            </w:r>
          </w:p>
          <w:p w:rsidR="002D5AAC" w:rsidRDefault="00B23E22" w:rsidP="00B23E22">
            <w:pPr>
              <w:spacing w:line="240" w:lineRule="exact"/>
            </w:pPr>
            <w:r>
              <w:t>Original: inglés</w:t>
            </w:r>
          </w:p>
        </w:tc>
      </w:tr>
    </w:tbl>
    <w:p w:rsidR="00B23E22" w:rsidRPr="00FB4559" w:rsidRDefault="00B23E22" w:rsidP="00B23E22">
      <w:pPr>
        <w:spacing w:before="120"/>
        <w:rPr>
          <w:b/>
          <w:sz w:val="24"/>
          <w:szCs w:val="24"/>
        </w:rPr>
      </w:pPr>
      <w:r w:rsidRPr="00FB4559">
        <w:rPr>
          <w:b/>
          <w:sz w:val="24"/>
          <w:szCs w:val="24"/>
        </w:rPr>
        <w:t>Comité contra la Tortura</w:t>
      </w:r>
    </w:p>
    <w:p w:rsidR="00B23E22" w:rsidRPr="00FB4559" w:rsidRDefault="00B23E22" w:rsidP="00B23E22">
      <w:pPr>
        <w:spacing w:after="120"/>
        <w:rPr>
          <w:b/>
        </w:rPr>
      </w:pPr>
      <w:r w:rsidRPr="00FB4559">
        <w:rPr>
          <w:b/>
        </w:rPr>
        <w:t>48º período de sesiones</w:t>
      </w:r>
    </w:p>
    <w:p w:rsidR="00B23E22" w:rsidRDefault="00B23E22" w:rsidP="00B23E22">
      <w:pPr>
        <w:rPr>
          <w:b/>
        </w:rPr>
      </w:pPr>
      <w:r w:rsidRPr="00FB4559">
        <w:rPr>
          <w:b/>
        </w:rPr>
        <w:t>Acta resumida (parcial)</w:t>
      </w:r>
      <w:r w:rsidRPr="00FB4559">
        <w:rPr>
          <w:rStyle w:val="FootnoteReference"/>
          <w:sz w:val="20"/>
          <w:vertAlign w:val="baseline"/>
        </w:rPr>
        <w:footnoteReference w:customMarkFollows="1" w:id="1"/>
        <w:t>*</w:t>
      </w:r>
      <w:r w:rsidRPr="00FB4559">
        <w:rPr>
          <w:b/>
        </w:rPr>
        <w:t xml:space="preserve"> de la 1066</w:t>
      </w:r>
      <w:r>
        <w:rPr>
          <w:b/>
        </w:rPr>
        <w:t>ª</w:t>
      </w:r>
      <w:r w:rsidRPr="00FB4559">
        <w:rPr>
          <w:b/>
        </w:rPr>
        <w:t xml:space="preserve"> sesión</w:t>
      </w:r>
    </w:p>
    <w:p w:rsidR="00B23E22" w:rsidRPr="00FB4559" w:rsidRDefault="00B23E22" w:rsidP="00B23E22">
      <w:pPr>
        <w:spacing w:after="120"/>
      </w:pPr>
      <w:r w:rsidRPr="00FB4559">
        <w:t xml:space="preserve">Celebrada en el Palais Wilson, Ginebra, el viernes 11 </w:t>
      </w:r>
      <w:r>
        <w:t>de mayo de 2012, a las 10</w:t>
      </w:r>
      <w:r w:rsidR="00AD3FB4">
        <w:t>.00</w:t>
      </w:r>
      <w:r>
        <w:t xml:space="preserve"> horas</w:t>
      </w:r>
    </w:p>
    <w:p w:rsidR="00B23E22" w:rsidRPr="00FB4559" w:rsidRDefault="00B23E22" w:rsidP="00B23E22">
      <w:pPr>
        <w:ind w:firstLine="57"/>
      </w:pPr>
      <w:r w:rsidRPr="00FB4559">
        <w:rPr>
          <w:i/>
        </w:rPr>
        <w:t>Presidente:</w:t>
      </w:r>
      <w:r w:rsidRPr="00FB4559">
        <w:tab/>
        <w:t>Sr. Grossman</w:t>
      </w:r>
    </w:p>
    <w:p w:rsidR="00B23E22" w:rsidRPr="00FB4559" w:rsidRDefault="00B23E22" w:rsidP="00B23E22">
      <w:pPr>
        <w:pStyle w:val="HChG"/>
        <w:rPr>
          <w:b w:val="0"/>
        </w:rPr>
      </w:pPr>
      <w:r w:rsidRPr="00FB4559">
        <w:rPr>
          <w:b w:val="0"/>
        </w:rPr>
        <w:t>Sumario</w:t>
      </w:r>
    </w:p>
    <w:p w:rsidR="00B23E22" w:rsidRPr="00FB4559" w:rsidRDefault="00B23E22" w:rsidP="00B23E22">
      <w:pPr>
        <w:pStyle w:val="SingleTxtG"/>
      </w:pPr>
      <w:r w:rsidRPr="00FB4559">
        <w:t>Reunión con las organizaciones no gubernamentales (ONG)</w:t>
      </w:r>
    </w:p>
    <w:p w:rsidR="00B23E22" w:rsidRPr="00FB4559" w:rsidRDefault="00B23E22" w:rsidP="00B23E22">
      <w:pPr>
        <w:pStyle w:val="SingleTxtG"/>
        <w:rPr>
          <w:i/>
        </w:rPr>
      </w:pPr>
      <w:r w:rsidRPr="00FB4559">
        <w:br w:type="page"/>
      </w:r>
      <w:r w:rsidRPr="00FB4559">
        <w:rPr>
          <w:i/>
        </w:rPr>
        <w:t>Se declara abierta la sesión a las 10.05 horas.</w:t>
      </w:r>
    </w:p>
    <w:p w:rsidR="00B23E22" w:rsidRPr="00FB4559" w:rsidRDefault="00B23E22" w:rsidP="00B23E22">
      <w:pPr>
        <w:pStyle w:val="H23G"/>
      </w:pPr>
      <w:r>
        <w:tab/>
      </w:r>
      <w:r>
        <w:tab/>
      </w:r>
      <w:r w:rsidRPr="00FB4559">
        <w:t>Reunión con las organizaciones no gubernamentales (ONG)</w:t>
      </w:r>
    </w:p>
    <w:p w:rsidR="00B23E22" w:rsidRPr="00FB4559" w:rsidRDefault="00B23E22" w:rsidP="00B23E22">
      <w:pPr>
        <w:pStyle w:val="SingleTxtG"/>
      </w:pPr>
      <w:r w:rsidRPr="00FB4559">
        <w:t>1.</w:t>
      </w:r>
      <w:r w:rsidRPr="00FB4559">
        <w:tab/>
      </w:r>
      <w:r w:rsidRPr="00FB4559">
        <w:rPr>
          <w:b/>
        </w:rPr>
        <w:t xml:space="preserve">El Presidente </w:t>
      </w:r>
      <w:r w:rsidRPr="00FB4559">
        <w:t>agradece la oportunidad de entablar un diálogo constructivo con las ONG y destaca la importancia de su contribución a la labor del Comité.</w:t>
      </w:r>
    </w:p>
    <w:p w:rsidR="00B23E22" w:rsidRPr="00FB4559" w:rsidRDefault="00B23E22" w:rsidP="00B23E22">
      <w:pPr>
        <w:pStyle w:val="SingleTxtG"/>
      </w:pPr>
      <w:r w:rsidRPr="00FB4559">
        <w:t>2.</w:t>
      </w:r>
      <w:r w:rsidRPr="00FB4559">
        <w:tab/>
      </w:r>
      <w:r w:rsidRPr="00FB4559">
        <w:rPr>
          <w:b/>
        </w:rPr>
        <w:t>El Sr. Sands</w:t>
      </w:r>
      <w:r w:rsidRPr="00FB4559">
        <w:t xml:space="preserve"> (Asociación para la Prevención de la Tortura – APT) dice que la Asociación tiene previsto celebrar dos reuniones de expertos en Ginebra en 2012, así como cursos de capacitación a nivel nacional, sobre el uso de información obtenida mediante tortura, y agradecería las aportaciones del Comité al respecto. Propone que el Comité organice debates generales sobre la tipificación de la tortura como delito y la prohibición del uso de la información obtenida mediante tortura.</w:t>
      </w:r>
    </w:p>
    <w:p w:rsidR="00B23E22" w:rsidRPr="00FB4559" w:rsidRDefault="00B23E22" w:rsidP="00B23E22">
      <w:pPr>
        <w:pStyle w:val="SingleTxtG"/>
        <w:rPr>
          <w:bCs/>
        </w:rPr>
      </w:pPr>
      <w:r w:rsidRPr="00FB4559">
        <w:t>3.</w:t>
      </w:r>
      <w:r w:rsidRPr="00FB4559">
        <w:tab/>
        <w:t xml:space="preserve">La Asociación recomienda al Comité que formule menos recomendaciones, pero más específicas, en sus observaciones finales dirigidas a los Estados partes, y se felicita de los esfuerzos del Comité para alentar a los Estados partes a ratificar el Protocolo Facultativo de la Convención contra la Tortura y Otros Tratos o Penas Crueles, Inhumanos o Degradantes. El Comité debería considerar la posibilidad de invitar a los </w:t>
      </w:r>
      <w:r w:rsidRPr="00FB4559">
        <w:rPr>
          <w:bCs/>
        </w:rPr>
        <w:t>mecanismos nacionales de prevención a participar en sus reuniones con las instituciones nacionales de derechos humanos. Debería estudiarse la posibilidad de permitir a los mecanismos y a las ONG que no puedan asistir a las reuniones que lo hagan por videoconferencia.</w:t>
      </w:r>
    </w:p>
    <w:p w:rsidR="00B23E22" w:rsidRPr="00FB4559" w:rsidRDefault="00B23E22" w:rsidP="00B23E22">
      <w:pPr>
        <w:pStyle w:val="SingleTxtG"/>
      </w:pPr>
      <w:r w:rsidRPr="00FB4559">
        <w:t>4.</w:t>
      </w:r>
      <w:r w:rsidRPr="00FB4559">
        <w:tab/>
      </w:r>
      <w:r w:rsidRPr="00FB4559">
        <w:rPr>
          <w:b/>
        </w:rPr>
        <w:t>El Sr. Splinter</w:t>
      </w:r>
      <w:r w:rsidRPr="00FB4559">
        <w:t xml:space="preserve"> (Amnistía Internacional) dice que Amnistía Internacional (AI) y otras ONG están preocupadas por la falta de claridad en lo que se refiere a la participación de las ONG, las instituciones nacionales de derechos humanos y los expertos de los órganos creados en virtud de tratados en el proceso intergubernamental de la Asamblea General para fortalecer y mejorar el funcionamiento eficaz del sistema de órganos de tratados de derechos humanos. Los órganos de tratados y la Oficina del Alto Comisionado de las Naciones Unidas para los Derechos Humanos (ACNUDH) deberían hacer todo lo posible para que los expertos de esos órganos participen en este proceso.</w:t>
      </w:r>
    </w:p>
    <w:p w:rsidR="00B23E22" w:rsidRPr="00FB4559" w:rsidRDefault="00B23E22" w:rsidP="00B23E22">
      <w:pPr>
        <w:pStyle w:val="SingleTxtG"/>
      </w:pPr>
      <w:r w:rsidRPr="00FB4559">
        <w:t>5.</w:t>
      </w:r>
      <w:r w:rsidRPr="00FB4559">
        <w:tab/>
        <w:t>En relación con la próxima reunión anual de los Presidentes en Addis Abeba, señala las dificultades con que se enfrentan las organizaciones de derechos humanos y los medios de comunicación en Etiopía, e insta a los Presidentes a tomar todas las medidas necesarias para garantizar la participación de las ONG nacionales, regionales e internacionales sin temor a intimidaciones o represalias. Alienta al Comité a participar activamente en el examen en curso de las Reglas mínimas para el tratamiento de los reclusos.</w:t>
      </w:r>
    </w:p>
    <w:p w:rsidR="00B23E22" w:rsidRPr="00FB4559" w:rsidRDefault="00B23E22" w:rsidP="00B23E22">
      <w:pPr>
        <w:pStyle w:val="SingleTxtG"/>
      </w:pPr>
      <w:r w:rsidRPr="00FB4559">
        <w:t>6.</w:t>
      </w:r>
      <w:r w:rsidRPr="00FB4559">
        <w:tab/>
        <w:t>Sería útil saber la manera en que el Comité piensa evaluar la calidad de la información facilitada por los Estados partes con arreglo a la nueva lista de cuestiones anterior a la presentación del informe. Además, el Comité debería establecer directrices sobre la redacción de las observaciones generales para que los Estados partes y la sociedad civil puedan participar en ese proceso.</w:t>
      </w:r>
    </w:p>
    <w:p w:rsidR="00B23E22" w:rsidRPr="00FB4559" w:rsidRDefault="00B23E22" w:rsidP="00B23E22">
      <w:pPr>
        <w:pStyle w:val="SingleTxtG"/>
      </w:pPr>
      <w:r w:rsidRPr="00FB4559">
        <w:t>7.</w:t>
      </w:r>
      <w:r w:rsidRPr="00FB4559">
        <w:tab/>
      </w:r>
      <w:r w:rsidRPr="00FB4559">
        <w:rPr>
          <w:b/>
        </w:rPr>
        <w:t>La Sra. Crottaz</w:t>
      </w:r>
      <w:r w:rsidRPr="00FB4559">
        <w:t xml:space="preserve"> (Alkarama) dice que la familia de Djamel Ktiti, cuya extradición de Marruecos a Argelia se detuvo gracias a que el Comité concluyó que la extradición hubiera sido contraria al artículo 3 de la Convención, desea expresar su agradecimiento. A pesar de este desenlace favorable, Alkarama expresa su preocupación por el tiempo que le lleva al Comité llegar a una decisión sobre las denuncias individuales, ya que en algunos casos esas decisiones se toman años después de la presentación inicial.</w:t>
      </w:r>
    </w:p>
    <w:p w:rsidR="00B23E22" w:rsidRPr="00FB4559" w:rsidRDefault="00B23E22" w:rsidP="00B23E22">
      <w:pPr>
        <w:pStyle w:val="SingleTxtG"/>
      </w:pPr>
      <w:r w:rsidRPr="00FB4559">
        <w:t>8.</w:t>
      </w:r>
      <w:r w:rsidRPr="00FB4559">
        <w:tab/>
      </w:r>
      <w:r w:rsidRPr="00FB4559">
        <w:rPr>
          <w:b/>
        </w:rPr>
        <w:t>La Sra. Meraz</w:t>
      </w:r>
      <w:r w:rsidRPr="00FB4559">
        <w:t xml:space="preserve"> (Organización Mundial </w:t>
      </w:r>
      <w:r w:rsidR="00ED3892">
        <w:t>contra la Tortura</w:t>
      </w:r>
      <w:r w:rsidRPr="00FB4559">
        <w:t xml:space="preserve"> – OMCT) dice que el Comité, en sus reuniones, debería dedicar más tiempo al seguimiento de la aplicación por los Estados partes de las recomendaciones formuladas en las observaciones finales del Comité, y que el ACNUDH debería facilitar más recursos para permitir dicho seguimiento.</w:t>
      </w:r>
      <w:r>
        <w:t xml:space="preserve"> </w:t>
      </w:r>
      <w:r w:rsidRPr="00FB4559">
        <w:t>La creación de la página web destinada al seguimiento en el sitio del Comité es un buen comienzo, pero aún queda mucho por hacer. El Comité debería llevar a cabo visitas de seguimiento a los Estados partes que sistemáticamente hacen caso omiso de las recomendaciones, y los órganos de tratados deberían colaborar a fin de ejercer presión sobre los Estados partes más recalcitrantes.</w:t>
      </w:r>
    </w:p>
    <w:p w:rsidR="00B23E22" w:rsidRPr="00FB4559" w:rsidRDefault="00B23E22" w:rsidP="00B23E22">
      <w:pPr>
        <w:pStyle w:val="SingleTxtG"/>
      </w:pPr>
      <w:r w:rsidRPr="00FB4559">
        <w:t>9.</w:t>
      </w:r>
      <w:r w:rsidRPr="00FB4559">
        <w:tab/>
        <w:t>La Sra. Meraz pregunta cuánto se ha progresado en la aprobación de la observación general sobre el artículo 14, si el Comité prevé publicar más observaciones generales, y si se está estudiando la posibilidad de enmendar el artículo 114 del reglamento del Comité, relativo a las medidas provisionales, con vistas a hacerlas extensivas expresamente a las personas que tomen parte en las deliberaciones del Comité, como los testigos y los defensores de los derechos humanos.</w:t>
      </w:r>
    </w:p>
    <w:p w:rsidR="00B23E22" w:rsidRPr="00FB4559" w:rsidRDefault="00B23E22" w:rsidP="00B23E22">
      <w:pPr>
        <w:pStyle w:val="SingleTxtG"/>
      </w:pPr>
      <w:r w:rsidRPr="00FB4559">
        <w:t>10.</w:t>
      </w:r>
      <w:r w:rsidRPr="00FB4559">
        <w:rPr>
          <w:b/>
        </w:rPr>
        <w:tab/>
        <w:t>La Sra. Lee</w:t>
      </w:r>
      <w:r w:rsidRPr="00FB4559">
        <w:t xml:space="preserve"> (International Disability Alliance – IDA) celebra que el Comité haya abordado las cuestiones relacionadas con las personas con discapacidad durante el examen de los informes periódicos de los Estados partes, y alienta tanto al Comité como a otros órganos de tratados y procedimientos especiales a que armonicen sus enfoques sobre las cuestiones de fondo de interés común. Anima al Comité a tomar más en cuenta las normas que establece el Comité sobre los Derechos de las Personas con Discapacidad al formular sus propias recomendaciones sobre asuntos pertinentes, ya que la aplicación de un enfoque común es fundamental para promover el cumplimiento de los Estados partes y mejorar la coherencia de las normas internacionales de derechos humanos. Los distintos comités podrían fomentar el aumento de la colaboración publicando declaraciones conjuntas y observaciones generales comunes.</w:t>
      </w:r>
    </w:p>
    <w:p w:rsidR="00B23E22" w:rsidRPr="00FB4559" w:rsidRDefault="00B23E22" w:rsidP="00B23E22">
      <w:pPr>
        <w:pStyle w:val="SingleTxtG"/>
      </w:pPr>
      <w:r w:rsidRPr="00FB4559">
        <w:t>11.</w:t>
      </w:r>
      <w:r w:rsidRPr="00FB4559">
        <w:rPr>
          <w:b/>
        </w:rPr>
        <w:tab/>
        <w:t>El Sr. Conte</w:t>
      </w:r>
      <w:r w:rsidRPr="00FB4559">
        <w:t xml:space="preserve"> (Comisión Internacional de Juristas </w:t>
      </w:r>
      <w:r>
        <w:t>–</w:t>
      </w:r>
      <w:r w:rsidRPr="00FB4559">
        <w:t xml:space="preserve"> CIJ) alienta al Comité a establecer directrices públicas claras sobre la redacción y la aprobación de observaciones generales. También sería útil para las organizaciones de la sociedad civil conocer, con la mayor antelación posible, la lista de Estados partes que deben presentar sus informes en períodos de sesiones futuros. En el sitio web del Comité no está claro, por ejemplo, qué Estados partes serán objeto de examen durante el 50º período de sesiones del Comité en mayo de 2013.</w:t>
      </w:r>
    </w:p>
    <w:p w:rsidR="00B23E22" w:rsidRPr="00FB4559" w:rsidRDefault="00B23E22" w:rsidP="00B23E22">
      <w:pPr>
        <w:pStyle w:val="SingleTxtG"/>
        <w:rPr>
          <w:bCs/>
        </w:rPr>
      </w:pPr>
      <w:r w:rsidRPr="00FB4559">
        <w:t>12.</w:t>
      </w:r>
      <w:r w:rsidRPr="00FB4559">
        <w:tab/>
      </w:r>
      <w:r w:rsidRPr="00FB4559">
        <w:rPr>
          <w:b/>
        </w:rPr>
        <w:t>El Sr. Kjaerum</w:t>
      </w:r>
      <w:r w:rsidRPr="00FB4559">
        <w:t xml:space="preserve"> (Consejo Internacional para la Rehabilitación de las Víctimas de la Tortura </w:t>
      </w:r>
      <w:r>
        <w:t>–</w:t>
      </w:r>
      <w:r w:rsidRPr="00FB4559">
        <w:t xml:space="preserve"> IRCT) dice que el IRCT está trabajando con Physicians for Human Rights, REDRESS y la Fundación para los Derechos Humanos de Turquía con el objeto de finalizar un plan de acción destinado a promover y vigilar la aplicación del </w:t>
      </w:r>
      <w:r w:rsidRPr="00FB4559">
        <w:rPr>
          <w:bCs/>
        </w:rPr>
        <w:t>Protocolo de Estambul. La Alta Comisionada de las Naciones Unidas para los Derechos Humanos ha expresado su firme apoyo al plan.</w:t>
      </w:r>
    </w:p>
    <w:p w:rsidR="00B23E22" w:rsidRPr="00FB4559" w:rsidRDefault="00B23E22" w:rsidP="00B23E22">
      <w:pPr>
        <w:pStyle w:val="SingleTxtG"/>
      </w:pPr>
      <w:r w:rsidRPr="00FB4559">
        <w:t>13.</w:t>
      </w:r>
      <w:r w:rsidRPr="00FB4559">
        <w:tab/>
        <w:t>EL IRCT alienta al Comité a prestar especial atención a la cuestión de la investigación eficaz de las denuncias de tortura y al posterior enjuiciamiento de los autores, que podría ser objeto de una observación general o de un debate general. El Comité también debería mantenerse lo más informado posible sobr</w:t>
      </w:r>
      <w:r>
        <w:t>e las opiniones de las ONG. Con </w:t>
      </w:r>
      <w:r w:rsidRPr="00FB4559">
        <w:t>este fin, se podría organizar una reunión entre las ONG y los miembros del Comité a la hora del almuerzo durante el actual período de sesiones.</w:t>
      </w:r>
    </w:p>
    <w:p w:rsidR="00B23E22" w:rsidRPr="00FB4559" w:rsidRDefault="00B23E22" w:rsidP="00B23E22">
      <w:pPr>
        <w:pStyle w:val="SingleTxtG"/>
      </w:pPr>
      <w:r w:rsidRPr="00FB4559">
        <w:t>14.</w:t>
      </w:r>
      <w:r w:rsidRPr="00FB4559">
        <w:tab/>
        <w:t>Respecto de la posibilidad de establecer principios relacionados con la independencia de los miembros de los órganos de tratados, dice que es importante que la afiliación a una ONG no impida a nadie ser miembro de un comité creado en virtud de un tratado. Esos principios tampoco deberían impedir que los miembros colaboren con las ONG. Si bien la independencia de los miembros de los órganos de tratados es importante, también lo es su competencia.</w:t>
      </w:r>
    </w:p>
    <w:p w:rsidR="00B23E22" w:rsidRPr="00FB4559" w:rsidRDefault="00B23E22" w:rsidP="00B23E22">
      <w:pPr>
        <w:pStyle w:val="SingleTxtG"/>
      </w:pPr>
      <w:r w:rsidRPr="00FB4559">
        <w:t>15.</w:t>
      </w:r>
      <w:r w:rsidRPr="00FB4559">
        <w:tab/>
      </w:r>
      <w:r w:rsidRPr="00FB4559">
        <w:rPr>
          <w:b/>
        </w:rPr>
        <w:t>El Sr. Irminger</w:t>
      </w:r>
      <w:r w:rsidRPr="00FB4559">
        <w:t xml:space="preserve"> (Human Rights House Foundation) desea señalar a la atención del Comité la difícil situación en que se encuentra un defensor de los derechos humanos de Belarús, el Sr. Andrei Bondarenko, al que se ha prohibido salir del país por haber participado en reuniones de ONG con el Comité en Ginebra y haberlo hecho público posteriormente. La Fundación considera que las restricc</w:t>
      </w:r>
      <w:r>
        <w:t>iones de viaje impuestas al Sr. </w:t>
      </w:r>
      <w:r w:rsidRPr="00FB4559">
        <w:t>Bondarenko son represalias por haber comparecido ante el Comité, y encarece al Comité que plantee la cuestión a las autoridades de Belarús. De conformidad con la legislación reciente, el Comité de Seguridad del Estado de Belarús (KGB) puede redactar listas de personas a las que se les prohíbe abandona</w:t>
      </w:r>
      <w:r>
        <w:t>r el país, y se teme que el Sr. </w:t>
      </w:r>
      <w:r w:rsidRPr="00FB4559">
        <w:t>Bondarenko se encuentre en una de esas listas.</w:t>
      </w:r>
    </w:p>
    <w:p w:rsidR="00B23E22" w:rsidRPr="00FB4559" w:rsidRDefault="00B23E22" w:rsidP="00B23E22">
      <w:pPr>
        <w:pStyle w:val="SingleTxtG"/>
      </w:pPr>
      <w:r w:rsidRPr="00FB4559">
        <w:t>16.</w:t>
      </w:r>
      <w:r w:rsidRPr="00FB4559">
        <w:tab/>
        <w:t>Observando que la delegación de Armenia, que compareció ante el Comité el día anterior, calificó la información procedente de algunas ONG del Estado parte de propaganda y de incitación al odio contra los armenios, dice que el Gobierno, suele acusar a grupos de derechos humanos, como la Asamblea de Ciudadanos de Helsinki, de difundir propaganda antiarmenia, lo cual forma parte de una política más amplia de represión de la sociedad civil. El Relator Especial sobre la promoción y protección del derecho a la libertad de opinión y de expresión pidió que se pusiera fin al hostigamiento de esos grupos.</w:t>
      </w:r>
    </w:p>
    <w:p w:rsidR="00B23E22" w:rsidRPr="00FB4559" w:rsidRDefault="00B23E22" w:rsidP="00B23E22">
      <w:pPr>
        <w:pStyle w:val="SingleTxtG"/>
      </w:pPr>
      <w:r w:rsidRPr="00FB4559">
        <w:t>17.</w:t>
      </w:r>
      <w:r w:rsidRPr="00FB4559">
        <w:tab/>
      </w:r>
      <w:r w:rsidRPr="00FB4559">
        <w:rPr>
          <w:b/>
        </w:rPr>
        <w:t>El Presidente</w:t>
      </w:r>
      <w:r w:rsidRPr="00FB4559">
        <w:t xml:space="preserve"> dice que la lista de los Estados partes cuyos informes periódicos serán estudiados en el 49º período de sesiones puede encontrarse</w:t>
      </w:r>
      <w:r>
        <w:t xml:space="preserve"> en el sitio web del Comité. La </w:t>
      </w:r>
      <w:r w:rsidRPr="00FB4559">
        <w:t>lista de Estados partes que se han de examinar durante el 50º período de sesi</w:t>
      </w:r>
      <w:r>
        <w:t>ones se ultimará durante el perí</w:t>
      </w:r>
      <w:r w:rsidRPr="00FB4559">
        <w:t>odo de sesiones en curso. La participación en la redacción de la observación general sobre el artículo 14 fue muy amplia, e incluyó a grupos de la sociedad civil. La adopción de medidas de represalia constituye una violación de la Convención, y el Comité estudiará determinados casos con vistas a asegurar el cumplimiento de las obligaciones contraídas por los Estados partes en virtud de la Convención.</w:t>
      </w:r>
    </w:p>
    <w:p w:rsidR="00B23E22" w:rsidRPr="00FB4559" w:rsidRDefault="00B23E22" w:rsidP="00B23E22">
      <w:pPr>
        <w:pStyle w:val="SingleTxtG"/>
      </w:pPr>
      <w:r w:rsidRPr="00FB4559">
        <w:t>18.</w:t>
      </w:r>
      <w:r w:rsidRPr="00FB4559">
        <w:tab/>
      </w:r>
      <w:r w:rsidRPr="00FB4559">
        <w:rPr>
          <w:b/>
        </w:rPr>
        <w:t>El Sr. Bruni</w:t>
      </w:r>
      <w:r w:rsidRPr="00FB4559">
        <w:t xml:space="preserve"> dice que el Comité informó al Presidente del Subcomité para la Prevención de que el Comité sistemáticamente pregunta a los Estados partes sobre la aplicación de los mecanismos nacionales de prevención. El Comité recibe con interés la información del Subcomité y las ONG sobre los mecanismos nacionales de prevención y los obstáculos que impiden su funcionamiento adecuado.</w:t>
      </w:r>
    </w:p>
    <w:p w:rsidR="00B23E22" w:rsidRPr="00FB4559" w:rsidRDefault="00B23E22" w:rsidP="00B23E22">
      <w:pPr>
        <w:pStyle w:val="SingleTxtG"/>
      </w:pPr>
      <w:r w:rsidRPr="00FB4559">
        <w:t>19</w:t>
      </w:r>
      <w:r w:rsidRPr="00ED3892">
        <w:t>.</w:t>
      </w:r>
      <w:r w:rsidRPr="00FB4559">
        <w:rPr>
          <w:b/>
        </w:rPr>
        <w:tab/>
        <w:t>El Sr. Domah</w:t>
      </w:r>
      <w:r w:rsidRPr="00FB4559">
        <w:t xml:space="preserve"> dice que las ONG complementan el trabajo del Comité, y que se debe atender a las preocupaciones de estas organizaciones.</w:t>
      </w:r>
    </w:p>
    <w:p w:rsidR="00B23E22" w:rsidRPr="00FB4559" w:rsidRDefault="00B23E22" w:rsidP="00B23E22">
      <w:pPr>
        <w:pStyle w:val="SingleTxtG"/>
      </w:pPr>
      <w:r w:rsidRPr="00FB4559">
        <w:t>20.</w:t>
      </w:r>
      <w:r w:rsidRPr="00FB4559">
        <w:tab/>
      </w:r>
      <w:r w:rsidRPr="00FB4559">
        <w:rPr>
          <w:b/>
        </w:rPr>
        <w:t>El Sr. Tugushi</w:t>
      </w:r>
      <w:r w:rsidRPr="00FB4559">
        <w:t xml:space="preserve"> dice que la responsabilidad principal de mejorar y promover el trabajo de los mecanismos nacionales de prevención incumbe al Subcomité, pero el Comité frecuentemente formula recomendaciones sobre el tema, y podría considerar celebrar reuniones directas con ellos. El Comité depende en gran medida de los informes de las ONG y de la sociedad civil en general, y sin duda dependerá más de los informes de los mecanismos nacionales de prevención. La idea de las videoconferencias para permitir la participación de las ONG y otros grupos en las reuniones del Comité podría muy bien estudiarse en el futuro.</w:t>
      </w:r>
    </w:p>
    <w:p w:rsidR="00B23E22" w:rsidRPr="00FB4559" w:rsidRDefault="00B23E22" w:rsidP="00B23E22">
      <w:pPr>
        <w:pStyle w:val="SingleTxtG"/>
      </w:pPr>
      <w:r w:rsidRPr="00FB4559">
        <w:t>21.</w:t>
      </w:r>
      <w:r w:rsidRPr="00FB4559">
        <w:tab/>
      </w:r>
      <w:r w:rsidRPr="00FB4559">
        <w:rPr>
          <w:b/>
        </w:rPr>
        <w:t>El Sr. Mariño Menéndez</w:t>
      </w:r>
      <w:r w:rsidRPr="00FB4559">
        <w:t xml:space="preserve"> expresa su preocupación por que las ONG de los países en desarrollo raramente participan en las reuniones del Comité, principalmente por falta de recursos. Ello resulta particularmente frustrante en las reuniones dedicadas al examen de los informes periódicos de los Estados partes. Además de contemplar la posibilidad de usar las videoconferencias, se debería intensificar la cooperación entre las ONG internacionales y nacionales.</w:t>
      </w:r>
    </w:p>
    <w:p w:rsidR="00B23E22" w:rsidRPr="00FB4559" w:rsidRDefault="00B23E22" w:rsidP="00B23E22">
      <w:pPr>
        <w:pStyle w:val="SingleTxtG"/>
      </w:pPr>
      <w:r w:rsidRPr="00FB4559">
        <w:t>22.</w:t>
      </w:r>
      <w:r w:rsidRPr="00FB4559">
        <w:tab/>
        <w:t>Sería útil que el Subcomité evaluara los mecanismos nacionales de prevención y las dificultades con las que tropiezan. El Comité ya evaluó la calidad de la información facilitada por los Estados partes al examinar sus informes periódicos. El Sr</w:t>
      </w:r>
      <w:r>
        <w:t>.</w:t>
      </w:r>
      <w:r w:rsidRPr="00FB4559">
        <w:t xml:space="preserve"> Mariño Menéndez pide aclaraciones a la Organización Mundial contra la Tortura sobre la extensión de las medidas provisionales a otras partes interesadas que participan en las deliberaciones del Comité. El Comité podría pensar en realizar visitas de seguimiento a los Estados partes, pero no es seguro que se disponga de</w:t>
      </w:r>
      <w:r>
        <w:t xml:space="preserve"> </w:t>
      </w:r>
      <w:r w:rsidRPr="00FB4559">
        <w:t>recursos para ello. No queda claro s</w:t>
      </w:r>
      <w:r>
        <w:t>i el tema de la adopción de un c</w:t>
      </w:r>
      <w:r w:rsidRPr="00FB4559">
        <w:t xml:space="preserve">ódigo de </w:t>
      </w:r>
      <w:r>
        <w:t>c</w:t>
      </w:r>
      <w:r w:rsidRPr="00FB4559">
        <w:t xml:space="preserve">onducta se incluirá en las deliberaciones del proceso intergubernamental para fortalecer el sistema de órganos de tratados de derechos humanos. No ve por qué razón los miembros de los órganos de tratados no pueden ser también miembros de ONG o mantener un vínculo estrecho con </w:t>
      </w:r>
      <w:r>
        <w:t>e</w:t>
      </w:r>
      <w:r w:rsidRPr="00FB4559">
        <w:t>stas. De hecho, la experiencia adquirida a través del trabajo con las ONG es sumamente valiosa para los expertos que forman parte de los órganos de tratados.</w:t>
      </w:r>
    </w:p>
    <w:p w:rsidR="00B23E22" w:rsidRPr="00FB4559" w:rsidRDefault="00B23E22" w:rsidP="00B23E22">
      <w:pPr>
        <w:pStyle w:val="SingleTxtG"/>
      </w:pPr>
      <w:r w:rsidRPr="00FB4559">
        <w:t>23.</w:t>
      </w:r>
      <w:r w:rsidRPr="00FB4559">
        <w:tab/>
      </w:r>
      <w:r w:rsidRPr="00FB4559">
        <w:rPr>
          <w:b/>
        </w:rPr>
        <w:t>La Sra. Sveaass</w:t>
      </w:r>
      <w:r w:rsidRPr="00FB4559">
        <w:t>, encomiando el apoyo de las ONG al trabajo del Comité, dice que quedó particularmente impresionada con la información actualizada facilitada por las ONG sobre la situación de Grecia cuando en el 47º período de sesiones se aplazó la comparecencia del Estado parte ante el Comité hasta el actual período de sesiones.</w:t>
      </w:r>
    </w:p>
    <w:p w:rsidR="00B23E22" w:rsidRPr="00FB4559" w:rsidRDefault="00B23E22" w:rsidP="00B23E22">
      <w:pPr>
        <w:pStyle w:val="SingleTxtG"/>
      </w:pPr>
      <w:r w:rsidRPr="00FB4559">
        <w:t>24.</w:t>
      </w:r>
      <w:r w:rsidRPr="00FB4559">
        <w:tab/>
        <w:t>International Disability Alliance contribuyó en gran medida a la sensibilización pública sobre temas relacionados con las personas con discapacidad, también en el contexto de la prevención de la tortura. Es importante que el Comité examine detenidamente las condiciones abusivas que se imponen a muchas de estas personas en los Estados partes. Pregunta si el Comité sobre los Derechos de las Personas con Discapacidad se refiere alguna vez a la Convención contra la Tortura al examinar los informes de los Estados partes. Varios representantes de ONG han mencionado la importancia de las observaciones generales, y desearía saber de qué modo concreto inciden en la labor de las ONG.</w:t>
      </w:r>
    </w:p>
    <w:p w:rsidR="00B23E22" w:rsidRPr="00FB4559" w:rsidRDefault="00B23E22" w:rsidP="00B23E22">
      <w:pPr>
        <w:pStyle w:val="SingleTxtG"/>
      </w:pPr>
      <w:r w:rsidRPr="00FB4559">
        <w:t>25.</w:t>
      </w:r>
      <w:r w:rsidRPr="00FB4559">
        <w:tab/>
        <w:t>En cuanto al proyecto de plan de acción de las ONG sobre el Protocolo de Estambul, observa que estas últimas, sobre todo las que trabajan con las víctimas de la tortura, están familiarizadas con las normas enunciadas en el Protocolo; sin embargo, los Estados partes no están tan bien informados. Pregunta sobre las medidas previstas en el plan de acción para promover el cumplimiento de las normas. También estaría interesada en conocer los resultados de las evaluaciones realizadas por las ONG sobre la transmisión web de las reuniones de los órganos de tratados con los Estados partes. ¿Creen que sirve para reforzar el sistema de órganos de tratados y para difundir información sobre su labor entre los defensores que no pueden asistir a las reuniones del Comité?</w:t>
      </w:r>
    </w:p>
    <w:p w:rsidR="00B23E22" w:rsidRPr="00FB4559" w:rsidRDefault="00B23E22" w:rsidP="00B23E22">
      <w:pPr>
        <w:pStyle w:val="SingleTxtG"/>
      </w:pPr>
      <w:r w:rsidRPr="00FB4559">
        <w:t>26.</w:t>
      </w:r>
      <w:r w:rsidRPr="00FB4559">
        <w:tab/>
      </w:r>
      <w:r w:rsidRPr="00FB4559">
        <w:rPr>
          <w:b/>
        </w:rPr>
        <w:t>La Sra. Gaer</w:t>
      </w:r>
      <w:r w:rsidRPr="00FB4559">
        <w:t xml:space="preserve"> expresa su vivo agradecimiento a todas las ONG que participan voluntariamente en la transmisión web de las reuniones del Comité, lo cual ya ha tenido efectos considerables. El Comité recibió respuestas de parlamentarios, altos funcionarios, periodistas y ONG, que habían podido ver el diálogo entre el Comité y los representantes de sus países. Cree que convendría que el Comité expresara formalmente su agradecimiento. Cuando el Comité sugirió en una reunión sobre el proceso para fortalecer los órganos de tratados que se debería tomar en cuenta la transmisión web, se le comunicó que dicho servicio costaría al menos unos 2 millones de dólares de los Estados Unidos por año.</w:t>
      </w:r>
    </w:p>
    <w:p w:rsidR="00B23E22" w:rsidRPr="00FB4559" w:rsidRDefault="00B23E22" w:rsidP="00B23E22">
      <w:pPr>
        <w:pStyle w:val="SingleTxtG"/>
      </w:pPr>
      <w:r w:rsidRPr="00FB4559">
        <w:t>27.</w:t>
      </w:r>
      <w:r w:rsidRPr="00FB4559">
        <w:tab/>
        <w:t xml:space="preserve">Observando que unos 150 Estados han ratificado la Convención, 35 de ellos en los últimos </w:t>
      </w:r>
      <w:r>
        <w:t>diez</w:t>
      </w:r>
      <w:r w:rsidRPr="00FB4559">
        <w:t xml:space="preserve"> años, dice que es más fácil aprobar que aplicar. Se pregunta si las ONG podrían ayudar al Comité a concentrarse en los 30 a 35 Estados partes cuyos informes iniciales están muy atrasados. Desde la creación del Grupo de Trabajo sobre el Examen Periódico Universal, quedó claro que el argumento de que algunos Estados no pueden elaborar sus informes no es válido. Prácticamente todos los Estados presentaron a tiempo un informe al Grupo de Trabajo y enviaron una delegación que los representara. La Sra.</w:t>
      </w:r>
      <w:r w:rsidR="00ED3892">
        <w:t> </w:t>
      </w:r>
      <w:r w:rsidRPr="00FB4559">
        <w:t>Gaer espera con interés que se hagan propuestas sobre la manera de ejercer mayor presión sobre los Estados partes para que presenten sus informes al Comité. Con respecto a la recomendación de Amnistía Internacional de que se envíen las listas de cuestiones anteriores a la presentación del informe a los Estados partes que aún no hayan presentado su informe inicial, señala que no se envía ninguna lista de cuestiones a los Estados que presentan informes para el Examen Periódico Universal. Además, la preparación de la lista es un proceso laborioso que representa una pesada carga para un comité tan reducido.</w:t>
      </w:r>
    </w:p>
    <w:p w:rsidR="00B23E22" w:rsidRPr="00FB4559" w:rsidRDefault="00B23E22" w:rsidP="00B23E22">
      <w:pPr>
        <w:pStyle w:val="SingleTxtG"/>
      </w:pPr>
      <w:r w:rsidRPr="00FB4559">
        <w:t>28.</w:t>
      </w:r>
      <w:r w:rsidRPr="00FB4559">
        <w:tab/>
        <w:t xml:space="preserve">La Sra. Gaer está interesada en las observaciones de las ONG sobre la asignación del apoyo de la secretaría a los órganos de tratados, y sobre los casos en que la asistencia se destinó a otros fines. Por ejemplo, cuando se inició el Examen Periódico Universal, se asignaron al departamento correspondiente 17 nuevos puestos, mientras que los órganos de tratados perdieron alrededor de </w:t>
      </w:r>
      <w:r>
        <w:t>6</w:t>
      </w:r>
      <w:r w:rsidRPr="00FB4559">
        <w:t xml:space="preserve"> puestos. Actualmente, la Alta Comisionada está intentando resolver esta situación. En los estudios realizados anteriormente sobre el sistema </w:t>
      </w:r>
      <w:r w:rsidRPr="00CF49CC">
        <w:rPr>
          <w:spacing w:val="-1"/>
        </w:rPr>
        <w:t>de órganos de tratados se hacía referencia a la racionalización y a la eficiencia. Sin embargo,</w:t>
      </w:r>
      <w:r w:rsidRPr="00FB4559">
        <w:t xml:space="preserve"> el examen actual ha sido deliberadamente calificado de </w:t>
      </w:r>
      <w:r>
        <w:t>proceso de fortalecimiento. Sin  </w:t>
      </w:r>
      <w:r w:rsidRPr="00FB4559">
        <w:t>embargo, parecería que, cuanto más participan los Estados en el proceso, mayor importancia vuelve a cobrar el modelo de la racionalización y la eficiencia. En este contexto, desearía conocer las opiniones de las ONG sobre la propuesta de la secretaría de preparar un calendario en el que se fijen con antelación las fechas del sistema de órganos de tratados. También invita a las ONG a comentar la idea de entablar el diálogo con los Estados partes por videoconferencia. Otra posibilidad es celebrar las reuniones del Comité en las distintas regiones para facilitar la participación de un mayor número de ONG y funcionarios de los Estados. Se pregunta la razón de que las ONG no participen más activamente en el proceso de investigación previsto en el artículo 20 de la Convención.</w:t>
      </w:r>
    </w:p>
    <w:p w:rsidR="00B23E22" w:rsidRPr="00FB4559" w:rsidRDefault="00B23E22" w:rsidP="00B23E22">
      <w:pPr>
        <w:pStyle w:val="SingleTxtG"/>
      </w:pPr>
      <w:r w:rsidRPr="00FB4559">
        <w:t>29.</w:t>
      </w:r>
      <w:r w:rsidRPr="00FB4559">
        <w:tab/>
      </w:r>
      <w:r w:rsidRPr="00FB4559">
        <w:rPr>
          <w:b/>
        </w:rPr>
        <w:t>La Sra. Belmir</w:t>
      </w:r>
      <w:r w:rsidRPr="00FB4559">
        <w:t xml:space="preserve"> elogia la valiosa asistencia que brindan las ONG al sistema de órganos de tratados presentando denuncias de violaciones de los derechos humanos y ayudando a dar a conocer los instrumentos internacionales de derechos humanos.</w:t>
      </w:r>
    </w:p>
    <w:p w:rsidR="00B23E22" w:rsidRPr="00FB4559" w:rsidRDefault="00B23E22" w:rsidP="00B23E22">
      <w:pPr>
        <w:pStyle w:val="SingleTxtG"/>
      </w:pPr>
      <w:r w:rsidRPr="00FB4559">
        <w:t>30.</w:t>
      </w:r>
      <w:r w:rsidRPr="00FB4559">
        <w:tab/>
      </w:r>
      <w:r w:rsidRPr="00FB4559">
        <w:rPr>
          <w:b/>
        </w:rPr>
        <w:t>El Sr. Wang</w:t>
      </w:r>
      <w:r w:rsidRPr="00FB4559">
        <w:t xml:space="preserve"> </w:t>
      </w:r>
      <w:r w:rsidRPr="00CF49CC">
        <w:t>Xuexian</w:t>
      </w:r>
      <w:r w:rsidRPr="00FB4559">
        <w:t xml:space="preserve"> reitera la cuestión mencionada por el Sr. Mariño Menéndez sobre el lamentablemente bajo nivel de participación de los representantes de ONG de países en desarrollo en las deliberaciones del Comité. Sería de gran utilidad poder debatir sobre la situación en los Estados partes con los representantes de las ONG de los países afectados.</w:t>
      </w:r>
    </w:p>
    <w:p w:rsidR="00B23E22" w:rsidRPr="00FB4559" w:rsidRDefault="00B23E22" w:rsidP="00B23E22">
      <w:pPr>
        <w:pStyle w:val="SingleTxtG"/>
      </w:pPr>
      <w:r w:rsidRPr="00FB4559">
        <w:t>31.</w:t>
      </w:r>
      <w:r w:rsidRPr="00FB4559">
        <w:tab/>
      </w:r>
      <w:r w:rsidRPr="00FB4559">
        <w:rPr>
          <w:b/>
        </w:rPr>
        <w:t>El Sr. Bruni</w:t>
      </w:r>
      <w:r w:rsidRPr="00FB4559">
        <w:t xml:space="preserve"> dice que la División de Gestión de Conferencias de las Naciones Unidas comunicó al Comité que la tasa de cumplimiento de los plazos de presentación de los informes de los Estados en el marco del Examen Periódico Universal era del 93%, frente a solamente el 14% en el sistema de los órganos de tratados. Es imprescindible resolver esta situación. Como bien apuntó un observador, hace falta un código de conducta </w:t>
      </w:r>
      <w:r w:rsidRPr="00B06ABA">
        <w:rPr>
          <w:spacing w:val="-2"/>
        </w:rPr>
        <w:t>para los Estados partes, más que para los expertos de los órganos de tratados. Con frecuencia,</w:t>
      </w:r>
      <w:r w:rsidRPr="00FB4559">
        <w:t xml:space="preserve"> durante la preparación de sus informes, los Estados partes hacen referencia a las consultas celebradas con los representantes de la sociedad civil y de las ONG. El Comité suele preguntar si esas partes interesadas participarán también en la aplicación de las observaciones finales. Convendría que las ONG indicaran al Comité si se cumplen esos compromisos en la práctica, y si las ONG realmente participan en las actividades de seguimiento.</w:t>
      </w:r>
    </w:p>
    <w:p w:rsidR="00B23E22" w:rsidRPr="00FB4559" w:rsidRDefault="00B23E22" w:rsidP="00B23E22">
      <w:pPr>
        <w:pStyle w:val="SingleTxtG"/>
      </w:pPr>
      <w:r w:rsidRPr="00FB4559">
        <w:t>32.</w:t>
      </w:r>
      <w:r w:rsidRPr="00FB4559">
        <w:tab/>
      </w:r>
      <w:r w:rsidRPr="00FB4559">
        <w:rPr>
          <w:b/>
        </w:rPr>
        <w:t xml:space="preserve">El Presidente </w:t>
      </w:r>
      <w:r w:rsidRPr="00FB4559">
        <w:t>subraya que permanentemente el Comité se ve obligado a tomar decisiones difíciles sobre los documentos que se han de traducir, ya que no se dispone de</w:t>
      </w:r>
      <w:r w:rsidRPr="00FB4559">
        <w:rPr>
          <w:b/>
        </w:rPr>
        <w:t xml:space="preserve"> </w:t>
      </w:r>
      <w:r w:rsidRPr="00FB4559">
        <w:t>recursos suficientes para traducir a tiempo todos los documentos de todas las reuniones. También cabe mencionar que el hecho de que muchos Estados partes no cumplan su obligación de presentar informes es la única razón por la cual el Comité logra mantenerse al día como lo hace. El Comité renovó su pedido de prolongar su período de sesiones de tres a cuatro semanas, ya que el período de prórroga actual termina en 2012. El Comité tomará en cuenta las prioridades mencionadas por las ONG, incluidas las observaciones sobre las transmisiones web y la preparación de documentos más breves.</w:t>
      </w:r>
    </w:p>
    <w:p w:rsidR="00B23E22" w:rsidRPr="00FB4559" w:rsidRDefault="00B23E22" w:rsidP="00B23E22">
      <w:pPr>
        <w:pStyle w:val="SingleTxtG"/>
      </w:pPr>
      <w:r w:rsidRPr="00FB4559">
        <w:t>33.</w:t>
      </w:r>
      <w:r w:rsidRPr="00FB4559">
        <w:tab/>
      </w:r>
      <w:r w:rsidRPr="00FB4559">
        <w:rPr>
          <w:b/>
        </w:rPr>
        <w:t>El Sr. Kjaerum</w:t>
      </w:r>
      <w:r w:rsidRPr="00FB4559">
        <w:t xml:space="preserve"> (Consejo Internacional para la Rehabilitación de las Víctimas de Tortura) dice que estaría dispuesto a compartir con el Comité un informe oficioso preparado por su organización sobre la transmisión web del examen del informe inicial de Irlanda en mayo de 2011. Sin embargo, parece ser que el personal de los Estados partes encargado de estas cuestiones no usa las transmisiones web para seguir las reuniones desde sus capitales y preparar respuestas a las preguntas del Comité. Convendría que el Comité propusiera este modo de proceder a los Estados partes. Las videoconferencias son una excelente idea. Actualmente, el </w:t>
      </w:r>
      <w:r w:rsidRPr="00FB4559">
        <w:rPr>
          <w:iCs/>
        </w:rPr>
        <w:t xml:space="preserve">Consejo de Derechos Humanos intercambia </w:t>
      </w:r>
      <w:r w:rsidRPr="00FB4559">
        <w:t>mensajes de v</w:t>
      </w:r>
      <w:r>
        <w:t>í</w:t>
      </w:r>
      <w:r w:rsidRPr="00FB4559">
        <w:t>deo con las ONG; sin embargo, es importante establecer un diálogo y no s</w:t>
      </w:r>
      <w:r>
        <w:t>o</w:t>
      </w:r>
      <w:r w:rsidRPr="00FB4559">
        <w:t>lo una conversación unilateral. Dicho esto, es importante que los Estados partes se reúnan con el Comité y celebren diálogos en persona, sobre todo en el caso de los Estados partes que no presentan informes con regularidad.</w:t>
      </w:r>
    </w:p>
    <w:p w:rsidR="00B23E22" w:rsidRPr="00FB4559" w:rsidRDefault="00B23E22" w:rsidP="00B23E22">
      <w:pPr>
        <w:pStyle w:val="SingleTxtG"/>
      </w:pPr>
      <w:r w:rsidRPr="00FB4559">
        <w:t>34.</w:t>
      </w:r>
      <w:r w:rsidRPr="00FB4559">
        <w:tab/>
        <w:t>El Sr. Kjaerum reconoce la necesidad de promover la participación de los Estados en el Plan de Acción de Estambul. Dada la complejidad del proceso de fortalecimiento del sistema de órganos de tratados, afirma que estaría dispuesto a informar al Comité en una reunión aparte. Es importante que se mejoren los procesos para buscar y elegir a los miembros de los órganos de tratados a nivel nacional. Por consiguiente, sugiere al Comité que prepare un documento con un breve resumen de las competencias que necesita para su buen funcionamiento, que sirva de guía a los Estados partes para buscar candidatos adecuados. Pide al Comité que, de ser posible, evite</w:t>
      </w:r>
      <w:r>
        <w:t xml:space="preserve"> </w:t>
      </w:r>
      <w:r w:rsidRPr="00FB4559">
        <w:t>que se convoque a las ONG de los países para que participen en sesiones en la tarde del viernes anterior a la semana en la que se prevea examinar los informes, ya que la estancia en Ginebra durante esos días adicionales resulta muy costosa.</w:t>
      </w:r>
    </w:p>
    <w:p w:rsidR="00B23E22" w:rsidRPr="00FB4559" w:rsidRDefault="00B23E22" w:rsidP="00B23E22">
      <w:pPr>
        <w:pStyle w:val="SingleTxtG"/>
      </w:pPr>
      <w:r w:rsidRPr="00FB4559">
        <w:t>35.</w:t>
      </w:r>
      <w:r w:rsidRPr="00FB4559">
        <w:tab/>
      </w:r>
      <w:r w:rsidRPr="00FB4559">
        <w:rPr>
          <w:b/>
        </w:rPr>
        <w:t>El Sr. Conte</w:t>
      </w:r>
      <w:r w:rsidRPr="00FB4559">
        <w:t xml:space="preserve"> (Comisión Internacional de Juristas </w:t>
      </w:r>
      <w:r>
        <w:t>–</w:t>
      </w:r>
      <w:r w:rsidRPr="00FB4559">
        <w:t xml:space="preserve"> CIJ) dice que las observaciones generales del Comité son sumamente útiles. Al nivel de los países, la sociedad civil los utiliza como base para la elaboración de leyes y políticas, y en cuestiones generales de aplicación. Sin embargo, lo más importante es que las observaciones generales sirven para informar al público en general sobre la manera en que el Comité aborda la interpretación y la aplicación de las disposiciones de la Convención, con referencia a la jurisprudencia del Comité, sus observaciones finales y sus opiniones. El CIJ utiliza ampliamente las observaciones generales en la información que presenta a los órganos de tratados, en sus cabildeos ante los gobiernos, en sus sesiones de información al Consejo de Derechos Humanos,</w:t>
      </w:r>
      <w:r>
        <w:t xml:space="preserve"> </w:t>
      </w:r>
      <w:r w:rsidRPr="00FB4559">
        <w:t>en el Examen Periódico Universal, y en las sesiones informativas con mecanismos ajenos a las Naciones Unidas, como el Tribunal Europeo de Derechos Humanos.</w:t>
      </w:r>
    </w:p>
    <w:p w:rsidR="00B23E22" w:rsidRPr="00FB4559" w:rsidRDefault="00B23E22" w:rsidP="00B23E22">
      <w:pPr>
        <w:pStyle w:val="SingleTxtG"/>
      </w:pPr>
      <w:r w:rsidRPr="00FB4559">
        <w:t>36.</w:t>
      </w:r>
      <w:r w:rsidRPr="00FB4559">
        <w:tab/>
        <w:t>En respuesta a la pregunta de la Sra. Gaer sobre el calendario, dice que, si se prevé que todos los Estados partes sean objeto de examen en un período de cuatro a cinco años, el Comité contra la Tortura actualmente no dispone ni del tiempo ni de los recursos para hacerlo, ya que debe ocuparse de unos 150 Estados. Es cierto que algunos comités pueden trabajar en dos salas separadas, pero ello no es posible cuando el comité es tan pequeño. También expresa su preocupación por los efectos del nuevo calendario en las demás funciones principales de los órganos de tratados, sobre todo si se debe aumentar el tiempo destinado a los informes periódicos. A menos que exista una compensación en términos de tiempo y recursos, los órganos de tratados dispondrán de menos tiempo para estudiar las peticiones individuales y elaborar observaciones generales. No obstante, con un calendario más parecido al del sistema del Examen Periódico Universal se podría mejorar el cumplimiento de la obligación de presentar informes de los Estados partes.</w:t>
      </w:r>
    </w:p>
    <w:p w:rsidR="00B23E22" w:rsidRPr="00FB4559" w:rsidRDefault="00B23E22" w:rsidP="00B23E22">
      <w:pPr>
        <w:pStyle w:val="SingleTxtG"/>
      </w:pPr>
      <w:r w:rsidRPr="00FB4559">
        <w:t>37.</w:t>
      </w:r>
      <w:r w:rsidRPr="00FB4559">
        <w:tab/>
      </w:r>
      <w:r w:rsidRPr="00FB4559">
        <w:rPr>
          <w:b/>
        </w:rPr>
        <w:t>La Sra. Lee</w:t>
      </w:r>
      <w:r w:rsidRPr="00FB4559">
        <w:t xml:space="preserve"> (International Disability Alliance</w:t>
      </w:r>
      <w:r w:rsidRPr="00FB4559">
        <w:rPr>
          <w:i/>
        </w:rPr>
        <w:t xml:space="preserve"> </w:t>
      </w:r>
      <w:r w:rsidRPr="00FB4559">
        <w:t xml:space="preserve">– IDA) dice que la misión de la </w:t>
      </w:r>
      <w:bookmarkStart w:id="0" w:name="hit7"/>
      <w:bookmarkEnd w:id="0"/>
      <w:r w:rsidRPr="00FB4559">
        <w:t xml:space="preserve">International </w:t>
      </w:r>
      <w:bookmarkStart w:id="1" w:name="hit8"/>
      <w:bookmarkEnd w:id="1"/>
      <w:r w:rsidRPr="00FB4559">
        <w:t xml:space="preserve">Disability </w:t>
      </w:r>
      <w:bookmarkStart w:id="2" w:name="hit9"/>
      <w:bookmarkEnd w:id="2"/>
      <w:r w:rsidRPr="00FB4559">
        <w:t>Alliance es promover los derechos de los niños y los adultos con discapacidad utilizando todos los instrumentos de derechos humanos, especialmente la Convención sobre los derechos de las personas con discapacidad. La Convención contiene disposiciones específicas sobre la protección contra la tortura y otros tratos o penas crueles, inhumanos o degradantes; la protección contra la violencia, el abuso y la explotación; la no discriminación; el derecho a la libertad; y el derecho a vivir en la comunidad. Una parte importante del mandato de la International Disability Alliance es fomentar la capacidad de las organizaciones dedicadas a las personas con discapacidad, sobre todo las de los países en desarrollo, para que puedan incrementar su participación en el trabajo de los órganos de tratados, entre otras cosas, siguiendo las transmisiones web d</w:t>
      </w:r>
      <w:r>
        <w:t>el Comité contra la Tortura. El </w:t>
      </w:r>
      <w:r w:rsidRPr="00FB4559">
        <w:t>Comité sobre los Derechos de las Personas con Discapacidad está tomando varias medidas para alentar la cooperación con otros órganos de tratados, como la organización de una reunión en Madrid en junio de 2012, en la que el Comité contra la Tortura e</w:t>
      </w:r>
      <w:r>
        <w:t>stará representado por el Sr.</w:t>
      </w:r>
      <w:r w:rsidRPr="00FB4559">
        <w:t xml:space="preserve"> Mariño Menéndez.</w:t>
      </w:r>
    </w:p>
    <w:p w:rsidR="00B23E22" w:rsidRPr="00FB4559" w:rsidRDefault="00B23E22" w:rsidP="00B23E22">
      <w:pPr>
        <w:pStyle w:val="SingleTxtG"/>
      </w:pPr>
      <w:r w:rsidRPr="00FB4559">
        <w:t>38.</w:t>
      </w:r>
      <w:r w:rsidRPr="00FB4559">
        <w:tab/>
      </w:r>
      <w:r w:rsidRPr="00FB4559">
        <w:rPr>
          <w:b/>
        </w:rPr>
        <w:t>La Sra. Meraz</w:t>
      </w:r>
      <w:r w:rsidRPr="00FB4559">
        <w:t xml:space="preserve"> (Organización Mundial </w:t>
      </w:r>
      <w:r w:rsidR="00ED3892">
        <w:t>contra la Tortura</w:t>
      </w:r>
      <w:r w:rsidRPr="00FB4559">
        <w:t xml:space="preserve"> – OMCT) conviene en que las observaciones generales del Comité constituyen una herramienta esencial para el trabajo de su organización sobre el terreno. Como red de varias organizaciones nacionales, la OMCT hace todo lo posible por garantizar la participación de las ONG en las reuniones del Comité, dentro de los límites de su presupuesto. También hace suya la propuesta de utilizar las videoconferencias para facilitar el diálogo entre el Comité y las ONG sobre el terreno. La OMCT lleva a cabo misiones de seguimiento en los países para supervisar el nivel de cumplimiento de las observaciones generales del Comité, y se compromete a informar al Comité sobre esta cuestión.</w:t>
      </w:r>
    </w:p>
    <w:p w:rsidR="00B23E22" w:rsidRPr="00FB4559" w:rsidRDefault="00B23E22" w:rsidP="00B23E22">
      <w:pPr>
        <w:pStyle w:val="SingleTxtG"/>
      </w:pPr>
      <w:r w:rsidRPr="00FB4559">
        <w:t>39.</w:t>
      </w:r>
      <w:r w:rsidRPr="00FB4559">
        <w:tab/>
        <w:t>En respuesta a la pregunta del Sr. Mariño Menéndez sobre las medidas preventivas, pregunta si el Comité ha considerado la propuesta conjunta presentada el año anterior por su organización y otras relativas a la enmienda del artículo 114 del reglamento para incluir una referencia específica a las medidas provisionales para los familiares, las víctimas y los defensores de los derechos humanos.</w:t>
      </w:r>
    </w:p>
    <w:p w:rsidR="00B23E22" w:rsidRPr="00FB4559" w:rsidRDefault="00B23E22" w:rsidP="00B23E22">
      <w:pPr>
        <w:pStyle w:val="SingleTxtG"/>
      </w:pPr>
      <w:r w:rsidRPr="00FB4559">
        <w:t>40.</w:t>
      </w:r>
      <w:r w:rsidRPr="00FB4559">
        <w:tab/>
      </w:r>
      <w:r w:rsidRPr="00FB4559">
        <w:rPr>
          <w:b/>
        </w:rPr>
        <w:t>La Sra. Crottaz</w:t>
      </w:r>
      <w:r w:rsidRPr="00FB4559">
        <w:t xml:space="preserve"> (Alkarama) dice que su organización preparó un análisis informal sobre las transmisiones web del Comité que muestra que el examen del cuarto informe periódico de Marruecos en noviembre de 2011 fue visionado unas 200 veces. Alkarama llevó a esa reunión a varios defensores de los derechos humanos, que contribuyeron a difundir la información de las transmisiones web del Comité. Agradecería que el Comité reconociera oficialmente los constantes esfuerzos de recaudación de fondos de Alkarama con ese fin.</w:t>
      </w:r>
    </w:p>
    <w:p w:rsidR="00B23E22" w:rsidRPr="00FB4559" w:rsidRDefault="00B23E22" w:rsidP="00B23E22">
      <w:pPr>
        <w:pStyle w:val="SingleTxtG"/>
      </w:pPr>
      <w:r w:rsidRPr="00FB4559">
        <w:t>41.</w:t>
      </w:r>
      <w:r w:rsidRPr="00FB4559">
        <w:tab/>
      </w:r>
      <w:r w:rsidRPr="00FB4559">
        <w:rPr>
          <w:b/>
        </w:rPr>
        <w:t>El Sr. Splinter</w:t>
      </w:r>
      <w:r w:rsidRPr="00FB4559">
        <w:t xml:space="preserve"> (Amnistía Internacional) dice que, a fin de evitar que el proceso de fortalecimiento de los órganos de tratados se convierta en un proceso de examen, es importante que los miembros del Comité participen en la labor del Grupo de Trabajo de la Asamblea General. Aunque las disposiciones sobre esta participación no resultan del todo claras, propone que el Comité considere un modelo similar al utilizado por los procedimientos especiales para el proceso de fortalecimiento institucional del Consejo de Derechos Humanos y el subsiguiente examen de este órgano. Pregunta si podría encomendarse a la reunión de los presidentes que siguiera activa durante todo el año para que vele por que las opiniones del conjunto del sistema y los miembros de órganos de tratados se integren al proceso intergubernamental. Además, de ese modo, los miembros de los órganos de tratados serían informados periódicamente sobre la marcha del proceso.</w:t>
      </w:r>
    </w:p>
    <w:p w:rsidR="00B23E22" w:rsidRPr="00FB4559" w:rsidRDefault="00B23E22" w:rsidP="00B23E22">
      <w:pPr>
        <w:pStyle w:val="SingleTxtG"/>
      </w:pPr>
      <w:r w:rsidRPr="00FB4559">
        <w:t>42.</w:t>
      </w:r>
      <w:r w:rsidRPr="00FB4559">
        <w:tab/>
      </w:r>
      <w:r w:rsidRPr="00FB4559">
        <w:rPr>
          <w:b/>
        </w:rPr>
        <w:t>El Sr. Irminger</w:t>
      </w:r>
      <w:r w:rsidRPr="00FB4559">
        <w:t xml:space="preserve"> (Human Rights House Foundation) dice que los mecanismos nacionales de prevención, con los que su organización trabaja habitualmente, agradecerían que el Comité valorara su participación y que el Comité</w:t>
      </w:r>
      <w:r>
        <w:t xml:space="preserve"> </w:t>
      </w:r>
      <w:r w:rsidRPr="00FB4559">
        <w:t>estrechara la cooperación con ellos en el futuro.</w:t>
      </w:r>
    </w:p>
    <w:p w:rsidR="00B23E22" w:rsidRPr="00FB4559" w:rsidRDefault="00B23E22" w:rsidP="00B23E22">
      <w:pPr>
        <w:pStyle w:val="SingleTxtG"/>
      </w:pPr>
      <w:r w:rsidRPr="00FB4559">
        <w:t>43.</w:t>
      </w:r>
      <w:r w:rsidRPr="00FB4559">
        <w:tab/>
      </w:r>
      <w:r w:rsidRPr="00FB4559">
        <w:rPr>
          <w:b/>
        </w:rPr>
        <w:t>El Presidente</w:t>
      </w:r>
      <w:r w:rsidRPr="00FB4559">
        <w:t xml:space="preserve"> dice que la Secretaría hace todo lo posible por planificar las reuniones con los países europeos los viernes, ya que las delegaciones y las ONG europeas pueden regresar a sus países los fines de semana. Sin embargo, las delegaciones muchas veces tienen compromisos que limitan su disponibilidad y que condicionan en gran medida la planificación de las reuniones. El Comité valora todas las propuestas y observaciones de las ONG y las debatirá en detalle. Con respecto a la iniciativa de la APT sobre la redacción de un modelo de legislación que incluya disposiciones de la Convención, en particular el artículo 1, recuerda que el Comité suele alentar a los Estados partes a incorporar la definición de la tortura del artículo 1 en su legislación interna. El modelo de legislación de la APT será, indudablemente, de gran utilidad para alcanzar este fin.</w:t>
      </w:r>
    </w:p>
    <w:p w:rsidR="00B23E22" w:rsidRPr="00FB4559" w:rsidRDefault="00B23E22" w:rsidP="00B23E22">
      <w:pPr>
        <w:pStyle w:val="SingleTxtG"/>
        <w:spacing w:after="240"/>
        <w:rPr>
          <w:i/>
        </w:rPr>
      </w:pPr>
      <w:r w:rsidRPr="00FB4559">
        <w:rPr>
          <w:i/>
        </w:rPr>
        <w:t>El debate abarcado por el acta concluye a las 12.00 horas.</w:t>
      </w:r>
    </w:p>
    <w:sectPr w:rsidR="00B23E22" w:rsidRPr="00FB4559" w:rsidSect="00B23E2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290" w:rsidRDefault="005E5290">
      <w:r>
        <w:separator/>
      </w:r>
    </w:p>
  </w:endnote>
  <w:endnote w:type="continuationSeparator" w:id="0">
    <w:p w:rsidR="005E5290" w:rsidRDefault="005E5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E22" w:rsidRPr="00B23E22" w:rsidRDefault="00B23E22" w:rsidP="00B23E22">
    <w:pPr>
      <w:pStyle w:val="Footer"/>
      <w:tabs>
        <w:tab w:val="right" w:pos="9638"/>
      </w:tabs>
    </w:pPr>
    <w:r w:rsidRPr="00B23E22">
      <w:rPr>
        <w:b/>
        <w:sz w:val="18"/>
      </w:rPr>
      <w:fldChar w:fldCharType="begin"/>
    </w:r>
    <w:r w:rsidRPr="00B23E22">
      <w:rPr>
        <w:b/>
        <w:sz w:val="18"/>
      </w:rPr>
      <w:instrText xml:space="preserve"> PAGE  \* MERGEFORMAT </w:instrText>
    </w:r>
    <w:r w:rsidRPr="00B23E22">
      <w:rPr>
        <w:b/>
        <w:sz w:val="18"/>
      </w:rPr>
      <w:fldChar w:fldCharType="separate"/>
    </w:r>
    <w:r w:rsidR="00ED3892">
      <w:rPr>
        <w:b/>
        <w:noProof/>
        <w:sz w:val="18"/>
      </w:rPr>
      <w:t>6</w:t>
    </w:r>
    <w:r w:rsidRPr="00B23E22">
      <w:rPr>
        <w:b/>
        <w:sz w:val="18"/>
      </w:rPr>
      <w:fldChar w:fldCharType="end"/>
    </w:r>
    <w:r>
      <w:rPr>
        <w:b/>
        <w:sz w:val="18"/>
      </w:rPr>
      <w:tab/>
    </w:r>
    <w:r>
      <w:t>GE.12-42605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E22" w:rsidRPr="00B23E22" w:rsidRDefault="00B23E22" w:rsidP="00B23E22">
    <w:pPr>
      <w:pStyle w:val="Footer"/>
      <w:tabs>
        <w:tab w:val="right" w:pos="9638"/>
      </w:tabs>
      <w:rPr>
        <w:b/>
        <w:sz w:val="18"/>
      </w:rPr>
    </w:pPr>
    <w:r>
      <w:t>GE.12-42605</w:t>
    </w:r>
    <w:r>
      <w:tab/>
    </w:r>
    <w:r w:rsidRPr="00B23E22">
      <w:rPr>
        <w:b/>
        <w:sz w:val="18"/>
      </w:rPr>
      <w:fldChar w:fldCharType="begin"/>
    </w:r>
    <w:r w:rsidRPr="00B23E22">
      <w:rPr>
        <w:b/>
        <w:sz w:val="18"/>
      </w:rPr>
      <w:instrText xml:space="preserve"> PAGE  \* MERGEFORMAT </w:instrText>
    </w:r>
    <w:r w:rsidRPr="00B23E22">
      <w:rPr>
        <w:b/>
        <w:sz w:val="18"/>
      </w:rPr>
      <w:fldChar w:fldCharType="separate"/>
    </w:r>
    <w:r w:rsidR="00ED3892">
      <w:rPr>
        <w:b/>
        <w:noProof/>
        <w:sz w:val="18"/>
      </w:rPr>
      <w:t>5</w:t>
    </w:r>
    <w:r w:rsidRPr="00B23E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529" w:rsidRDefault="006C0529" w:rsidP="006C0529">
    <w:pPr>
      <w:pBdr>
        <w:bottom w:val="single" w:sz="4" w:space="1" w:color="auto"/>
      </w:pBdr>
    </w:pPr>
  </w:p>
  <w:p w:rsidR="006C0529" w:rsidRDefault="006C0529" w:rsidP="006C0529">
    <w:pPr>
      <w:pStyle w:val="FootnoteText"/>
      <w:spacing w:after="120"/>
      <w:rPr>
        <w:lang w:val="es-ES_tradnl"/>
      </w:rPr>
    </w:pPr>
    <w:r>
      <w:tab/>
    </w:r>
    <w:r>
      <w:tab/>
    </w:r>
    <w:r>
      <w:rPr>
        <w:lang w:val="es-ES_tradnl"/>
      </w:rPr>
      <w:t>La presente acta podrá ser objeto de correcciones.</w:t>
    </w:r>
  </w:p>
  <w:p w:rsidR="006C0529" w:rsidRDefault="006C0529" w:rsidP="006C052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C0529" w:rsidRDefault="006C0529" w:rsidP="006C0529">
    <w:pPr>
      <w:pStyle w:val="FootnoteText"/>
      <w:spacing w:after="600"/>
      <w:rPr>
        <w:sz w:val="20"/>
      </w:rPr>
    </w:pPr>
    <w:r>
      <w:rPr>
        <w:lang w:val="es-ES_tradnl"/>
      </w:rPr>
      <w:tab/>
    </w:r>
    <w:r>
      <w:rPr>
        <w:lang w:val="es-ES_tradnl"/>
      </w:rPr>
      <w:tab/>
    </w:r>
    <w:r w:rsidRPr="00E13447">
      <w:rPr>
        <w:szCs w:val="18"/>
        <w:lang w:val="es-ES_tradnl"/>
      </w:rPr>
      <w:t xml:space="preserve">Las correcciones que se introduzcan en las </w:t>
    </w:r>
    <w:r w:rsidRPr="006C0529">
      <w:rPr>
        <w:lang w:val="es-ES_tradnl"/>
      </w:rPr>
      <w:t>actas</w:t>
    </w:r>
    <w:r w:rsidRPr="00E13447">
      <w:rPr>
        <w:szCs w:val="18"/>
        <w:lang w:val="es-ES_tradnl"/>
      </w:rPr>
      <w:t xml:space="preserve"> de las sesiones públicas del Comité se reunirán en un documento único que se publicará poco después del período de sesiones.</w:t>
    </w:r>
  </w:p>
  <w:p w:rsidR="00C4209F" w:rsidRPr="00B23E22" w:rsidRDefault="00B23E22" w:rsidP="00C106D6">
    <w:pPr>
      <w:pStyle w:val="Footer"/>
      <w:rPr>
        <w:sz w:val="20"/>
      </w:rPr>
    </w:pPr>
    <w:r>
      <w:rPr>
        <w:sz w:val="20"/>
      </w:rPr>
      <w:t>GE.</w:t>
    </w:r>
    <w:r w:rsidR="00C4209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12-42605  (S)    271112    291112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290" w:rsidRPr="001075E9" w:rsidRDefault="005E5290" w:rsidP="001075E9">
      <w:pPr>
        <w:tabs>
          <w:tab w:val="right" w:pos="2155"/>
        </w:tabs>
        <w:spacing w:after="80" w:line="240" w:lineRule="auto"/>
        <w:ind w:left="680"/>
        <w:rPr>
          <w:u w:val="single"/>
        </w:rPr>
      </w:pPr>
      <w:r>
        <w:rPr>
          <w:u w:val="single"/>
        </w:rPr>
        <w:tab/>
      </w:r>
    </w:p>
  </w:footnote>
  <w:footnote w:type="continuationSeparator" w:id="0">
    <w:p w:rsidR="005E5290" w:rsidRDefault="005E5290" w:rsidP="00407B78">
      <w:pPr>
        <w:tabs>
          <w:tab w:val="right" w:pos="2155"/>
        </w:tabs>
        <w:spacing w:after="80"/>
        <w:ind w:left="680"/>
        <w:rPr>
          <w:u w:val="single"/>
        </w:rPr>
      </w:pPr>
      <w:r>
        <w:rPr>
          <w:u w:val="single"/>
        </w:rPr>
        <w:tab/>
      </w:r>
    </w:p>
  </w:footnote>
  <w:footnote w:id="1">
    <w:p w:rsidR="00B23E22" w:rsidRPr="00FB4559" w:rsidRDefault="00B23E22" w:rsidP="00B23E22">
      <w:pPr>
        <w:pStyle w:val="FootnoteText"/>
        <w:rPr>
          <w:sz w:val="20"/>
        </w:rPr>
      </w:pPr>
      <w:r>
        <w:tab/>
      </w:r>
      <w:r w:rsidRPr="00FB4559">
        <w:rPr>
          <w:rStyle w:val="FootnoteReference"/>
          <w:sz w:val="20"/>
          <w:vertAlign w:val="baseline"/>
        </w:rPr>
        <w:t>*</w:t>
      </w:r>
      <w:r w:rsidRPr="00FB4559">
        <w:tab/>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E22" w:rsidRPr="00B23E22" w:rsidRDefault="00B23E22">
    <w:pPr>
      <w:pStyle w:val="Header"/>
    </w:pPr>
    <w:r>
      <w:t>CAT/C/SR.1066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E22" w:rsidRPr="00B23E22" w:rsidRDefault="00B23E22" w:rsidP="00B23E22">
    <w:pPr>
      <w:pStyle w:val="Header"/>
      <w:jc w:val="right"/>
    </w:pPr>
    <w:r>
      <w:t>CAT/C/SR.1066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209F"/>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27268"/>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54E07"/>
    <w:rsid w:val="004A02B7"/>
    <w:rsid w:val="0050108D"/>
    <w:rsid w:val="00513081"/>
    <w:rsid w:val="00517901"/>
    <w:rsid w:val="00526683"/>
    <w:rsid w:val="005709E0"/>
    <w:rsid w:val="00572E19"/>
    <w:rsid w:val="005961C8"/>
    <w:rsid w:val="005D7914"/>
    <w:rsid w:val="005E5290"/>
    <w:rsid w:val="005F0B42"/>
    <w:rsid w:val="00681A10"/>
    <w:rsid w:val="006C052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A84021"/>
    <w:rsid w:val="00A917B3"/>
    <w:rsid w:val="00AB4B51"/>
    <w:rsid w:val="00AD3FB4"/>
    <w:rsid w:val="00B10CC7"/>
    <w:rsid w:val="00B23E22"/>
    <w:rsid w:val="00B539E7"/>
    <w:rsid w:val="00B62458"/>
    <w:rsid w:val="00BD33EE"/>
    <w:rsid w:val="00C106D6"/>
    <w:rsid w:val="00C4209F"/>
    <w:rsid w:val="00C60F0C"/>
    <w:rsid w:val="00C805C9"/>
    <w:rsid w:val="00C92939"/>
    <w:rsid w:val="00CA1679"/>
    <w:rsid w:val="00CB151C"/>
    <w:rsid w:val="00CE5A1A"/>
    <w:rsid w:val="00CF55F6"/>
    <w:rsid w:val="00D33D63"/>
    <w:rsid w:val="00D3525F"/>
    <w:rsid w:val="00D90138"/>
    <w:rsid w:val="00DE3199"/>
    <w:rsid w:val="00E73F76"/>
    <w:rsid w:val="00EA2C9F"/>
    <w:rsid w:val="00ED0BDA"/>
    <w:rsid w:val="00ED3892"/>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4511</Words>
  <Characters>24816</Characters>
  <Application>Microsoft Office Word</Application>
  <DocSecurity>4</DocSecurity>
  <Lines>206</Lines>
  <Paragraphs>58</Paragraphs>
  <ScaleCrop>false</ScaleCrop>
  <HeadingPairs>
    <vt:vector size="2" baseType="variant">
      <vt:variant>
        <vt:lpstr>Título</vt:lpstr>
      </vt:variant>
      <vt:variant>
        <vt:i4>1</vt:i4>
      </vt:variant>
    </vt:vector>
  </HeadingPairs>
  <TitlesOfParts>
    <vt:vector size="1" baseType="lpstr">
      <vt:lpstr>CAT/C/SR.1066</vt:lpstr>
    </vt:vector>
  </TitlesOfParts>
  <Company/>
  <LinksUpToDate>false</LinksUpToDate>
  <CharactersWithSpaces>29269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CAT/C/SR.1066</dc:title>
  <dc:subject>FINAL</dc:subject>
  <dc:creator>Hortensia Martinez</dc:creator>
  <cp:keywords/>
  <dc:description/>
  <cp:lastModifiedBy>María de la Plaza</cp:lastModifiedBy>
  <cp:revision>2</cp:revision>
  <cp:lastPrinted>2012-11-29T09:36:00Z</cp:lastPrinted>
  <dcterms:created xsi:type="dcterms:W3CDTF">2012-11-29T10:36:00Z</dcterms:created>
  <dcterms:modified xsi:type="dcterms:W3CDTF">2012-11-29T10:36:00Z</dcterms:modified>
</cp:coreProperties>
</file>