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C25" w:rsidRPr="00F464ED" w:rsidRDefault="00300C25" w:rsidP="00300C25">
      <w:pPr>
        <w:spacing w:line="240" w:lineRule="auto"/>
        <w:rPr>
          <w:sz w:val="6"/>
        </w:rPr>
        <w:sectPr w:rsidR="00300C25" w:rsidRPr="00F464ED" w:rsidSect="00AE562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F464ED">
        <w:rPr>
          <w:rStyle w:val="CommentReference"/>
        </w:rPr>
        <w:commentReference w:id="0"/>
      </w:r>
    </w:p>
    <w:p w:rsidR="00300C25" w:rsidRPr="00F464ED" w:rsidRDefault="00300C25" w:rsidP="00300C25">
      <w:pPr>
        <w:pStyle w:val="H1"/>
      </w:pPr>
      <w:r w:rsidRPr="00F464ED">
        <w:t>Comité para la Eliminación de la Discriminación</w:t>
      </w:r>
      <w:r w:rsidRPr="00F464ED">
        <w:br/>
        <w:t>contra la Mujer</w:t>
      </w:r>
    </w:p>
    <w:p w:rsidR="00300C25" w:rsidRPr="00F464ED" w:rsidRDefault="00F464ED" w:rsidP="00300C25">
      <w:pPr>
        <w:pStyle w:val="H23"/>
      </w:pPr>
      <w:r>
        <w:t>23°</w:t>
      </w:r>
      <w:r w:rsidR="00300C25" w:rsidRPr="00F464ED">
        <w:t xml:space="preserve"> período de sesiones</w:t>
      </w:r>
    </w:p>
    <w:p w:rsidR="00300C25" w:rsidRPr="00F464ED" w:rsidRDefault="00300C25" w:rsidP="00300C25">
      <w:pPr>
        <w:spacing w:line="240" w:lineRule="auto"/>
        <w:rPr>
          <w:sz w:val="12"/>
        </w:rPr>
      </w:pPr>
    </w:p>
    <w:p w:rsidR="00300C25" w:rsidRPr="00F464ED" w:rsidRDefault="00300C25" w:rsidP="00300C25">
      <w:pPr>
        <w:pStyle w:val="H23"/>
      </w:pPr>
      <w:r w:rsidRPr="00F464ED">
        <w:t>Acta resumida de la 483ª sesión</w:t>
      </w:r>
    </w:p>
    <w:p w:rsidR="00300C25" w:rsidRPr="00F464ED" w:rsidRDefault="00781999" w:rsidP="00300C25">
      <w:r w:rsidRPr="00F464ED">
        <w:t>Celebrada en la Sede, Nueva York, el</w:t>
      </w:r>
      <w:r>
        <w:t xml:space="preserve"> lunes 26 de junio de 2000, a las 10.30 horas</w:t>
      </w:r>
      <w:r w:rsidRPr="00F464ED">
        <w:t xml:space="preserve"> </w:t>
      </w:r>
    </w:p>
    <w:p w:rsidR="00300C25" w:rsidRPr="00F464ED" w:rsidRDefault="00300C25" w:rsidP="00300C25">
      <w:pPr>
        <w:spacing w:line="120" w:lineRule="exact"/>
        <w:rPr>
          <w:sz w:val="10"/>
        </w:rPr>
      </w:pPr>
    </w:p>
    <w:p w:rsidR="00300C25" w:rsidRPr="00F464ED" w:rsidRDefault="00300C25" w:rsidP="00300C25">
      <w:pPr>
        <w:tabs>
          <w:tab w:val="right" w:pos="950"/>
          <w:tab w:val="left" w:pos="1267"/>
          <w:tab w:val="right" w:leader="dot" w:pos="8568"/>
        </w:tabs>
        <w:ind w:right="1267"/>
      </w:pPr>
      <w:r w:rsidRPr="00F464ED">
        <w:rPr>
          <w:i/>
        </w:rPr>
        <w:t>President</w:t>
      </w:r>
      <w:r w:rsidR="00F464ED">
        <w:rPr>
          <w:i/>
        </w:rPr>
        <w:t>a</w:t>
      </w:r>
      <w:r w:rsidRPr="00F464ED">
        <w:rPr>
          <w:i/>
        </w:rPr>
        <w:t>:</w:t>
      </w:r>
      <w:r w:rsidR="00F464ED">
        <w:tab/>
        <w:t>Sra. González</w:t>
      </w:r>
    </w:p>
    <w:p w:rsidR="00300C25" w:rsidRPr="00F464ED" w:rsidRDefault="00300C25" w:rsidP="00300C25">
      <w:pPr>
        <w:tabs>
          <w:tab w:val="right" w:pos="950"/>
          <w:tab w:val="left" w:pos="1267"/>
          <w:tab w:val="right" w:leader="dot" w:pos="8568"/>
        </w:tabs>
        <w:spacing w:line="120" w:lineRule="exact"/>
        <w:ind w:right="1267"/>
        <w:rPr>
          <w:sz w:val="10"/>
        </w:rPr>
      </w:pPr>
    </w:p>
    <w:p w:rsidR="00300C25" w:rsidRPr="00F464ED" w:rsidRDefault="00300C25" w:rsidP="00300C25">
      <w:pPr>
        <w:tabs>
          <w:tab w:val="right" w:pos="950"/>
          <w:tab w:val="left" w:pos="1267"/>
          <w:tab w:val="right" w:leader="dot" w:pos="8568"/>
        </w:tabs>
        <w:spacing w:line="120" w:lineRule="exact"/>
        <w:ind w:right="1267"/>
        <w:rPr>
          <w:sz w:val="10"/>
        </w:rPr>
      </w:pPr>
    </w:p>
    <w:p w:rsidR="00300C25" w:rsidRPr="00F464ED" w:rsidRDefault="00300C25" w:rsidP="00300C25">
      <w:pPr>
        <w:tabs>
          <w:tab w:val="right" w:pos="950"/>
          <w:tab w:val="left" w:pos="1267"/>
          <w:tab w:val="right" w:leader="dot" w:pos="8568"/>
        </w:tabs>
        <w:spacing w:line="120" w:lineRule="exact"/>
        <w:ind w:right="1267"/>
        <w:rPr>
          <w:sz w:val="10"/>
        </w:rPr>
      </w:pPr>
    </w:p>
    <w:p w:rsidR="00300C25" w:rsidRPr="00F464ED" w:rsidRDefault="00300C25" w:rsidP="00300C25">
      <w:pPr>
        <w:pStyle w:val="HCh"/>
        <w:rPr>
          <w:b w:val="0"/>
        </w:rPr>
      </w:pPr>
      <w:r w:rsidRPr="00F464ED">
        <w:rPr>
          <w:b w:val="0"/>
        </w:rPr>
        <w:t>Sumario</w:t>
      </w:r>
    </w:p>
    <w:p w:rsidR="00300C25" w:rsidRPr="00F464ED" w:rsidRDefault="00300C25" w:rsidP="00300C25">
      <w:pPr>
        <w:pStyle w:val="HCh"/>
        <w:spacing w:line="240" w:lineRule="auto"/>
        <w:rPr>
          <w:b w:val="0"/>
          <w:sz w:val="12"/>
        </w:rPr>
      </w:pPr>
    </w:p>
    <w:p w:rsidR="00F464ED" w:rsidRDefault="00F464ED" w:rsidP="00F464ED">
      <w:pPr>
        <w:pStyle w:val="SingleTxt"/>
        <w:suppressAutoHyphens/>
        <w:jc w:val="left"/>
      </w:pPr>
      <w:r>
        <w:t xml:space="preserve">Examen de los informes presentados por los Estados partes de conformidad </w:t>
      </w:r>
      <w:r>
        <w:br/>
        <w:t xml:space="preserve">con el artículo 18 de la Convención </w:t>
      </w:r>
      <w:r>
        <w:rPr>
          <w:i/>
        </w:rPr>
        <w:t>(continuación)</w:t>
      </w:r>
    </w:p>
    <w:p w:rsidR="00F464ED" w:rsidRDefault="00F464ED" w:rsidP="00F464ED">
      <w:pPr>
        <w:pStyle w:val="SingleTxt"/>
        <w:suppressAutoHyphens/>
        <w:jc w:val="left"/>
        <w:rPr>
          <w:i/>
        </w:rPr>
      </w:pPr>
      <w:r>
        <w:tab/>
      </w:r>
      <w:r>
        <w:rPr>
          <w:i/>
        </w:rPr>
        <w:t>Informe inicial del Camerún (continuación)</w:t>
      </w:r>
    </w:p>
    <w:p w:rsidR="00F162AD" w:rsidRDefault="00F162AD" w:rsidP="00300C25">
      <w:pPr>
        <w:pStyle w:val="SingleTxt"/>
        <w:suppressAutoHyphens/>
        <w:jc w:val="left"/>
      </w:pPr>
    </w:p>
    <w:p w:rsidR="00F464ED" w:rsidRPr="00F464ED" w:rsidRDefault="00F464ED" w:rsidP="00F464ED">
      <w:pPr>
        <w:pStyle w:val="SingleTxt"/>
        <w:suppressAutoHyphens/>
        <w:spacing w:after="0" w:line="240" w:lineRule="auto"/>
        <w:jc w:val="left"/>
        <w:rPr>
          <w:sz w:val="2"/>
        </w:rPr>
        <w:sectPr w:rsidR="00F464ED" w:rsidRPr="00F464ED" w:rsidSect="00AE562F">
          <w:endnotePr>
            <w:numFmt w:val="decimal"/>
          </w:endnotePr>
          <w:type w:val="continuous"/>
          <w:pgSz w:w="12240" w:h="15840" w:code="1"/>
          <w:pgMar w:top="1742" w:right="1195" w:bottom="1898" w:left="1195" w:header="576" w:footer="1030" w:gutter="0"/>
          <w:cols w:space="708"/>
          <w:noEndnote/>
          <w:docGrid w:linePitch="360"/>
        </w:sectPr>
      </w:pPr>
      <w:r>
        <w:br w:type="page"/>
      </w:r>
    </w:p>
    <w:p w:rsidR="00F464ED" w:rsidRDefault="00F464ED" w:rsidP="00F464ED">
      <w:pPr>
        <w:pStyle w:val="H4"/>
        <w:tabs>
          <w:tab w:val="left" w:pos="475"/>
          <w:tab w:val="left" w:pos="965"/>
          <w:tab w:val="left" w:pos="1440"/>
          <w:tab w:val="left" w:pos="1915"/>
          <w:tab w:val="left" w:pos="2405"/>
          <w:tab w:val="left" w:pos="2880"/>
          <w:tab w:val="left" w:pos="3355"/>
        </w:tabs>
        <w:ind w:left="475" w:hanging="475"/>
      </w:pPr>
      <w:r>
        <w:t>Se declara abierta la sesión a las 10.30 horas</w:t>
      </w:r>
    </w:p>
    <w:p w:rsidR="00F464ED" w:rsidRDefault="00F464ED" w:rsidP="00F464ED">
      <w:pPr>
        <w:pStyle w:val="DualTxt"/>
        <w:spacing w:after="0" w:line="120" w:lineRule="exact"/>
        <w:rPr>
          <w:i/>
          <w:sz w:val="10"/>
        </w:rPr>
      </w:pPr>
    </w:p>
    <w:p w:rsidR="00F464ED" w:rsidRDefault="00F464ED" w:rsidP="00F464ED">
      <w:pPr>
        <w:pStyle w:val="DualTxt"/>
        <w:spacing w:after="0" w:line="120" w:lineRule="exact"/>
        <w:rPr>
          <w:i/>
          <w:sz w:val="10"/>
        </w:rPr>
      </w:pPr>
    </w:p>
    <w:p w:rsidR="00F464ED" w:rsidRDefault="00F464ED" w:rsidP="00F464ED">
      <w:pPr>
        <w:pStyle w:val="DualTxt"/>
        <w:spacing w:after="0" w:line="120" w:lineRule="exact"/>
        <w:rPr>
          <w:i/>
          <w:sz w:val="10"/>
        </w:rPr>
      </w:pPr>
    </w:p>
    <w:p w:rsidR="00F464ED" w:rsidRDefault="00F464ED" w:rsidP="00F464ED">
      <w:pPr>
        <w:pStyle w:val="H23"/>
        <w:tabs>
          <w:tab w:val="right" w:pos="360"/>
          <w:tab w:val="left" w:pos="475"/>
          <w:tab w:val="left" w:pos="965"/>
          <w:tab w:val="left" w:pos="1440"/>
          <w:tab w:val="left" w:pos="1915"/>
          <w:tab w:val="left" w:pos="2405"/>
          <w:tab w:val="left" w:pos="2880"/>
          <w:tab w:val="left" w:pos="3355"/>
        </w:tabs>
        <w:rPr>
          <w:i/>
        </w:rPr>
      </w:pPr>
      <w:r>
        <w:t xml:space="preserve">Examen de los informes presentados por los Estados partes con arreglo al artículo 18 de la Convención </w:t>
      </w:r>
      <w:r>
        <w:rPr>
          <w:b w:val="0"/>
          <w:i/>
        </w:rPr>
        <w:t>(continuación)</w:t>
      </w:r>
    </w:p>
    <w:p w:rsidR="00F464ED" w:rsidRDefault="00F464ED" w:rsidP="00F464ED">
      <w:pPr>
        <w:pStyle w:val="DualTxt"/>
        <w:spacing w:after="0" w:line="120" w:lineRule="exact"/>
        <w:rPr>
          <w:i/>
          <w:sz w:val="10"/>
        </w:rPr>
      </w:pPr>
    </w:p>
    <w:p w:rsidR="00F464ED" w:rsidRDefault="00F464ED" w:rsidP="00F464ED">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del Camerún (continuación) </w:t>
      </w:r>
      <w:r>
        <w:rPr>
          <w:i w:val="0"/>
        </w:rPr>
        <w:t>(CEDAW/C/CMR/1)</w:t>
      </w:r>
    </w:p>
    <w:p w:rsidR="00F464ED" w:rsidRDefault="00F464ED" w:rsidP="00F464ED">
      <w:pPr>
        <w:pStyle w:val="DualTxt"/>
        <w:spacing w:after="0" w:line="120" w:lineRule="exact"/>
        <w:rPr>
          <w:sz w:val="10"/>
        </w:rPr>
      </w:pPr>
    </w:p>
    <w:p w:rsidR="00F464ED" w:rsidRDefault="00F464ED" w:rsidP="00F464ED">
      <w:pPr>
        <w:pStyle w:val="DualTxt"/>
      </w:pPr>
      <w:r>
        <w:t>1.</w:t>
      </w:r>
      <w:r>
        <w:tab/>
      </w:r>
      <w:r>
        <w:rPr>
          <w:i/>
        </w:rPr>
        <w:t>Por invitación de la Presidenta, los miembros de la delegación del Camerún toman asiento a la mesa del Comité.</w:t>
      </w:r>
    </w:p>
    <w:p w:rsidR="00F464ED" w:rsidRDefault="00F464ED" w:rsidP="00F464ED">
      <w:pPr>
        <w:pStyle w:val="DualTxt"/>
      </w:pPr>
      <w:r>
        <w:t>2.</w:t>
      </w:r>
      <w:r>
        <w:tab/>
      </w:r>
      <w:r>
        <w:rPr>
          <w:b/>
        </w:rPr>
        <w:t>La Sra. Ngo Som</w:t>
      </w:r>
      <w:r>
        <w:t xml:space="preserve"> (Camerún), respondiendo a las preguntas e inquietudes planteadas por el Comité en r</w:t>
      </w:r>
      <w:r>
        <w:t>e</w:t>
      </w:r>
      <w:r>
        <w:t>lación con el informe inicial del Camerún, manifiesta que se está elaborando una estrategia sectorial para el adelanto de la mujer con el fin de modificar las actit</w:t>
      </w:r>
      <w:r>
        <w:t>u</w:t>
      </w:r>
      <w:r>
        <w:t>des tradicionales relativas a la poligamia, los matrim</w:t>
      </w:r>
      <w:r>
        <w:t>o</w:t>
      </w:r>
      <w:r>
        <w:t>nios forzados y la mutilación genital, y de integrar el enfoque de género en el desarrollo. Dicha estrategia trata de reforzar las instituciones, obtener datos desgl</w:t>
      </w:r>
      <w:r>
        <w:t>o</w:t>
      </w:r>
      <w:r>
        <w:t>sados por sexos, mejorar la condición jurídica y social de la mujer, eliminar la violencia y la discriminación contra la mujer y crear conciencia sobre la función que corresponde a la mujer en la sociedad. Ahora bien, las actitudes tradicionales están muy arraigadas y será d</w:t>
      </w:r>
      <w:r>
        <w:t>i</w:t>
      </w:r>
      <w:r>
        <w:t>fícil erradicarlas. Por lo tanto, aunque no es posible f</w:t>
      </w:r>
      <w:r>
        <w:t>i</w:t>
      </w:r>
      <w:r>
        <w:t>jar plazos en ese sentido, sí existe la voluntad política de eliminarlas, se ha creado el marco constitucional pertinente y se están llevando a la práctica planes de acción. Se efectuarán exámenes periódicos del progr</w:t>
      </w:r>
      <w:r>
        <w:t>e</w:t>
      </w:r>
      <w:r>
        <w:t>so logrado.</w:t>
      </w:r>
    </w:p>
    <w:p w:rsidR="00F464ED" w:rsidRDefault="00F464ED" w:rsidP="00F464ED">
      <w:pPr>
        <w:pStyle w:val="DualTxt"/>
      </w:pPr>
      <w:r>
        <w:t>3.</w:t>
      </w:r>
      <w:r>
        <w:tab/>
        <w:t>Pese al clima macroeconómico desfavorable, el Camerún ha creado un ambiente favorable al ejercicio de los derechos de la mujer, y la mayor parte de sus ciudadanos son conscientes del derecho de la mujer a participar plenamente en la sociedad. La incorporación del enfoque de género es un requisito clave de todos los programas emprendidos en colaboración con as</w:t>
      </w:r>
      <w:r>
        <w:t>o</w:t>
      </w:r>
      <w:r>
        <w:t>ciados internacionales, y el Ministerio de Asuntos de la Mujer, por medio de un estudio en proyecto de los efectos producidos, se asegurará de que la mujer se b</w:t>
      </w:r>
      <w:r>
        <w:t>e</w:t>
      </w:r>
      <w:r>
        <w:t>neficie verdaderamente de esos programas.</w:t>
      </w:r>
    </w:p>
    <w:p w:rsidR="00F464ED" w:rsidRDefault="00F464ED" w:rsidP="00F464ED">
      <w:pPr>
        <w:pStyle w:val="DualTxt"/>
      </w:pPr>
      <w:r>
        <w:t>4.</w:t>
      </w:r>
      <w:r>
        <w:tab/>
        <w:t>Desde que se ratificó la Convención, esta se ha convertido en parte integral del sistema jurídico y cua</w:t>
      </w:r>
      <w:r>
        <w:t>l</w:t>
      </w:r>
      <w:r>
        <w:t>quier ciudadano puede invocarla ante los tribunales. Se ha pedido a la Comisión Nacional para la Reforma del Derecho Civil, creada en 1993 para preparar legisl</w:t>
      </w:r>
      <w:r>
        <w:t>a</w:t>
      </w:r>
      <w:r>
        <w:t>ción que tenga presentes las cuestiones étnicas así como las costumbres positivas de las diversas regiones, que utilice las disposiciones vigentes del Código Civil para redactar un código de la familia, empleando ta</w:t>
      </w:r>
      <w:r>
        <w:t>m</w:t>
      </w:r>
      <w:r>
        <w:t>bién como modelos textos pertinentes de países lim</w:t>
      </w:r>
      <w:r>
        <w:t>í</w:t>
      </w:r>
      <w:r>
        <w:t>trofes así como del Reino Unido. Las disposiciones de la Convención se integrarán en ese código de la fam</w:t>
      </w:r>
      <w:r>
        <w:t>i</w:t>
      </w:r>
      <w:r>
        <w:t>lia. El Ministerio de Asuntos de la Mujer, en colabor</w:t>
      </w:r>
      <w:r>
        <w:t>a</w:t>
      </w:r>
      <w:r>
        <w:t>ción con instituciones nacionales y organizaciones no gubernamentales, proseguirá sus esfuerzos para elim</w:t>
      </w:r>
      <w:r>
        <w:t>i</w:t>
      </w:r>
      <w:r>
        <w:t>nar las disposiciones discriminatorias aún vigentes y fomentar los derechos de la mujer. En ese contexto, el Ministerio concederá prioridad a la revitalización del Comité Consultivo para el Adelanto de la Mujer.</w:t>
      </w:r>
    </w:p>
    <w:p w:rsidR="00F464ED" w:rsidRDefault="00F464ED" w:rsidP="00F464ED">
      <w:pPr>
        <w:pStyle w:val="DualTxt"/>
      </w:pPr>
      <w:r>
        <w:t>5.</w:t>
      </w:r>
      <w:r>
        <w:tab/>
        <w:t>El presupuesto del Ministerio de Asuntos de la Mujer para el ejercicio 2000-2001 fue aproximadame</w:t>
      </w:r>
      <w:r>
        <w:t>n</w:t>
      </w:r>
      <w:r>
        <w:t>te de 2.300 millones de francos CFA, lo que repr</w:t>
      </w:r>
      <w:r>
        <w:t>e</w:t>
      </w:r>
      <w:r>
        <w:t>senta un aumento de alrededor del 30%. Los fondos de co</w:t>
      </w:r>
      <w:r>
        <w:t>n</w:t>
      </w:r>
      <w:r>
        <w:t>trapartida aportados por el Estado para proyectos de cooperación con instituciones de las Naciones Unidas ascendieron a 145 millones de francos CFA. Aun cua</w:t>
      </w:r>
      <w:r>
        <w:t>n</w:t>
      </w:r>
      <w:r>
        <w:t>do tres cuartas partes de los fondos presupuestados por el Estado se destinaron a sueldos y gastos de funci</w:t>
      </w:r>
      <w:r>
        <w:t>o</w:t>
      </w:r>
      <w:r>
        <w:t>namiento y una cuarta parte se asignó a trabajar con mujeres sobre el terreno, tiene la intención de modif</w:t>
      </w:r>
      <w:r>
        <w:t>i</w:t>
      </w:r>
      <w:r>
        <w:t>car radicalmente esa distribución, destinando más fo</w:t>
      </w:r>
      <w:r>
        <w:t>n</w:t>
      </w:r>
      <w:r>
        <w:t>dos a servicios de apoyo, adiestramiento, creación de capacidad, salud y educación a fin de mejorar la cond</w:t>
      </w:r>
      <w:r>
        <w:t>i</w:t>
      </w:r>
      <w:r>
        <w:t>ción jurídica y social de la mujer.</w:t>
      </w:r>
    </w:p>
    <w:p w:rsidR="00F464ED" w:rsidRDefault="00F464ED" w:rsidP="00F464ED">
      <w:pPr>
        <w:pStyle w:val="DualTxt"/>
      </w:pPr>
      <w:r>
        <w:t>6.</w:t>
      </w:r>
      <w:r>
        <w:tab/>
        <w:t>Su Ministerio cuenta actualmente con unos 600 empleados, pero es preciso contratar más y personal mejor preparado. Para ello el Ministerio tiene intención de reunir todos los recursos que son necesarios para el adelanto de la mujer. Se dará prioridad a las personas que tengan la preparación científica y técnica neces</w:t>
      </w:r>
      <w:r>
        <w:t>a</w:t>
      </w:r>
      <w:r>
        <w:t>rias para dirigir los esfuerzos encaminados a eliminar la pobreza entre las mujeres, mejorar su salud y reducir su carga de trabajo.</w:t>
      </w:r>
    </w:p>
    <w:p w:rsidR="00F464ED" w:rsidRDefault="00F464ED" w:rsidP="00F464ED">
      <w:pPr>
        <w:pStyle w:val="DualTxt"/>
      </w:pPr>
      <w:r>
        <w:t>7.</w:t>
      </w:r>
      <w:r>
        <w:tab/>
        <w:t>Con el fin de reducir los efectos negativos de los programas de reajuste estructural en la mujer, el G</w:t>
      </w:r>
      <w:r>
        <w:t>o</w:t>
      </w:r>
      <w:r>
        <w:t>bierno ha modificado el horario de trabajo, alentado el consumo de productos de origen local y reforzado los controles de precios. Además, una reforma legislativa en relación con el derecho de libertad de asociación ha originado un rápido crecimiento de las cooperativas y asociaciones de mujeres, las organizaciones no gube</w:t>
      </w:r>
      <w:r>
        <w:t>r</w:t>
      </w:r>
      <w:r>
        <w:t>namentales y los proyectos conjuntos en todos los se</w:t>
      </w:r>
      <w:r>
        <w:t>c</w:t>
      </w:r>
      <w:r>
        <w:t>tores de la economía. Se han creado numerosas estru</w:t>
      </w:r>
      <w:r>
        <w:t>c</w:t>
      </w:r>
      <w:r>
        <w:t>turas para prestar apoyo financiero a esas iniciativas y, en el marco de la lucha contra la pobreza, se han</w:t>
      </w:r>
      <w:r w:rsidR="009602A6">
        <w:t xml:space="preserve"> </w:t>
      </w:r>
      <w:r>
        <w:t>emprendido proyectos en asociación con países dona</w:t>
      </w:r>
      <w:r>
        <w:t>n</w:t>
      </w:r>
      <w:r>
        <w:t>tes y órganos bilaterales, regionales e internaci</w:t>
      </w:r>
      <w:r>
        <w:t>o</w:t>
      </w:r>
      <w:r>
        <w:t>nales. Además, se han establecido “tontines”, o grupos aut</w:t>
      </w:r>
      <w:r>
        <w:t>o</w:t>
      </w:r>
      <w:r>
        <w:t>financiados a nivel de aldea, que actúan en diversas r</w:t>
      </w:r>
      <w:r>
        <w:t>e</w:t>
      </w:r>
      <w:r>
        <w:t>giones y ciudades del país para financiar actividades rentables o invertir en la producción de bienes y serv</w:t>
      </w:r>
      <w:r>
        <w:t>i</w:t>
      </w:r>
      <w:r>
        <w:t>cios.</w:t>
      </w:r>
    </w:p>
    <w:p w:rsidR="00F464ED" w:rsidRDefault="00F464ED" w:rsidP="00F464ED">
      <w:pPr>
        <w:pStyle w:val="DualTxt"/>
      </w:pPr>
      <w:r>
        <w:t>8.</w:t>
      </w:r>
      <w:r>
        <w:tab/>
        <w:t>Con respecto a la mujer rural, dice que únicame</w:t>
      </w:r>
      <w:r>
        <w:t>n</w:t>
      </w:r>
      <w:r>
        <w:t>te disponen de seguro de desempleo los empleados que antes fueron asalariados, y por consiguiente las muj</w:t>
      </w:r>
      <w:r>
        <w:t>e</w:t>
      </w:r>
      <w:r>
        <w:t>res rurales no pueden acogerse a ese seguro. No ob</w:t>
      </w:r>
      <w:r>
        <w:t>s</w:t>
      </w:r>
      <w:r>
        <w:t>tante, una organización no gubernamental denom</w:t>
      </w:r>
      <w:r>
        <w:t>i</w:t>
      </w:r>
      <w:r>
        <w:t>nada CERAC (Círculo de Amigos del Camerún) co</w:t>
      </w:r>
      <w:r>
        <w:t>n</w:t>
      </w:r>
      <w:r>
        <w:t>tribuye de manera importante a reducir el volumen de trabajo de la mujer rural y eliminar la pobreza propo</w:t>
      </w:r>
      <w:r>
        <w:t>r</w:t>
      </w:r>
      <w:r>
        <w:t>cionando equipo para la producción y elaboración de alimentos, máquinas de coser, etc. Al objeto de gara</w:t>
      </w:r>
      <w:r>
        <w:t>n</w:t>
      </w:r>
      <w:r>
        <w:t>tizar que la mujer rural tenga acceso al crédito, se ha dado prior</w:t>
      </w:r>
      <w:r>
        <w:t>i</w:t>
      </w:r>
      <w:r>
        <w:t>dad a la creación de un fondo para financiar activid</w:t>
      </w:r>
      <w:r>
        <w:t>a</w:t>
      </w:r>
      <w:r>
        <w:t>des rentables, que ha proporcionado 100 millones de francos CFA este año. El fondo complementa el trabajo de las cooperativas de ahorro y crédito creadas en vi</w:t>
      </w:r>
      <w:r>
        <w:t>r</w:t>
      </w:r>
      <w:r>
        <w:t>tud de proyectos de cooperación con asociados como Canadá y el Programa de las Naciones Unidas para el Desarrollo.</w:t>
      </w:r>
    </w:p>
    <w:p w:rsidR="00F464ED" w:rsidRDefault="00F464ED" w:rsidP="00F464ED">
      <w:pPr>
        <w:pStyle w:val="DualTxt"/>
        <w:rPr>
          <w:spacing w:val="2"/>
          <w:w w:val="101"/>
        </w:rPr>
      </w:pPr>
      <w:r>
        <w:t>9.</w:t>
      </w:r>
      <w:r>
        <w:tab/>
        <w:t>La violencia contra la mujer continúa siendo un obstáculo que se opone a la plena aplicación de la Convención. Ya se han adoptado algunas medidas y se están realizando estudios a fondo para evaluar por completo la situación y sugerir posibles soluciones. De ahora en adelante se ofrecerán, en los Centros para el Adelanto de la Mujer, servicios de asesoramiento para las mujeres que sean víctimas de violencia. Organiz</w:t>
      </w:r>
      <w:r>
        <w:t>a</w:t>
      </w:r>
      <w:r>
        <w:t>ciones no gubernamentales y otras asociaciones están colaborando con el Ministerio de Asuntos de la Mujer a fin de prestar apoyo a las víctimas de violencia, y se han constituido asociaciones profesionales para prestar apoyo en relación con cuestiones de carácter jurídico y médico a las víctimas femeninas de la violencia. El Ministerio de Asuntos de la Mujer sigue trabajando p</w:t>
      </w:r>
      <w:r>
        <w:t>a</w:t>
      </w:r>
      <w:r>
        <w:t>ra eliminar estereotipos, dentro del marco de su plan de acción, en lo que se refiere a mejorar la condición jur</w:t>
      </w:r>
      <w:r>
        <w:t>í</w:t>
      </w:r>
      <w:r>
        <w:t xml:space="preserve">dica y social de la mujer y el adelanto y protección de </w:t>
      </w:r>
      <w:r>
        <w:rPr>
          <w:spacing w:val="2"/>
          <w:w w:val="101"/>
        </w:rPr>
        <w:t>las muchachas jóvenes. El resultado de estudios realiz</w:t>
      </w:r>
      <w:r>
        <w:rPr>
          <w:spacing w:val="2"/>
          <w:w w:val="101"/>
        </w:rPr>
        <w:t>a</w:t>
      </w:r>
      <w:r>
        <w:rPr>
          <w:spacing w:val="2"/>
          <w:w w:val="101"/>
        </w:rPr>
        <w:t>dos por un grupo protector de la mujer camerunesa ofr</w:t>
      </w:r>
      <w:r>
        <w:rPr>
          <w:spacing w:val="2"/>
          <w:w w:val="101"/>
        </w:rPr>
        <w:t>e</w:t>
      </w:r>
      <w:r>
        <w:rPr>
          <w:spacing w:val="2"/>
          <w:w w:val="101"/>
        </w:rPr>
        <w:t>cerá la base para la adopción de medidas concretas dest</w:t>
      </w:r>
      <w:r>
        <w:rPr>
          <w:spacing w:val="2"/>
          <w:w w:val="101"/>
        </w:rPr>
        <w:t>i</w:t>
      </w:r>
      <w:r>
        <w:rPr>
          <w:spacing w:val="2"/>
          <w:w w:val="101"/>
        </w:rPr>
        <w:t>nadas a combatir las prácticas habituales discrim</w:t>
      </w:r>
      <w:r>
        <w:rPr>
          <w:spacing w:val="2"/>
          <w:w w:val="101"/>
        </w:rPr>
        <w:t>i</w:t>
      </w:r>
      <w:r>
        <w:rPr>
          <w:spacing w:val="2"/>
          <w:w w:val="101"/>
        </w:rPr>
        <w:t>natorias.</w:t>
      </w:r>
    </w:p>
    <w:p w:rsidR="00F464ED" w:rsidRDefault="00F464ED" w:rsidP="00F464ED">
      <w:pPr>
        <w:pStyle w:val="DualTxt"/>
        <w:keepNext/>
        <w:keepLines/>
      </w:pPr>
      <w:r>
        <w:t>10.</w:t>
      </w:r>
      <w:r>
        <w:tab/>
        <w:t>En ese sentido, el Gobierno tiene intención de adoptar medidas jurídicas y legislativas para evitar la poligamia y los matrimonios a edad temprana y forz</w:t>
      </w:r>
      <w:r>
        <w:t>a</w:t>
      </w:r>
      <w:r>
        <w:t>dos. Habida cuenta de los efectos negativos del matr</w:t>
      </w:r>
      <w:r>
        <w:t>i</w:t>
      </w:r>
      <w:r>
        <w:t>monio a edad temprana en el desarrollo de las much</w:t>
      </w:r>
      <w:r>
        <w:t>a</w:t>
      </w:r>
      <w:r>
        <w:t>chas, la Comisión Nacional para la Reforma del Der</w:t>
      </w:r>
      <w:r>
        <w:t>e</w:t>
      </w:r>
      <w:r>
        <w:t>cho Civil y el Ministerio de Asuntos de la Mujer han impuesto la edad de 18 años como edad mínima para el matrimonio, y el Ministerio tiene intención de aseg</w:t>
      </w:r>
      <w:r>
        <w:t>u</w:t>
      </w:r>
      <w:r>
        <w:t>rarse de que se cumple ese límite, mientras que al mi</w:t>
      </w:r>
      <w:r>
        <w:t>s</w:t>
      </w:r>
      <w:r>
        <w:t>mo tiempo sigue creando conciencia de la conveniencia del límite de edad más alto.</w:t>
      </w:r>
    </w:p>
    <w:p w:rsidR="00F464ED" w:rsidRDefault="00F464ED" w:rsidP="00F464ED">
      <w:pPr>
        <w:pStyle w:val="DualTxt"/>
        <w:rPr>
          <w:spacing w:val="2"/>
          <w:w w:val="101"/>
        </w:rPr>
      </w:pPr>
      <w:r>
        <w:t>11.</w:t>
      </w:r>
      <w:r>
        <w:tab/>
        <w:t>El Ministerio tiene también intención de abordar el problema de los niños que nacen fuera del matrim</w:t>
      </w:r>
      <w:r>
        <w:t>o</w:t>
      </w:r>
      <w:r>
        <w:t>nio, que reduce el derecho a heredar los bienes del p</w:t>
      </w:r>
      <w:r>
        <w:t>a</w:t>
      </w:r>
      <w:r>
        <w:t>dre. Eso constituye una infracción de la Convención sobre los Derechos del Niño y discrimina contra la m</w:t>
      </w:r>
      <w:r>
        <w:t>a</w:t>
      </w:r>
      <w:r>
        <w:t>dre, que tiene que cuidarse del bienestar de su hijo por sí sola. En lo que se refiere a la planificación de la f</w:t>
      </w:r>
      <w:r>
        <w:t>a</w:t>
      </w:r>
      <w:r>
        <w:t>milia, se está reexaminando la política demográfica a</w:t>
      </w:r>
      <w:r>
        <w:t>c</w:t>
      </w:r>
      <w:r>
        <w:t xml:space="preserve">tual. Se han establecido centros de planificación de </w:t>
      </w:r>
      <w:r>
        <w:rPr>
          <w:spacing w:val="2"/>
          <w:w w:val="101"/>
        </w:rPr>
        <w:t>la familia como elementos básicos del programa de atención primaria de la salud. También participan activamente v</w:t>
      </w:r>
      <w:r>
        <w:rPr>
          <w:spacing w:val="2"/>
          <w:w w:val="101"/>
        </w:rPr>
        <w:t>a</w:t>
      </w:r>
      <w:r>
        <w:rPr>
          <w:spacing w:val="2"/>
          <w:w w:val="101"/>
        </w:rPr>
        <w:t>rias asociaciones y organizaciones no gubernamentales en el ámbito de la planificación de la familia.</w:t>
      </w:r>
    </w:p>
    <w:p w:rsidR="00F464ED" w:rsidRDefault="00F464ED" w:rsidP="00F464ED">
      <w:pPr>
        <w:pStyle w:val="DualTxt"/>
      </w:pPr>
      <w:r>
        <w:t>12.</w:t>
      </w:r>
      <w:r>
        <w:tab/>
        <w:t>Pasando al tema de la educación, explica que a</w:t>
      </w:r>
      <w:r>
        <w:t>c</w:t>
      </w:r>
      <w:r>
        <w:t>tualmente un comité está examinando los libros de te</w:t>
      </w:r>
      <w:r>
        <w:t>x</w:t>
      </w:r>
      <w:r>
        <w:t>to y tiene instrucciones de eliminar todos los estereot</w:t>
      </w:r>
      <w:r>
        <w:t>i</w:t>
      </w:r>
      <w:r>
        <w:t>pos relativos a los sexos. Si bien es cierto que el núm</w:t>
      </w:r>
      <w:r>
        <w:t>e</w:t>
      </w:r>
      <w:r>
        <w:t>ro de niñas que asisten a la escuela se ha reducido del 86,8% en 1990-1991 al 67,4% en 1995-1996 como consecuencia de la crisis económica, especialmente la reducción de los sueldos y la devaluación del franco CFA, esas cifras se han elevado algo, al 73,4% en 1998-1999. Para el Gobierno tiene carácter prioritario la educación de la juventud, y específicamente de las muchachas, y este año el Ministerio de Educación ha recibido su mayor asignación presupuestaria. Consej</w:t>
      </w:r>
      <w:r>
        <w:t>e</w:t>
      </w:r>
      <w:r>
        <w:t>ros animarán a los estudiantes, incluidas las much</w:t>
      </w:r>
      <w:r>
        <w:t>a</w:t>
      </w:r>
      <w:r>
        <w:t>chas, a estudiar las ciencias. El Ministerio de Asuntos de la Mujer, en colaboración con organizaciones fem</w:t>
      </w:r>
      <w:r>
        <w:t>e</w:t>
      </w:r>
      <w:r>
        <w:t>ninas no gubernamentales del país, van a prestar apoyo a esas actividades, y el Ministerio de Asuntos de la Mujer reforzará su asociación con el Ministerio de Educación, el Fondo de las Naciones Unidas para la I</w:t>
      </w:r>
      <w:r>
        <w:t>n</w:t>
      </w:r>
      <w:r>
        <w:t>fancia (UNICEF) y la Organización de las Naciones Unidas para la Ecuación, la Ciencia y la Cultura (UNESCO) en la esfera de la educación no académica para las mujeres y las muchachas.</w:t>
      </w:r>
    </w:p>
    <w:p w:rsidR="00F464ED" w:rsidRDefault="00F464ED" w:rsidP="00F464ED">
      <w:pPr>
        <w:pStyle w:val="DualTxt"/>
      </w:pPr>
      <w:r>
        <w:t>13.</w:t>
      </w:r>
      <w:r>
        <w:tab/>
        <w:t>En lo que respecta a la prostitución, cuestión pr</w:t>
      </w:r>
      <w:r>
        <w:t>e</w:t>
      </w:r>
      <w:r>
        <w:t>ocupante para el Ministerio de Asuntos de la Mujer, y también para los Ministerios de Asuntos Sociales y de la Juventud y Deportes, se van a realizar estudios con miras a adoptar medidas específicas y mejorar los pr</w:t>
      </w:r>
      <w:r>
        <w:t>o</w:t>
      </w:r>
      <w:r>
        <w:t>gramas que actualmente están en marcha. La prostit</w:t>
      </w:r>
      <w:r>
        <w:t>u</w:t>
      </w:r>
      <w:r>
        <w:t>ción es ilegal y las prostitutas y sus clientes están suj</w:t>
      </w:r>
      <w:r>
        <w:t>e</w:t>
      </w:r>
      <w:r>
        <w:t>tos a las mismas sanciones. El Ministerio de Asuntos de la Mujer se ha comprometido a proponer sanciones más graves para estos últimos. Con todo, la ley por sí sola no puede eliminar un fenómeno social que tiene numerosas causas. Las mejores armas para lograr ese objetivo son la educación, la eliminación de la pobreza y la concienciación de los afectados, incluidas las pr</w:t>
      </w:r>
      <w:r>
        <w:t>o</w:t>
      </w:r>
      <w:r>
        <w:t>pias muchachas y mujeres. La ley dispone asimismo el cierre de las casas de prostitución cuando se demuestra que han ocurrido actos de prostitución, aunque resulta difícil demostrar esos alegatos ante la corte.</w:t>
      </w:r>
    </w:p>
    <w:p w:rsidR="00F464ED" w:rsidRDefault="00F464ED" w:rsidP="00F464ED">
      <w:pPr>
        <w:pStyle w:val="DualTxt"/>
      </w:pPr>
      <w:r>
        <w:t>14.</w:t>
      </w:r>
      <w:r>
        <w:tab/>
        <w:t>Por lo que se refiere a la participación de la mujer en la política y en la vida pública, ni la Constitución ni las leyes electorales vigentes exigen que la esposa o</w:t>
      </w:r>
      <w:r>
        <w:t>b</w:t>
      </w:r>
      <w:r>
        <w:t>tenga autorización de su marido para participar en la política. Es más, la ley que autoriza a los maridos a impedir que sus esposas se dediquen a realizar un tr</w:t>
      </w:r>
      <w:r>
        <w:t>a</w:t>
      </w:r>
      <w:r>
        <w:t>bajo remunerado no es aplicable en este sentido, dado que la participación en la política no puede considera</w:t>
      </w:r>
      <w:r>
        <w:t>r</w:t>
      </w:r>
      <w:r>
        <w:t>se trabajo remunerado conforme a la ley. La mujer c</w:t>
      </w:r>
      <w:r>
        <w:t>a</w:t>
      </w:r>
      <w:r>
        <w:t>merunesa participa muy activamente en la política, i</w:t>
      </w:r>
      <w:r>
        <w:t>n</w:t>
      </w:r>
      <w:r>
        <w:t>cluido el partido gobernante, el cual tiene una rama femenina que desempeña un papel fundamental en el ascenso de la mujer a cargos que gozan de facultades decisorias, tanto en el seno del propio partido como en otros aspectos de la vida nacional. La mujer está repr</w:t>
      </w:r>
      <w:r>
        <w:t>e</w:t>
      </w:r>
      <w:r>
        <w:t>sentada en el buró político y en el comité central y ocupa el 23% de los altos cargos del partido.</w:t>
      </w:r>
    </w:p>
    <w:p w:rsidR="00F464ED" w:rsidRDefault="00F464ED" w:rsidP="00F464ED">
      <w:pPr>
        <w:pStyle w:val="DualTxt"/>
      </w:pPr>
      <w:r>
        <w:t>15.</w:t>
      </w:r>
      <w:r>
        <w:tab/>
        <w:t>La no discriminación es parte intrínseca del cód</w:t>
      </w:r>
      <w:r>
        <w:t>i</w:t>
      </w:r>
      <w:r>
        <w:t>go electoral. Únicamente factores sociológicos impiden la participación en gran escala de la mujer. Numerosas asociaciones femeninas, como por ejemplo la Liga para la Educación de la Mujer y el Niño, llevan a cabo act</w:t>
      </w:r>
      <w:r>
        <w:t>i</w:t>
      </w:r>
      <w:r>
        <w:t>vidades para inducir a las mujeres a que pongan sus nombres en las listas electorales, voten y se presenten a elecciones, así como para adiestrarlas para ocupar puestos dirigentes. Aun cuando el Gobierno carece t</w:t>
      </w:r>
      <w:r>
        <w:t>o</w:t>
      </w:r>
      <w:r>
        <w:t>davía de un proyecto de ley sobre cuotas, el Ministerio de Asuntos de la Mujer está elaborando planes que contribuyan a reconocer a las mujeres dotadas de gra</w:t>
      </w:r>
      <w:r>
        <w:t>n</w:t>
      </w:r>
      <w:r>
        <w:t xml:space="preserve">des posibilidades en el ámbito político, proporcionales ayuda financiera y mejorar sus aptitudes de dirección en la política. </w:t>
      </w:r>
    </w:p>
    <w:p w:rsidR="00F464ED" w:rsidRDefault="00F464ED" w:rsidP="00F464ED">
      <w:pPr>
        <w:pStyle w:val="DualTxt"/>
      </w:pPr>
      <w:r>
        <w:t>16.</w:t>
      </w:r>
      <w:r>
        <w:tab/>
        <w:t>Pasando al tema del empleo de la mujer y de la discriminación contra la mujer en el lugar de trabajo, dice que las mujeres ocupan muchos puestos con facu</w:t>
      </w:r>
      <w:r>
        <w:t>l</w:t>
      </w:r>
      <w:r>
        <w:t>tades decisorias en todas las ramas de la administr</w:t>
      </w:r>
      <w:r>
        <w:t>a</w:t>
      </w:r>
      <w:r>
        <w:t>ción pública. Si bien no hay ninguna mujer que ocupe un a</w:t>
      </w:r>
      <w:r>
        <w:t>l</w:t>
      </w:r>
      <w:r>
        <w:t>to cargo en la administración local, son muchas las que ocupan puestos a ese nivel en el ejército y la policía. No obstante, las funcionarias del Gobierno y la soci</w:t>
      </w:r>
      <w:r>
        <w:t>e</w:t>
      </w:r>
      <w:r>
        <w:t>dad civil están desplegando esfuerzos para sens</w:t>
      </w:r>
      <w:r>
        <w:t>i</w:t>
      </w:r>
      <w:r>
        <w:t>bilizar a las autoridades camerunesas a la necesidad de hacer frente a esos problemas. A ese respecto, los pl</w:t>
      </w:r>
      <w:r>
        <w:t>a</w:t>
      </w:r>
      <w:r>
        <w:t>nes para recopilar datos desglosas por sexos relativos a todos los niveles de actividad en todo el país aclararán ese asunto. La mayor parte de las mujeres que son cabeza de familia no han recibido la educación suficiente para tener un empleo. Muchas de ellas trabajan en el sector agropecuario o en el sector no estructurado. A su ju</w:t>
      </w:r>
      <w:r>
        <w:t>i</w:t>
      </w:r>
      <w:r>
        <w:t>cio, el Ministerio de Asuntos de la Mujer debe adoptar medidas para garantizar que el hombre contribuya ta</w:t>
      </w:r>
      <w:r>
        <w:t>m</w:t>
      </w:r>
      <w:r>
        <w:t>bién a la educación de los hijos que tenga fuera del m</w:t>
      </w:r>
      <w:r>
        <w:t>a</w:t>
      </w:r>
      <w:r>
        <w:t>trimonio. El Código de Trabajo contiene di</w:t>
      </w:r>
      <w:r>
        <w:t>s</w:t>
      </w:r>
      <w:r>
        <w:t>posiciones positivas contra la discriminación, las cuales protegen los derechos reproductivos de la mujer.</w:t>
      </w:r>
    </w:p>
    <w:p w:rsidR="00F464ED" w:rsidRDefault="00F464ED" w:rsidP="00F464ED">
      <w:pPr>
        <w:pStyle w:val="DualTxt"/>
      </w:pPr>
      <w:r>
        <w:t>17.</w:t>
      </w:r>
      <w:r>
        <w:tab/>
        <w:t>Por lo que se refiere a la salud de la mujer y los esfuerzos dirigidos a combatir la pandemia de VIH/SIDA, el Gobierno ha formulado una política se</w:t>
      </w:r>
      <w:r>
        <w:t>c</w:t>
      </w:r>
      <w:r>
        <w:t>torial al objeto de facilitar el acceso de las personas desfavorecidas a la atención primaria de la salud, bas</w:t>
      </w:r>
      <w:r>
        <w:t>a</w:t>
      </w:r>
      <w:r>
        <w:t>da en un sistema de distritos de salud administrados a nivel de comunidad. Existen también programas a</w:t>
      </w:r>
      <w:r>
        <w:t>m</w:t>
      </w:r>
      <w:r>
        <w:t>pliados de inmunización contra las enfermedades i</w:t>
      </w:r>
      <w:r>
        <w:t>n</w:t>
      </w:r>
      <w:r>
        <w:t>fecciosas. Con la ayuda de la Unión Europea y del pr</w:t>
      </w:r>
      <w:r>
        <w:t>o</w:t>
      </w:r>
      <w:r>
        <w:t>grama belga de asistencia técnica, se han creado org</w:t>
      </w:r>
      <w:r>
        <w:t>a</w:t>
      </w:r>
      <w:r>
        <w:t>nismos nacionales para poner a la disposición de los centros de salud medicamentos esenciales de calidad y a bajo costo. Los datos desglosados por sexos pondrán de manifiesto el acceso real de la mujer a esas medic</w:t>
      </w:r>
      <w:r>
        <w:t>i</w:t>
      </w:r>
      <w:r>
        <w:t>nas y los efectos de estas en su salud.</w:t>
      </w:r>
    </w:p>
    <w:p w:rsidR="00F464ED" w:rsidRDefault="00F464ED" w:rsidP="00F464ED">
      <w:pPr>
        <w:pStyle w:val="DualTxt"/>
      </w:pPr>
      <w:r>
        <w:t>18.</w:t>
      </w:r>
      <w:r>
        <w:tab/>
        <w:t>En cuanto al fomento de la salud de la mujer y el niño, su Ministerio prevé una asociación con organi</w:t>
      </w:r>
      <w:r>
        <w:t>s</w:t>
      </w:r>
      <w:r>
        <w:t>mos especializados de las Naciones Unidas, como la Organización Mundial de la Salud, el Programa de las Naciones Unidas sobre el VIH/SIDA y el Fondo de las Naciones Unidas para la Infancia en las esferas de la alimentación y la nutrición, higiene y la prevención de enfermedades como el VIH/SIDA. Con el fin de co</w:t>
      </w:r>
      <w:r>
        <w:t>m</w:t>
      </w:r>
      <w:r>
        <w:t>batir el VIH/SIDA, el Gobierno ha creado un comité que llevará a la práctica el programa nacional contra el SIDA, cuyo objetivo primordial es crear conciencia de la enfermedad entre los grupos de población más vu</w:t>
      </w:r>
      <w:r>
        <w:t>l</w:t>
      </w:r>
      <w:r>
        <w:t>nerables, así como entre los dirigentes tradicionales y las autoridades religiosas.</w:t>
      </w:r>
    </w:p>
    <w:p w:rsidR="00F464ED" w:rsidRDefault="00F464ED" w:rsidP="00F464ED">
      <w:pPr>
        <w:pStyle w:val="DualTxt"/>
      </w:pPr>
      <w:r>
        <w:t>19.</w:t>
      </w:r>
      <w:r>
        <w:tab/>
        <w:t>Los datos de las encuestas demográficas y de s</w:t>
      </w:r>
      <w:r>
        <w:t>a</w:t>
      </w:r>
      <w:r>
        <w:t>lud sobre los partos sin asistencia profesional serán complementados por información obtenida procedente de diversos estudios. La oradora no dispone de cifras fidedignas acerca de los abortos que tienen lugar en el Camerún. Ahora bien, dado que este asunto es de esp</w:t>
      </w:r>
      <w:r>
        <w:t>e</w:t>
      </w:r>
      <w:r>
        <w:t>cial interés para su Ministerio en su campaña encam</w:t>
      </w:r>
      <w:r>
        <w:t>i</w:t>
      </w:r>
      <w:r>
        <w:t>nada a mejorar la salud reproductiva, realizará estudios a fin de determinar la magnitud del problema.</w:t>
      </w:r>
    </w:p>
    <w:p w:rsidR="00F464ED" w:rsidRDefault="00F464ED" w:rsidP="00F464ED">
      <w:pPr>
        <w:pStyle w:val="DualTxt"/>
      </w:pPr>
      <w:r>
        <w:t>20.</w:t>
      </w:r>
      <w:r>
        <w:tab/>
        <w:t>En lo que respecta al agua potable, el Ministerio de Minas, Agua y Energía recibe ayuda, en sus activ</w:t>
      </w:r>
      <w:r>
        <w:t>i</w:t>
      </w:r>
      <w:r>
        <w:t>dades encaminadas a distribuir agua potable por todo el país, de varias organizaciones no gubernamentales e</w:t>
      </w:r>
      <w:r>
        <w:t>s</w:t>
      </w:r>
      <w:r>
        <w:t>pecializadas, así como de Italia y el Japón en el marco de cooperación bilateral. Como parte de sus esfuerzos por reducir el volumen de trabajo de la mujer y mejorar su salud, el Ministerio de Asuntos de la Mujer está tr</w:t>
      </w:r>
      <w:r>
        <w:t>a</w:t>
      </w:r>
      <w:r>
        <w:t>tando de fomentar el acceso de la mujer a agua pot</w:t>
      </w:r>
      <w:r>
        <w:t>a</w:t>
      </w:r>
      <w:r>
        <w:t>ble. Por último, subrayando el compromiso contraído por su Gobierno para el adelanto de la mujer camer</w:t>
      </w:r>
      <w:r>
        <w:t>u</w:t>
      </w:r>
      <w:r>
        <w:t>nesa, manifiesta que, si se beneficiara de la iniciativa para la reducción de la deuda de los países pobres muy ende</w:t>
      </w:r>
      <w:r>
        <w:t>u</w:t>
      </w:r>
      <w:r>
        <w:t>dados, se asignarían recursos considerables para acel</w:t>
      </w:r>
      <w:r>
        <w:t>e</w:t>
      </w:r>
      <w:r>
        <w:t>rar la ejecución de los proyectos y programas que están en marcha con ese fin.</w:t>
      </w:r>
    </w:p>
    <w:p w:rsidR="00F464ED" w:rsidRDefault="00F464ED" w:rsidP="00F464ED">
      <w:pPr>
        <w:pStyle w:val="DualTxt"/>
      </w:pPr>
      <w:r>
        <w:t>21.</w:t>
      </w:r>
      <w:r>
        <w:tab/>
      </w:r>
      <w:r>
        <w:rPr>
          <w:b/>
        </w:rPr>
        <w:t>La Sra. Ouedraogo</w:t>
      </w:r>
      <w:r>
        <w:t xml:space="preserve"> encomia la creación por pa</w:t>
      </w:r>
      <w:r>
        <w:t>r</w:t>
      </w:r>
      <w:r>
        <w:t>te del Camerún de un plan nacional de acción y la creación de varios puntos de coordinación en diversos departamentos ministeriales como avances positivos que favorecen el ejercicio de los derechos de la mujer. Igualmente encomiable es la participación de organiz</w:t>
      </w:r>
      <w:r>
        <w:t>a</w:t>
      </w:r>
      <w:r>
        <w:t>ciones no gubernamentales en la formulación y aplic</w:t>
      </w:r>
      <w:r>
        <w:t>a</w:t>
      </w:r>
      <w:r>
        <w:t>ción de políticas. No obstante, al Comité le sigue pr</w:t>
      </w:r>
      <w:r>
        <w:t>e</w:t>
      </w:r>
      <w:r>
        <w:t>ocupando la persistencia de prácticas tradicionales como la poligamia, el levirato y la mutilación genital. A este respecto, espera que la rápida adopción de un nuevo código de la familia contribuya a hacer frente a ese s</w:t>
      </w:r>
      <w:r>
        <w:t>e</w:t>
      </w:r>
      <w:r>
        <w:t>rio problema.</w:t>
      </w:r>
    </w:p>
    <w:p w:rsidR="00F464ED" w:rsidRDefault="00F464ED" w:rsidP="00F464ED">
      <w:pPr>
        <w:pStyle w:val="DualTxt"/>
      </w:pPr>
      <w:r>
        <w:t>22.</w:t>
      </w:r>
      <w:r>
        <w:tab/>
        <w:t>Los programas especiales para la mujer rural que el Gobierno tiene intención de poner en marcha apo</w:t>
      </w:r>
      <w:r>
        <w:t>r</w:t>
      </w:r>
      <w:r>
        <w:t>tando fondos especiales representan también medidas positivas, al igual que la asignación del presupuesto mayor al sector de educación, lo cual es la clave para lograr la igualdad de oportunidades. Insta al Gobierno a que acelere los proyectos ya en marcha y presente su segundo y tercer informes periódicos con el fin de p</w:t>
      </w:r>
      <w:r>
        <w:t>o</w:t>
      </w:r>
      <w:r>
        <w:t>nerse al día, dado que la presentación del informe in</w:t>
      </w:r>
      <w:r>
        <w:t>i</w:t>
      </w:r>
      <w:r>
        <w:t>cial se ha retrasado algo.</w:t>
      </w:r>
    </w:p>
    <w:p w:rsidR="00F464ED" w:rsidRDefault="00F464ED" w:rsidP="00F464ED">
      <w:pPr>
        <w:pStyle w:val="DualTxt"/>
      </w:pPr>
      <w:r>
        <w:t>23.</w:t>
      </w:r>
      <w:r>
        <w:tab/>
      </w:r>
      <w:r>
        <w:rPr>
          <w:b/>
        </w:rPr>
        <w:t>La Sra. Abaka</w:t>
      </w:r>
      <w:r>
        <w:t>, haciendo suyas las recomend</w:t>
      </w:r>
      <w:r>
        <w:t>a</w:t>
      </w:r>
      <w:r>
        <w:t>ciones y comentarios de la oradora que la precedió, e</w:t>
      </w:r>
      <w:r>
        <w:t>x</w:t>
      </w:r>
      <w:r>
        <w:t>presa la esperanza de que el presupuesto cuantioso asignado por el Gobierno camerunés a la educación permita no solo que se matriculen más niñas en la e</w:t>
      </w:r>
      <w:r>
        <w:t>s</w:t>
      </w:r>
      <w:r>
        <w:t>cuela sino también que continúen en ella por lo menos hasta que finalicen el ciclo de educación básica. Revi</w:t>
      </w:r>
      <w:r>
        <w:t>s</w:t>
      </w:r>
      <w:r>
        <w:t>te especial importancia llevar a cabo programas que i</w:t>
      </w:r>
      <w:r>
        <w:t>n</w:t>
      </w:r>
      <w:r>
        <w:t>duzcan a las niñas, especialmente en las zonas rurales y en los distritos urbanos pobres, a permanecer en la e</w:t>
      </w:r>
      <w:r>
        <w:t>s</w:t>
      </w:r>
      <w:r>
        <w:t>cuela. Es igualmente importante dar a conocer ampli</w:t>
      </w:r>
      <w:r>
        <w:t>a</w:t>
      </w:r>
      <w:r>
        <w:t>mente a la población, incluidos los hombres, los resu</w:t>
      </w:r>
      <w:r>
        <w:t>l</w:t>
      </w:r>
      <w:r>
        <w:t>tados del diálogo entre el Gobierno y el Comité, a fin de que los ciudadanos comiencen a reflexionar sobre posibles soluciones al problema de la discriminación contra la mujer. De este modo, cuando el Gobie</w:t>
      </w:r>
      <w:r>
        <w:t>r</w:t>
      </w:r>
      <w:r>
        <w:t>no prepare su próximo informe, los cameruneses sabrán cual ha sido el progreso realizado.</w:t>
      </w:r>
    </w:p>
    <w:p w:rsidR="00F464ED" w:rsidRDefault="00F464ED" w:rsidP="00F464ED">
      <w:pPr>
        <w:pStyle w:val="DualTxt"/>
        <w:rPr>
          <w:spacing w:val="2"/>
          <w:w w:val="101"/>
        </w:rPr>
      </w:pPr>
      <w:r>
        <w:t>24.</w:t>
      </w:r>
      <w:r>
        <w:tab/>
      </w:r>
      <w:r>
        <w:rPr>
          <w:b/>
        </w:rPr>
        <w:t>La Sra. Aouij</w:t>
      </w:r>
      <w:r>
        <w:t xml:space="preserve"> ve con satisfacción el compromiso político contraído por el Gobierno de fomentar el ad</w:t>
      </w:r>
      <w:r>
        <w:t>e</w:t>
      </w:r>
      <w:r>
        <w:t>lanto de la mujer. Aunque la ley por sí sola no es suf</w:t>
      </w:r>
      <w:r>
        <w:t>i</w:t>
      </w:r>
      <w:r>
        <w:t>ciente para eliminar la discriminación, sí es la base j</w:t>
      </w:r>
      <w:r>
        <w:t>u</w:t>
      </w:r>
      <w:r>
        <w:t>rídica indispensable para poner en juego las energías de la población y hace de catalizador para la totalidad de la sociedad. Es más, la ley es capaz de producir cambios en las actitudes, incluidas las que se tienen con respecto a la educación. Por lo tanto, si hubiera l</w:t>
      </w:r>
      <w:r>
        <w:t>e</w:t>
      </w:r>
      <w:r>
        <w:t>yes de cumplimiento obligatorio que exigieran a las n</w:t>
      </w:r>
      <w:r>
        <w:t>i</w:t>
      </w:r>
      <w:r>
        <w:t>ñas permanecer en la escuela hasta una cierta edad, y castigara a los padres que sacaran a sus hijos de la e</w:t>
      </w:r>
      <w:r>
        <w:t>s</w:t>
      </w:r>
      <w:r>
        <w:t>cuela antes de cumplir esa edad, aumentaría la matríc</w:t>
      </w:r>
      <w:r>
        <w:t>u</w:t>
      </w:r>
      <w:r>
        <w:t>la escolar al mismo que descendería la tasa de dese</w:t>
      </w:r>
      <w:r>
        <w:t>r</w:t>
      </w:r>
      <w:r>
        <w:t>ción. Esa medida positiva haría a los padres respons</w:t>
      </w:r>
      <w:r>
        <w:t>a</w:t>
      </w:r>
      <w:r>
        <w:t>bles ante el Gobierno por sus actos. En su país se ha adoptado ese tipo de leyes. La educación es un paso fundamental para la emancipación de la mujer. Espera que en el próximo informe periódico el Camerún pr</w:t>
      </w:r>
      <w:r>
        <w:t>e</w:t>
      </w:r>
      <w:r>
        <w:t xml:space="preserve">sente </w:t>
      </w:r>
      <w:r>
        <w:rPr>
          <w:spacing w:val="2"/>
          <w:w w:val="101"/>
        </w:rPr>
        <w:t>nueva información acerca de la puesta en práctica de los diversos proyectos que actualmente se están elab</w:t>
      </w:r>
      <w:r>
        <w:rPr>
          <w:spacing w:val="2"/>
          <w:w w:val="101"/>
        </w:rPr>
        <w:t>o</w:t>
      </w:r>
      <w:r>
        <w:rPr>
          <w:spacing w:val="2"/>
          <w:w w:val="101"/>
        </w:rPr>
        <w:t>rando.</w:t>
      </w:r>
    </w:p>
    <w:p w:rsidR="00F464ED" w:rsidRDefault="00F464ED" w:rsidP="00F464ED">
      <w:pPr>
        <w:pStyle w:val="DualTxt"/>
      </w:pPr>
      <w:r>
        <w:t>25.</w:t>
      </w:r>
      <w:r>
        <w:tab/>
      </w:r>
      <w:r>
        <w:rPr>
          <w:b/>
        </w:rPr>
        <w:t>La Presidenta del Comité</w:t>
      </w:r>
      <w:r>
        <w:t xml:space="preserve"> secunda las inquiet</w:t>
      </w:r>
      <w:r>
        <w:t>u</w:t>
      </w:r>
      <w:r>
        <w:t>des y sugerencias expresadas por los miembros del Comité y acoge con satisfacción las diversas manife</w:t>
      </w:r>
      <w:r>
        <w:t>s</w:t>
      </w:r>
      <w:r>
        <w:t>taciones de voluntad política del Camerún de cumplir con la Convención. Esa voluntad política se pone de manifiesto en la participación y cooperación de las o</w:t>
      </w:r>
      <w:r>
        <w:t>r</w:t>
      </w:r>
      <w:r>
        <w:t>ganizaciones no gubernamentales y otros agentes de la sociedad civil en los esfuerzos políticos que despliega el país. Eso no solamente favorecerá la puesta en prá</w:t>
      </w:r>
      <w:r>
        <w:t>c</w:t>
      </w:r>
      <w:r>
        <w:t>tica de la Convención, sino también prestará apoyo p</w:t>
      </w:r>
      <w:r>
        <w:t>a</w:t>
      </w:r>
      <w:r>
        <w:t>ra reforzar las políticas que tienen por objeto el adela</w:t>
      </w:r>
      <w:r>
        <w:t>n</w:t>
      </w:r>
      <w:r>
        <w:t>to de la mujer. Se muestra complacida por la creación por parte del Gobierno de un mecanismo institucional vigoroso en forma de un Ministerio de Asuntos de la Mujer, y por las medidas adoptadas para integrar un enfoque de género en todos sus programas y polít</w:t>
      </w:r>
      <w:r>
        <w:t>i</w:t>
      </w:r>
      <w:r>
        <w:t>cas. Por último, espera que el resultado del examen realiz</w:t>
      </w:r>
      <w:r>
        <w:t>a</w:t>
      </w:r>
      <w:r>
        <w:t>do por el Comité se dé a conocer a todas las se</w:t>
      </w:r>
      <w:r>
        <w:t>c</w:t>
      </w:r>
      <w:r>
        <w:t>ciones del Gobierno así como a la sociedad civil y a las org</w:t>
      </w:r>
      <w:r>
        <w:t>a</w:t>
      </w:r>
      <w:r>
        <w:t>nizaciones no gubernamentales.</w:t>
      </w:r>
    </w:p>
    <w:p w:rsidR="00F464ED" w:rsidRDefault="00F464ED" w:rsidP="00F464ED">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11.45 horas.</w:t>
      </w:r>
    </w:p>
    <w:p w:rsidR="00F464ED" w:rsidRPr="00F464ED" w:rsidRDefault="00F464ED" w:rsidP="00F464ED">
      <w:pPr>
        <w:pStyle w:val="DualTxt"/>
      </w:pPr>
    </w:p>
    <w:sectPr w:rsidR="00F464ED" w:rsidRPr="00F464ED">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11T17:05:00Z" w:initials="Start">
    <w:p w:rsidR="00781999" w:rsidRPr="00F464ED" w:rsidRDefault="00781999">
      <w:pPr>
        <w:pStyle w:val="CommentText"/>
        <w:rPr>
          <w:lang w:val="en-US"/>
        </w:rPr>
      </w:pPr>
      <w:r>
        <w:fldChar w:fldCharType="begin"/>
      </w:r>
      <w:r w:rsidRPr="00F464ED">
        <w:rPr>
          <w:rStyle w:val="CommentReference"/>
          <w:lang w:val="en-US"/>
        </w:rPr>
        <w:instrText xml:space="preserve"> </w:instrText>
      </w:r>
      <w:r w:rsidRPr="00F464ED">
        <w:rPr>
          <w:lang w:val="en-US"/>
        </w:rPr>
        <w:instrText>PAGE \# "'Page: '#'</w:instrText>
      </w:r>
      <w:r w:rsidRPr="00F464ED">
        <w:rPr>
          <w:lang w:val="en-US"/>
        </w:rPr>
        <w:br/>
        <w:instrText>'"</w:instrText>
      </w:r>
      <w:r w:rsidRPr="00F464ED">
        <w:rPr>
          <w:rStyle w:val="CommentReference"/>
          <w:lang w:val="en-US"/>
        </w:rPr>
        <w:instrText xml:space="preserve"> </w:instrText>
      </w:r>
      <w:r>
        <w:fldChar w:fldCharType="end"/>
      </w:r>
      <w:r>
        <w:rPr>
          <w:rStyle w:val="CommentReference"/>
        </w:rPr>
        <w:annotationRef/>
      </w:r>
      <w:r w:rsidRPr="00F464ED">
        <w:rPr>
          <w:lang w:val="en-US"/>
        </w:rPr>
        <w:t>&lt;&lt;ODS JOB NO&gt;&gt;N0050143S&lt;&lt;ODS JOB NO&gt;&gt;</w:t>
      </w:r>
    </w:p>
    <w:p w:rsidR="00781999" w:rsidRPr="00F464ED" w:rsidRDefault="00781999">
      <w:pPr>
        <w:pStyle w:val="CommentText"/>
        <w:rPr>
          <w:lang w:val="en-US"/>
        </w:rPr>
      </w:pPr>
      <w:r w:rsidRPr="00F464ED">
        <w:rPr>
          <w:lang w:val="en-US"/>
        </w:rPr>
        <w:t>&lt;&lt;ODS DOC SYMBOL1&gt;&gt;CEDAW/C/SR.483&lt;&lt;ODS DOC SYMBOL1&gt;&gt;</w:t>
      </w:r>
    </w:p>
    <w:p w:rsidR="00781999" w:rsidRPr="00F464ED" w:rsidRDefault="00781999">
      <w:pPr>
        <w:pStyle w:val="CommentText"/>
        <w:rPr>
          <w:lang w:val="en-US"/>
        </w:rPr>
      </w:pPr>
      <w:r w:rsidRPr="00F464E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6AD9" w:rsidRDefault="00406AD9">
      <w:r>
        <w:separator/>
      </w:r>
    </w:p>
  </w:endnote>
  <w:endnote w:type="continuationSeparator" w:id="0">
    <w:p w:rsidR="00406AD9" w:rsidRDefault="00406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1999">
      <w:tblPrEx>
        <w:tblCellMar>
          <w:top w:w="0" w:type="dxa"/>
          <w:bottom w:w="0" w:type="dxa"/>
        </w:tblCellMar>
      </w:tblPrEx>
      <w:tc>
        <w:tcPr>
          <w:tcW w:w="5033" w:type="dxa"/>
          <w:shd w:val="clear" w:color="auto" w:fill="auto"/>
        </w:tcPr>
        <w:p w:rsidR="00781999" w:rsidRPr="00300C25" w:rsidRDefault="00781999" w:rsidP="00300C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00-50143</w:t>
          </w:r>
          <w:r>
            <w:rPr>
              <w:b w:val="0"/>
              <w:w w:val="103"/>
              <w:sz w:val="14"/>
            </w:rPr>
            <w:fldChar w:fldCharType="end"/>
          </w:r>
        </w:p>
      </w:tc>
      <w:tc>
        <w:tcPr>
          <w:tcW w:w="5033" w:type="dxa"/>
          <w:shd w:val="clear" w:color="auto" w:fill="auto"/>
        </w:tcPr>
        <w:p w:rsidR="00781999" w:rsidRPr="00300C25" w:rsidRDefault="00781999" w:rsidP="00300C25">
          <w:pPr>
            <w:pStyle w:val="Footer"/>
            <w:rPr>
              <w:w w:val="103"/>
            </w:rPr>
          </w:pPr>
          <w:r>
            <w:rPr>
              <w:w w:val="103"/>
            </w:rPr>
            <w:fldChar w:fldCharType="begin"/>
          </w:r>
          <w:r>
            <w:rPr>
              <w:w w:val="103"/>
            </w:rPr>
            <w:instrText xml:space="preserve"> PAGE  \* MERGEFORMAT </w:instrText>
          </w:r>
          <w:r>
            <w:rPr>
              <w:w w:val="103"/>
            </w:rPr>
            <w:fldChar w:fldCharType="separate"/>
          </w:r>
          <w:r w:rsidR="00F6258E">
            <w:rPr>
              <w:w w:val="103"/>
            </w:rPr>
            <w:t>4</w:t>
          </w:r>
          <w:r>
            <w:rPr>
              <w:w w:val="103"/>
            </w:rPr>
            <w:fldChar w:fldCharType="end"/>
          </w:r>
        </w:p>
      </w:tc>
    </w:tr>
  </w:tbl>
  <w:p w:rsidR="00781999" w:rsidRPr="00300C25" w:rsidRDefault="00781999" w:rsidP="00300C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81999">
      <w:tblPrEx>
        <w:tblCellMar>
          <w:top w:w="0" w:type="dxa"/>
          <w:bottom w:w="0" w:type="dxa"/>
        </w:tblCellMar>
      </w:tblPrEx>
      <w:tc>
        <w:tcPr>
          <w:tcW w:w="5033" w:type="dxa"/>
          <w:shd w:val="clear" w:color="auto" w:fill="auto"/>
        </w:tcPr>
        <w:p w:rsidR="00781999" w:rsidRPr="00300C25" w:rsidRDefault="00781999" w:rsidP="00300C25">
          <w:pPr>
            <w:pStyle w:val="Footer"/>
            <w:jc w:val="right"/>
            <w:rPr>
              <w:w w:val="103"/>
            </w:rPr>
          </w:pPr>
          <w:r>
            <w:rPr>
              <w:w w:val="103"/>
            </w:rPr>
            <w:fldChar w:fldCharType="begin"/>
          </w:r>
          <w:r>
            <w:rPr>
              <w:w w:val="103"/>
            </w:rPr>
            <w:instrText xml:space="preserve"> PAGE  \* MERGEFORMAT </w:instrText>
          </w:r>
          <w:r>
            <w:rPr>
              <w:w w:val="103"/>
            </w:rPr>
            <w:fldChar w:fldCharType="separate"/>
          </w:r>
          <w:r w:rsidR="00F6258E">
            <w:rPr>
              <w:w w:val="103"/>
            </w:rPr>
            <w:t>3</w:t>
          </w:r>
          <w:r>
            <w:rPr>
              <w:w w:val="103"/>
            </w:rPr>
            <w:fldChar w:fldCharType="end"/>
          </w:r>
        </w:p>
      </w:tc>
      <w:tc>
        <w:tcPr>
          <w:tcW w:w="5033" w:type="dxa"/>
          <w:shd w:val="clear" w:color="auto" w:fill="auto"/>
        </w:tcPr>
        <w:p w:rsidR="00781999" w:rsidRPr="00300C25" w:rsidRDefault="00781999" w:rsidP="00300C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00-50143</w:t>
          </w:r>
          <w:r>
            <w:rPr>
              <w:b w:val="0"/>
              <w:w w:val="103"/>
              <w:sz w:val="14"/>
            </w:rPr>
            <w:fldChar w:fldCharType="end"/>
          </w:r>
        </w:p>
      </w:tc>
    </w:tr>
  </w:tbl>
  <w:p w:rsidR="00781999" w:rsidRPr="00300C25" w:rsidRDefault="00781999" w:rsidP="00300C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1999" w:rsidRDefault="00781999" w:rsidP="00300C25">
    <w:pPr>
      <w:pStyle w:val="Footer"/>
      <w:pBdr>
        <w:top w:val="single" w:sz="2" w:space="1" w:color="auto"/>
      </w:pBdr>
      <w:rPr>
        <w:sz w:val="2"/>
      </w:rPr>
    </w:pPr>
  </w:p>
  <w:p w:rsidR="00781999" w:rsidRDefault="00781999" w:rsidP="00300C2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81999" w:rsidRDefault="00781999" w:rsidP="00300C25">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81999" w:rsidRDefault="00781999" w:rsidP="00300C25">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81999" w:rsidRPr="00300C25" w:rsidRDefault="00781999" w:rsidP="00300C25">
    <w:pPr>
      <w:pStyle w:val="FootnoteText"/>
      <w:spacing w:line="120" w:lineRule="exact"/>
      <w:ind w:left="1267" w:right="1267" w:firstLine="0"/>
      <w:rPr>
        <w:sz w:val="10"/>
      </w:rPr>
    </w:pPr>
  </w:p>
  <w:p w:rsidR="00781999" w:rsidRDefault="00781999" w:rsidP="00300C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00-50143 (S)</w:t>
    </w:r>
    <w:r>
      <w:rPr>
        <w:b w:val="0"/>
        <w:sz w:val="20"/>
      </w:rPr>
      <w:fldChar w:fldCharType="end"/>
    </w:r>
  </w:p>
  <w:p w:rsidR="00781999" w:rsidRPr="00300C25" w:rsidRDefault="00781999" w:rsidP="00300C2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*0050143*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6AD9" w:rsidRDefault="00406AD9">
      <w:r>
        <w:separator/>
      </w:r>
    </w:p>
  </w:footnote>
  <w:footnote w:type="continuationSeparator" w:id="0">
    <w:p w:rsidR="00406AD9" w:rsidRDefault="00406A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81999">
      <w:tblPrEx>
        <w:tblCellMar>
          <w:top w:w="0" w:type="dxa"/>
          <w:bottom w:w="0" w:type="dxa"/>
        </w:tblCellMar>
      </w:tblPrEx>
      <w:trPr>
        <w:trHeight w:hRule="exact" w:val="864"/>
      </w:trPr>
      <w:tc>
        <w:tcPr>
          <w:tcW w:w="4838" w:type="dxa"/>
          <w:shd w:val="clear" w:color="auto" w:fill="auto"/>
          <w:vAlign w:val="bottom"/>
        </w:tcPr>
        <w:p w:rsidR="00781999" w:rsidRPr="00300C25" w:rsidRDefault="00781999" w:rsidP="00300C25">
          <w:pPr>
            <w:pStyle w:val="Header"/>
            <w:spacing w:after="80"/>
            <w:rPr>
              <w:b/>
            </w:rPr>
          </w:pPr>
          <w:r>
            <w:rPr>
              <w:b/>
            </w:rPr>
            <w:fldChar w:fldCharType="begin"/>
          </w:r>
          <w:r>
            <w:rPr>
              <w:b/>
            </w:rPr>
            <w:instrText xml:space="preserve"> DOCVARIABLE "sss1" \* MERGEFORMAT </w:instrText>
          </w:r>
          <w:r>
            <w:rPr>
              <w:b/>
            </w:rPr>
            <w:fldChar w:fldCharType="separate"/>
          </w:r>
          <w:r>
            <w:rPr>
              <w:b/>
            </w:rPr>
            <w:t>CEDAW/C/SR.483</w:t>
          </w:r>
          <w:r>
            <w:rPr>
              <w:b/>
            </w:rPr>
            <w:fldChar w:fldCharType="end"/>
          </w:r>
        </w:p>
      </w:tc>
      <w:tc>
        <w:tcPr>
          <w:tcW w:w="5033" w:type="dxa"/>
          <w:shd w:val="clear" w:color="auto" w:fill="auto"/>
          <w:vAlign w:val="bottom"/>
        </w:tcPr>
        <w:p w:rsidR="00781999" w:rsidRDefault="00781999" w:rsidP="00300C25">
          <w:pPr>
            <w:pStyle w:val="Header"/>
          </w:pPr>
        </w:p>
      </w:tc>
    </w:tr>
  </w:tbl>
  <w:p w:rsidR="00781999" w:rsidRPr="00300C25" w:rsidRDefault="00781999" w:rsidP="00300C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81999">
      <w:tblPrEx>
        <w:tblCellMar>
          <w:top w:w="0" w:type="dxa"/>
          <w:bottom w:w="0" w:type="dxa"/>
        </w:tblCellMar>
      </w:tblPrEx>
      <w:trPr>
        <w:trHeight w:hRule="exact" w:val="864"/>
      </w:trPr>
      <w:tc>
        <w:tcPr>
          <w:tcW w:w="4838" w:type="dxa"/>
          <w:shd w:val="clear" w:color="auto" w:fill="auto"/>
          <w:vAlign w:val="bottom"/>
        </w:tcPr>
        <w:p w:rsidR="00781999" w:rsidRDefault="00781999" w:rsidP="00300C25">
          <w:pPr>
            <w:pStyle w:val="Header"/>
          </w:pPr>
        </w:p>
      </w:tc>
      <w:tc>
        <w:tcPr>
          <w:tcW w:w="5033" w:type="dxa"/>
          <w:shd w:val="clear" w:color="auto" w:fill="auto"/>
          <w:vAlign w:val="bottom"/>
        </w:tcPr>
        <w:p w:rsidR="00781999" w:rsidRPr="00300C25" w:rsidRDefault="00781999" w:rsidP="00300C2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CEDAW/C/SR.483</w:t>
          </w:r>
          <w:r>
            <w:rPr>
              <w:b/>
            </w:rPr>
            <w:fldChar w:fldCharType="end"/>
          </w:r>
        </w:p>
      </w:tc>
    </w:tr>
  </w:tbl>
  <w:p w:rsidR="00781999" w:rsidRPr="00300C25" w:rsidRDefault="00781999" w:rsidP="00300C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8199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81999" w:rsidRDefault="00781999" w:rsidP="00300C25">
          <w:pPr>
            <w:pStyle w:val="Header"/>
            <w:spacing w:after="120"/>
          </w:pPr>
        </w:p>
      </w:tc>
      <w:tc>
        <w:tcPr>
          <w:tcW w:w="2059" w:type="dxa"/>
          <w:tcBorders>
            <w:bottom w:val="single" w:sz="4" w:space="0" w:color="auto"/>
          </w:tcBorders>
          <w:shd w:val="clear" w:color="auto" w:fill="auto"/>
          <w:vAlign w:val="bottom"/>
        </w:tcPr>
        <w:p w:rsidR="00781999" w:rsidRPr="00300C25" w:rsidRDefault="00781999" w:rsidP="00300C2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81999" w:rsidRDefault="00781999" w:rsidP="00300C25">
          <w:pPr>
            <w:pStyle w:val="Header"/>
            <w:spacing w:after="120"/>
          </w:pPr>
        </w:p>
      </w:tc>
      <w:tc>
        <w:tcPr>
          <w:tcW w:w="6523" w:type="dxa"/>
          <w:gridSpan w:val="3"/>
          <w:tcBorders>
            <w:bottom w:val="single" w:sz="4" w:space="0" w:color="auto"/>
          </w:tcBorders>
          <w:shd w:val="clear" w:color="auto" w:fill="auto"/>
          <w:vAlign w:val="bottom"/>
        </w:tcPr>
        <w:p w:rsidR="00781999" w:rsidRPr="00300C25" w:rsidRDefault="00781999" w:rsidP="00300C25">
          <w:pPr>
            <w:spacing w:after="80" w:line="240" w:lineRule="auto"/>
            <w:jc w:val="right"/>
            <w:rPr>
              <w:position w:val="-4"/>
            </w:rPr>
          </w:pPr>
          <w:r>
            <w:rPr>
              <w:position w:val="-4"/>
              <w:sz w:val="40"/>
            </w:rPr>
            <w:t>CEDAW</w:t>
          </w:r>
          <w:r>
            <w:rPr>
              <w:position w:val="-4"/>
            </w:rPr>
            <w:t>/C/SR.483</w:t>
          </w:r>
        </w:p>
      </w:tc>
    </w:tr>
    <w:tr w:rsidR="00781999" w:rsidRPr="00300C2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81999" w:rsidRDefault="00781999" w:rsidP="00300C2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81999" w:rsidRPr="00300C25" w:rsidRDefault="00781999" w:rsidP="00300C25">
          <w:pPr>
            <w:pStyle w:val="Header"/>
            <w:spacing w:before="109"/>
          </w:pPr>
        </w:p>
      </w:tc>
      <w:tc>
        <w:tcPr>
          <w:tcW w:w="5227" w:type="dxa"/>
          <w:gridSpan w:val="3"/>
          <w:tcBorders>
            <w:top w:val="single" w:sz="4" w:space="0" w:color="auto"/>
            <w:bottom w:val="single" w:sz="12" w:space="0" w:color="auto"/>
          </w:tcBorders>
          <w:shd w:val="clear" w:color="auto" w:fill="auto"/>
        </w:tcPr>
        <w:p w:rsidR="00781999" w:rsidRPr="00300C25" w:rsidRDefault="00781999" w:rsidP="00300C25">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81999" w:rsidRPr="00F464ED" w:rsidRDefault="00781999" w:rsidP="00300C2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81999" w:rsidRDefault="00781999" w:rsidP="00300C25">
          <w:pPr>
            <w:spacing w:before="240"/>
          </w:pPr>
          <w:r>
            <w:t>Distr. general</w:t>
          </w:r>
        </w:p>
        <w:p w:rsidR="00781999" w:rsidRDefault="00781999" w:rsidP="00300C25">
          <w:r>
            <w:t>14 de agosto de 2006</w:t>
          </w:r>
        </w:p>
        <w:p w:rsidR="00781999" w:rsidRDefault="00781999" w:rsidP="00300C25">
          <w:r>
            <w:t>Español</w:t>
          </w:r>
        </w:p>
        <w:p w:rsidR="00781999" w:rsidRPr="00300C25" w:rsidRDefault="00781999" w:rsidP="00300C25">
          <w:r>
            <w:t>Original: inglés</w:t>
          </w:r>
        </w:p>
      </w:tc>
    </w:tr>
  </w:tbl>
  <w:p w:rsidR="00781999" w:rsidRPr="00300C25" w:rsidRDefault="00781999" w:rsidP="00300C2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50143*"/>
    <w:docVar w:name="CreationDt" w:val="11/08/2006 17:05:47"/>
    <w:docVar w:name="DocCategory" w:val="SROthers"/>
    <w:docVar w:name="DocType" w:val="Final"/>
    <w:docVar w:name="FooterJN" w:val="00-50143"/>
    <w:docVar w:name="jobn" w:val="00-50143 (S)"/>
    <w:docVar w:name="jobnDT" w:val="00-50143 (S)   110806"/>
    <w:docVar w:name="jobnDTDT" w:val="00-50143 (S)   110806   110806"/>
    <w:docVar w:name="JobNo" w:val="0050143S"/>
    <w:docVar w:name="OandT" w:val=" "/>
    <w:docVar w:name="sss1" w:val="CEDAW/C/SR.483"/>
    <w:docVar w:name="sss2" w:val="-"/>
    <w:docVar w:name="Symbol1" w:val="CEDAW/C/SR.483"/>
    <w:docVar w:name="Symbol2" w:val="-"/>
  </w:docVars>
  <w:rsids>
    <w:rsidRoot w:val="0085358C"/>
    <w:rsid w:val="000A58E1"/>
    <w:rsid w:val="00300C25"/>
    <w:rsid w:val="00406AD9"/>
    <w:rsid w:val="006F6245"/>
    <w:rsid w:val="00781999"/>
    <w:rsid w:val="0085358C"/>
    <w:rsid w:val="009602A6"/>
    <w:rsid w:val="00AE562F"/>
    <w:rsid w:val="00B26C0A"/>
    <w:rsid w:val="00CD3D68"/>
    <w:rsid w:val="00CE1781"/>
    <w:rsid w:val="00DC74CA"/>
    <w:rsid w:val="00E25AC0"/>
    <w:rsid w:val="00EB4F02"/>
    <w:rsid w:val="00F162AD"/>
    <w:rsid w:val="00F464ED"/>
    <w:rsid w:val="00F6258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300C25"/>
  </w:style>
  <w:style w:type="paragraph" w:styleId="CommentSubject">
    <w:name w:val="annotation subject"/>
    <w:basedOn w:val="CommentText"/>
    <w:next w:val="CommentText"/>
    <w:semiHidden/>
    <w:rsid w:val="00300C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3462</Words>
  <Characters>17798</Characters>
  <Application>Microsoft Office Word</Application>
  <DocSecurity>4</DocSecurity>
  <Lines>444</Lines>
  <Paragraphs>44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21216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Ramírez, Marcela</dc:creator>
  <cp:keywords/>
  <dc:description/>
  <cp:lastModifiedBy>Ramírez, Marcela</cp:lastModifiedBy>
  <cp:revision>8</cp:revision>
  <cp:lastPrinted>2006-08-11T16:11:00Z</cp:lastPrinted>
  <dcterms:created xsi:type="dcterms:W3CDTF">2006-08-11T15:42:00Z</dcterms:created>
  <dcterms:modified xsi:type="dcterms:W3CDTF">2006-08-11T16:23:00Z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0050143</vt:lpwstr>
  </property>
  <property fmtid="{D5CDD505-2E9C-101B-9397-08002B2CF9AE}" pid="3" name="Symbol1">
    <vt:lpwstr>CEDAW/C/SR.483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6</vt:lpwstr>
  </property>
  <property fmtid="{D5CDD505-2E9C-101B-9397-08002B2CF9AE}" pid="8" name="Operator">
    <vt:lpwstr>mar</vt:lpwstr>
  </property>
</Properties>
</file>