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8633F4">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8633F4" w:rsidP="008633F4">
            <w:pPr>
              <w:jc w:val="right"/>
            </w:pPr>
            <w:r w:rsidRPr="008633F4">
              <w:rPr>
                <w:sz w:val="40"/>
              </w:rPr>
              <w:t>CCPR</w:t>
            </w:r>
            <w:r>
              <w:t>/C/125/2/Add.4</w:t>
            </w:r>
          </w:p>
        </w:tc>
      </w:tr>
      <w:tr w:rsidR="002D5AAC" w:rsidRPr="008633F4"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8633F4" w:rsidRDefault="008633F4" w:rsidP="00BC3629">
            <w:pPr>
              <w:spacing w:before="240"/>
              <w:rPr>
                <w:lang w:val="en-US"/>
              </w:rPr>
            </w:pPr>
            <w:r w:rsidRPr="008633F4">
              <w:rPr>
                <w:lang w:val="en-US"/>
              </w:rPr>
              <w:t>Distr.: General</w:t>
            </w:r>
          </w:p>
          <w:p w:rsidR="008633F4" w:rsidRPr="008633F4" w:rsidRDefault="008633F4" w:rsidP="008633F4">
            <w:pPr>
              <w:spacing w:line="240" w:lineRule="exact"/>
              <w:rPr>
                <w:lang w:val="en-US"/>
              </w:rPr>
            </w:pPr>
            <w:r w:rsidRPr="008633F4">
              <w:rPr>
                <w:lang w:val="en-US"/>
              </w:rPr>
              <w:t>7 May 2019</w:t>
            </w:r>
          </w:p>
          <w:p w:rsidR="008633F4" w:rsidRPr="008633F4" w:rsidRDefault="008633F4" w:rsidP="008633F4">
            <w:pPr>
              <w:spacing w:line="240" w:lineRule="exact"/>
              <w:rPr>
                <w:lang w:val="en-US"/>
              </w:rPr>
            </w:pPr>
            <w:r w:rsidRPr="008633F4">
              <w:rPr>
                <w:lang w:val="en-US"/>
              </w:rPr>
              <w:t>Russian</w:t>
            </w:r>
          </w:p>
          <w:p w:rsidR="008633F4" w:rsidRPr="008633F4" w:rsidRDefault="008633F4" w:rsidP="008633F4">
            <w:pPr>
              <w:spacing w:line="240" w:lineRule="exact"/>
              <w:rPr>
                <w:lang w:val="en-US"/>
              </w:rPr>
            </w:pPr>
            <w:r w:rsidRPr="008633F4">
              <w:rPr>
                <w:lang w:val="en-US"/>
              </w:rPr>
              <w:t>Original: English</w:t>
            </w:r>
          </w:p>
        </w:tc>
      </w:tr>
    </w:tbl>
    <w:p w:rsidR="008633F4" w:rsidRPr="008633F4" w:rsidRDefault="008633F4" w:rsidP="008633F4">
      <w:pPr>
        <w:spacing w:before="120"/>
      </w:pPr>
      <w:r w:rsidRPr="00447723">
        <w:rPr>
          <w:b/>
          <w:bCs/>
          <w:sz w:val="24"/>
          <w:szCs w:val="24"/>
        </w:rPr>
        <w:t>Комитет по правам человека</w:t>
      </w:r>
    </w:p>
    <w:p w:rsidR="008633F4" w:rsidRPr="00447723" w:rsidRDefault="008633F4" w:rsidP="008633F4">
      <w:pPr>
        <w:pStyle w:val="HChG"/>
      </w:pPr>
      <w:r>
        <w:rPr>
          <w:bCs/>
        </w:rPr>
        <w:tab/>
      </w:r>
      <w:r>
        <w:rPr>
          <w:bCs/>
        </w:rPr>
        <w:tab/>
      </w:r>
      <w:r>
        <w:rPr>
          <w:bCs/>
        </w:rPr>
        <w:t>Доклад о пос</w:t>
      </w:r>
      <w:r>
        <w:rPr>
          <w:bCs/>
        </w:rPr>
        <w:t>ледующей деятельности в связи с </w:t>
      </w:r>
      <w:r>
        <w:rPr>
          <w:bCs/>
        </w:rPr>
        <w:t>заключительными замечаниями Комитета</w:t>
      </w:r>
      <w:r w:rsidRPr="00D1083F">
        <w:rPr>
          <w:b w:val="0"/>
          <w:bCs/>
          <w:sz w:val="20"/>
          <w:szCs w:val="14"/>
        </w:rPr>
        <w:footnoteReference w:customMarkFollows="1" w:id="1"/>
        <w:t>*</w:t>
      </w:r>
      <w:bookmarkStart w:id="0" w:name="_Toc506807534"/>
      <w:bookmarkEnd w:id="0"/>
    </w:p>
    <w:p w:rsidR="008633F4" w:rsidRPr="00447723" w:rsidRDefault="008633F4" w:rsidP="008633F4">
      <w:pPr>
        <w:pStyle w:val="H23G"/>
      </w:pPr>
      <w:r>
        <w:tab/>
      </w:r>
      <w:r>
        <w:tab/>
      </w:r>
      <w:r>
        <w:rPr>
          <w:bCs/>
        </w:rPr>
        <w:t>Добавление</w:t>
      </w:r>
    </w:p>
    <w:p w:rsidR="008633F4" w:rsidRPr="00447723" w:rsidRDefault="008633F4" w:rsidP="008633F4">
      <w:pPr>
        <w:pStyle w:val="H1G"/>
      </w:pPr>
      <w:r>
        <w:tab/>
      </w:r>
      <w:r>
        <w:tab/>
      </w:r>
      <w:r>
        <w:rPr>
          <w:bCs/>
        </w:rPr>
        <w:t>Оценка информации о пос</w:t>
      </w:r>
      <w:r>
        <w:rPr>
          <w:bCs/>
        </w:rPr>
        <w:t>ледующей деятельности в связи с </w:t>
      </w:r>
      <w:r>
        <w:rPr>
          <w:bCs/>
        </w:rPr>
        <w:t>заключительными замечаниями по Дании</w:t>
      </w:r>
      <w:r w:rsidRPr="00D1083F">
        <w:rPr>
          <w:b w:val="0"/>
          <w:bCs/>
          <w:sz w:val="20"/>
          <w:szCs w:val="16"/>
        </w:rPr>
        <w:footnoteReference w:customMarkFollows="1" w:id="2"/>
        <w:t>**</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8633F4" w:rsidRPr="008633F4" w:rsidTr="008633F4">
        <w:trPr>
          <w:trHeight w:hRule="exact" w:val="113"/>
        </w:trPr>
        <w:tc>
          <w:tcPr>
            <w:tcW w:w="3685" w:type="dxa"/>
            <w:shd w:val="clear" w:color="auto" w:fill="auto"/>
          </w:tcPr>
          <w:p w:rsidR="008633F4" w:rsidRPr="008633F4" w:rsidRDefault="008633F4" w:rsidP="008633F4">
            <w:pPr>
              <w:spacing w:before="40" w:after="120"/>
              <w:ind w:right="113"/>
              <w:rPr>
                <w:rFonts w:cs="Times New Roman"/>
              </w:rPr>
            </w:pPr>
          </w:p>
        </w:tc>
        <w:tc>
          <w:tcPr>
            <w:tcW w:w="3685" w:type="dxa"/>
            <w:shd w:val="clear" w:color="auto" w:fill="auto"/>
          </w:tcPr>
          <w:p w:rsidR="008633F4" w:rsidRPr="008633F4" w:rsidRDefault="008633F4" w:rsidP="008633F4">
            <w:pPr>
              <w:spacing w:before="40" w:after="120"/>
              <w:ind w:right="113"/>
              <w:rPr>
                <w:rFonts w:cs="Times New Roman"/>
              </w:rPr>
            </w:pPr>
          </w:p>
        </w:tc>
      </w:tr>
      <w:tr w:rsidR="008633F4" w:rsidRPr="008633F4" w:rsidTr="008633F4">
        <w:tc>
          <w:tcPr>
            <w:tcW w:w="3685" w:type="dxa"/>
            <w:shd w:val="clear" w:color="auto" w:fill="auto"/>
          </w:tcPr>
          <w:p w:rsidR="008633F4" w:rsidRPr="008633F4" w:rsidRDefault="00220048" w:rsidP="008633F4">
            <w:pPr>
              <w:spacing w:before="40" w:after="120"/>
              <w:ind w:right="113"/>
              <w:rPr>
                <w:rFonts w:cs="Times New Roman"/>
              </w:rPr>
            </w:pPr>
            <w:r>
              <w:rPr>
                <w:i/>
                <w:iCs/>
              </w:rPr>
              <w:t>Заключительные замечания</w:t>
            </w:r>
            <w:r w:rsidRPr="00220048">
              <w:rPr>
                <w:i/>
                <w:iCs/>
              </w:rPr>
              <w:t xml:space="preserve"> </w:t>
            </w:r>
            <w:r>
              <w:rPr>
                <w:i/>
                <w:iCs/>
              </w:rPr>
              <w:br/>
            </w:r>
            <w:r>
              <w:rPr>
                <w:i/>
                <w:iCs/>
              </w:rPr>
              <w:t>(117-я сессия):</w:t>
            </w:r>
          </w:p>
        </w:tc>
        <w:tc>
          <w:tcPr>
            <w:tcW w:w="3685" w:type="dxa"/>
            <w:shd w:val="clear" w:color="auto" w:fill="auto"/>
          </w:tcPr>
          <w:p w:rsidR="008633F4" w:rsidRPr="008633F4" w:rsidRDefault="00220048" w:rsidP="008633F4">
            <w:pPr>
              <w:spacing w:before="40" w:after="120"/>
              <w:ind w:right="113"/>
              <w:rPr>
                <w:rFonts w:cs="Times New Roman"/>
              </w:rPr>
            </w:pPr>
            <w:r>
              <w:t>CCPR/C/DNK/CO/6, 7 июля 2016 года</w:t>
            </w:r>
          </w:p>
        </w:tc>
      </w:tr>
      <w:tr w:rsidR="008633F4" w:rsidRPr="008633F4" w:rsidTr="008633F4">
        <w:tc>
          <w:tcPr>
            <w:tcW w:w="3685" w:type="dxa"/>
            <w:shd w:val="clear" w:color="auto" w:fill="auto"/>
          </w:tcPr>
          <w:p w:rsidR="008633F4" w:rsidRPr="008633F4" w:rsidRDefault="00220048" w:rsidP="008633F4">
            <w:pPr>
              <w:spacing w:before="40" w:after="120"/>
              <w:ind w:right="113"/>
              <w:rPr>
                <w:rFonts w:cs="Times New Roman"/>
              </w:rPr>
            </w:pPr>
            <w:r>
              <w:rPr>
                <w:i/>
                <w:iCs/>
              </w:rPr>
              <w:t>Пункты, сопряженные с последующей деятельностью:</w:t>
            </w:r>
          </w:p>
        </w:tc>
        <w:tc>
          <w:tcPr>
            <w:tcW w:w="3685" w:type="dxa"/>
            <w:shd w:val="clear" w:color="auto" w:fill="auto"/>
          </w:tcPr>
          <w:p w:rsidR="008633F4" w:rsidRPr="008633F4" w:rsidRDefault="00220048" w:rsidP="008633F4">
            <w:pPr>
              <w:spacing w:before="40" w:after="120"/>
              <w:ind w:right="113"/>
              <w:rPr>
                <w:rFonts w:cs="Times New Roman"/>
              </w:rPr>
            </w:pPr>
            <w:r>
              <w:t>20, 24 и 32</w:t>
            </w:r>
          </w:p>
        </w:tc>
      </w:tr>
      <w:tr w:rsidR="00220048" w:rsidRPr="008633F4" w:rsidTr="008633F4">
        <w:tc>
          <w:tcPr>
            <w:tcW w:w="3685" w:type="dxa"/>
            <w:shd w:val="clear" w:color="auto" w:fill="auto"/>
          </w:tcPr>
          <w:p w:rsidR="00220048" w:rsidRPr="008633F4" w:rsidRDefault="00220048" w:rsidP="008633F4">
            <w:pPr>
              <w:spacing w:before="40" w:after="120"/>
              <w:ind w:right="113"/>
              <w:rPr>
                <w:rFonts w:cs="Times New Roman"/>
              </w:rPr>
            </w:pPr>
            <w:r>
              <w:rPr>
                <w:i/>
                <w:iCs/>
              </w:rPr>
              <w:t>Ответ о последующей деятельности:</w:t>
            </w:r>
          </w:p>
        </w:tc>
        <w:tc>
          <w:tcPr>
            <w:tcW w:w="3685" w:type="dxa"/>
            <w:shd w:val="clear" w:color="auto" w:fill="auto"/>
          </w:tcPr>
          <w:p w:rsidR="00220048" w:rsidRDefault="00220048" w:rsidP="00220048">
            <w:pPr>
              <w:spacing w:before="40" w:after="120"/>
              <w:ind w:right="113"/>
            </w:pPr>
            <w:r>
              <w:t>CCPR/C/DNK/CO/6/Add.1, 14 июля 2017</w:t>
            </w:r>
            <w:r>
              <w:t> </w:t>
            </w:r>
            <w:r>
              <w:t>года</w:t>
            </w:r>
          </w:p>
        </w:tc>
      </w:tr>
      <w:tr w:rsidR="00220048" w:rsidRPr="008633F4" w:rsidTr="008633F4">
        <w:tc>
          <w:tcPr>
            <w:tcW w:w="3685" w:type="dxa"/>
            <w:shd w:val="clear" w:color="auto" w:fill="auto"/>
          </w:tcPr>
          <w:p w:rsidR="00220048" w:rsidRPr="008633F4" w:rsidRDefault="00220048" w:rsidP="008633F4">
            <w:pPr>
              <w:spacing w:before="40" w:after="120"/>
              <w:ind w:right="113"/>
              <w:rPr>
                <w:rFonts w:cs="Times New Roman"/>
              </w:rPr>
            </w:pPr>
            <w:r>
              <w:rPr>
                <w:i/>
                <w:iCs/>
              </w:rPr>
              <w:t>Оценка Комитета:</w:t>
            </w:r>
          </w:p>
        </w:tc>
        <w:tc>
          <w:tcPr>
            <w:tcW w:w="3685" w:type="dxa"/>
            <w:shd w:val="clear" w:color="auto" w:fill="auto"/>
          </w:tcPr>
          <w:p w:rsidR="00220048" w:rsidRDefault="00220048" w:rsidP="008633F4">
            <w:pPr>
              <w:spacing w:before="40" w:after="120"/>
              <w:ind w:right="113"/>
            </w:pPr>
            <w:r>
              <w:t>Дополнительная информация, требуемая в отношении пунктов 20 [</w:t>
            </w:r>
            <w:r>
              <w:rPr>
                <w:b/>
                <w:bCs/>
              </w:rPr>
              <w:t>A</w:t>
            </w:r>
            <w:r>
              <w:t>], 24 [</w:t>
            </w:r>
            <w:r>
              <w:rPr>
                <w:b/>
                <w:bCs/>
              </w:rPr>
              <w:t>C</w:t>
            </w:r>
            <w:r>
              <w:t>] и 32 [</w:t>
            </w:r>
            <w:r>
              <w:rPr>
                <w:b/>
                <w:bCs/>
              </w:rPr>
              <w:t>B</w:t>
            </w:r>
            <w:r>
              <w:t>] [</w:t>
            </w:r>
            <w:r>
              <w:rPr>
                <w:b/>
                <w:bCs/>
              </w:rPr>
              <w:t>B</w:t>
            </w:r>
            <w:r>
              <w:t>] [</w:t>
            </w:r>
            <w:r>
              <w:rPr>
                <w:b/>
                <w:bCs/>
              </w:rPr>
              <w:t>C</w:t>
            </w:r>
            <w:r>
              <w:t>] [</w:t>
            </w:r>
            <w:r>
              <w:rPr>
                <w:b/>
                <w:bCs/>
              </w:rPr>
              <w:t>E</w:t>
            </w:r>
            <w:r>
              <w:t>]</w:t>
            </w:r>
          </w:p>
        </w:tc>
      </w:tr>
      <w:tr w:rsidR="00220048" w:rsidRPr="008633F4" w:rsidTr="008633F4">
        <w:tc>
          <w:tcPr>
            <w:tcW w:w="3685" w:type="dxa"/>
            <w:shd w:val="clear" w:color="auto" w:fill="auto"/>
          </w:tcPr>
          <w:p w:rsidR="00220048" w:rsidRPr="00220048" w:rsidRDefault="00220048" w:rsidP="008633F4">
            <w:pPr>
              <w:spacing w:before="40" w:after="120"/>
              <w:ind w:right="113"/>
              <w:rPr>
                <w:rFonts w:cs="Times New Roman"/>
              </w:rPr>
            </w:pPr>
            <w:r>
              <w:rPr>
                <w:i/>
                <w:iCs/>
              </w:rPr>
              <w:t>Информация, полученная от национального</w:t>
            </w:r>
            <w:r w:rsidRPr="00220048">
              <w:rPr>
                <w:i/>
                <w:iCs/>
              </w:rPr>
              <w:t xml:space="preserve"> </w:t>
            </w:r>
            <w:r>
              <w:rPr>
                <w:i/>
                <w:iCs/>
              </w:rPr>
              <w:t>правозащитного учреждения</w:t>
            </w:r>
            <w:r w:rsidRPr="00220048">
              <w:rPr>
                <w:i/>
                <w:iCs/>
              </w:rPr>
              <w:t>:</w:t>
            </w:r>
          </w:p>
        </w:tc>
        <w:tc>
          <w:tcPr>
            <w:tcW w:w="3685" w:type="dxa"/>
            <w:shd w:val="clear" w:color="auto" w:fill="auto"/>
          </w:tcPr>
          <w:p w:rsidR="00220048" w:rsidRPr="00220048" w:rsidRDefault="00220048" w:rsidP="008633F4">
            <w:pPr>
              <w:spacing w:before="40" w:after="120"/>
              <w:ind w:right="113"/>
            </w:pPr>
            <w:r>
              <w:t>Датский институт по вопросам прав человека, 21 августа</w:t>
            </w:r>
            <w:r w:rsidRPr="00220048">
              <w:t xml:space="preserve"> </w:t>
            </w:r>
            <w:r>
              <w:t>2017 года</w:t>
            </w:r>
            <w:r w:rsidRPr="00D1083F">
              <w:rPr>
                <w:rStyle w:val="aa"/>
              </w:rPr>
              <w:footnoteReference w:id="3"/>
            </w:r>
          </w:p>
        </w:tc>
      </w:tr>
      <w:tr w:rsidR="00220048" w:rsidRPr="008633F4" w:rsidTr="008633F4">
        <w:tc>
          <w:tcPr>
            <w:tcW w:w="3685" w:type="dxa"/>
            <w:shd w:val="clear" w:color="auto" w:fill="auto"/>
          </w:tcPr>
          <w:p w:rsidR="00220048" w:rsidRPr="008633F4" w:rsidRDefault="00220048" w:rsidP="008633F4">
            <w:pPr>
              <w:spacing w:before="40" w:after="120"/>
              <w:ind w:right="113"/>
              <w:rPr>
                <w:rFonts w:cs="Times New Roman"/>
              </w:rPr>
            </w:pPr>
            <w:r>
              <w:rPr>
                <w:i/>
                <w:iCs/>
              </w:rPr>
              <w:t>Информация, полученная от</w:t>
            </w:r>
            <w:r w:rsidRPr="00220048">
              <w:rPr>
                <w:i/>
                <w:iCs/>
              </w:rPr>
              <w:t xml:space="preserve"> </w:t>
            </w:r>
            <w:r>
              <w:rPr>
                <w:i/>
                <w:iCs/>
              </w:rPr>
              <w:t>неправительственных организаций:</w:t>
            </w:r>
          </w:p>
        </w:tc>
        <w:tc>
          <w:tcPr>
            <w:tcW w:w="3685" w:type="dxa"/>
            <w:shd w:val="clear" w:color="auto" w:fill="auto"/>
          </w:tcPr>
          <w:p w:rsidR="00220048" w:rsidRDefault="00220048" w:rsidP="008633F4">
            <w:pPr>
              <w:spacing w:before="40" w:after="120"/>
              <w:ind w:right="113"/>
            </w:pPr>
            <w:r>
              <w:t>Достоинство – Датский институт против пыток и другие, 1 ноября 2017 года</w:t>
            </w:r>
            <w:r w:rsidRPr="00D1083F">
              <w:rPr>
                <w:rStyle w:val="aa"/>
              </w:rPr>
              <w:footnoteReference w:id="4"/>
            </w:r>
          </w:p>
        </w:tc>
      </w:tr>
    </w:tbl>
    <w:p w:rsidR="008633F4" w:rsidRPr="00447723" w:rsidRDefault="008633F4" w:rsidP="008633F4">
      <w:pPr>
        <w:pStyle w:val="H23G"/>
      </w:pPr>
      <w:r>
        <w:tab/>
      </w:r>
      <w:r>
        <w:tab/>
      </w:r>
      <w:r>
        <w:rPr>
          <w:bCs/>
        </w:rPr>
        <w:t>Пункт 20: Насилие в семье</w:t>
      </w:r>
      <w:r>
        <w:t xml:space="preserve"> </w:t>
      </w:r>
    </w:p>
    <w:p w:rsidR="008633F4" w:rsidRPr="00447723" w:rsidRDefault="008633F4" w:rsidP="008633F4">
      <w:pPr>
        <w:pStyle w:val="SingleTxtG"/>
        <w:rPr>
          <w:b/>
          <w:bCs/>
        </w:rPr>
      </w:pPr>
      <w:r>
        <w:tab/>
      </w:r>
      <w:r>
        <w:tab/>
      </w:r>
      <w:r>
        <w:rPr>
          <w:b/>
          <w:bCs/>
        </w:rPr>
        <w:t>Государству-участнику следует продолжить свои усилия по эффективной борьбе с насилием в семье, в частности с насилием в отношении женщин, посредством обеспечения эффективного предоставления отчетности об актах насилия в семье, расследовании таких дел, судебном преследовании и наказании виновных.</w:t>
      </w:r>
      <w:r>
        <w:t xml:space="preserve"> </w:t>
      </w:r>
      <w:r>
        <w:rPr>
          <w:b/>
          <w:bCs/>
        </w:rPr>
        <w:t xml:space="preserve">Государству-участнику следует обеспечить, чтобы руководящие принципы применения его законодательства соблюдались единообразно во всех </w:t>
      </w:r>
      <w:r>
        <w:rPr>
          <w:b/>
          <w:bCs/>
        </w:rPr>
        <w:lastRenderedPageBreak/>
        <w:t>полицейских округах.</w:t>
      </w:r>
      <w:r>
        <w:t xml:space="preserve"> </w:t>
      </w:r>
      <w:r>
        <w:rPr>
          <w:b/>
          <w:bCs/>
        </w:rPr>
        <w:t>Ему следует продолжить обеспечивать обучение всех специалистов, занимающихся профилактикой насилия в семье и борьбой с ним.</w:t>
      </w:r>
    </w:p>
    <w:p w:rsidR="008633F4" w:rsidRPr="00447723" w:rsidRDefault="008633F4" w:rsidP="008633F4">
      <w:pPr>
        <w:pStyle w:val="H23G"/>
      </w:pPr>
      <w:r>
        <w:tab/>
      </w:r>
      <w:r>
        <w:tab/>
      </w:r>
      <w:r>
        <w:rPr>
          <w:bCs/>
        </w:rPr>
        <w:t>Резюме ответа государства-участника</w:t>
      </w:r>
      <w:r>
        <w:t xml:space="preserve"> </w:t>
      </w:r>
    </w:p>
    <w:p w:rsidR="008633F4" w:rsidRPr="00447723" w:rsidRDefault="008633F4" w:rsidP="008633F4">
      <w:pPr>
        <w:pStyle w:val="SingleTxtG"/>
      </w:pPr>
      <w:r>
        <w:tab/>
      </w:r>
      <w:r>
        <w:tab/>
        <w:t>Полиция проводит расследования по получении жалоб или по собственной инициативе, когда имеются разумные основания полагать, что было совершено преступление. Прокуратура возбуждает уголовное разбирательство по собственной инициативе, когда обнаруживаются доказательства совершения преступления. С</w:t>
      </w:r>
      <w:r w:rsidR="003D1D30">
        <w:t> </w:t>
      </w:r>
      <w:r>
        <w:t>1</w:t>
      </w:r>
      <w:r w:rsidR="003D1D30">
        <w:t> </w:t>
      </w:r>
      <w:r>
        <w:t xml:space="preserve">октября 2017 года в стране действует новое национальное подразделение по борьбе с насилием в семье и в интимных отношениях, финансируемое правительством и курируемое пятью неправительственными организациями. Оно открыло национальную </w:t>
      </w:r>
      <w:r w:rsidR="00220048">
        <w:t>«</w:t>
      </w:r>
      <w:r>
        <w:t>горячую линию</w:t>
      </w:r>
      <w:r w:rsidR="00220048">
        <w:t>»</w:t>
      </w:r>
      <w:r>
        <w:t>, предоставляет юридические консультации и занимается сбором данных.</w:t>
      </w:r>
    </w:p>
    <w:p w:rsidR="008633F4" w:rsidRPr="00447723" w:rsidRDefault="008633F4" w:rsidP="008633F4">
      <w:pPr>
        <w:pStyle w:val="SingleTxtG"/>
      </w:pPr>
      <w:r>
        <w:tab/>
      </w:r>
      <w:r>
        <w:tab/>
        <w:t>Государственный обвинитель издал для полиции и прокуратуры обязательные руководящие принципы рассмотрения уголовных дел, в том числе связанных с насилием в семье (руководящие принципы расследования насильственных преступлений в отношениях между родственниками, обновленные 1 июля 2016 года); обязанности обвинителя информировать жертв и оказывать им содействие изложены также в Законе об отправлении правосудия. Обвинитель также разработал руководящие принципы в отношении приказов, касающихся запретительных мер, выселения и высылки.</w:t>
      </w:r>
    </w:p>
    <w:p w:rsidR="008633F4" w:rsidRPr="00447723" w:rsidRDefault="008633F4" w:rsidP="008633F4">
      <w:pPr>
        <w:pStyle w:val="SingleTxtG"/>
      </w:pPr>
      <w:r>
        <w:tab/>
      </w:r>
      <w:r>
        <w:tab/>
        <w:t>В рамках национального плана действий по борьбе с насилием в интимных отношениях (на 2014</w:t>
      </w:r>
      <w:r w:rsidR="00220048">
        <w:t>–</w:t>
      </w:r>
      <w:r>
        <w:t>2017 годы) был осуществлен ряд проектов по подготовке специалистов. Базовая подготовка по вопросам ведения уголовных дел, включая дела о насилии в семье, является обязательной для всех новых сотрудников-юристов в прокуратуре. Слушатели полицейской академии проходят подготовку по вопросам предупреждения и выявления насилия. Национальный центр по предупреждению преступности, созданный в 2012 году, предлагает двухдневный учебный курс по основанным на фактических данных инструментам оценки риска (с 2015 года свидетельства о прохождении это</w:t>
      </w:r>
      <w:r w:rsidR="003D1D30">
        <w:t>го</w:t>
      </w:r>
      <w:r>
        <w:t xml:space="preserve"> курса получили 116 следователей и сотрудников прокуратуры).</w:t>
      </w:r>
    </w:p>
    <w:p w:rsidR="008633F4" w:rsidRPr="00447723" w:rsidRDefault="008633F4" w:rsidP="008633F4">
      <w:pPr>
        <w:pStyle w:val="SingleTxtG"/>
      </w:pPr>
      <w:r>
        <w:tab/>
      </w:r>
      <w:r>
        <w:tab/>
        <w:t>Государство-участник подтверждает содержащуюся в его шестом периодическом докладе (CCPR/C/DNK/6, пункт 110) информацию о стратегии и плане действий по борьбе с насилием (на 2014</w:t>
      </w:r>
      <w:r w:rsidR="00220048">
        <w:t>–</w:t>
      </w:r>
      <w:r>
        <w:t>2017 годы), которые осуществлялись в Гренландии. Датский закон о приказах, касающихся запретительных мер, выселения и высылки, вступил в силу для Гренландии (с скорректированными условиями) 1 апреля 2017 года. Он позволяет главному констеблю полиции Гренландии, в частности, издавать запретительные судебные приказы.</w:t>
      </w:r>
    </w:p>
    <w:p w:rsidR="008633F4" w:rsidRPr="00447723" w:rsidRDefault="008633F4" w:rsidP="008633F4">
      <w:pPr>
        <w:pStyle w:val="SingleTxtG"/>
      </w:pPr>
      <w:r>
        <w:tab/>
      </w:r>
      <w:r>
        <w:tab/>
        <w:t xml:space="preserve">Правительство Фарерских островов тоже принимает различные меры, включая: распространение информационных брошюр о мерах защиты и консультировании; вступившее в силу с марта 2017 года новое законодательство, содержащее положения, которые защищают людей от насилия, нападений, домогательств и преследования, допускают временное выселение из дома лиц, совершивших нарушения, и содержат четкие правила, касающиеся запретительных судебных приказов; и вступившие в силу в марте 2017 года поправки к Уголовному кодексу, которые, в частности, продляют срок исковой давности применительно к некоторым преступлениям сексуального характера, расширяют определение понятия </w:t>
      </w:r>
      <w:r w:rsidR="00220048">
        <w:t>«</w:t>
      </w:r>
      <w:r>
        <w:t>изнасилование</w:t>
      </w:r>
      <w:r w:rsidR="00220048">
        <w:t>»</w:t>
      </w:r>
      <w:r>
        <w:t>, распространяя его на принуждение и надругательства над лицом, находящимся в беспомощном состоянии/</w:t>
      </w:r>
      <w:r w:rsidR="003D1D30">
        <w:t xml:space="preserve"> </w:t>
      </w:r>
      <w:r>
        <w:t>ситуации, и включают дополнительные преступления, совершенные в браке.</w:t>
      </w:r>
    </w:p>
    <w:p w:rsidR="008633F4" w:rsidRPr="00447723" w:rsidRDefault="008633F4" w:rsidP="008633F4">
      <w:pPr>
        <w:pStyle w:val="H23G"/>
      </w:pPr>
      <w:r>
        <w:tab/>
      </w:r>
      <w:r>
        <w:tab/>
      </w:r>
      <w:r>
        <w:rPr>
          <w:bCs/>
        </w:rPr>
        <w:t>Информация, полученная от национального правозащитного учреждения</w:t>
      </w:r>
    </w:p>
    <w:p w:rsidR="008633F4" w:rsidRPr="00447723" w:rsidRDefault="008633F4" w:rsidP="008633F4">
      <w:pPr>
        <w:pStyle w:val="SingleTxtG"/>
      </w:pPr>
      <w:r>
        <w:tab/>
      </w:r>
      <w:r>
        <w:tab/>
        <w:t xml:space="preserve">Конкретного определения или криминализации психологического насилия как отдельного преступления не существует. Министерство юстиции считает, что психологическое насилие является уголовным преступлением в соответствии со статьями 245 (2), 260 и 266 Уголовного кодекса, касающимися преступлений, связанных в целом с причинением телесных повреждений и принуждением с </w:t>
      </w:r>
      <w:r>
        <w:lastRenderedPageBreak/>
        <w:t xml:space="preserve">применением насилия или угроз. Несмотря на эти положения, как показывает сложившаяся судебная практика, психологическое насилие не признается судебными органами в качестве преступления. В проведенном в Дании исследовании (2016 год) была установлена конкретная связь между психологическим насилием и убийствами женщин их интимными партнерами. </w:t>
      </w:r>
    </w:p>
    <w:p w:rsidR="008633F4" w:rsidRPr="00447723" w:rsidRDefault="008633F4" w:rsidP="008633F4">
      <w:pPr>
        <w:pStyle w:val="SingleTxtG"/>
      </w:pPr>
      <w:r>
        <w:tab/>
      </w:r>
      <w:r>
        <w:tab/>
        <w:t xml:space="preserve">В руководящих принципах, которые были изданы государственным обвинителем и о которых упомянуло государство-участник, никаких ссылок на психологическое насилие нет. </w:t>
      </w:r>
    </w:p>
    <w:p w:rsidR="008633F4" w:rsidRPr="00447723" w:rsidRDefault="008633F4" w:rsidP="008633F4">
      <w:pPr>
        <w:pStyle w:val="H23G"/>
      </w:pPr>
      <w:r>
        <w:tab/>
      </w:r>
      <w:r>
        <w:tab/>
      </w:r>
      <w:r>
        <w:rPr>
          <w:bCs/>
        </w:rPr>
        <w:t>Оценка Комитета</w:t>
      </w:r>
    </w:p>
    <w:p w:rsidR="008633F4" w:rsidRPr="00447723" w:rsidRDefault="008633F4" w:rsidP="008633F4">
      <w:pPr>
        <w:pStyle w:val="SingleTxtG"/>
      </w:pPr>
      <w:r w:rsidRPr="00445FE3">
        <w:rPr>
          <w:b/>
        </w:rPr>
        <w:t>[</w:t>
      </w:r>
      <w:r w:rsidRPr="00445FE3">
        <w:rPr>
          <w:b/>
          <w:bCs/>
        </w:rPr>
        <w:t>A</w:t>
      </w:r>
      <w:r w:rsidRPr="00445FE3">
        <w:rPr>
          <w:b/>
        </w:rPr>
        <w:t>]:</w:t>
      </w:r>
      <w:r>
        <w:t xml:space="preserve"> Комитет приветствует различные законодательные и политические меры, принятые для предупреждения насилия в семье и борьбы с ним в Дании, Гренландии и на Фарерских островах, включая: обновление (1 июля 2016 года) руководящих принципов расследования насильственных преступлений, совершаемых в отношениях между родственниками</w:t>
      </w:r>
      <w:r w:rsidRPr="00C64322">
        <w:t>;</w:t>
      </w:r>
      <w:r>
        <w:t xml:space="preserve"> создание (1 октября 2017 года) национального подразделения по борьбе с насилием в семье и интимных отношениях</w:t>
      </w:r>
      <w:r w:rsidRPr="00C64322">
        <w:t>;</w:t>
      </w:r>
      <w:r>
        <w:t xml:space="preserve"> распространение (1 апреля 2017 года) датского Закона о запретительных мерах, выселении и высылке на Гренландию</w:t>
      </w:r>
      <w:r w:rsidRPr="00C64322">
        <w:t>;</w:t>
      </w:r>
      <w:r>
        <w:t xml:space="preserve"> и принятие (март 2017 года) на Фарерских островах новых законодательных актов и поправок к Уголовному кодексу, которые, в частности, предусматривают четкие правила в отношении запретительных судебных приказов, продление срока исковой давности применительно к некоторым преступлениям сексуального характера и расширение определения понятия </w:t>
      </w:r>
      <w:r w:rsidR="00220048">
        <w:t>«</w:t>
      </w:r>
      <w:r>
        <w:t>изнасилование</w:t>
      </w:r>
      <w:r w:rsidR="00220048">
        <w:t>»</w:t>
      </w:r>
      <w:r>
        <w:t>. Комитету необходима дополнительная информация в отношении: a) практического воздействия этих мер, включая наци</w:t>
      </w:r>
      <w:r w:rsidR="00FA6DB8">
        <w:t>ональный план действий (на 2014–</w:t>
      </w:r>
      <w:r>
        <w:t>2017 годы) и стратегию и план действи</w:t>
      </w:r>
      <w:r w:rsidR="00FA6DB8">
        <w:t>й по борьбе с насилием (на 2014–</w:t>
      </w:r>
      <w:r>
        <w:t xml:space="preserve">2017 годы) Гренландии, на усилия по предупреждению насилия в семье и содействию регистрации случаев насилия в семье, а также на обеспечение расследований, судебного преследования и наказания виновных в Дании, Гренландии и на Фарерских островах (просьба представить соответствующие статистические данные с 2016 года); b) сути последнего обновления руководящих принципов расследования насильственных преступлений, совершаемых в отношениях между родственниками, и любых мер по обеспечению их последовательного применения на практике; и с) количества рассмотренных в судах дел, связанных с психологическим насилием в отношении нынешних или бывших интимных партнеров, и результатах таких разбирательств. </w:t>
      </w:r>
    </w:p>
    <w:p w:rsidR="008633F4" w:rsidRPr="00447723" w:rsidRDefault="008633F4" w:rsidP="008633F4">
      <w:pPr>
        <w:pStyle w:val="SingleTxtG"/>
      </w:pPr>
      <w:r>
        <w:tab/>
      </w:r>
      <w:r>
        <w:tab/>
        <w:t>Комитет высоко оценивает информацию о подготовке по вопросам предупреждения и выявления насилия и борьбы с ним, а также тот факт, что национальный центр по предупреждению преступности продолжает проводить учебные курсы по использованию основанных на фактических данных инструментов оценки рисков, по итогам которых слушат</w:t>
      </w:r>
      <w:r w:rsidR="00FA6DB8">
        <w:t>ели получают свидетельства. Ему </w:t>
      </w:r>
      <w:r>
        <w:t>необходима дополнительная информация относительно: а) любой комплексной и обязательной подготовки, предлагаемой сотрудникам полиции (но не слушателям полицейских академий) и специалистам, не являющимся прокурорами, которые занимаются вопросами предупреждения и пресечения насилия в семье; и b) числа специалистов, прошедших с 2016 года аттестацию по основанным на фактических данных инструментам оценки рисков, и результатов такой подготовки.</w:t>
      </w:r>
    </w:p>
    <w:p w:rsidR="008633F4" w:rsidRPr="00447723" w:rsidRDefault="008633F4" w:rsidP="008633F4">
      <w:pPr>
        <w:pStyle w:val="H23G"/>
      </w:pPr>
      <w:r>
        <w:tab/>
      </w:r>
      <w:r>
        <w:tab/>
      </w:r>
      <w:r>
        <w:rPr>
          <w:bCs/>
        </w:rPr>
        <w:t>Пункт 24: Одиночное заключение</w:t>
      </w:r>
      <w:r>
        <w:t xml:space="preserve"> </w:t>
      </w:r>
    </w:p>
    <w:p w:rsidR="008633F4" w:rsidRPr="00447723" w:rsidRDefault="008633F4" w:rsidP="008633F4">
      <w:pPr>
        <w:pStyle w:val="SingleTxtG"/>
        <w:rPr>
          <w:b/>
          <w:bCs/>
        </w:rPr>
      </w:pPr>
      <w:r>
        <w:tab/>
      </w:r>
      <w:r>
        <w:tab/>
      </w:r>
      <w:r>
        <w:rPr>
          <w:b/>
          <w:bCs/>
        </w:rPr>
        <w:t>Государству-участнику следует привести свое законодательство и практику, касающиеся одиночного заключения, в соответствие с международными стандартами, установленными в принятых Организацией Объединенных Наций Минимальных стандартных правил</w:t>
      </w:r>
      <w:r w:rsidR="003D1D30">
        <w:rPr>
          <w:b/>
          <w:bCs/>
        </w:rPr>
        <w:t>ах</w:t>
      </w:r>
      <w:r>
        <w:rPr>
          <w:b/>
          <w:bCs/>
        </w:rPr>
        <w:t xml:space="preserve"> обращения с заключенными (Правила Нельсона Манделы), путем упразднения одиночного заключения для несовершеннолетних и снижения общей продолжительности допустимого одиночного заключения в отношении некоторых подследственных, даже если оно используется в качестве крайней меры.</w:t>
      </w:r>
      <w:r>
        <w:t xml:space="preserve"> </w:t>
      </w:r>
      <w:r>
        <w:rPr>
          <w:b/>
          <w:bCs/>
        </w:rPr>
        <w:t xml:space="preserve">Государству-участнику следует регулярно оценивать последствия одиночного заключения в целях </w:t>
      </w:r>
      <w:r>
        <w:rPr>
          <w:b/>
          <w:bCs/>
        </w:rPr>
        <w:lastRenderedPageBreak/>
        <w:t>дальнейшего сокращения масштабов его применения и разработки альтернативных мер, в случае необходимости.</w:t>
      </w:r>
    </w:p>
    <w:p w:rsidR="008633F4" w:rsidRPr="00447723" w:rsidRDefault="008633F4" w:rsidP="008633F4">
      <w:pPr>
        <w:pStyle w:val="H23G"/>
      </w:pPr>
      <w:r>
        <w:tab/>
      </w:r>
      <w:r>
        <w:tab/>
      </w:r>
      <w:r>
        <w:rPr>
          <w:bCs/>
        </w:rPr>
        <w:t>Резюме ответа государства-участника</w:t>
      </w:r>
      <w:r>
        <w:t xml:space="preserve"> </w:t>
      </w:r>
    </w:p>
    <w:p w:rsidR="008633F4" w:rsidRPr="00447723" w:rsidRDefault="008633F4" w:rsidP="008633F4">
      <w:pPr>
        <w:pStyle w:val="SingleTxtG"/>
      </w:pPr>
      <w:r>
        <w:tab/>
      </w:r>
      <w:r>
        <w:tab/>
        <w:t xml:space="preserve">Закон об отправлении правосудия устанавливает строгие ограничения на применение одиночного заключения и требует соблюдения принципов необходимости и соразмерности. Одиночное заключение лиц моложе 18 лет на срок до четырех недель возможно в исключительных обстоятельствах, когда этого требует характер преступления и риск фальсификации результатов расследования, а для лиц, подозреваемых в совершении наиболее тяжких преступлений, возможно продление этого срока более чем на шесть месяцев. В 2016 году двое несовершеннолетних содержались в одиночных камерах во время досудебного заключения (по обвинению в терроризме и серьезных нарушениях законодательства об оружии). Досудебное заключение, включая одиночное заключение, назначается по решению окружных судов и при определенных условиях может быть обжаловано в Высоком суде и Верховном суде. </w:t>
      </w:r>
    </w:p>
    <w:p w:rsidR="008633F4" w:rsidRPr="00447723" w:rsidRDefault="008633F4" w:rsidP="008633F4">
      <w:pPr>
        <w:pStyle w:val="SingleTxtG"/>
      </w:pPr>
      <w:r>
        <w:tab/>
      </w:r>
      <w:r>
        <w:tab/>
        <w:t>Одиночное заключение может также назначаться по решению административного органа либо в качестве карательной меры (помещение в штрафной изолятор), либо в качестве профилактической меры (лишение возможности общения). Эта мера касается лишь ограниченного числа несове</w:t>
      </w:r>
      <w:r w:rsidR="00FA6DB8">
        <w:t>ршеннолетних (13 человек в 2016 </w:t>
      </w:r>
      <w:r>
        <w:t xml:space="preserve">году), учитывая, что большинство несовершеннолетних отбывают наказание условно/на общественных работах или могут отбывать наказание вне тюремной системы. Срок одиночного заключения обычно отбывается в обычных камерах с доступом к книгам, телевидению и профессионально-технической деятельности. Министерство юстиции рассматривает поправки к закону в соответствии с вынесенными в январе 2017 года рабочей группой в составе датской Службы тюрем и пробации рекомендациями, согласно которым нахождение в штрафном изоляторе не должно превышать трех дней (в исключительных обстоятельствах </w:t>
      </w:r>
      <w:r w:rsidR="00FA6DB8">
        <w:t>–</w:t>
      </w:r>
      <w:r>
        <w:t xml:space="preserve"> семи дней) и должно быть организовано таким образом, чтобы позволить заключенным общаться с другими в течение нескольких часов во время работы или на учебных занятиях (это не будет представлять собой одиночное заключение, как оно определено в Правилах Нельсона Манделы).</w:t>
      </w:r>
    </w:p>
    <w:p w:rsidR="008633F4" w:rsidRPr="00447723" w:rsidRDefault="008633F4" w:rsidP="008633F4">
      <w:pPr>
        <w:pStyle w:val="SingleTxtG"/>
      </w:pPr>
      <w:r>
        <w:tab/>
      </w:r>
      <w:r>
        <w:tab/>
        <w:t xml:space="preserve">В соответствии с Законом об отправлении правосудия одиночное заключение во время досудебного содержания под стражей не может превышать две недели, если предъявленные обвинения могут привести к тюремному заключению на срок до четырех лет; четыре недели, если максимальный срок наказания составляет шесть лет; и восемь недель, если максимальный срок наказания будет превышать шесть лет. Этот срок может быть продлен свыше восьми недель (до шести месяцев), если этого требуют важнейшие соображения, касающиеся расследования, и если предполагается, что преступление повлечет за собой тюремное заключение на срок не менее двух лет; и свыше шести месяцев в делах, связанных с наиболее тяжкими преступлениями. </w:t>
      </w:r>
    </w:p>
    <w:p w:rsidR="008633F4" w:rsidRPr="00447723" w:rsidRDefault="008633F4" w:rsidP="008633F4">
      <w:pPr>
        <w:pStyle w:val="SingleTxtG"/>
      </w:pPr>
      <w:r>
        <w:tab/>
      </w:r>
      <w:r>
        <w:tab/>
        <w:t>Вопрос о применении одиночного заключения находится под пристальным контролем, при этом полицейские участки обязаны отчитыва</w:t>
      </w:r>
      <w:r w:rsidR="003D1D30">
        <w:t>ться ежеквартально, а </w:t>
      </w:r>
      <w:r>
        <w:t xml:space="preserve">прокуратура и государственный обвинитель </w:t>
      </w:r>
      <w:r w:rsidR="003D1D30">
        <w:t>–</w:t>
      </w:r>
      <w:r>
        <w:t xml:space="preserve"> ежегодно. Департамент тюрем и пробации проводит ежемесячный мониторинг помещения несовершеннолетних в штрафные изоляторы с целью выяснения того, является ли такая мера абсолютно необходимой. </w:t>
      </w:r>
    </w:p>
    <w:p w:rsidR="008633F4" w:rsidRPr="00447723" w:rsidRDefault="008633F4" w:rsidP="008633F4">
      <w:pPr>
        <w:pStyle w:val="H23G"/>
      </w:pPr>
      <w:r>
        <w:tab/>
      </w:r>
      <w:r>
        <w:tab/>
      </w:r>
      <w:r>
        <w:rPr>
          <w:bCs/>
        </w:rPr>
        <w:t>Информация, полученная от национального правозащитного учреждения</w:t>
      </w:r>
    </w:p>
    <w:p w:rsidR="008633F4" w:rsidRPr="00447723" w:rsidRDefault="008633F4" w:rsidP="008633F4">
      <w:pPr>
        <w:pStyle w:val="SingleTxtG"/>
      </w:pPr>
      <w:r>
        <w:tab/>
      </w:r>
      <w:r>
        <w:tab/>
        <w:t>В 2016 году в одиночную камеру был</w:t>
      </w:r>
      <w:r w:rsidR="00FA6DB8">
        <w:t>и помещены в общей сложности 15 </w:t>
      </w:r>
      <w:r>
        <w:t xml:space="preserve">несовершеннолетних, подозреваемых в совершении преступлений; в одном из этих случаев заключение не имело под собой никаких правовых оснований, а </w:t>
      </w:r>
      <w:r w:rsidR="00FA6DB8">
        <w:t>9</w:t>
      </w:r>
      <w:r>
        <w:t xml:space="preserve"> других противоречили положениям Закона об отправлении правосудия.</w:t>
      </w:r>
    </w:p>
    <w:p w:rsidR="008633F4" w:rsidRPr="00447723" w:rsidRDefault="008633F4" w:rsidP="008633F4">
      <w:pPr>
        <w:pStyle w:val="H23G"/>
      </w:pPr>
      <w:r>
        <w:lastRenderedPageBreak/>
        <w:tab/>
      </w:r>
      <w:r>
        <w:tab/>
      </w:r>
      <w:r>
        <w:rPr>
          <w:bCs/>
        </w:rPr>
        <w:t>Информация, полученная от неправительственных организаций</w:t>
      </w:r>
    </w:p>
    <w:p w:rsidR="008633F4" w:rsidRPr="00447723" w:rsidRDefault="008633F4" w:rsidP="008633F4">
      <w:pPr>
        <w:pStyle w:val="SingleTxtG"/>
      </w:pPr>
      <w:r>
        <w:tab/>
      </w:r>
      <w:r>
        <w:tab/>
        <w:t xml:space="preserve">Одиночное заключение по-прежнему разрешено законом. Несмотря на его ограниченное применение к несовершеннолетним (15 случаев в 2016 году) и позитивные усилия по ограничению длительной изоляции (свыше 15 суток), соответствующее законодательство противоречит международным стандартам. Продолжительное одиночное заключение по решению суда лиц, находящихся в предварительном заключении, по-прежнему вызывает обеспокоенность; в 2016 году было 37 таких случаев, и в почти 60% из них этот срок превысил две недели. </w:t>
      </w:r>
    </w:p>
    <w:p w:rsidR="008633F4" w:rsidRPr="00447723" w:rsidRDefault="008633F4" w:rsidP="008633F4">
      <w:pPr>
        <w:pStyle w:val="SingleTxtG"/>
      </w:pPr>
      <w:r>
        <w:tab/>
      </w:r>
      <w:r>
        <w:tab/>
        <w:t xml:space="preserve">Показатель применения одиночного заключения в качестве дисциплинарной меры остается высоким, если исключить детей. Число случаев его применения возросло с 2 579 в 2015 году до примерно 2 995 в 2016 году, причем половина из них была связана с длительным тюремным заключением </w:t>
      </w:r>
      <w:r w:rsidR="00FA6DB8">
        <w:t>на срок 15 или более суток. Это </w:t>
      </w:r>
      <w:r>
        <w:t>увеличение объясняется недавним введением жестких правил, касающихся незаконного владения (и пользования) мобильными телефонами (которые упоминались в 2016 году в 219 из 222 случаев оди</w:t>
      </w:r>
      <w:r w:rsidR="00FA6DB8">
        <w:t>ночного заключения сроком на 15 </w:t>
      </w:r>
      <w:r>
        <w:t>суток и более).</w:t>
      </w:r>
    </w:p>
    <w:p w:rsidR="008633F4" w:rsidRPr="00447723" w:rsidRDefault="008633F4" w:rsidP="008633F4">
      <w:pPr>
        <w:pStyle w:val="SingleTxtG"/>
      </w:pPr>
      <w:r>
        <w:tab/>
      </w:r>
      <w:r>
        <w:tab/>
        <w:t>Неправительственные организации также сообщают о пагубных последствиях одиночного заключения для здоровья, которые подробно описаны в медицинских исследованиях (см. приложение А к материалам, представленным неправительственными организациями).</w:t>
      </w:r>
    </w:p>
    <w:p w:rsidR="008633F4" w:rsidRPr="00447723" w:rsidRDefault="008633F4" w:rsidP="008633F4">
      <w:pPr>
        <w:pStyle w:val="H23G"/>
      </w:pPr>
      <w:r>
        <w:tab/>
      </w:r>
      <w:r>
        <w:tab/>
      </w:r>
      <w:r>
        <w:rPr>
          <w:bCs/>
        </w:rPr>
        <w:t>Оценка Комитета</w:t>
      </w:r>
    </w:p>
    <w:p w:rsidR="008633F4" w:rsidRPr="00447723" w:rsidRDefault="008633F4" w:rsidP="008633F4">
      <w:pPr>
        <w:pStyle w:val="SingleTxtG"/>
      </w:pPr>
      <w:r w:rsidRPr="00445FE3">
        <w:rPr>
          <w:b/>
        </w:rPr>
        <w:t>[</w:t>
      </w:r>
      <w:r w:rsidRPr="00445FE3">
        <w:rPr>
          <w:b/>
          <w:bCs/>
        </w:rPr>
        <w:t>С</w:t>
      </w:r>
      <w:r w:rsidRPr="00445FE3">
        <w:rPr>
          <w:b/>
        </w:rPr>
        <w:t>]:</w:t>
      </w:r>
      <w:r>
        <w:t xml:space="preserve"> Принимая к сведению представленную в большом объеме информацию об одиночном заключении и усилиях по контролю и сокращению его применения, особенно в течение длительного периода времени, Комитет выражает сожаление по поводу того, что государство-участник не отменило одиночное заключение для несовершеннолетних и не сократило общий допустимый срок одиночного заключения для лиц, содержащихся под стражей, даже если оно используется в качестве крайней меры. Ему нужна информация о любых поправках к закону, принятых после вынесения в январе 2017 года рабочей группой в составе Службы тюрем и пробации рекомендаций о помещении в штрафной изолятор. Комитет повторяет свои рекомендации.</w:t>
      </w:r>
    </w:p>
    <w:p w:rsidR="008633F4" w:rsidRPr="00447723" w:rsidRDefault="008633F4" w:rsidP="008633F4">
      <w:pPr>
        <w:pStyle w:val="H23G"/>
      </w:pPr>
      <w:r>
        <w:tab/>
      </w:r>
      <w:r>
        <w:tab/>
      </w:r>
      <w:r>
        <w:rPr>
          <w:bCs/>
        </w:rPr>
        <w:t>Пункт 32: Права иностранцев, включая мигрантов, беженцев и просителей убежища</w:t>
      </w:r>
    </w:p>
    <w:p w:rsidR="008633F4" w:rsidRPr="00447723" w:rsidRDefault="008633F4" w:rsidP="008633F4">
      <w:pPr>
        <w:pStyle w:val="SingleTxtG"/>
        <w:rPr>
          <w:b/>
          <w:bCs/>
        </w:rPr>
      </w:pPr>
      <w:r>
        <w:tab/>
      </w:r>
      <w:r>
        <w:tab/>
      </w:r>
      <w:r>
        <w:rPr>
          <w:b/>
          <w:bCs/>
        </w:rPr>
        <w:t>Государству-участнику следует при принятии мер по ограничению иммиграции обеспечивать полное соблюдение прав мигрантов, в том числе просителей убежища, защищаемых в соответствии с Пактом.</w:t>
      </w:r>
      <w:r>
        <w:t xml:space="preserve"> </w:t>
      </w:r>
      <w:r>
        <w:rPr>
          <w:b/>
          <w:bCs/>
        </w:rPr>
        <w:t>В частности, государству-участнику следует:</w:t>
      </w:r>
    </w:p>
    <w:p w:rsidR="008633F4" w:rsidRPr="00447723" w:rsidRDefault="008633F4" w:rsidP="008633F4">
      <w:pPr>
        <w:pStyle w:val="SingleTxtG"/>
        <w:rPr>
          <w:b/>
          <w:bCs/>
        </w:rPr>
      </w:pPr>
      <w:r>
        <w:tab/>
      </w:r>
      <w:r>
        <w:tab/>
      </w:r>
      <w:r>
        <w:rPr>
          <w:b/>
          <w:bCs/>
        </w:rPr>
        <w:t>а)</w:t>
      </w:r>
      <w:r>
        <w:tab/>
      </w:r>
      <w:r>
        <w:rPr>
          <w:b/>
          <w:bCs/>
        </w:rPr>
        <w:t>обеспечить, чтобы его политика и практика, касающиеся возвращения и высылки мигрантов и просителей убежища, предусматривали достаточные гарантии соблюдения принципа недопустимости принудительного возвращения в соответствии с Пактом;</w:t>
      </w:r>
    </w:p>
    <w:p w:rsidR="008633F4" w:rsidRPr="00447723" w:rsidRDefault="008633F4" w:rsidP="008633F4">
      <w:pPr>
        <w:pStyle w:val="SingleTxtG"/>
        <w:rPr>
          <w:b/>
          <w:bCs/>
        </w:rPr>
      </w:pPr>
      <w:r>
        <w:tab/>
      </w:r>
      <w:r>
        <w:tab/>
      </w:r>
      <w:r>
        <w:rPr>
          <w:b/>
          <w:bCs/>
        </w:rPr>
        <w:t>b)</w:t>
      </w:r>
      <w:r>
        <w:tab/>
      </w:r>
      <w:r>
        <w:rPr>
          <w:b/>
          <w:bCs/>
        </w:rPr>
        <w:t>обеспечить, чтобы содержание под стражей мигрантов и просителей убежища являлось обоснованным, необходимым и соразмерным с учетом обстоятельств, в соответствии с принятым Комитетом замечанием общего порядка № 35 (2014) о свободе и личной неприкосновенности, и чтобы на практике имелись альтернативы содержанию под стражей;</w:t>
      </w:r>
    </w:p>
    <w:p w:rsidR="008633F4" w:rsidRPr="00447723" w:rsidRDefault="008633F4" w:rsidP="008633F4">
      <w:pPr>
        <w:pStyle w:val="SingleTxtG"/>
        <w:rPr>
          <w:b/>
          <w:bCs/>
        </w:rPr>
      </w:pPr>
      <w:r>
        <w:tab/>
      </w:r>
      <w:r>
        <w:tab/>
      </w:r>
      <w:r>
        <w:rPr>
          <w:b/>
          <w:bCs/>
        </w:rPr>
        <w:t>c)</w:t>
      </w:r>
      <w:r>
        <w:tab/>
      </w:r>
      <w:r>
        <w:rPr>
          <w:b/>
          <w:bCs/>
        </w:rPr>
        <w:t xml:space="preserve">рассмотреть возможность сокращения продолжительности содержания под стражей мигрантов и просителей убежища, ожидающих высылки, и улучшить условия содержания под стражей таких лиц, в частности в тюрьме </w:t>
      </w:r>
      <w:r w:rsidR="00220048">
        <w:rPr>
          <w:b/>
          <w:bCs/>
        </w:rPr>
        <w:t>«</w:t>
      </w:r>
      <w:r>
        <w:rPr>
          <w:b/>
          <w:bCs/>
        </w:rPr>
        <w:t>Вридслоселилле</w:t>
      </w:r>
      <w:r w:rsidR="00220048">
        <w:rPr>
          <w:b/>
          <w:bCs/>
        </w:rPr>
        <w:t>»</w:t>
      </w:r>
      <w:r>
        <w:rPr>
          <w:b/>
          <w:bCs/>
        </w:rPr>
        <w:t>;</w:t>
      </w:r>
    </w:p>
    <w:p w:rsidR="008633F4" w:rsidRPr="00447723" w:rsidRDefault="008633F4" w:rsidP="008633F4">
      <w:pPr>
        <w:pStyle w:val="SingleTxtG"/>
        <w:rPr>
          <w:b/>
          <w:bCs/>
        </w:rPr>
      </w:pPr>
      <w:r>
        <w:tab/>
      </w:r>
      <w:r>
        <w:tab/>
      </w:r>
      <w:r>
        <w:rPr>
          <w:b/>
          <w:bCs/>
        </w:rPr>
        <w:t>d)</w:t>
      </w:r>
      <w:r>
        <w:tab/>
      </w:r>
      <w:r>
        <w:rPr>
          <w:b/>
          <w:bCs/>
        </w:rPr>
        <w:t>отменить поправку, внесенную в Зак</w:t>
      </w:r>
      <w:r w:rsidR="00FA6DB8">
        <w:rPr>
          <w:b/>
          <w:bCs/>
        </w:rPr>
        <w:t>он об иностранцах в ноябре 2015 </w:t>
      </w:r>
      <w:r>
        <w:rPr>
          <w:b/>
          <w:bCs/>
        </w:rPr>
        <w:t xml:space="preserve">года, с тем чтобы обеспечить, чтобы во всех случаях содержащиеся под стражей мигранты имели полный доступ к основным механизмам правовой </w:t>
      </w:r>
      <w:r>
        <w:rPr>
          <w:b/>
          <w:bCs/>
        </w:rPr>
        <w:lastRenderedPageBreak/>
        <w:t>защиты, в частности к судебному пересмотру вопроса о законности их содержания под стражей;</w:t>
      </w:r>
    </w:p>
    <w:p w:rsidR="008633F4" w:rsidRPr="00447723" w:rsidRDefault="008633F4" w:rsidP="008633F4">
      <w:pPr>
        <w:pStyle w:val="SingleTxtG"/>
        <w:rPr>
          <w:b/>
          <w:bCs/>
        </w:rPr>
      </w:pPr>
      <w:r>
        <w:tab/>
      </w:r>
      <w:r>
        <w:tab/>
      </w:r>
      <w:r>
        <w:rPr>
          <w:b/>
          <w:bCs/>
        </w:rPr>
        <w:t>e)</w:t>
      </w:r>
      <w:r>
        <w:tab/>
      </w:r>
      <w:r>
        <w:rPr>
          <w:b/>
          <w:bCs/>
        </w:rPr>
        <w:t>отменить поправку к Закону об иностранцах, касающуюся конфискации ценностей у просителей убежища.</w:t>
      </w:r>
    </w:p>
    <w:p w:rsidR="008633F4" w:rsidRPr="00447723" w:rsidRDefault="008633F4" w:rsidP="008633F4">
      <w:pPr>
        <w:pStyle w:val="H23G"/>
      </w:pPr>
      <w:r>
        <w:tab/>
      </w:r>
      <w:r>
        <w:tab/>
      </w:r>
      <w:r>
        <w:rPr>
          <w:bCs/>
        </w:rPr>
        <w:t>Резюме ответа государства-участника</w:t>
      </w:r>
      <w:r>
        <w:t xml:space="preserve"> </w:t>
      </w:r>
    </w:p>
    <w:p w:rsidR="008633F4" w:rsidRPr="00447723" w:rsidRDefault="008633F4" w:rsidP="008633F4">
      <w:pPr>
        <w:pStyle w:val="H4G"/>
      </w:pPr>
      <w:r>
        <w:tab/>
      </w:r>
      <w:r>
        <w:tab/>
      </w:r>
      <w:r>
        <w:rPr>
          <w:iCs/>
        </w:rPr>
        <w:t>Ответ, относящийся к подпункту а) пункта 32</w:t>
      </w:r>
    </w:p>
    <w:p w:rsidR="008633F4" w:rsidRPr="00447723" w:rsidRDefault="008633F4" w:rsidP="008633F4">
      <w:pPr>
        <w:pStyle w:val="SingleTxtG"/>
      </w:pPr>
      <w:r>
        <w:tab/>
      </w:r>
      <w:r>
        <w:tab/>
        <w:t xml:space="preserve">Государство-участник уточняет представленную информацию о процедуре предоставления убежища в соответствии с Законом об иностранцах, в том числе об автоматической апелляции на решения об отказе в предоставлении убежища, которая подается в Совет по апелляциям беженцев. Решения о возвращении не исполняются, если иностранец в принципе имеет право на убежище в соответствии со статьей 7 Закона об иностранцах, но не может получить вид на жительство в соответствии со статьей 10 Закона об иностранцах или пунктом F статьи 1 Конвенции о статусе беженцев и подпадает под действие принципа невыдворения. Такие лица могут оставаться в Дании в соответствии с правом на </w:t>
      </w:r>
      <w:r w:rsidR="00220048">
        <w:t>«</w:t>
      </w:r>
      <w:r>
        <w:t>допустимое пребывание</w:t>
      </w:r>
      <w:r w:rsidR="00220048">
        <w:t>»</w:t>
      </w:r>
      <w:r>
        <w:t xml:space="preserve"> до тех пор, пока Совет по апелляциям беженцев не решит, что </w:t>
      </w:r>
      <w:r w:rsidR="00FA6DB8">
        <w:t>угрозы выдворения больше нет. В </w:t>
      </w:r>
      <w:r>
        <w:t>качестве примера соблюдения принципа невыдворения можно привести принятое Советом 3 мая 2017 года решение приостановить передачу просителей убежища Венгрии в соответствии с Дублинским регламентом ввиду системных изъянов в венгерской системе предоставления убежища.</w:t>
      </w:r>
    </w:p>
    <w:p w:rsidR="008633F4" w:rsidRPr="00447723" w:rsidRDefault="008633F4" w:rsidP="008633F4">
      <w:pPr>
        <w:pStyle w:val="H4G"/>
      </w:pPr>
      <w:r>
        <w:tab/>
      </w:r>
      <w:r>
        <w:tab/>
      </w:r>
      <w:r>
        <w:rPr>
          <w:iCs/>
        </w:rPr>
        <w:t>Ответ, относящийся к подпункту b) пункта 32</w:t>
      </w:r>
    </w:p>
    <w:p w:rsidR="008633F4" w:rsidRPr="00447723" w:rsidRDefault="008633F4" w:rsidP="008633F4">
      <w:pPr>
        <w:pStyle w:val="SingleTxtG"/>
      </w:pPr>
      <w:r>
        <w:tab/>
      </w:r>
      <w:r>
        <w:tab/>
        <w:t>В соответствии с Законом об иностранцах содержание под стражей иностранцев, ожидающих депортации, всегда должно быть продиктовано необходимостью и соразмерн</w:t>
      </w:r>
      <w:r w:rsidR="003D1D30">
        <w:t>остью</w:t>
      </w:r>
      <w:r>
        <w:t>. Такие дела подлежат рассмотрению в индивидуальном порядке и должны автоматически передаваться в суд в трехдневный срок. Финансовая компенсация за незаконное лишение свободы может быть взыскана в судебном порядке.</w:t>
      </w:r>
    </w:p>
    <w:p w:rsidR="008633F4" w:rsidRPr="00447723" w:rsidRDefault="008633F4" w:rsidP="008633F4">
      <w:pPr>
        <w:pStyle w:val="H4G"/>
      </w:pPr>
      <w:r>
        <w:tab/>
      </w:r>
      <w:r>
        <w:tab/>
      </w:r>
      <w:r>
        <w:rPr>
          <w:iCs/>
        </w:rPr>
        <w:t>Ответ, относящийся к подпункту с) пункта 32</w:t>
      </w:r>
    </w:p>
    <w:p w:rsidR="008633F4" w:rsidRPr="00447723" w:rsidRDefault="008633F4" w:rsidP="008633F4">
      <w:pPr>
        <w:pStyle w:val="SingleTxtG"/>
      </w:pPr>
      <w:r>
        <w:tab/>
      </w:r>
      <w:r>
        <w:tab/>
        <w:t xml:space="preserve">В соответствии с положениями Закона об иностранцах, в котором отражены положения Директивы Европейского союза о возвращении (2008/115/ЕС), максимальный срок содержания под стражей составляет шесть месяцев с возможным его продлением до 18 месяцев в исключительных обстоятельствах. Содержание под стражей является крайней мерой, применяемой в тех случаях, когда иностранцы не возвращаются добровольно, а менее ограничительные меры оказываются недостаточными. </w:t>
      </w:r>
    </w:p>
    <w:p w:rsidR="008633F4" w:rsidRPr="00447723" w:rsidRDefault="008633F4" w:rsidP="008633F4">
      <w:pPr>
        <w:pStyle w:val="SingleTxtG"/>
      </w:pPr>
      <w:r>
        <w:tab/>
      </w:r>
      <w:r>
        <w:tab/>
        <w:t xml:space="preserve">Осенью 2016 года условия жизни лиц, которым было отказано в убежище и которые содержались под стражей в тюрьме </w:t>
      </w:r>
      <w:r w:rsidR="00220048">
        <w:t>«</w:t>
      </w:r>
      <w:r>
        <w:t>Вридслоселилле</w:t>
      </w:r>
      <w:r w:rsidR="00220048">
        <w:t>»</w:t>
      </w:r>
      <w:r>
        <w:t xml:space="preserve">, значительно улучшились. Парламентский омбудсмен (назначенный в качестве национального превентивного механизма), который ранее критиковал условия содержания в тюрьме </w:t>
      </w:r>
      <w:r w:rsidR="00220048">
        <w:t>«</w:t>
      </w:r>
      <w:r>
        <w:t>Вридслоселилле</w:t>
      </w:r>
      <w:r w:rsidR="00220048">
        <w:t>»</w:t>
      </w:r>
      <w:r>
        <w:t xml:space="preserve">, 19 декабря 2016 года проинформировал </w:t>
      </w:r>
      <w:r w:rsidR="003D1D30">
        <w:t xml:space="preserve">Министерство </w:t>
      </w:r>
      <w:r>
        <w:t>юстиции о том, что никаких дальнейших действий не требуется.</w:t>
      </w:r>
    </w:p>
    <w:p w:rsidR="008633F4" w:rsidRPr="00447723" w:rsidRDefault="008633F4" w:rsidP="008633F4">
      <w:pPr>
        <w:pStyle w:val="H4G"/>
      </w:pPr>
      <w:r>
        <w:tab/>
      </w:r>
      <w:r>
        <w:tab/>
      </w:r>
      <w:r>
        <w:rPr>
          <w:iCs/>
        </w:rPr>
        <w:t>Ответ, относящийся к подпункту d) пункта 32</w:t>
      </w:r>
    </w:p>
    <w:p w:rsidR="008633F4" w:rsidRPr="00447723" w:rsidRDefault="008633F4" w:rsidP="008633F4">
      <w:pPr>
        <w:pStyle w:val="SingleTxtG"/>
      </w:pPr>
      <w:r>
        <w:tab/>
      </w:r>
      <w:r>
        <w:tab/>
        <w:t>В ноябре 2015 года в пункт 37 Закона об иностранцах был включен новый подпункт k), предусматривающий приостановление в трехдневный срок автоматического судебного пересмотра решения о задержании, для применения в чрезвычайных ситуациях, что повлекло за собой значительное увеличение числа просителей убежища и иммигрантов, прибывающих в течение короткого периода времени. Если активировано положение о приос</w:t>
      </w:r>
      <w:r w:rsidR="00FA6DB8">
        <w:t>тановлении действия решения (по </w:t>
      </w:r>
      <w:r>
        <w:t>состоянию на 14 июля 2017 года таких случаев не было), судебный пересмотр решения о задержании может быть инициирован по ходатайству иностранца, а не автоматически. Таким образом, доступ к такому обзору остается открытым.</w:t>
      </w:r>
    </w:p>
    <w:p w:rsidR="008633F4" w:rsidRPr="00447723" w:rsidRDefault="008633F4" w:rsidP="008633F4">
      <w:pPr>
        <w:pStyle w:val="H4G"/>
      </w:pPr>
      <w:r>
        <w:lastRenderedPageBreak/>
        <w:tab/>
      </w:r>
      <w:r>
        <w:tab/>
      </w:r>
      <w:r>
        <w:rPr>
          <w:iCs/>
        </w:rPr>
        <w:t>Ответ, относящийся к подпункту е) пункта 32</w:t>
      </w:r>
    </w:p>
    <w:p w:rsidR="008633F4" w:rsidRPr="00447723" w:rsidRDefault="008633F4" w:rsidP="008633F4">
      <w:pPr>
        <w:pStyle w:val="SingleTxtG"/>
      </w:pPr>
      <w:r>
        <w:tab/>
      </w:r>
      <w:r>
        <w:tab/>
        <w:t>Активы просителей убежища могут быть конфискованы для покрытия расходов на их содержание во время процедуры предоставления убежища. Любая денежная наличность на сумму свыше 10 000 датских крон (1 300 евро) будет конфискована. Также могут быть конфискованы активы, превышающие эту же сумму, за исключением тех, которые представляют соб</w:t>
      </w:r>
      <w:r w:rsidR="00FA6DB8">
        <w:t>ой нематериальную ценность. Эти </w:t>
      </w:r>
      <w:r>
        <w:t>правила применялись семь раз (изъятая сумма составляла приблизительно 174</w:t>
      </w:r>
      <w:r w:rsidR="00FA6DB8">
        <w:t> </w:t>
      </w:r>
      <w:r>
        <w:t>000</w:t>
      </w:r>
      <w:r w:rsidR="00FA6DB8">
        <w:t> </w:t>
      </w:r>
      <w:r>
        <w:t xml:space="preserve">датских крон (23 000 евро)) и отвечают основополагающему национальному принципу, согласно которому, если человек может содержать себя, он должен это делать, что, в частности, применимо и к просителям убежища. Отменять эти правила не планируется. </w:t>
      </w:r>
    </w:p>
    <w:p w:rsidR="008633F4" w:rsidRPr="00447723" w:rsidRDefault="008633F4" w:rsidP="008633F4">
      <w:pPr>
        <w:pStyle w:val="H23G"/>
      </w:pPr>
      <w:r>
        <w:tab/>
      </w:r>
      <w:r>
        <w:tab/>
      </w:r>
      <w:r>
        <w:rPr>
          <w:bCs/>
        </w:rPr>
        <w:t>Информация, полученная от национального правозащитного учреждения</w:t>
      </w:r>
    </w:p>
    <w:p w:rsidR="008633F4" w:rsidRPr="00447723" w:rsidRDefault="008633F4" w:rsidP="008633F4">
      <w:pPr>
        <w:pStyle w:val="SingleTxtG"/>
      </w:pPr>
      <w:r>
        <w:tab/>
      </w:r>
      <w:r>
        <w:tab/>
        <w:t>В соответствии с Законом об иностранцах ходатайства детей, которые считаются слишком незрелыми для прохождения процедуры предоставления убежища, не будут рассматриваться до тех пор, пока они не достигнут достаточной зрелости. Им может быть предоставлен вид на жительство в качестве несопровождаемых детей при соблюдении определенных условий. Поступают сообщения о случаях отказа в выдаче таких разрешений, когда дети остаются в центрах для просителей убежища до достижения ими возраста, достаточного для прохождения процедуры предоставления убежища.</w:t>
      </w:r>
    </w:p>
    <w:p w:rsidR="008633F4" w:rsidRPr="00447723" w:rsidRDefault="008633F4" w:rsidP="008633F4">
      <w:pPr>
        <w:pStyle w:val="H23G"/>
      </w:pPr>
      <w:r>
        <w:tab/>
      </w:r>
      <w:r>
        <w:tab/>
      </w:r>
      <w:r>
        <w:rPr>
          <w:bCs/>
        </w:rPr>
        <w:t>Информация, полученная от неправительственных организаций</w:t>
      </w:r>
    </w:p>
    <w:p w:rsidR="008633F4" w:rsidRPr="00447723" w:rsidRDefault="008633F4" w:rsidP="008633F4">
      <w:pPr>
        <w:pStyle w:val="H4G"/>
      </w:pPr>
      <w:r>
        <w:tab/>
      </w:r>
      <w:r>
        <w:tab/>
      </w:r>
      <w:r>
        <w:rPr>
          <w:iCs/>
        </w:rPr>
        <w:t>Информация, относящаяся к подпункту а) пункта 32</w:t>
      </w:r>
    </w:p>
    <w:p w:rsidR="008633F4" w:rsidRPr="00447723" w:rsidRDefault="008633F4" w:rsidP="008633F4">
      <w:pPr>
        <w:pStyle w:val="SingleTxtG"/>
      </w:pPr>
      <w:r>
        <w:tab/>
      </w:r>
      <w:r>
        <w:tab/>
        <w:t xml:space="preserve">Режим </w:t>
      </w:r>
      <w:r w:rsidR="00220048">
        <w:t>«</w:t>
      </w:r>
      <w:r>
        <w:t>допустимого пребывания</w:t>
      </w:r>
      <w:r w:rsidR="00220048">
        <w:t>»</w:t>
      </w:r>
      <w:r>
        <w:t xml:space="preserve"> был до</w:t>
      </w:r>
      <w:r w:rsidR="00FA6DB8">
        <w:t>полнительно ужесточен Законом № </w:t>
      </w:r>
      <w:r>
        <w:t xml:space="preserve">189 от 28 февраля 2017 года, который, в частности, налагает обязанность уведомлять лиц, находящихся в Дании в соответствии с правом </w:t>
      </w:r>
      <w:r w:rsidR="00220048">
        <w:t>«</w:t>
      </w:r>
      <w:r>
        <w:t>допустимого пребывания</w:t>
      </w:r>
      <w:r w:rsidR="00220048">
        <w:t>»</w:t>
      </w:r>
      <w:r>
        <w:t>, о случаях неспособности выполнять свои обязательства по проживанию и увеличивает максимальный срок тюремного з</w:t>
      </w:r>
      <w:r w:rsidR="00FA6DB8">
        <w:t>аключения за несоблюдение до 18 </w:t>
      </w:r>
      <w:r>
        <w:t xml:space="preserve">месяцев. Несколькими неделями ранее, 17 января 2017 года, Верховный суд в одном конкретном деле пришел к выводу, что режим </w:t>
      </w:r>
      <w:r w:rsidR="00220048">
        <w:t>«</w:t>
      </w:r>
      <w:r>
        <w:t>допустимого пребывания</w:t>
      </w:r>
      <w:r w:rsidR="00220048">
        <w:t>»</w:t>
      </w:r>
      <w:r>
        <w:t xml:space="preserve"> влечет за собой несоразмерное ограничение прав человека.</w:t>
      </w:r>
    </w:p>
    <w:p w:rsidR="008633F4" w:rsidRPr="00447723" w:rsidRDefault="008633F4" w:rsidP="008633F4">
      <w:pPr>
        <w:pStyle w:val="SingleTxtG"/>
      </w:pPr>
      <w:r>
        <w:tab/>
      </w:r>
      <w:r>
        <w:tab/>
        <w:t xml:space="preserve">Договорные органы Организации Объединенных Наций продолжают выносить решения о том, что Дания нарушает принцип невыдворения, и непринятие мер по выявлению и обследованию жертв пыток среди просителей убежища, возможно, приводит к таким нарушениям. Пересмотр Советом по апелляциям беженцев конкретных дел после решений, принятых в 2017 году Комитетом по правам человека и Комитетом против пыток, не отражает их критику, и отдельные лица все еще находятся под угрозой депортации после пересмотра их дел. </w:t>
      </w:r>
    </w:p>
    <w:p w:rsidR="008633F4" w:rsidRPr="00447723" w:rsidRDefault="008633F4" w:rsidP="008633F4">
      <w:pPr>
        <w:pStyle w:val="H4G"/>
      </w:pPr>
      <w:r>
        <w:tab/>
      </w:r>
      <w:r>
        <w:tab/>
      </w:r>
      <w:r>
        <w:rPr>
          <w:iCs/>
        </w:rPr>
        <w:t>Информация, относящаяся к подпунктам b) и с) пункта 32</w:t>
      </w:r>
      <w:r>
        <w:t xml:space="preserve"> </w:t>
      </w:r>
    </w:p>
    <w:p w:rsidR="008633F4" w:rsidRPr="00447723" w:rsidRDefault="008633F4" w:rsidP="008633F4">
      <w:pPr>
        <w:pStyle w:val="SingleTxtG"/>
      </w:pPr>
      <w:r>
        <w:tab/>
      </w:r>
      <w:r>
        <w:tab/>
        <w:t xml:space="preserve">Последние поправки к Закону об иностранцах направлены на более широкое применение такой меры, как задержание мигрантов и просителей убежища. Хотя пересмотр в судебном порядке решений о задержании просителей убежища, ходатайства которых были отклонены, возможен, судьи в большинстве случаев оставляют в силе решения о таком задержании. Кроме того, решения судов первой инстанции принимаются без рассмотрения документов, где бы определялось, являются ли лица жертвами пыток или каково состояние их здоровья в целом. </w:t>
      </w:r>
    </w:p>
    <w:p w:rsidR="008633F4" w:rsidRPr="00447723" w:rsidRDefault="008633F4" w:rsidP="008633F4">
      <w:pPr>
        <w:pStyle w:val="H4G"/>
      </w:pPr>
      <w:r>
        <w:tab/>
      </w:r>
      <w:r>
        <w:tab/>
      </w:r>
      <w:r>
        <w:rPr>
          <w:iCs/>
        </w:rPr>
        <w:t>Информация, относящаяся к подпункту d) пункта 32</w:t>
      </w:r>
    </w:p>
    <w:p w:rsidR="008633F4" w:rsidRPr="00447723" w:rsidRDefault="008633F4" w:rsidP="008633F4">
      <w:pPr>
        <w:pStyle w:val="SingleTxtG"/>
      </w:pPr>
      <w:r>
        <w:tab/>
      </w:r>
      <w:r>
        <w:tab/>
        <w:t>Пункт 37 k) Закона об иностранцах должен быть отменен.</w:t>
      </w:r>
    </w:p>
    <w:p w:rsidR="008633F4" w:rsidRPr="00447723" w:rsidRDefault="008633F4" w:rsidP="008633F4">
      <w:pPr>
        <w:pStyle w:val="H23G"/>
      </w:pPr>
      <w:r>
        <w:tab/>
      </w:r>
      <w:r>
        <w:tab/>
      </w:r>
      <w:r>
        <w:rPr>
          <w:bCs/>
        </w:rPr>
        <w:t>Оценка Комитета</w:t>
      </w:r>
    </w:p>
    <w:p w:rsidR="008633F4" w:rsidRPr="00447723" w:rsidRDefault="008633F4" w:rsidP="008633F4">
      <w:pPr>
        <w:pStyle w:val="SingleTxtG"/>
      </w:pPr>
      <w:r w:rsidRPr="00445FE3">
        <w:rPr>
          <w:b/>
        </w:rPr>
        <w:t>[</w:t>
      </w:r>
      <w:r w:rsidRPr="00445FE3">
        <w:rPr>
          <w:b/>
          <w:bCs/>
        </w:rPr>
        <w:t>B</w:t>
      </w:r>
      <w:r w:rsidRPr="00445FE3">
        <w:rPr>
          <w:b/>
        </w:rPr>
        <w:t>]</w:t>
      </w:r>
      <w:r>
        <w:t xml:space="preserve"> а) и b): Комитет принимает к сведению информацию о процедуре предоставления убежища и соблюдении принципа невыдворения. Ему необходима дополнительная </w:t>
      </w:r>
      <w:r>
        <w:lastRenderedPageBreak/>
        <w:t>информация в отношении: а) любых мер, принимаемых для обеспечения более строгого соблюдения принципа невыдворения на практике, включая любые действующие правовые и процедурные стандарты для обеспечения систематического и эффективного выявления жертв пыток среди просителей убежища и эффективной судебно-медицинской экспертизы в обоснование и</w:t>
      </w:r>
      <w:r w:rsidR="00FA6DB8">
        <w:t>х ходатайств о невыдворении; b) </w:t>
      </w:r>
      <w:r>
        <w:t xml:space="preserve">ограничений режима </w:t>
      </w:r>
      <w:r w:rsidR="00220048">
        <w:t>«</w:t>
      </w:r>
      <w:r>
        <w:t>допустимого пребывания</w:t>
      </w:r>
      <w:r w:rsidR="00220048">
        <w:t>»</w:t>
      </w:r>
      <w:r>
        <w:t xml:space="preserve">, введенных Законом № 189 и любыми последующими поправками, которые могли быть приняты и которые затрагивают права лиц, подпадающих под режим </w:t>
      </w:r>
      <w:r w:rsidR="00220048">
        <w:t>«</w:t>
      </w:r>
      <w:r>
        <w:t>допустимого пребывания</w:t>
      </w:r>
      <w:r w:rsidR="00220048">
        <w:t>»</w:t>
      </w:r>
      <w:r>
        <w:t xml:space="preserve">, в том числе </w:t>
      </w:r>
      <w:r w:rsidR="00FA6DB8">
        <w:t xml:space="preserve">их совместимости с Пактом; и </w:t>
      </w:r>
      <w:r>
        <w:t xml:space="preserve">с) разъяснения того, подлежат ли обжалованию решения, касающиеся обязательств по проживанию лиц, подпадающих под режим </w:t>
      </w:r>
      <w:r w:rsidR="00220048">
        <w:t>«</w:t>
      </w:r>
      <w:r>
        <w:t>допустимого пребывания</w:t>
      </w:r>
      <w:r w:rsidR="00220048">
        <w:t>»</w:t>
      </w:r>
      <w:r>
        <w:t>, и могут ли такие обязательства быть отменены в отдельных случаях.</w:t>
      </w:r>
    </w:p>
    <w:p w:rsidR="008633F4" w:rsidRPr="00447723" w:rsidRDefault="008633F4" w:rsidP="008633F4">
      <w:pPr>
        <w:pStyle w:val="SingleTxtG"/>
      </w:pPr>
      <w:r>
        <w:tab/>
      </w:r>
      <w:r>
        <w:tab/>
        <w:t>Комитет приветствует информацию о том, что содержание под стражей иностранцев, ожидающих депортации, всегда должно быть продиктовано необходимостью, быть соразмерным и применяться после изучения дела в индивидуальном порядке. Вместе с тем он отмечает ограниченность представленной информации об альтернативах содержанию под стражей. Ему необходима дополнительная информация в отношении: а) мер, принимаемых для обеспечения того, чтобы задержание мигрантов и просителей убежища на практике было обоснованным, разумным, необходимым и соразмерным обстоятельствам; и</w:t>
      </w:r>
      <w:r w:rsidR="003D1D30">
        <w:t> </w:t>
      </w:r>
      <w:r>
        <w:t>b)</w:t>
      </w:r>
      <w:r w:rsidR="003D1D30">
        <w:t> </w:t>
      </w:r>
      <w:r>
        <w:t xml:space="preserve">имеющихся на практике альтернатив содержанию под стражей, включая данные об использовании таких альтернатив. Комитет также предлагает государству-участнику прокомментировать информацию о том, что последние поправки к Закону об иностранцах направлены на более широкое использование задержания мигрантов и просителей убежища, и представить информацию о последствиях принятия этих поправок. </w:t>
      </w:r>
    </w:p>
    <w:p w:rsidR="008633F4" w:rsidRPr="00447723" w:rsidRDefault="008633F4" w:rsidP="008633F4">
      <w:pPr>
        <w:pStyle w:val="SingleTxtG"/>
      </w:pPr>
      <w:r w:rsidRPr="00445FE3">
        <w:rPr>
          <w:b/>
        </w:rPr>
        <w:t>[</w:t>
      </w:r>
      <w:r w:rsidRPr="00445FE3">
        <w:rPr>
          <w:b/>
          <w:bCs/>
        </w:rPr>
        <w:t>B</w:t>
      </w:r>
      <w:r w:rsidRPr="00445FE3">
        <w:rPr>
          <w:b/>
        </w:rPr>
        <w:t>]</w:t>
      </w:r>
      <w:r>
        <w:t xml:space="preserve"> c): Комитет отмечает, что максимальный срок содержания под стражей мигрантов и просителей убежища, ожидающих депор</w:t>
      </w:r>
      <w:r w:rsidR="00FA6DB8">
        <w:t>тации, остается неизменным. Ему </w:t>
      </w:r>
      <w:r>
        <w:t>необходима информация о рассмотрении вопроса о сокращении продолжительности такого содержания под стражей.</w:t>
      </w:r>
    </w:p>
    <w:p w:rsidR="008633F4" w:rsidRPr="00447723" w:rsidRDefault="008633F4" w:rsidP="008633F4">
      <w:pPr>
        <w:pStyle w:val="SingleTxtG"/>
      </w:pPr>
      <w:r>
        <w:tab/>
      </w:r>
      <w:r>
        <w:tab/>
        <w:t xml:space="preserve">Комитет с удовлетворением отмечает, что с осени 2016 года условия содержания под стражей просителей убежища, которым было отказано в предоставлении убежища, в тюрьме </w:t>
      </w:r>
      <w:r w:rsidR="00220048">
        <w:t>«</w:t>
      </w:r>
      <w:r w:rsidRPr="006A171F">
        <w:t>Вридслоселилле</w:t>
      </w:r>
      <w:r w:rsidR="00220048">
        <w:t>»</w:t>
      </w:r>
      <w:r>
        <w:t xml:space="preserve"> улучшились, и просит представить обновленную информацию по этому вопросу в следующем периодическом докладе. </w:t>
      </w:r>
    </w:p>
    <w:p w:rsidR="008633F4" w:rsidRPr="00447723" w:rsidRDefault="008633F4" w:rsidP="008633F4">
      <w:pPr>
        <w:pStyle w:val="SingleTxtG"/>
      </w:pPr>
      <w:r w:rsidRPr="00445FE3">
        <w:rPr>
          <w:b/>
        </w:rPr>
        <w:t>[</w:t>
      </w:r>
      <w:r w:rsidRPr="00445FE3">
        <w:rPr>
          <w:b/>
          <w:bCs/>
        </w:rPr>
        <w:t>С</w:t>
      </w:r>
      <w:r w:rsidRPr="00445FE3">
        <w:rPr>
          <w:b/>
        </w:rPr>
        <w:t>]</w:t>
      </w:r>
      <w:r w:rsidR="00445FE3">
        <w:t xml:space="preserve"> </w:t>
      </w:r>
      <w:r>
        <w:t>d): Комитет принимает к сведению представленную информацию, однак</w:t>
      </w:r>
      <w:r w:rsidR="003D1D30">
        <w:t xml:space="preserve">о сожалеет о том, что пункт 37 </w:t>
      </w:r>
      <w:r>
        <w:t>k) Закона об иностранцах не был отменен. Он нуждается в разъяснении, применялось ли это положение с момента принятия заключительных замечаний, и если да, то сколько иностранцев из общего числа задержанных воспользовались правом ходатайствовать о судебном пересмотре своего задержания, а также каковы предоставленные им процессуальные права, включая разъяснения относительно наличия доступа к бесплатной юридической помощи в этом процессе. Комитет повторяет свои рекомендации.</w:t>
      </w:r>
    </w:p>
    <w:p w:rsidR="008633F4" w:rsidRPr="00447723" w:rsidRDefault="008633F4" w:rsidP="008633F4">
      <w:pPr>
        <w:pStyle w:val="SingleTxtG"/>
      </w:pPr>
      <w:r w:rsidRPr="00445FE3">
        <w:rPr>
          <w:b/>
        </w:rPr>
        <w:t>[</w:t>
      </w:r>
      <w:r w:rsidRPr="00445FE3">
        <w:rPr>
          <w:b/>
          <w:bCs/>
        </w:rPr>
        <w:t>Е</w:t>
      </w:r>
      <w:r w:rsidRPr="00445FE3">
        <w:rPr>
          <w:b/>
        </w:rPr>
        <w:t>]</w:t>
      </w:r>
      <w:r w:rsidR="00445FE3">
        <w:t xml:space="preserve"> </w:t>
      </w:r>
      <w:r>
        <w:t>e): Комитет выражает сожаление по поводу того, что государство-участник не выполнило рекомендацию об отмене поправок к Закону об иностранцах, касающихся конфискации активов просителей убежища. Комитет повторяет свои рекомендации.</w:t>
      </w:r>
    </w:p>
    <w:p w:rsidR="008633F4" w:rsidRPr="00447723" w:rsidRDefault="008633F4" w:rsidP="008633F4">
      <w:pPr>
        <w:pStyle w:val="SingleTxtG"/>
      </w:pPr>
      <w:r>
        <w:rPr>
          <w:b/>
          <w:bCs/>
        </w:rPr>
        <w:t>Рекомендуемые действия:</w:t>
      </w:r>
      <w:r>
        <w:t xml:space="preserve"> следует направить письмо, извещающее государство-участник о прекращении пр</w:t>
      </w:r>
      <w:bookmarkStart w:id="1" w:name="_GoBack"/>
      <w:bookmarkEnd w:id="1"/>
      <w:r>
        <w:t>оцедуры последующих действий. Запрашиваемая информация должна быть отражена в следующем периодическом докладе Дании.</w:t>
      </w:r>
    </w:p>
    <w:p w:rsidR="00381C24" w:rsidRPr="008633F4" w:rsidRDefault="008633F4" w:rsidP="008633F4">
      <w:pPr>
        <w:pStyle w:val="SingleTxtG"/>
      </w:pPr>
      <w:r>
        <w:rPr>
          <w:b/>
          <w:bCs/>
        </w:rPr>
        <w:t>Дата представления следующего периодического доклада:</w:t>
      </w:r>
      <w:r>
        <w:t xml:space="preserve"> 15 июля 2022 года.</w:t>
      </w:r>
    </w:p>
    <w:p w:rsidR="008633F4" w:rsidRPr="00FA6DB8" w:rsidRDefault="00FA6DB8" w:rsidP="00FA6DB8">
      <w:pPr>
        <w:pStyle w:val="SingleTxtG"/>
        <w:spacing w:before="240" w:after="0"/>
        <w:jc w:val="center"/>
        <w:rPr>
          <w:u w:val="single"/>
        </w:rPr>
      </w:pPr>
      <w:r>
        <w:rPr>
          <w:u w:val="single"/>
        </w:rPr>
        <w:tab/>
      </w:r>
      <w:r>
        <w:rPr>
          <w:u w:val="single"/>
        </w:rPr>
        <w:tab/>
      </w:r>
      <w:r>
        <w:rPr>
          <w:u w:val="single"/>
        </w:rPr>
        <w:tab/>
      </w:r>
      <w:r>
        <w:rPr>
          <w:u w:val="single"/>
        </w:rPr>
        <w:tab/>
      </w:r>
    </w:p>
    <w:sectPr w:rsidR="008633F4" w:rsidRPr="00FA6DB8" w:rsidSect="008633F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3A0" w:rsidRPr="00A312BC" w:rsidRDefault="00A743A0" w:rsidP="00A312BC"/>
  </w:endnote>
  <w:endnote w:type="continuationSeparator" w:id="0">
    <w:p w:rsidR="00A743A0" w:rsidRPr="00A312BC" w:rsidRDefault="00A743A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3F4" w:rsidRPr="008633F4" w:rsidRDefault="008633F4">
    <w:pPr>
      <w:pStyle w:val="a8"/>
    </w:pPr>
    <w:r w:rsidRPr="008633F4">
      <w:rPr>
        <w:b/>
        <w:sz w:val="18"/>
      </w:rPr>
      <w:fldChar w:fldCharType="begin"/>
    </w:r>
    <w:r w:rsidRPr="008633F4">
      <w:rPr>
        <w:b/>
        <w:sz w:val="18"/>
      </w:rPr>
      <w:instrText xml:space="preserve"> PAGE  \* MERGEFORMAT </w:instrText>
    </w:r>
    <w:r w:rsidRPr="008633F4">
      <w:rPr>
        <w:b/>
        <w:sz w:val="18"/>
      </w:rPr>
      <w:fldChar w:fldCharType="separate"/>
    </w:r>
    <w:r w:rsidR="00D2338B">
      <w:rPr>
        <w:b/>
        <w:noProof/>
        <w:sz w:val="18"/>
      </w:rPr>
      <w:t>8</w:t>
    </w:r>
    <w:r w:rsidRPr="008633F4">
      <w:rPr>
        <w:b/>
        <w:sz w:val="18"/>
      </w:rPr>
      <w:fldChar w:fldCharType="end"/>
    </w:r>
    <w:r>
      <w:rPr>
        <w:b/>
        <w:sz w:val="18"/>
      </w:rPr>
      <w:tab/>
    </w:r>
    <w:r>
      <w:t>GE.19-07495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3F4" w:rsidRPr="008633F4" w:rsidRDefault="008633F4" w:rsidP="008633F4">
    <w:pPr>
      <w:pStyle w:val="a8"/>
      <w:tabs>
        <w:tab w:val="clear" w:pos="9639"/>
        <w:tab w:val="right" w:pos="9638"/>
      </w:tabs>
      <w:rPr>
        <w:b/>
        <w:sz w:val="18"/>
      </w:rPr>
    </w:pPr>
    <w:r>
      <w:t>GE.19-07495</w:t>
    </w:r>
    <w:r>
      <w:tab/>
    </w:r>
    <w:r w:rsidRPr="008633F4">
      <w:rPr>
        <w:b/>
        <w:sz w:val="18"/>
      </w:rPr>
      <w:fldChar w:fldCharType="begin"/>
    </w:r>
    <w:r w:rsidRPr="008633F4">
      <w:rPr>
        <w:b/>
        <w:sz w:val="18"/>
      </w:rPr>
      <w:instrText xml:space="preserve"> PAGE  \* MERGEFORMAT </w:instrText>
    </w:r>
    <w:r w:rsidRPr="008633F4">
      <w:rPr>
        <w:b/>
        <w:sz w:val="18"/>
      </w:rPr>
      <w:fldChar w:fldCharType="separate"/>
    </w:r>
    <w:r w:rsidR="00D2338B">
      <w:rPr>
        <w:b/>
        <w:noProof/>
        <w:sz w:val="18"/>
      </w:rPr>
      <w:t>7</w:t>
    </w:r>
    <w:r w:rsidRPr="008633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633F4" w:rsidRDefault="008633F4" w:rsidP="008633F4">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19-07495  (R)</w:t>
    </w:r>
    <w:r w:rsidR="00220048">
      <w:t xml:space="preserve">  230519  240519</w:t>
    </w:r>
    <w:r>
      <w:br/>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sidRPr="008633F4">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125/2/Add.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3A0" w:rsidRPr="001075E9" w:rsidRDefault="00A743A0" w:rsidP="001075E9">
      <w:pPr>
        <w:tabs>
          <w:tab w:val="right" w:pos="2155"/>
        </w:tabs>
        <w:spacing w:after="80" w:line="240" w:lineRule="auto"/>
        <w:ind w:left="680"/>
        <w:rPr>
          <w:u w:val="single"/>
        </w:rPr>
      </w:pPr>
      <w:r>
        <w:rPr>
          <w:u w:val="single"/>
        </w:rPr>
        <w:tab/>
      </w:r>
    </w:p>
  </w:footnote>
  <w:footnote w:type="continuationSeparator" w:id="0">
    <w:p w:rsidR="00A743A0" w:rsidRDefault="00A743A0" w:rsidP="00407B78">
      <w:pPr>
        <w:tabs>
          <w:tab w:val="right" w:pos="2155"/>
        </w:tabs>
        <w:spacing w:after="80"/>
        <w:ind w:left="680"/>
        <w:rPr>
          <w:u w:val="single"/>
        </w:rPr>
      </w:pPr>
      <w:r>
        <w:rPr>
          <w:u w:val="single"/>
        </w:rPr>
        <w:tab/>
      </w:r>
    </w:p>
  </w:footnote>
  <w:footnote w:id="1">
    <w:p w:rsidR="008633F4" w:rsidRPr="00447723" w:rsidRDefault="008633F4" w:rsidP="008633F4">
      <w:pPr>
        <w:pStyle w:val="ad"/>
      </w:pPr>
      <w:r>
        <w:tab/>
      </w:r>
      <w:r w:rsidRPr="00220048">
        <w:rPr>
          <w:sz w:val="20"/>
        </w:rPr>
        <w:t>*</w:t>
      </w:r>
      <w:r>
        <w:tab/>
        <w:t xml:space="preserve">Принят Комитетом на его 125-й сессии (4–29 марта 2019 года). </w:t>
      </w:r>
    </w:p>
  </w:footnote>
  <w:footnote w:id="2">
    <w:p w:rsidR="008633F4" w:rsidRPr="00220048" w:rsidRDefault="008633F4" w:rsidP="008633F4">
      <w:pPr>
        <w:pStyle w:val="ad"/>
      </w:pPr>
      <w:r>
        <w:tab/>
      </w:r>
      <w:r w:rsidRPr="00220048">
        <w:rPr>
          <w:sz w:val="20"/>
        </w:rPr>
        <w:t>**</w:t>
      </w:r>
      <w:r>
        <w:tab/>
        <w:t xml:space="preserve">Критерии оценки доступны по адресу </w:t>
      </w:r>
      <w:hyperlink r:id="rId1" w:history="1">
        <w:r w:rsidR="00220048" w:rsidRPr="00F47F04">
          <w:rPr>
            <w:rStyle w:val="af1"/>
          </w:rPr>
          <w:t>http://tbinternet.ohchr.org/Treaties/CCPR/</w:t>
        </w:r>
        <w:r w:rsidR="00220048" w:rsidRPr="00F47F04">
          <w:rPr>
            <w:rStyle w:val="af1"/>
          </w:rPr>
          <w:br/>
          <w:t>Shared%20Documents/1_Global/INT_CCPR_FGD_8108_E.pdf</w:t>
        </w:r>
      </w:hyperlink>
      <w:r w:rsidR="00220048" w:rsidRPr="00220048">
        <w:t xml:space="preserve"> </w:t>
      </w:r>
      <w:r>
        <w:t>(на английском языке)</w:t>
      </w:r>
      <w:r w:rsidR="00220048" w:rsidRPr="00220048">
        <w:t>.</w:t>
      </w:r>
    </w:p>
  </w:footnote>
  <w:footnote w:id="3">
    <w:p w:rsidR="00220048" w:rsidRPr="00447723" w:rsidRDefault="00220048" w:rsidP="00220048">
      <w:pPr>
        <w:pStyle w:val="ad"/>
      </w:pPr>
      <w:r>
        <w:tab/>
      </w:r>
      <w:r w:rsidRPr="000271AC">
        <w:rPr>
          <w:rStyle w:val="aa"/>
        </w:rPr>
        <w:footnoteRef/>
      </w:r>
      <w:r>
        <w:tab/>
        <w:t xml:space="preserve">Представление доступно по адресу </w:t>
      </w:r>
      <w:hyperlink r:id="rId2" w:history="1">
        <w:r w:rsidRPr="00F47F04">
          <w:rPr>
            <w:rStyle w:val="af1"/>
          </w:rPr>
          <w:t>https://tbinternet.ohchr.org/_layouts/TreatyBodyExternal/</w:t>
        </w:r>
        <w:r w:rsidRPr="00F47F04">
          <w:rPr>
            <w:rStyle w:val="af1"/>
          </w:rPr>
          <w:br/>
          <w:t>FollowUp.aspx?Treaty=CCPR&amp;Lang=en</w:t>
        </w:r>
      </w:hyperlink>
      <w:r>
        <w:t xml:space="preserve"> </w:t>
      </w:r>
      <w:r>
        <w:t>(на английском языке)</w:t>
      </w:r>
      <w:r>
        <w:t>.</w:t>
      </w:r>
      <w:r>
        <w:t xml:space="preserve"> </w:t>
      </w:r>
    </w:p>
  </w:footnote>
  <w:footnote w:id="4">
    <w:p w:rsidR="00220048" w:rsidRPr="000B1F34" w:rsidRDefault="00220048" w:rsidP="00220048">
      <w:pPr>
        <w:pStyle w:val="ad"/>
      </w:pPr>
      <w:r>
        <w:tab/>
      </w:r>
      <w:r w:rsidRPr="000271AC">
        <w:rPr>
          <w:rStyle w:val="aa"/>
        </w:rPr>
        <w:footnoteRef/>
      </w:r>
      <w:r>
        <w:tab/>
        <w:t xml:space="preserve">Представление доступно по адресу </w:t>
      </w:r>
      <w:hyperlink r:id="rId3" w:history="1">
        <w:r w:rsidRPr="00F47F04">
          <w:rPr>
            <w:rStyle w:val="af1"/>
          </w:rPr>
          <w:t>https://tbinternet.ohchr.org/_layouts/TreatyBodyExternal/</w:t>
        </w:r>
        <w:r w:rsidRPr="00F47F04">
          <w:rPr>
            <w:rStyle w:val="af1"/>
          </w:rPr>
          <w:br/>
          <w:t>FollowUp.aspx?Treaty=CCPR&amp;Lang=en</w:t>
        </w:r>
      </w:hyperlink>
      <w:r>
        <w:t xml:space="preserve"> </w:t>
      </w:r>
      <w:r>
        <w:t>(на английском языке)</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3F4" w:rsidRPr="008633F4" w:rsidRDefault="008633F4">
    <w:pPr>
      <w:pStyle w:val="a5"/>
    </w:pPr>
    <w:fldSimple w:instr=" TITLE  \* MERGEFORMAT ">
      <w:r w:rsidR="00D2338B">
        <w:t>CCPR/C/125/2/Add.4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3F4" w:rsidRPr="008633F4" w:rsidRDefault="008633F4" w:rsidP="008633F4">
    <w:pPr>
      <w:pStyle w:val="a5"/>
      <w:jc w:val="right"/>
    </w:pPr>
    <w:fldSimple w:instr=" TITLE  \* MERGEFORMAT ">
      <w:r w:rsidR="00D2338B">
        <w:t>CCPR/C/125/2/Add.4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3A0"/>
    <w:rsid w:val="00033EE1"/>
    <w:rsid w:val="00042B72"/>
    <w:rsid w:val="000558BD"/>
    <w:rsid w:val="000B57E7"/>
    <w:rsid w:val="000B6373"/>
    <w:rsid w:val="000F09DF"/>
    <w:rsid w:val="000F61B2"/>
    <w:rsid w:val="001075E9"/>
    <w:rsid w:val="00180183"/>
    <w:rsid w:val="0018024D"/>
    <w:rsid w:val="0018649F"/>
    <w:rsid w:val="00196389"/>
    <w:rsid w:val="001967AA"/>
    <w:rsid w:val="001B3EF6"/>
    <w:rsid w:val="001C7A89"/>
    <w:rsid w:val="00220048"/>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D1D30"/>
    <w:rsid w:val="00407B78"/>
    <w:rsid w:val="00424203"/>
    <w:rsid w:val="00445FE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73559"/>
    <w:rsid w:val="00787D3A"/>
    <w:rsid w:val="00791B9D"/>
    <w:rsid w:val="00825F8D"/>
    <w:rsid w:val="00834B71"/>
    <w:rsid w:val="008633F4"/>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743A0"/>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2338B"/>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A6DB8"/>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0D54B8"/>
  <w15:docId w15:val="{34CC17B2-CABF-493A-9EEB-0358E325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TreatyBodyExternal/FollowUp.aspx?Treaty=CCPR&amp;Lang=en" TargetMode="External"/><Relationship Id="rId2" Type="http://schemas.openxmlformats.org/officeDocument/2006/relationships/hyperlink" Target="https://tbinternet.ohchr.org/_layouts/TreatyBodyExternal/FollowUp.aspx?Treaty=CCPR&amp;Lang=en"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8</Pages>
  <Words>3338</Words>
  <Characters>22903</Characters>
  <Application>Microsoft Office Word</Application>
  <DocSecurity>0</DocSecurity>
  <Lines>416</Lines>
  <Paragraphs>103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CCPR/C/125/2/Add.4</vt:lpstr>
      <vt:lpstr>A/</vt:lpstr>
      <vt:lpstr>A/</vt:lpstr>
    </vt:vector>
  </TitlesOfParts>
  <Company>DCM</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
  <dc:creator>Marina KOROTKOVA</dc:creator>
  <cp:keywords/>
  <cp:lastModifiedBy>Marina Korotkova</cp:lastModifiedBy>
  <cp:revision>3</cp:revision>
  <cp:lastPrinted>2019-05-24T09:52:00Z</cp:lastPrinted>
  <dcterms:created xsi:type="dcterms:W3CDTF">2019-05-24T09:52:00Z</dcterms:created>
  <dcterms:modified xsi:type="dcterms:W3CDTF">2019-05-24T09:56:00Z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