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4A" w:rsidRDefault="0079274A" w:rsidP="0079274A">
      <w:pPr>
        <w:spacing w:line="240" w:lineRule="auto"/>
        <w:jc w:val="left"/>
        <w:rPr>
          <w:szCs w:val="6"/>
        </w:rPr>
        <w:sectPr w:rsidR="0079274A" w:rsidSect="0079274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94CA6" w:rsidRPr="00794CA6" w:rsidRDefault="00794CA6" w:rsidP="00794CA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794CA6">
        <w:rPr>
          <w:rtl/>
        </w:rPr>
        <w:t>اللجنة المعنية بالقضاء على التمييز ضد المرأة</w:t>
      </w:r>
    </w:p>
    <w:p w:rsidR="00794CA6" w:rsidRPr="00794CA6" w:rsidRDefault="00794CA6" w:rsidP="00794CA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94CA6">
        <w:rPr>
          <w:rFonts w:hint="cs"/>
          <w:rtl/>
        </w:rPr>
        <w:t>الفريق العامل لما قبل الدورات</w:t>
      </w:r>
    </w:p>
    <w:p w:rsidR="00794CA6" w:rsidRPr="00794CA6" w:rsidRDefault="00794CA6" w:rsidP="00794CA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94CA6">
        <w:rPr>
          <w:rFonts w:hint="cs"/>
          <w:rtl/>
        </w:rPr>
        <w:t>الدورتان الأربعون والحادية والأربعون</w:t>
      </w:r>
    </w:p>
    <w:p w:rsidR="00794CA6" w:rsidRPr="00794CA6" w:rsidRDefault="00794CA6" w:rsidP="00794CA6">
      <w:pPr>
        <w:tabs>
          <w:tab w:val="left" w:pos="662"/>
          <w:tab w:val="left" w:pos="1267"/>
          <w:tab w:val="left" w:pos="1987"/>
          <w:tab w:val="left" w:pos="2650"/>
        </w:tabs>
        <w:rPr>
          <w:rFonts w:hint="cs"/>
          <w:rtl/>
        </w:rPr>
      </w:pPr>
      <w:r w:rsidRPr="00794CA6">
        <w:rPr>
          <w:rFonts w:hint="cs"/>
          <w:rtl/>
        </w:rPr>
        <w:t>16-20 تموز/يوليه 2007</w:t>
      </w: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94CA6">
        <w:rPr>
          <w:rFonts w:hint="cs"/>
          <w:rtl/>
        </w:rPr>
        <w:tab/>
      </w:r>
      <w:r w:rsidRPr="00794CA6">
        <w:rPr>
          <w:rFonts w:hint="cs"/>
          <w:rtl/>
        </w:rPr>
        <w:tab/>
        <w:t>قائمة المسائل والأسئلة المطروحة فيما يتعلق بالنظر في التقارير الدورية</w:t>
      </w: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94CA6">
        <w:rPr>
          <w:rFonts w:hint="cs"/>
          <w:rtl/>
        </w:rPr>
        <w:tab/>
      </w:r>
      <w:r w:rsidRPr="00794CA6">
        <w:rPr>
          <w:rFonts w:hint="cs"/>
          <w:rtl/>
        </w:rPr>
        <w:tab/>
        <w:t>اليمن</w:t>
      </w:r>
    </w:p>
    <w:p w:rsidR="00794CA6" w:rsidRPr="00794CA6" w:rsidRDefault="00794CA6" w:rsidP="00794CA6">
      <w:pPr>
        <w:pStyle w:val="SingleTxt"/>
        <w:spacing w:after="0" w:line="120" w:lineRule="exact"/>
        <w:rPr>
          <w:rFonts w:hint="cs"/>
          <w:sz w:val="10"/>
          <w:rtl/>
        </w:rPr>
      </w:pP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94CA6">
        <w:rPr>
          <w:rFonts w:hint="cs"/>
          <w:rtl/>
        </w:rPr>
        <w:t>مقدمة</w:t>
      </w:r>
    </w:p>
    <w:p w:rsidR="00794CA6" w:rsidRPr="00794CA6" w:rsidRDefault="00794CA6" w:rsidP="004F67D4">
      <w:pPr>
        <w:pStyle w:val="SingleTxt"/>
        <w:rPr>
          <w:rFonts w:hint="cs"/>
          <w:rtl/>
        </w:rPr>
      </w:pPr>
      <w:r>
        <w:rPr>
          <w:rFonts w:hint="cs"/>
          <w:rtl/>
        </w:rPr>
        <w:tab/>
      </w:r>
      <w:r w:rsidRPr="00794CA6">
        <w:rPr>
          <w:rFonts w:hint="cs"/>
          <w:rtl/>
        </w:rPr>
        <w:t>درس الفريق العامل لما قبل الدورات التقرير الدوري السادس لليمن</w:t>
      </w:r>
      <w:r w:rsidR="004F67D4">
        <w:rPr>
          <w:rtl/>
        </w:rPr>
        <w:br/>
      </w:r>
      <w:r w:rsidRPr="00794CA6">
        <w:rPr>
          <w:rFonts w:hint="cs"/>
          <w:rtl/>
        </w:rPr>
        <w:t>(</w:t>
      </w:r>
      <w:r w:rsidRPr="00794CA6">
        <w:t>CEDAW/C/YEM/6</w:t>
      </w:r>
      <w:r w:rsidRPr="00794CA6">
        <w:rPr>
          <w:rFonts w:hint="cs"/>
          <w:rtl/>
        </w:rPr>
        <w:t>).</w:t>
      </w: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94CA6">
        <w:rPr>
          <w:rFonts w:hint="cs"/>
          <w:rtl/>
        </w:rPr>
        <w:tab/>
      </w:r>
      <w:r w:rsidRPr="00794CA6">
        <w:rPr>
          <w:rFonts w:hint="cs"/>
          <w:rtl/>
        </w:rPr>
        <w:tab/>
        <w:t>طلب عام</w:t>
      </w:r>
    </w:p>
    <w:p w:rsidR="00794CA6" w:rsidRPr="00794CA6" w:rsidRDefault="00794CA6" w:rsidP="00794CA6">
      <w:pPr>
        <w:pStyle w:val="SingleTxt"/>
        <w:rPr>
          <w:rFonts w:hint="cs"/>
          <w:rtl/>
        </w:rPr>
      </w:pPr>
      <w:r w:rsidRPr="00794CA6">
        <w:rPr>
          <w:rFonts w:hint="cs"/>
          <w:rtl/>
        </w:rPr>
        <w:t>1</w:t>
      </w:r>
      <w:r>
        <w:rPr>
          <w:rFonts w:hint="cs"/>
          <w:rtl/>
        </w:rPr>
        <w:t xml:space="preserve"> </w:t>
      </w:r>
      <w:r w:rsidRPr="00794CA6">
        <w:rPr>
          <w:rFonts w:hint="cs"/>
          <w:rtl/>
        </w:rPr>
        <w:t>-</w:t>
      </w:r>
      <w:r w:rsidRPr="00794CA6">
        <w:rPr>
          <w:rFonts w:hint="cs"/>
          <w:rtl/>
        </w:rPr>
        <w:tab/>
        <w:t>يرجى تقديم معلومات عن عملية إعداد التقرير الدوري السادس لليمن. وينبغي أن تبيّن هذه المعلومات المؤسسات الحكومية وغير الحكومية التي شاركت في إعداده، وطبيعة مشاركتها ومداها، وما إذا كان التقرير قد اعت</w:t>
      </w:r>
      <w:r w:rsidR="004F67D4">
        <w:rPr>
          <w:rFonts w:hint="cs"/>
          <w:rtl/>
        </w:rPr>
        <w:t>ُ</w:t>
      </w:r>
      <w:r w:rsidRPr="00794CA6">
        <w:rPr>
          <w:rFonts w:hint="cs"/>
          <w:rtl/>
        </w:rPr>
        <w:t xml:space="preserve">مد من </w:t>
      </w:r>
      <w:r w:rsidR="004F67D4">
        <w:rPr>
          <w:rFonts w:hint="cs"/>
          <w:rtl/>
        </w:rPr>
        <w:t>قبل مجلس الوزراء وعُرض على مجلس</w:t>
      </w:r>
      <w:r w:rsidR="004F67D4">
        <w:rPr>
          <w:rFonts w:hint="eastAsia"/>
          <w:rtl/>
        </w:rPr>
        <w:t> </w:t>
      </w:r>
      <w:r w:rsidRPr="00794CA6">
        <w:rPr>
          <w:rFonts w:hint="cs"/>
          <w:rtl/>
        </w:rPr>
        <w:t>النواب.</w:t>
      </w: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94CA6">
        <w:rPr>
          <w:rFonts w:hint="cs"/>
          <w:rtl/>
        </w:rPr>
        <w:tab/>
      </w:r>
      <w:r w:rsidRPr="00794CA6">
        <w:rPr>
          <w:rFonts w:hint="cs"/>
          <w:rtl/>
        </w:rPr>
        <w:tab/>
        <w:t>الإطار التشريعي والمؤسسي</w:t>
      </w:r>
    </w:p>
    <w:p w:rsidR="00794CA6" w:rsidRPr="00794CA6" w:rsidRDefault="00794CA6" w:rsidP="00794CA6">
      <w:pPr>
        <w:pStyle w:val="SingleTxt"/>
        <w:rPr>
          <w:rFonts w:hint="cs"/>
          <w:rtl/>
        </w:rPr>
      </w:pPr>
      <w:r w:rsidRPr="00794CA6">
        <w:rPr>
          <w:rFonts w:hint="cs"/>
          <w:rtl/>
        </w:rPr>
        <w:t>2 -</w:t>
      </w:r>
      <w:r w:rsidRPr="00794CA6">
        <w:rPr>
          <w:rFonts w:hint="cs"/>
          <w:rtl/>
        </w:rPr>
        <w:tab/>
        <w:t>يرجى تقديم معلومات عن دور اللجنة الوطنية للمرأة ومهامها ومعلومات عن ميزانيتها ومواردها البشرية نسبة إلى ولايتها ومستوى مسؤوليتها.</w:t>
      </w:r>
    </w:p>
    <w:p w:rsidR="00794CA6" w:rsidRPr="00794CA6" w:rsidRDefault="00794CA6" w:rsidP="00794CA6">
      <w:pPr>
        <w:pStyle w:val="SingleTxt"/>
        <w:rPr>
          <w:rFonts w:hint="cs"/>
        </w:rPr>
      </w:pPr>
      <w:r w:rsidRPr="00794CA6">
        <w:rPr>
          <w:rFonts w:hint="cs"/>
          <w:rtl/>
        </w:rPr>
        <w:t>3 -</w:t>
      </w:r>
      <w:r w:rsidRPr="00794CA6">
        <w:rPr>
          <w:rFonts w:hint="cs"/>
          <w:rtl/>
        </w:rPr>
        <w:tab/>
        <w:t>ويرجى تقديم شرح للعلاقة بين اللجنة الوطنية للمرأة والمجلس الأعلى للمرأة من حيث إسهام هذه العلاقة في تعزيز فعالية الآلية الوطنية الخاصة بالمرأة.</w:t>
      </w:r>
    </w:p>
    <w:p w:rsidR="00794CA6" w:rsidRPr="00794CA6" w:rsidRDefault="00794CA6" w:rsidP="00794CA6">
      <w:pPr>
        <w:pStyle w:val="SingleTxt"/>
        <w:rPr>
          <w:rFonts w:hint="cs"/>
        </w:rPr>
      </w:pPr>
      <w:r w:rsidRPr="00794CA6">
        <w:rPr>
          <w:rFonts w:hint="cs"/>
          <w:rtl/>
        </w:rPr>
        <w:t>4 -</w:t>
      </w:r>
      <w:r w:rsidRPr="00794CA6">
        <w:rPr>
          <w:rFonts w:hint="cs"/>
          <w:rtl/>
        </w:rPr>
        <w:tab/>
        <w:t>ويذكر التقرير أنه تم تكليف لجنة مؤلفة من وزير الشؤون القانونية ووزير حقوق الإنسان ورئيسة اللجنة الوطنية للمرأة بمهمة إعادة النظر في القوانين التمييزية العديدة (انظر الفقرتين 1-2 و</w:t>
      </w:r>
      <w:r>
        <w:rPr>
          <w:rFonts w:hint="cs"/>
          <w:rtl/>
        </w:rPr>
        <w:t xml:space="preserve"> </w:t>
      </w:r>
      <w:r w:rsidRPr="00794CA6">
        <w:rPr>
          <w:rFonts w:hint="cs"/>
          <w:rtl/>
        </w:rPr>
        <w:t>1-3 من التقرير). فيرجى تقديم معلومات عن الأحكام المشمولة بعملية إعادة النظر هذه والوقت المتوقع أن يستغرقه العمل الذي تقوم به هذه اللجنة.</w:t>
      </w:r>
    </w:p>
    <w:p w:rsidR="00794CA6" w:rsidRPr="00794CA6" w:rsidRDefault="00794CA6" w:rsidP="00794CA6">
      <w:pPr>
        <w:pStyle w:val="SingleTxt"/>
        <w:rPr>
          <w:rFonts w:hint="cs"/>
        </w:rPr>
      </w:pPr>
      <w:r w:rsidRPr="00794CA6">
        <w:rPr>
          <w:rFonts w:hint="cs"/>
          <w:rtl/>
        </w:rPr>
        <w:t>5 -</w:t>
      </w:r>
      <w:r w:rsidRPr="00794CA6">
        <w:rPr>
          <w:rFonts w:hint="cs"/>
          <w:rtl/>
        </w:rPr>
        <w:tab/>
        <w:t>وجاء في التقرير أن مجلس الوزراء أحال إلى وزارة الشؤون القانونية 27 تعديلا تشريعيا مقترحا (انظر الفقرة 1-5 من التقرير). فيرجى الإفادة بعدد ما يتصل من هذه التعديلات مباشرة بالتزام الحكومة بموجب الاتفاقية وتقديم شرح لمضمونه.</w:t>
      </w:r>
    </w:p>
    <w:p w:rsidR="00794CA6" w:rsidRPr="00794CA6" w:rsidRDefault="00794CA6" w:rsidP="00794CA6">
      <w:pPr>
        <w:pStyle w:val="SingleTxt"/>
        <w:rPr>
          <w:rFonts w:hint="cs"/>
          <w:rtl/>
        </w:rPr>
      </w:pPr>
      <w:r w:rsidRPr="00794CA6">
        <w:rPr>
          <w:rFonts w:hint="cs"/>
          <w:rtl/>
        </w:rPr>
        <w:t>6 -</w:t>
      </w:r>
      <w:r w:rsidRPr="00794CA6">
        <w:rPr>
          <w:rFonts w:hint="cs"/>
          <w:rtl/>
        </w:rPr>
        <w:tab/>
        <w:t xml:space="preserve">وبحسب التقرير (الفقرة 1-4)، يجوز للمرأة أن </w:t>
      </w:r>
      <w:r w:rsidR="004F67D4">
        <w:rPr>
          <w:rFonts w:hint="cs"/>
          <w:rtl/>
        </w:rPr>
        <w:t>تلجأ إلى القضاء بصورة مباشرة أو</w:t>
      </w:r>
      <w:r w:rsidR="004F67D4">
        <w:rPr>
          <w:rFonts w:hint="eastAsia"/>
          <w:rtl/>
        </w:rPr>
        <w:t> </w:t>
      </w:r>
      <w:r w:rsidRPr="00794CA6">
        <w:rPr>
          <w:rFonts w:hint="cs"/>
          <w:rtl/>
        </w:rPr>
        <w:t>غير مباشرة. ويرجى شرح مفهوم لجوء المرأة إلى القضاء بصورة غير مباشرة، وفقا للمادتين 51 و</w:t>
      </w:r>
      <w:r>
        <w:rPr>
          <w:rFonts w:hint="cs"/>
          <w:rtl/>
        </w:rPr>
        <w:t xml:space="preserve"> </w:t>
      </w:r>
      <w:r w:rsidRPr="00794CA6">
        <w:rPr>
          <w:rFonts w:hint="cs"/>
          <w:rtl/>
        </w:rPr>
        <w:t xml:space="preserve">153 من الدستور، وتقديم بيانات </w:t>
      </w:r>
      <w:r w:rsidR="004F67D4">
        <w:rPr>
          <w:rFonts w:hint="cs"/>
          <w:rtl/>
        </w:rPr>
        <w:t>ومعلومات عن الشكاوى المرفوعة من</w:t>
      </w:r>
      <w:r w:rsidR="004F67D4">
        <w:rPr>
          <w:rFonts w:hint="eastAsia"/>
          <w:rtl/>
        </w:rPr>
        <w:t> </w:t>
      </w:r>
      <w:r w:rsidRPr="00794CA6">
        <w:rPr>
          <w:rFonts w:hint="cs"/>
          <w:rtl/>
        </w:rPr>
        <w:t>قبل نساء تعرّضن للتمييز لكونهن</w:t>
      </w:r>
      <w:r>
        <w:rPr>
          <w:rFonts w:hint="cs"/>
          <w:rtl/>
        </w:rPr>
        <w:t xml:space="preserve"> </w:t>
      </w:r>
      <w:r w:rsidRPr="00794CA6">
        <w:rPr>
          <w:rFonts w:hint="cs"/>
          <w:rtl/>
        </w:rPr>
        <w:t>إناثا</w:t>
      </w:r>
      <w:r w:rsidR="004F67D4">
        <w:rPr>
          <w:rFonts w:hint="cs"/>
          <w:rtl/>
        </w:rPr>
        <w:t>،</w:t>
      </w:r>
      <w:r w:rsidRPr="00794CA6">
        <w:rPr>
          <w:rFonts w:hint="cs"/>
          <w:rtl/>
        </w:rPr>
        <w:t xml:space="preserve"> وما إذا كان</w:t>
      </w:r>
      <w:r w:rsidR="004F67D4">
        <w:rPr>
          <w:rFonts w:hint="cs"/>
          <w:rtl/>
        </w:rPr>
        <w:t>ت هناك أي أحكام قضائية تحيل إلى</w:t>
      </w:r>
      <w:r w:rsidR="004F67D4">
        <w:rPr>
          <w:rFonts w:hint="eastAsia"/>
          <w:rtl/>
        </w:rPr>
        <w:t> </w:t>
      </w:r>
      <w:r w:rsidRPr="00794CA6">
        <w:rPr>
          <w:rFonts w:hint="cs"/>
          <w:rtl/>
        </w:rPr>
        <w:t>الاتفاقية.</w:t>
      </w:r>
    </w:p>
    <w:p w:rsidR="00794CA6" w:rsidRPr="00794CA6" w:rsidRDefault="00794CA6" w:rsidP="00794CA6">
      <w:pPr>
        <w:pStyle w:val="SingleTxt"/>
        <w:spacing w:after="0" w:line="120" w:lineRule="exact"/>
        <w:rPr>
          <w:rFonts w:hint="cs"/>
          <w:b/>
          <w:bCs/>
          <w:sz w:val="10"/>
          <w:rtl/>
        </w:rPr>
      </w:pP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794CA6">
        <w:rPr>
          <w:rFonts w:hint="cs"/>
          <w:rtl/>
        </w:rPr>
        <w:t>العنف ضد المرأة</w:t>
      </w:r>
    </w:p>
    <w:p w:rsidR="00794CA6" w:rsidRPr="00794CA6" w:rsidRDefault="00794CA6" w:rsidP="00794CA6">
      <w:pPr>
        <w:pStyle w:val="SingleTxt"/>
        <w:rPr>
          <w:rFonts w:hint="cs"/>
          <w:rtl/>
        </w:rPr>
      </w:pPr>
      <w:r w:rsidRPr="00794CA6">
        <w:rPr>
          <w:rFonts w:hint="cs"/>
          <w:rtl/>
        </w:rPr>
        <w:t>7 -</w:t>
      </w:r>
      <w:r w:rsidRPr="00794CA6">
        <w:rPr>
          <w:rFonts w:hint="cs"/>
          <w:rtl/>
        </w:rPr>
        <w:tab/>
        <w:t>كانت اللجنة في تعليقاتها الختامية السابقة</w:t>
      </w:r>
      <w:r w:rsidRPr="00794CA6">
        <w:rPr>
          <w:vertAlign w:val="superscript"/>
          <w:rtl/>
        </w:rPr>
        <w:t>(</w:t>
      </w:r>
      <w:r>
        <w:rPr>
          <w:rStyle w:val="FootnoteReference"/>
          <w:rtl/>
        </w:rPr>
        <w:footnoteReference w:id="1"/>
      </w:r>
      <w:r w:rsidRPr="00794CA6">
        <w:rPr>
          <w:vertAlign w:val="superscript"/>
          <w:rtl/>
        </w:rPr>
        <w:t>)</w:t>
      </w:r>
      <w:r w:rsidRPr="00794CA6">
        <w:rPr>
          <w:rFonts w:hint="cs"/>
          <w:rtl/>
        </w:rPr>
        <w:t>،</w:t>
      </w:r>
      <w:r>
        <w:rPr>
          <w:rFonts w:hint="cs"/>
          <w:rtl/>
        </w:rPr>
        <w:t xml:space="preserve"> </w:t>
      </w:r>
      <w:r w:rsidRPr="00794CA6">
        <w:rPr>
          <w:rFonts w:hint="cs"/>
          <w:rtl/>
        </w:rPr>
        <w:t>قد لاحظت مع القلق نقص المعلومات والبيانات المنهجية عن جميع أشكال العنف المرتكب في حق المرأة. ويرجى تقديم شرح لأي جهود تكون قد بذلت خصيصا وبانتظام لجمع البيانات في هذا المضمار، وتوضيح ما إذا كان أ</w:t>
      </w:r>
      <w:r w:rsidR="00A24F0E">
        <w:rPr>
          <w:rFonts w:hint="cs"/>
          <w:rtl/>
        </w:rPr>
        <w:t>ُ</w:t>
      </w:r>
      <w:r w:rsidRPr="00794CA6">
        <w:rPr>
          <w:rFonts w:hint="cs"/>
          <w:rtl/>
        </w:rPr>
        <w:t>جري استقصاء سكاني عن العنف ضد المرأة، وتقديم البيانات المتاحة عن مختلف أشكال هذا العنف واتجاهاته عبر الزمن.</w:t>
      </w:r>
    </w:p>
    <w:p w:rsidR="00794CA6" w:rsidRPr="00794CA6" w:rsidRDefault="00794CA6" w:rsidP="00794CA6">
      <w:pPr>
        <w:pStyle w:val="SingleTxt"/>
        <w:rPr>
          <w:rFonts w:hint="cs"/>
          <w:rtl/>
        </w:rPr>
      </w:pPr>
      <w:r w:rsidRPr="00794CA6">
        <w:rPr>
          <w:rFonts w:hint="cs"/>
          <w:rtl/>
        </w:rPr>
        <w:t>8 -</w:t>
      </w:r>
      <w:r w:rsidRPr="00794CA6">
        <w:rPr>
          <w:rFonts w:hint="cs"/>
          <w:rtl/>
        </w:rPr>
        <w:tab/>
        <w:t>وبحسب المقررة الخاصة المعنية بالعنف ضد المرأة وأسبابه وعواقبه (</w:t>
      </w:r>
      <w:r w:rsidRPr="00794CA6">
        <w:t>E/CN.4/</w:t>
      </w:r>
      <w:r>
        <w:br/>
      </w:r>
      <w:r w:rsidRPr="00794CA6">
        <w:t>2003/75/Add.1</w:t>
      </w:r>
      <w:r w:rsidRPr="00794CA6">
        <w:rPr>
          <w:rFonts w:hint="cs"/>
          <w:rtl/>
        </w:rPr>
        <w:t>، الفقرات 858 و</w:t>
      </w:r>
      <w:r>
        <w:rPr>
          <w:rFonts w:hint="cs"/>
          <w:rtl/>
        </w:rPr>
        <w:t xml:space="preserve"> </w:t>
      </w:r>
      <w:r w:rsidRPr="00794CA6">
        <w:rPr>
          <w:rFonts w:hint="cs"/>
          <w:rtl/>
        </w:rPr>
        <w:t>879 و 871)، تندرج أشكال العنف العائلي، بما في ذلك اغتصاب الزوج لزوجته، في إطار قانون الأحوال الشخصية، ولا يوجد أي تشريع محدد بشأن العنف العائلي. فما هي خطة الحكومة لمعالجة هذه المسألة، بما في ذلك فرص لجوء المرأة إلى القضاء والوصول إلى الخدمات، كيما تفي بالتزاماتها بموجب الاتفاقية والتوصية العامة 19 الصادرة عن اللجنة؟</w:t>
      </w: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794CA6">
        <w:rPr>
          <w:rFonts w:hint="cs"/>
          <w:rtl/>
        </w:rPr>
        <w:tab/>
      </w:r>
      <w:r w:rsidRPr="00794CA6">
        <w:rPr>
          <w:rFonts w:hint="cs"/>
          <w:rtl/>
        </w:rPr>
        <w:tab/>
        <w:t>الاتجار بالنساء والفتيات</w:t>
      </w:r>
    </w:p>
    <w:p w:rsidR="00794CA6" w:rsidRPr="00794CA6" w:rsidRDefault="00794CA6" w:rsidP="00794CA6">
      <w:pPr>
        <w:pStyle w:val="SingleTxt"/>
        <w:rPr>
          <w:rFonts w:hint="cs"/>
        </w:rPr>
      </w:pPr>
      <w:r w:rsidRPr="00794CA6">
        <w:rPr>
          <w:rFonts w:hint="cs"/>
          <w:rtl/>
        </w:rPr>
        <w:t>9 -</w:t>
      </w:r>
      <w:r w:rsidRPr="00794CA6">
        <w:rPr>
          <w:rFonts w:hint="cs"/>
          <w:rtl/>
        </w:rPr>
        <w:tab/>
        <w:t>لا يتضمن التقرير أي معلومات عن الاتجار بالنساء والفتيات. ويرجى بالتالي تقديم معلومات كهذه تشمل بيانات عن عدد الفتيات والنساء المتّجر بهن</w:t>
      </w:r>
      <w:r>
        <w:rPr>
          <w:rFonts w:hint="cs"/>
          <w:rtl/>
        </w:rPr>
        <w:t>،</w:t>
      </w:r>
      <w:r w:rsidRPr="00794CA6">
        <w:rPr>
          <w:rFonts w:hint="cs"/>
          <w:rtl/>
        </w:rPr>
        <w:t xml:space="preserve"> عبر اليمن ومنه، وعن عدد الذين اتهموا وأدينوا بارتكاب هذه الجريمة والعقوبات التي حُكم بها عليهم.</w:t>
      </w:r>
    </w:p>
    <w:p w:rsidR="00794CA6" w:rsidRPr="00794CA6" w:rsidRDefault="00794CA6" w:rsidP="00794CA6">
      <w:pPr>
        <w:pStyle w:val="SingleTxt"/>
        <w:rPr>
          <w:rFonts w:hint="cs"/>
          <w:rtl/>
        </w:rPr>
      </w:pPr>
      <w:r w:rsidRPr="00794CA6">
        <w:rPr>
          <w:rFonts w:hint="cs"/>
          <w:rtl/>
        </w:rPr>
        <w:t>10 -</w:t>
      </w:r>
      <w:r w:rsidRPr="00794CA6">
        <w:rPr>
          <w:rFonts w:hint="cs"/>
          <w:rtl/>
        </w:rPr>
        <w:tab/>
        <w:t>وكان المقرر الخاص المعني بالاتجار بالأشخاص، وبخاصة النساء والأطفال (</w:t>
      </w:r>
      <w:r w:rsidRPr="00794CA6">
        <w:t>E/CN.4/</w:t>
      </w:r>
      <w:r>
        <w:br/>
      </w:r>
      <w:r w:rsidRPr="00794CA6">
        <w:t>2006/62/Add.1</w:t>
      </w:r>
      <w:r w:rsidRPr="00794CA6">
        <w:rPr>
          <w:rFonts w:hint="cs"/>
          <w:rtl/>
        </w:rPr>
        <w:t xml:space="preserve">) ومعه </w:t>
      </w:r>
      <w:r w:rsidRPr="00794CA6">
        <w:rPr>
          <w:rtl/>
        </w:rPr>
        <w:t>المقررة الخاصة المعنية ببيع الأطفال</w:t>
      </w:r>
      <w:r w:rsidRPr="00794CA6">
        <w:t xml:space="preserve"> </w:t>
      </w:r>
      <w:r w:rsidRPr="00794CA6">
        <w:rPr>
          <w:rtl/>
        </w:rPr>
        <w:t>واستغلالهم في البغاء وفي إنتاج المواد الإباحية</w:t>
      </w:r>
      <w:r w:rsidRPr="00794CA6">
        <w:rPr>
          <w:rFonts w:hint="cs"/>
          <w:rtl/>
        </w:rPr>
        <w:t xml:space="preserve"> (</w:t>
      </w:r>
      <w:r w:rsidRPr="00794CA6">
        <w:t>E/CN.4/2005/78/Add.2</w:t>
      </w:r>
      <w:r w:rsidRPr="00794CA6">
        <w:rPr>
          <w:rFonts w:hint="cs"/>
          <w:rtl/>
        </w:rPr>
        <w:t>) قد لفتا انتباه الحكومة، من خلال رسالة مزاعم، إلى معلومات تم تلقيها عن حالة الاتجار بأعداد كبيرة من الأطفال، كلهم تقريبا من الصبية، من اليمن إلى المملكة العربية السعودية. فيرجى تقديم معلومات عن هذه الحالة الجارية وعن أي برامج تكون قد صُمّمت لمنع الاتجار بالأطفال، ولا سيما البنات.</w:t>
      </w:r>
    </w:p>
    <w:p w:rsidR="00794CA6" w:rsidRPr="00794CA6" w:rsidRDefault="00794CA6" w:rsidP="00794CA6">
      <w:pPr>
        <w:pStyle w:val="SingleTxt"/>
        <w:spacing w:after="0" w:line="120" w:lineRule="exact"/>
        <w:rPr>
          <w:rFonts w:hint="cs"/>
          <w:sz w:val="10"/>
          <w:rtl/>
        </w:rPr>
      </w:pPr>
    </w:p>
    <w:p w:rsidR="00794CA6" w:rsidRPr="00794CA6" w:rsidRDefault="00794CA6" w:rsidP="00794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94CA6">
        <w:rPr>
          <w:rFonts w:hint="cs"/>
          <w:rtl/>
        </w:rPr>
        <w:tab/>
      </w:r>
      <w:r w:rsidRPr="00794CA6">
        <w:rPr>
          <w:rFonts w:hint="cs"/>
          <w:rtl/>
        </w:rPr>
        <w:tab/>
        <w:t>القوالب النمطية والتعليم</w:t>
      </w:r>
    </w:p>
    <w:p w:rsidR="00C43D81" w:rsidRPr="00C43D81" w:rsidRDefault="00794CA6" w:rsidP="00C43D81">
      <w:pPr>
        <w:pStyle w:val="SingleTxt"/>
        <w:rPr>
          <w:rFonts w:hint="cs"/>
        </w:rPr>
      </w:pPr>
      <w:r w:rsidRPr="00794CA6">
        <w:rPr>
          <w:rFonts w:hint="cs"/>
          <w:rtl/>
        </w:rPr>
        <w:t>11 -</w:t>
      </w:r>
      <w:r w:rsidRPr="00794CA6">
        <w:rPr>
          <w:rFonts w:hint="cs"/>
          <w:rtl/>
        </w:rPr>
        <w:tab/>
        <w:t>حثت اللجنة، في تعليقاتها الختامية السابقة، الدولة الطرف على اتخاذ ما يلزم من التدابير، منها أنشطة للتوعية، لإحداث تغيير في المواقف النمطية والأعراف الثقافية بشأن مسؤوليات المرأة والرجل وأدوارهما</w:t>
      </w:r>
      <w:r w:rsidR="00C43D81" w:rsidRPr="00C43D81">
        <w:rPr>
          <w:vertAlign w:val="superscript"/>
          <w:rtl/>
        </w:rPr>
        <w:t>(</w:t>
      </w:r>
      <w:r w:rsidR="00C43D81">
        <w:rPr>
          <w:rStyle w:val="FootnoteReference"/>
          <w:rtl/>
        </w:rPr>
        <w:footnoteReference w:id="2"/>
      </w:r>
      <w:r w:rsidR="00C43D81" w:rsidRPr="00C43D81">
        <w:rPr>
          <w:vertAlign w:val="superscript"/>
          <w:rtl/>
        </w:rPr>
        <w:t>)</w:t>
      </w:r>
      <w:r w:rsidR="00C43D81">
        <w:rPr>
          <w:rFonts w:hint="cs"/>
          <w:rtl/>
        </w:rPr>
        <w:t>.</w:t>
      </w:r>
      <w:r w:rsidR="004F67D4">
        <w:rPr>
          <w:rFonts w:hint="cs"/>
          <w:rtl/>
        </w:rPr>
        <w:t xml:space="preserve"> </w:t>
      </w:r>
      <w:r w:rsidR="00C43D81" w:rsidRPr="00C43D81">
        <w:rPr>
          <w:rFonts w:hint="cs"/>
          <w:rtl/>
        </w:rPr>
        <w:t>فيرجى تقديم معلومات عن أي أنشطة توعوية يكون قد اضط</w:t>
      </w:r>
      <w:r w:rsidR="00A24F0E">
        <w:rPr>
          <w:rFonts w:hint="cs"/>
          <w:rtl/>
        </w:rPr>
        <w:t>ُ</w:t>
      </w:r>
      <w:r w:rsidR="00C43D81" w:rsidRPr="00C43D81">
        <w:rPr>
          <w:rFonts w:hint="cs"/>
          <w:rtl/>
        </w:rPr>
        <w:t>لع بها لتغيير القوالب النمطية الجنسانية، بما في ذلك ما يكون قد أدخل على الكتب المدرسية والمناهج التعليمية من تنقيحات (انظر الفقرتين 5-7 و</w:t>
      </w:r>
      <w:r w:rsidR="00C43D81">
        <w:rPr>
          <w:rFonts w:hint="cs"/>
          <w:rtl/>
        </w:rPr>
        <w:t xml:space="preserve"> </w:t>
      </w:r>
      <w:r w:rsidR="00C43D81" w:rsidRPr="00C43D81">
        <w:rPr>
          <w:rFonts w:hint="cs"/>
          <w:rtl/>
        </w:rPr>
        <w:t xml:space="preserve">10-5 من التقرير) واتخذ من تدابير لتغيير </w:t>
      </w:r>
      <w:r w:rsidR="00C43D81">
        <w:rPr>
          <w:rFonts w:hint="eastAsia"/>
          <w:rtl/>
        </w:rPr>
        <w:t>”</w:t>
      </w:r>
      <w:r w:rsidR="00C43D81" w:rsidRPr="00C43D81">
        <w:rPr>
          <w:rFonts w:hint="cs"/>
          <w:rtl/>
        </w:rPr>
        <w:t>التقاليد والموروثات الثقافية السلبية</w:t>
      </w:r>
      <w:r w:rsidR="00C43D81">
        <w:rPr>
          <w:rFonts w:hint="eastAsia"/>
          <w:rtl/>
        </w:rPr>
        <w:t>“</w:t>
      </w:r>
      <w:r w:rsidR="00C43D81" w:rsidRPr="00C43D81">
        <w:rPr>
          <w:rFonts w:hint="cs"/>
          <w:rtl/>
        </w:rPr>
        <w:t xml:space="preserve"> التي تحول دون لجوء المرأة الريفية إلى القضاء (انظر الفقرة 15-7 من التقرير).</w:t>
      </w:r>
    </w:p>
    <w:p w:rsidR="00C43D81" w:rsidRPr="00C43D81" w:rsidRDefault="00C43D81" w:rsidP="00A24F0E">
      <w:pPr>
        <w:pStyle w:val="SingleTxt"/>
        <w:rPr>
          <w:rFonts w:hint="cs"/>
        </w:rPr>
      </w:pPr>
      <w:r w:rsidRPr="00C43D81">
        <w:rPr>
          <w:rFonts w:hint="cs"/>
          <w:rtl/>
        </w:rPr>
        <w:t>12 -</w:t>
      </w:r>
      <w:r w:rsidRPr="00C43D81">
        <w:rPr>
          <w:rFonts w:hint="cs"/>
          <w:rtl/>
        </w:rPr>
        <w:tab/>
        <w:t>ويرجى تقديم معلومات مفصلة عن استراتيجية التعليم الأساسي (2003 إلى 2015) المذكورة في الفقرتين 2-2 و</w:t>
      </w:r>
      <w:r>
        <w:rPr>
          <w:rFonts w:hint="cs"/>
          <w:rtl/>
        </w:rPr>
        <w:t xml:space="preserve"> </w:t>
      </w:r>
      <w:r w:rsidRPr="00C43D81">
        <w:rPr>
          <w:rFonts w:hint="cs"/>
          <w:rtl/>
        </w:rPr>
        <w:t>10-1 من التقرير، بما في ذلك البرامج والخطط المصممة والمنفذة للحد من أمية الإناث، وكذلك معلومات عن حالة مشروع المبادئ الخاصة</w:t>
      </w:r>
      <w:r w:rsidR="00A24F0E">
        <w:rPr>
          <w:rFonts w:hint="cs"/>
          <w:rtl/>
        </w:rPr>
        <w:t xml:space="preserve"> </w:t>
      </w:r>
      <w:r w:rsidRPr="00C43D81">
        <w:rPr>
          <w:rFonts w:hint="cs"/>
          <w:rtl/>
        </w:rPr>
        <w:t>بمحو الأمية. وما هو دور منظمة محو الأمية وتعل</w:t>
      </w:r>
      <w:r w:rsidR="00A24F0E">
        <w:rPr>
          <w:rFonts w:hint="cs"/>
          <w:rtl/>
        </w:rPr>
        <w:t xml:space="preserve">يم الكبار (انظر الفقرة 10-11 من </w:t>
      </w:r>
      <w:r w:rsidRPr="00C43D81">
        <w:rPr>
          <w:rFonts w:hint="cs"/>
          <w:rtl/>
        </w:rPr>
        <w:t>التقرير)؟</w:t>
      </w:r>
    </w:p>
    <w:p w:rsidR="00C43D81" w:rsidRPr="00C43D81" w:rsidRDefault="00C43D81" w:rsidP="00C43D81">
      <w:pPr>
        <w:pStyle w:val="SingleTxt"/>
        <w:rPr>
          <w:rFonts w:hint="cs"/>
          <w:rtl/>
        </w:rPr>
      </w:pPr>
      <w:r w:rsidRPr="00C43D81">
        <w:rPr>
          <w:rFonts w:hint="cs"/>
          <w:rtl/>
        </w:rPr>
        <w:t>13 -</w:t>
      </w:r>
      <w:r w:rsidRPr="00C43D81">
        <w:rPr>
          <w:rFonts w:hint="cs"/>
          <w:rtl/>
        </w:rPr>
        <w:tab/>
        <w:t xml:space="preserve">وماذا تحقق على صعيد زيادة التحاق البنات بالمدارس </w:t>
      </w:r>
      <w:r>
        <w:rPr>
          <w:rFonts w:hint="cs"/>
          <w:rtl/>
        </w:rPr>
        <w:t>الا</w:t>
      </w:r>
      <w:r w:rsidRPr="00C43D81">
        <w:rPr>
          <w:rFonts w:hint="cs"/>
          <w:rtl/>
        </w:rPr>
        <w:t>بتدائية وسد الفجوة التعليمية بين الجنسين، ولا سيما في المناطق الريفية؟ وما هو أثر مشروع التغذية الممول من برنامج الأغذية العالمي وإلغاء الرسوم المدرسية للبنات من الصف الأول إلى السادس (انظر الفقرة 10-3)؟</w:t>
      </w:r>
    </w:p>
    <w:p w:rsidR="00C43D81" w:rsidRPr="00C43D81" w:rsidRDefault="00C43D81" w:rsidP="00C43D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43D81">
        <w:rPr>
          <w:rFonts w:hint="cs"/>
          <w:rtl/>
        </w:rPr>
        <w:t>المشاركة في الحياة السياسية والعامة والتمثيل على المستوى الدولي</w:t>
      </w:r>
    </w:p>
    <w:p w:rsidR="0071311B" w:rsidRPr="0071311B" w:rsidRDefault="00C43D81" w:rsidP="0071311B">
      <w:pPr>
        <w:pStyle w:val="SingleTxt"/>
        <w:rPr>
          <w:rFonts w:hint="cs"/>
          <w:rtl/>
        </w:rPr>
      </w:pPr>
      <w:r w:rsidRPr="00C43D81">
        <w:rPr>
          <w:rFonts w:hint="cs"/>
          <w:rtl/>
        </w:rPr>
        <w:t>14 -</w:t>
      </w:r>
      <w:r w:rsidRPr="00C43D81">
        <w:rPr>
          <w:rFonts w:hint="cs"/>
          <w:rtl/>
        </w:rPr>
        <w:tab/>
        <w:t>أعربت اللجنة في تعليقاتها الختامية السابقة عن قلقها إزاء تدني نسبة تمثيل المرأة في القوائم الانتخابية وفي هيئات صنع القرارات السياسية</w:t>
      </w:r>
      <w:r w:rsidR="0071311B" w:rsidRPr="0071311B">
        <w:rPr>
          <w:vertAlign w:val="superscript"/>
          <w:rtl/>
        </w:rPr>
        <w:t>(</w:t>
      </w:r>
      <w:r w:rsidR="0071311B">
        <w:rPr>
          <w:rStyle w:val="FootnoteReference"/>
          <w:rtl/>
        </w:rPr>
        <w:footnoteReference w:id="3"/>
      </w:r>
      <w:r w:rsidR="0071311B" w:rsidRPr="0071311B">
        <w:rPr>
          <w:vertAlign w:val="superscript"/>
          <w:rtl/>
        </w:rPr>
        <w:t>)</w:t>
      </w:r>
      <w:r w:rsidRPr="00C43D81">
        <w:rPr>
          <w:rFonts w:hint="cs"/>
          <w:rtl/>
        </w:rPr>
        <w:t>.</w:t>
      </w:r>
      <w:r w:rsidR="0071311B">
        <w:rPr>
          <w:rFonts w:hint="cs"/>
          <w:rtl/>
        </w:rPr>
        <w:t xml:space="preserve"> </w:t>
      </w:r>
      <w:r w:rsidR="0071311B" w:rsidRPr="0071311B">
        <w:rPr>
          <w:rFonts w:hint="cs"/>
          <w:rtl/>
        </w:rPr>
        <w:t>ويتبين من الجدول 7 الوارد في التقرير حدوث انخفاض في عدد المرشحات وعدد المنتخبات لعضوية مجلس النواب. ويذكر التقرير فضلا عن ذلك (انظر الفقرة 4-1) أن</w:t>
      </w:r>
      <w:r w:rsidR="0071311B">
        <w:rPr>
          <w:rFonts w:hint="cs"/>
          <w:rtl/>
        </w:rPr>
        <w:t xml:space="preserve"> </w:t>
      </w:r>
      <w:r w:rsidR="0071311B" w:rsidRPr="0071311B">
        <w:rPr>
          <w:rFonts w:hint="cs"/>
          <w:rtl/>
        </w:rPr>
        <w:t>الأحزاب السياسية استجابت بصورة مبدئية لاقتراح الحركة النسائية الداعي إلى زيادة عدد النساء في هيئاتها القيادية العليا والوسطى وزيادة فرصهن في انتخابات أيلول/سبتمبر 2006. فيرجى توضيح ما إذا كانت الاتهامات الموجهة إلى النساء بالفجور قد لعبت دورا في امتناعهن عن المشاركة بقدر يُعتد به وبلوغهن بالتالي الحصص الموصى بها.</w:t>
      </w:r>
    </w:p>
    <w:p w:rsidR="0071311B" w:rsidRPr="0071311B" w:rsidRDefault="0071311B" w:rsidP="0071311B">
      <w:pPr>
        <w:pStyle w:val="SingleTxt"/>
        <w:rPr>
          <w:rFonts w:hint="cs"/>
        </w:rPr>
      </w:pPr>
      <w:r w:rsidRPr="0071311B">
        <w:rPr>
          <w:rFonts w:hint="cs"/>
          <w:rtl/>
        </w:rPr>
        <w:t>15 -</w:t>
      </w:r>
      <w:r w:rsidRPr="0071311B">
        <w:rPr>
          <w:rFonts w:hint="cs"/>
          <w:rtl/>
        </w:rPr>
        <w:tab/>
        <w:t>ويرجى توضيح دور لجنة التنسيق (انظر الفقرة الاستهلالية من الفصل المتعلق بالمادة</w:t>
      </w:r>
      <w:r>
        <w:rPr>
          <w:rFonts w:hint="eastAsia"/>
          <w:rtl/>
        </w:rPr>
        <w:t> </w:t>
      </w:r>
      <w:r w:rsidRPr="0071311B">
        <w:rPr>
          <w:rFonts w:hint="cs"/>
          <w:rtl/>
        </w:rPr>
        <w:t>7) والإدارة العامة للمرأة التي أ</w:t>
      </w:r>
      <w:r w:rsidR="00A24F0E">
        <w:rPr>
          <w:rFonts w:hint="cs"/>
          <w:rtl/>
        </w:rPr>
        <w:t>ُ</w:t>
      </w:r>
      <w:r w:rsidRPr="0071311B">
        <w:rPr>
          <w:rFonts w:hint="cs"/>
          <w:rtl/>
        </w:rPr>
        <w:t>نشئت في عام 2005.</w:t>
      </w:r>
    </w:p>
    <w:p w:rsidR="0071311B" w:rsidRPr="0071311B" w:rsidRDefault="0071311B" w:rsidP="0071311B">
      <w:pPr>
        <w:pStyle w:val="SingleTxt"/>
        <w:rPr>
          <w:rFonts w:hint="cs"/>
        </w:rPr>
      </w:pPr>
      <w:r w:rsidRPr="0071311B">
        <w:rPr>
          <w:rFonts w:hint="cs"/>
          <w:rtl/>
        </w:rPr>
        <w:t>16 -</w:t>
      </w:r>
      <w:r w:rsidRPr="0071311B">
        <w:rPr>
          <w:rFonts w:hint="cs"/>
          <w:rtl/>
        </w:rPr>
        <w:tab/>
        <w:t>وماذا تم من أمر الاقتراح الذي تقدمت به اللجنة الوطن</w:t>
      </w:r>
      <w:r w:rsidR="00A24F0E">
        <w:rPr>
          <w:rFonts w:hint="cs"/>
          <w:rtl/>
        </w:rPr>
        <w:t>ية للمرأة بتعديل القانون المتعل</w:t>
      </w:r>
      <w:r w:rsidRPr="0071311B">
        <w:rPr>
          <w:rFonts w:hint="cs"/>
          <w:rtl/>
        </w:rPr>
        <w:t>ق بالعمل في السلك الخارجي (انظر الفقرة 8-2 من التقرير)؟ يرجى بيان عدد النساء المتقلدات مناصب مسؤولة في الدولة مقارنة بالرجال، في ضوء التوصية 23 الصادرة عن</w:t>
      </w:r>
      <w:r>
        <w:rPr>
          <w:rFonts w:hint="eastAsia"/>
          <w:rtl/>
        </w:rPr>
        <w:t> </w:t>
      </w:r>
      <w:r w:rsidRPr="0071311B">
        <w:rPr>
          <w:rFonts w:hint="cs"/>
          <w:rtl/>
        </w:rPr>
        <w:t>اللجنة.</w:t>
      </w:r>
    </w:p>
    <w:p w:rsidR="0071311B" w:rsidRPr="00A24F0E" w:rsidRDefault="0071311B" w:rsidP="0071311B">
      <w:pPr>
        <w:pStyle w:val="SingleTxt"/>
        <w:spacing w:after="0" w:line="120" w:lineRule="exact"/>
        <w:rPr>
          <w:rFonts w:hint="cs"/>
          <w:sz w:val="10"/>
          <w:rtl/>
        </w:rPr>
      </w:pPr>
    </w:p>
    <w:p w:rsidR="0071311B" w:rsidRPr="0071311B" w:rsidRDefault="0071311B" w:rsidP="007131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71311B">
        <w:rPr>
          <w:rFonts w:hint="cs"/>
          <w:rtl/>
        </w:rPr>
        <w:tab/>
      </w:r>
      <w:r w:rsidRPr="0071311B">
        <w:rPr>
          <w:rFonts w:hint="cs"/>
          <w:rtl/>
        </w:rPr>
        <w:tab/>
        <w:t>الجنسية والحق في الإقامة</w:t>
      </w:r>
    </w:p>
    <w:p w:rsidR="0071311B" w:rsidRPr="0071311B" w:rsidRDefault="0071311B" w:rsidP="0071311B">
      <w:pPr>
        <w:pStyle w:val="SingleTxt"/>
        <w:rPr>
          <w:rFonts w:hint="cs"/>
        </w:rPr>
      </w:pPr>
      <w:r w:rsidRPr="0071311B">
        <w:rPr>
          <w:rFonts w:hint="cs"/>
          <w:rtl/>
        </w:rPr>
        <w:t>17 -</w:t>
      </w:r>
      <w:r w:rsidRPr="0071311B">
        <w:rPr>
          <w:rFonts w:hint="cs"/>
          <w:rtl/>
        </w:rPr>
        <w:tab/>
      </w:r>
      <w:r w:rsidRPr="0071311B">
        <w:rPr>
          <w:rFonts w:hint="cs"/>
          <w:w w:val="100"/>
          <w:rtl/>
        </w:rPr>
        <w:t>هل تفكر الحكومة في إدخال تعديلات أخرى على القانون المتعلق بالجنسية تجيز لليمنية المتزوجة من غير يمني أن تنقل إلى زوجها حق حمل الجنسية اليمني</w:t>
      </w:r>
      <w:r>
        <w:rPr>
          <w:rFonts w:hint="cs"/>
          <w:w w:val="100"/>
          <w:rtl/>
        </w:rPr>
        <w:t>ـــ</w:t>
      </w:r>
      <w:r w:rsidRPr="0071311B">
        <w:rPr>
          <w:rFonts w:hint="cs"/>
          <w:w w:val="100"/>
          <w:rtl/>
        </w:rPr>
        <w:t>ة (انظر الفقرات 9-1 إلى</w:t>
      </w:r>
      <w:r>
        <w:rPr>
          <w:rFonts w:hint="eastAsia"/>
          <w:rtl/>
        </w:rPr>
        <w:t> </w:t>
      </w:r>
      <w:r w:rsidRPr="0071311B">
        <w:rPr>
          <w:rFonts w:hint="cs"/>
          <w:rtl/>
        </w:rPr>
        <w:t>9-3)؟</w:t>
      </w:r>
    </w:p>
    <w:p w:rsidR="0071311B" w:rsidRPr="0071311B" w:rsidRDefault="0071311B" w:rsidP="0071311B">
      <w:pPr>
        <w:pStyle w:val="SingleTxt"/>
        <w:rPr>
          <w:rFonts w:hint="cs"/>
          <w:rtl/>
        </w:rPr>
      </w:pPr>
      <w:r w:rsidRPr="0071311B">
        <w:rPr>
          <w:rFonts w:hint="cs"/>
          <w:rtl/>
        </w:rPr>
        <w:t>18 -</w:t>
      </w:r>
      <w:r w:rsidRPr="0071311B">
        <w:rPr>
          <w:rFonts w:hint="cs"/>
          <w:rtl/>
        </w:rPr>
        <w:tab/>
        <w:t>وما هي وضعية المشروع المقترح لتعديل المادة</w:t>
      </w:r>
      <w:r w:rsidR="00A24F0E">
        <w:rPr>
          <w:rFonts w:hint="cs"/>
          <w:rtl/>
        </w:rPr>
        <w:t xml:space="preserve"> 14 من اللائحة التنفيذية رقم 47</w:t>
      </w:r>
      <w:r w:rsidR="00A24F0E">
        <w:rPr>
          <w:rFonts w:hint="eastAsia"/>
          <w:rtl/>
        </w:rPr>
        <w:t xml:space="preserve"> </w:t>
      </w:r>
      <w:r w:rsidRPr="0071311B">
        <w:rPr>
          <w:rFonts w:hint="cs"/>
          <w:rtl/>
        </w:rPr>
        <w:t>لعام 1991 المتعلقة بأذون الإقامة للأجانب المتزوجين من يمنيات (انظر الفقرة 9-4 من</w:t>
      </w:r>
      <w:r w:rsidR="00A24F0E">
        <w:rPr>
          <w:rFonts w:hint="cs"/>
          <w:rtl/>
        </w:rPr>
        <w:t xml:space="preserve"> </w:t>
      </w:r>
      <w:r w:rsidRPr="0071311B">
        <w:rPr>
          <w:rFonts w:hint="cs"/>
          <w:rtl/>
        </w:rPr>
        <w:t>التقرير)؟</w:t>
      </w:r>
    </w:p>
    <w:p w:rsidR="0071311B" w:rsidRPr="0071311B" w:rsidRDefault="0071311B" w:rsidP="0071311B">
      <w:pPr>
        <w:pStyle w:val="SingleTxt"/>
        <w:spacing w:after="0" w:line="120" w:lineRule="exact"/>
        <w:rPr>
          <w:rFonts w:hint="cs"/>
          <w:b/>
          <w:bCs/>
          <w:sz w:val="10"/>
          <w:rtl/>
        </w:rPr>
      </w:pPr>
    </w:p>
    <w:p w:rsidR="0071311B" w:rsidRPr="0071311B" w:rsidRDefault="0071311B" w:rsidP="007131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71311B">
        <w:rPr>
          <w:rFonts w:hint="cs"/>
          <w:rtl/>
        </w:rPr>
        <w:t>العمالة</w:t>
      </w:r>
    </w:p>
    <w:p w:rsidR="0071311B" w:rsidRPr="0071311B" w:rsidRDefault="0071311B" w:rsidP="0071311B">
      <w:pPr>
        <w:pStyle w:val="SingleTxt"/>
        <w:rPr>
          <w:rFonts w:hint="cs"/>
          <w:rtl/>
        </w:rPr>
      </w:pPr>
      <w:r w:rsidRPr="0071311B">
        <w:rPr>
          <w:rFonts w:hint="cs"/>
          <w:rtl/>
        </w:rPr>
        <w:t>19 -</w:t>
      </w:r>
      <w:r w:rsidRPr="0071311B">
        <w:rPr>
          <w:rFonts w:hint="cs"/>
          <w:rtl/>
        </w:rPr>
        <w:tab/>
        <w:t>يشير التقرير في الفقرة 10-2 إلى أنه على الرغم من أن قانون العمل المعد</w:t>
      </w:r>
      <w:r>
        <w:rPr>
          <w:rFonts w:hint="cs"/>
          <w:rtl/>
        </w:rPr>
        <w:t>ل</w:t>
      </w:r>
      <w:r w:rsidR="00A24F0E">
        <w:rPr>
          <w:rFonts w:hint="cs"/>
          <w:rtl/>
        </w:rPr>
        <w:t xml:space="preserve"> ي</w:t>
      </w:r>
      <w:r w:rsidRPr="0071311B">
        <w:rPr>
          <w:rFonts w:hint="cs"/>
          <w:rtl/>
        </w:rPr>
        <w:t xml:space="preserve">لزم أرباب العمل بإنشاء حضانات في مكان العمل أو تحمّل تكاليف رعاية الصغار دون السن المدرسية، </w:t>
      </w:r>
      <w:r>
        <w:rPr>
          <w:rFonts w:hint="eastAsia"/>
          <w:rtl/>
        </w:rPr>
        <w:t>”</w:t>
      </w:r>
      <w:r w:rsidRPr="0071311B">
        <w:rPr>
          <w:rFonts w:hint="cs"/>
          <w:rtl/>
        </w:rPr>
        <w:t>فإن الاهتمام بهذه المسألة يكاد يكون معدوما</w:t>
      </w:r>
      <w:r>
        <w:rPr>
          <w:rFonts w:hint="eastAsia"/>
          <w:rtl/>
        </w:rPr>
        <w:t>“</w:t>
      </w:r>
      <w:r w:rsidRPr="0071311B">
        <w:rPr>
          <w:rFonts w:hint="cs"/>
          <w:rtl/>
        </w:rPr>
        <w:t>. فما هي الخطوات الجاري اتخاذها أو التي يُنظر في اتخاذها لضمان تنفيذ أحكام قانون العمل ذات الصلة تنفيذا كاملا؟</w:t>
      </w:r>
    </w:p>
    <w:p w:rsidR="0071311B" w:rsidRPr="0071311B" w:rsidRDefault="0071311B" w:rsidP="0071311B">
      <w:pPr>
        <w:pStyle w:val="SingleTxt"/>
        <w:rPr>
          <w:rFonts w:hint="cs"/>
          <w:rtl/>
        </w:rPr>
      </w:pPr>
      <w:r w:rsidRPr="0071311B">
        <w:rPr>
          <w:rFonts w:hint="cs"/>
          <w:rtl/>
        </w:rPr>
        <w:t>20 -</w:t>
      </w:r>
      <w:r w:rsidRPr="0071311B">
        <w:rPr>
          <w:rFonts w:hint="cs"/>
          <w:rtl/>
        </w:rPr>
        <w:tab/>
        <w:t xml:space="preserve">ويورد التقرير عددا من التحديات التي تواجهها المرأة في مجال العمالة ويبيّن التدابير التي اتخذت أو الجاري اتخاذها لمعالجتها (انظر الفقرتين 11-5 </w:t>
      </w:r>
      <w:r>
        <w:rPr>
          <w:rFonts w:hint="cs"/>
          <w:rtl/>
        </w:rPr>
        <w:t xml:space="preserve">و </w:t>
      </w:r>
      <w:r w:rsidRPr="0071311B">
        <w:rPr>
          <w:rFonts w:hint="cs"/>
          <w:rtl/>
        </w:rPr>
        <w:t>11-6 من التقرير). فما</w:t>
      </w:r>
      <w:r>
        <w:rPr>
          <w:rFonts w:hint="eastAsia"/>
          <w:rtl/>
        </w:rPr>
        <w:t> </w:t>
      </w:r>
      <w:r w:rsidRPr="0071311B">
        <w:rPr>
          <w:rFonts w:hint="cs"/>
          <w:rtl/>
        </w:rPr>
        <w:t>هي النتائج التي أسفرت عنها هذه التدابير؟</w:t>
      </w:r>
    </w:p>
    <w:p w:rsidR="0071311B" w:rsidRPr="0071311B" w:rsidRDefault="0071311B" w:rsidP="0071311B">
      <w:pPr>
        <w:pStyle w:val="SingleTxt"/>
        <w:spacing w:after="0" w:line="120" w:lineRule="exact"/>
        <w:rPr>
          <w:rFonts w:hint="cs"/>
          <w:sz w:val="10"/>
          <w:rtl/>
        </w:rPr>
      </w:pPr>
    </w:p>
    <w:p w:rsidR="0071311B" w:rsidRPr="0071311B" w:rsidRDefault="0071311B" w:rsidP="007131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71311B">
        <w:rPr>
          <w:rFonts w:hint="cs"/>
          <w:rtl/>
        </w:rPr>
        <w:tab/>
      </w:r>
      <w:r w:rsidRPr="0071311B">
        <w:rPr>
          <w:rFonts w:hint="cs"/>
          <w:rtl/>
        </w:rPr>
        <w:tab/>
        <w:t>الصحة</w:t>
      </w:r>
    </w:p>
    <w:p w:rsidR="0071311B" w:rsidRPr="0071311B" w:rsidRDefault="0071311B" w:rsidP="00344B55">
      <w:pPr>
        <w:pStyle w:val="SingleTxt"/>
        <w:rPr>
          <w:rFonts w:hint="cs"/>
        </w:rPr>
      </w:pPr>
      <w:r w:rsidRPr="0071311B">
        <w:rPr>
          <w:rFonts w:hint="cs"/>
          <w:rtl/>
        </w:rPr>
        <w:t>21 -</w:t>
      </w:r>
      <w:r w:rsidRPr="0071311B">
        <w:rPr>
          <w:rFonts w:hint="cs"/>
          <w:rtl/>
        </w:rPr>
        <w:tab/>
        <w:t>يرجى تقديم المزيد من المعلومات عن التدابير المتخذة للحد من وفيات الرضّع والأمهات في فترة النفاس، بما في ذلك من خلال برنامج العمل السكاني (2001</w:t>
      </w:r>
      <w:r w:rsidR="00344B55">
        <w:rPr>
          <w:rFonts w:hint="cs"/>
          <w:rtl/>
        </w:rPr>
        <w:t>-</w:t>
      </w:r>
      <w:r w:rsidRPr="0071311B">
        <w:rPr>
          <w:rFonts w:hint="cs"/>
          <w:rtl/>
        </w:rPr>
        <w:t>2005)</w:t>
      </w:r>
      <w:r w:rsidR="004F67D4">
        <w:rPr>
          <w:rFonts w:hint="cs"/>
          <w:rtl/>
        </w:rPr>
        <w:t>،</w:t>
      </w:r>
      <w:r w:rsidRPr="0071311B">
        <w:rPr>
          <w:rFonts w:hint="cs"/>
          <w:rtl/>
        </w:rPr>
        <w:t xml:space="preserve"> إضافة إلى مشروع الأمومة المأمونة الذي عرضته وزارة الصحة على مجلس النواب، وأثر هذه التدابير بمرور الوقت.</w:t>
      </w:r>
    </w:p>
    <w:p w:rsidR="0071311B" w:rsidRPr="0071311B" w:rsidRDefault="0071311B" w:rsidP="0071311B">
      <w:pPr>
        <w:pStyle w:val="SingleTxt"/>
        <w:rPr>
          <w:rFonts w:hint="cs"/>
        </w:rPr>
      </w:pPr>
      <w:r w:rsidRPr="0071311B">
        <w:rPr>
          <w:rFonts w:hint="cs"/>
          <w:rtl/>
        </w:rPr>
        <w:t>22 -</w:t>
      </w:r>
      <w:r w:rsidRPr="0071311B">
        <w:rPr>
          <w:rFonts w:hint="cs"/>
          <w:rtl/>
        </w:rPr>
        <w:tab/>
        <w:t>ما هو مضمون التشريع المقترح المتعلق بتشويه الأعضاء التناسلية للأنثي</w:t>
      </w:r>
      <w:r w:rsidR="00A24F0E">
        <w:rPr>
          <w:rFonts w:hint="cs"/>
          <w:rtl/>
        </w:rPr>
        <w:t>،</w:t>
      </w:r>
      <w:r w:rsidRPr="0071311B">
        <w:rPr>
          <w:rFonts w:hint="cs"/>
          <w:rtl/>
        </w:rPr>
        <w:t xml:space="preserve"> وما هي وضعيته الراهنة (انظر الفقرة 12-14 من التقرير)؟ يرجى توضيح ما إذا كان هذا التشريع سيجعل تشويه الأعضاء التناسلية للأنثى فعلا غير قانوني، </w:t>
      </w:r>
      <w:r w:rsidR="00A24F0E">
        <w:rPr>
          <w:rFonts w:hint="cs"/>
          <w:rtl/>
        </w:rPr>
        <w:t>وما إذا كان هناك إطار زمني معين</w:t>
      </w:r>
      <w:r w:rsidR="00A24F0E">
        <w:rPr>
          <w:rFonts w:hint="eastAsia"/>
          <w:rtl/>
        </w:rPr>
        <w:t> </w:t>
      </w:r>
      <w:r w:rsidRPr="0071311B">
        <w:rPr>
          <w:rFonts w:hint="cs"/>
          <w:rtl/>
        </w:rPr>
        <w:t>لاعتماده.</w:t>
      </w:r>
    </w:p>
    <w:p w:rsidR="00344B55" w:rsidRPr="00A24F0E" w:rsidRDefault="00344B55" w:rsidP="00344B55">
      <w:pPr>
        <w:pStyle w:val="SingleTxt"/>
        <w:spacing w:after="0" w:line="120" w:lineRule="exact"/>
        <w:rPr>
          <w:rFonts w:hint="cs"/>
          <w:sz w:val="10"/>
          <w:rtl/>
        </w:rPr>
      </w:pPr>
    </w:p>
    <w:p w:rsidR="0071311B" w:rsidRPr="0071311B" w:rsidRDefault="0071311B" w:rsidP="00344B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1311B">
        <w:rPr>
          <w:rFonts w:hint="cs"/>
          <w:rtl/>
        </w:rPr>
        <w:tab/>
      </w:r>
      <w:r w:rsidRPr="0071311B">
        <w:rPr>
          <w:rFonts w:hint="cs"/>
          <w:rtl/>
        </w:rPr>
        <w:tab/>
        <w:t>النساء المعاقات</w:t>
      </w:r>
    </w:p>
    <w:p w:rsidR="0071311B" w:rsidRPr="0071311B" w:rsidRDefault="0071311B" w:rsidP="00344B55">
      <w:pPr>
        <w:pStyle w:val="SingleTxt"/>
        <w:rPr>
          <w:rFonts w:hint="cs"/>
          <w:rtl/>
        </w:rPr>
      </w:pPr>
      <w:r w:rsidRPr="0071311B">
        <w:rPr>
          <w:rFonts w:hint="cs"/>
          <w:rtl/>
        </w:rPr>
        <w:t>23 -</w:t>
      </w:r>
      <w:r w:rsidRPr="0071311B">
        <w:rPr>
          <w:rFonts w:hint="cs"/>
          <w:rtl/>
        </w:rPr>
        <w:tab/>
        <w:t>تشير الفقرتان 3-1 و</w:t>
      </w:r>
      <w:r w:rsidR="00344B55">
        <w:rPr>
          <w:rFonts w:hint="cs"/>
          <w:rtl/>
        </w:rPr>
        <w:t xml:space="preserve"> </w:t>
      </w:r>
      <w:r w:rsidRPr="0071311B">
        <w:rPr>
          <w:rFonts w:hint="cs"/>
          <w:rtl/>
        </w:rPr>
        <w:t>3-2 من التقرير إلى أن</w:t>
      </w:r>
      <w:r w:rsidR="00344B55">
        <w:rPr>
          <w:rFonts w:hint="cs"/>
          <w:rtl/>
        </w:rPr>
        <w:t xml:space="preserve"> </w:t>
      </w:r>
      <w:r w:rsidRPr="0071311B">
        <w:rPr>
          <w:rFonts w:hint="cs"/>
          <w:rtl/>
        </w:rPr>
        <w:t>الحكومة لا تملك بيانات كافية وإحصاءات دقيقة عن النساء المعاقات وأنّ التمويل المتاح يتعذر وصوله إلى هذه الفئة المستهدفة. فما هي الخطوات المتخذة أو التي يُنظر في اتخاذها لتحسين جمع البيانات في هذا المجال وتحسين قدرة صندوق رعاية المعاقين والصندوق الاجتماعي للتنمية على الوصول إلى النساء المعاقات في المناطق الريفية والحضرية على السواء؟</w:t>
      </w:r>
    </w:p>
    <w:p w:rsidR="00344B55" w:rsidRPr="00344B55" w:rsidRDefault="00344B55" w:rsidP="00344B55">
      <w:pPr>
        <w:pStyle w:val="SingleTxt"/>
        <w:spacing w:after="0" w:line="120" w:lineRule="exact"/>
        <w:rPr>
          <w:rFonts w:hint="cs"/>
          <w:b/>
          <w:bCs/>
          <w:sz w:val="10"/>
          <w:rtl/>
        </w:rPr>
      </w:pPr>
    </w:p>
    <w:p w:rsidR="0071311B" w:rsidRPr="0071311B" w:rsidRDefault="00344B55" w:rsidP="00344B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1311B" w:rsidRPr="0071311B">
        <w:rPr>
          <w:rFonts w:hint="cs"/>
          <w:rtl/>
        </w:rPr>
        <w:t>الزواج والعلاقات الأسرية</w:t>
      </w:r>
    </w:p>
    <w:p w:rsidR="006E1D7F" w:rsidRPr="006E1D7F" w:rsidRDefault="0071311B" w:rsidP="006E1D7F">
      <w:pPr>
        <w:pStyle w:val="SingleTxt"/>
        <w:rPr>
          <w:rFonts w:hint="cs"/>
        </w:rPr>
      </w:pPr>
      <w:r w:rsidRPr="0071311B">
        <w:rPr>
          <w:rFonts w:hint="cs"/>
          <w:rtl/>
        </w:rPr>
        <w:t>24 -</w:t>
      </w:r>
      <w:r w:rsidRPr="0071311B">
        <w:rPr>
          <w:rFonts w:hint="cs"/>
          <w:rtl/>
        </w:rPr>
        <w:tab/>
        <w:t>حثت اللجنة في تعليقاتها الختامية السابقة الحكومة</w:t>
      </w:r>
      <w:r w:rsidR="006E1D7F" w:rsidRPr="006E1D7F">
        <w:rPr>
          <w:vertAlign w:val="superscript"/>
          <w:rtl/>
        </w:rPr>
        <w:t>(</w:t>
      </w:r>
      <w:r w:rsidR="006E1D7F">
        <w:rPr>
          <w:rStyle w:val="FootnoteReference"/>
          <w:rtl/>
        </w:rPr>
        <w:footnoteReference w:id="4"/>
      </w:r>
      <w:r w:rsidR="006E1D7F" w:rsidRPr="006E1D7F">
        <w:rPr>
          <w:vertAlign w:val="superscript"/>
          <w:rtl/>
        </w:rPr>
        <w:t>)</w:t>
      </w:r>
      <w:r w:rsidR="006E1D7F">
        <w:rPr>
          <w:rFonts w:hint="cs"/>
          <w:rtl/>
        </w:rPr>
        <w:t xml:space="preserve"> </w:t>
      </w:r>
      <w:r w:rsidR="006E1D7F" w:rsidRPr="006E1D7F">
        <w:rPr>
          <w:rFonts w:hint="cs"/>
          <w:rtl/>
        </w:rPr>
        <w:t>على إزالة كل الأحكام الجنائية التمييزية، وخاصة المادة 232 من قانون العقوبات التي تق</w:t>
      </w:r>
      <w:r w:rsidR="00A24F0E">
        <w:rPr>
          <w:rFonts w:hint="cs"/>
          <w:rtl/>
        </w:rPr>
        <w:t>ضي بأن لا يتّهم بجريمة القتل أي</w:t>
      </w:r>
      <w:r w:rsidR="00A24F0E">
        <w:rPr>
          <w:rFonts w:hint="eastAsia"/>
          <w:rtl/>
        </w:rPr>
        <w:t> </w:t>
      </w:r>
      <w:r w:rsidR="006E1D7F" w:rsidRPr="006E1D7F">
        <w:rPr>
          <w:rFonts w:hint="cs"/>
          <w:rtl/>
        </w:rPr>
        <w:t>زوج أو قريب آخر يقتل زوجته بسبب الزنا. فيرجى تقديم معلومات واضحة عن حالة الجهود المبذولة لإصلاح القوانين في الأمور الجنائية، ولا سيما فيما يتعلق بالمادة 232 من قانون العقوبات.</w:t>
      </w:r>
    </w:p>
    <w:p w:rsidR="006E1D7F" w:rsidRPr="006E1D7F" w:rsidRDefault="006E1D7F" w:rsidP="006E1D7F">
      <w:pPr>
        <w:pStyle w:val="SingleTxt"/>
        <w:rPr>
          <w:rFonts w:hint="cs"/>
        </w:rPr>
      </w:pPr>
      <w:r w:rsidRPr="006E1D7F">
        <w:rPr>
          <w:rFonts w:hint="cs"/>
          <w:rtl/>
        </w:rPr>
        <w:t>25 -</w:t>
      </w:r>
      <w:r w:rsidRPr="006E1D7F">
        <w:rPr>
          <w:rFonts w:hint="cs"/>
          <w:rtl/>
        </w:rPr>
        <w:tab/>
        <w:t>وقد أعربت اللجنة في تعليقاتها الختامية السابقة</w:t>
      </w:r>
      <w:r w:rsidRPr="006E1D7F">
        <w:rPr>
          <w:vertAlign w:val="superscript"/>
          <w:rtl/>
        </w:rPr>
        <w:t>(</w:t>
      </w:r>
      <w:r>
        <w:rPr>
          <w:rStyle w:val="FootnoteReference"/>
          <w:rtl/>
        </w:rPr>
        <w:footnoteReference w:id="5"/>
      </w:r>
      <w:r w:rsidRPr="006E1D7F">
        <w:rPr>
          <w:vertAlign w:val="superscript"/>
          <w:rtl/>
        </w:rPr>
        <w:t>)</w:t>
      </w:r>
      <w:r w:rsidRPr="006E1D7F">
        <w:rPr>
          <w:rFonts w:hint="cs"/>
          <w:rtl/>
        </w:rPr>
        <w:t xml:space="preserve"> عن قلقها إزاء الأحكام التمييزية في قانون الأحوال الشخصية التي تسمح بتعدد الزوجات وتضع معايير للنساء تختلف عن المعايير المنطبقة على الرجال في الزواج والحياة الأسرية. وأعربت اللجنة المعنية بحقوق الإنسان بدورها، في ملاحظاتها الختامية على التقرير الدوري الرابع لليمن (</w:t>
      </w:r>
      <w:r w:rsidRPr="006E1D7F">
        <w:t>CCPR/CO/84/YEM</w:t>
      </w:r>
      <w:r w:rsidRPr="006E1D7F">
        <w:rPr>
          <w:rFonts w:hint="cs"/>
          <w:rtl/>
        </w:rPr>
        <w:t>، الفقرة 9)، عن قلقها إزاء استمرار السماح بتعدد الزوجات ووجود قواعد تمييزية في حق المرأة في أمور الزواج والطلاق والشهادة والإرث. فما هي الجهود التي تبذلها الحكومة لمعالجة هذه المسائل وفقا لالتزاماتها بموجب الاتفاقية؟</w:t>
      </w:r>
    </w:p>
    <w:p w:rsidR="006E1D7F" w:rsidRPr="006E1D7F" w:rsidRDefault="006E1D7F" w:rsidP="006E1D7F">
      <w:pPr>
        <w:pStyle w:val="SingleTxt"/>
        <w:rPr>
          <w:rFonts w:hint="cs"/>
          <w:rtl/>
        </w:rPr>
      </w:pPr>
      <w:r w:rsidRPr="006E1D7F">
        <w:rPr>
          <w:rFonts w:hint="cs"/>
          <w:rtl/>
        </w:rPr>
        <w:t>26 -</w:t>
      </w:r>
      <w:r w:rsidRPr="006E1D7F">
        <w:rPr>
          <w:rFonts w:hint="cs"/>
          <w:rtl/>
        </w:rPr>
        <w:tab/>
        <w:t xml:space="preserve">ويرجى تقديم معلومات عما يسمّى </w:t>
      </w:r>
      <w:r>
        <w:rPr>
          <w:rFonts w:hint="eastAsia"/>
          <w:rtl/>
        </w:rPr>
        <w:t>”</w:t>
      </w:r>
      <w:r w:rsidRPr="006E1D7F">
        <w:rPr>
          <w:rFonts w:hint="cs"/>
          <w:rtl/>
        </w:rPr>
        <w:t>الزواج السياحي</w:t>
      </w:r>
      <w:r>
        <w:rPr>
          <w:rFonts w:hint="eastAsia"/>
          <w:rtl/>
        </w:rPr>
        <w:t>“</w:t>
      </w:r>
      <w:r w:rsidRPr="006E1D7F">
        <w:rPr>
          <w:rFonts w:hint="cs"/>
          <w:rtl/>
        </w:rPr>
        <w:t xml:space="preserve"> أو </w:t>
      </w:r>
      <w:r>
        <w:rPr>
          <w:rFonts w:hint="eastAsia"/>
          <w:rtl/>
        </w:rPr>
        <w:t>”</w:t>
      </w:r>
      <w:r w:rsidRPr="006E1D7F">
        <w:rPr>
          <w:rFonts w:hint="cs"/>
          <w:rtl/>
        </w:rPr>
        <w:t>الزواج المؤقت</w:t>
      </w:r>
      <w:r>
        <w:rPr>
          <w:rFonts w:hint="eastAsia"/>
          <w:rtl/>
        </w:rPr>
        <w:t>“</w:t>
      </w:r>
      <w:r w:rsidRPr="006E1D7F">
        <w:rPr>
          <w:rFonts w:hint="cs"/>
          <w:rtl/>
        </w:rPr>
        <w:t xml:space="preserve"> (انظر الفقرة 6-2 من التقرير) الذي أصبح شائعا في غضون السنوات الثلاث الماضية. وينبغي أن تتضمن هذه المعلومات معلومات عن الوضع القانوني لهذه الزيجات وحقوق المرأة التي تدخل في مثلها والأطفال الذين يولدون في كنفها، وكذلك معلومات عن أي تعديلات قد تكون أ</w:t>
      </w:r>
      <w:r>
        <w:rPr>
          <w:rFonts w:hint="cs"/>
          <w:rtl/>
        </w:rPr>
        <w:t>ُ</w:t>
      </w:r>
      <w:r w:rsidRPr="006E1D7F">
        <w:rPr>
          <w:rFonts w:hint="cs"/>
          <w:rtl/>
        </w:rPr>
        <w:t>دخلت على قانون الأحوال الشخصية نتيجة الاقتراحات ال</w:t>
      </w:r>
      <w:r w:rsidR="00A24F0E">
        <w:rPr>
          <w:rFonts w:hint="cs"/>
          <w:rtl/>
        </w:rPr>
        <w:t>تي تقدمت بها لجنة فقهاء الشريعة</w:t>
      </w:r>
      <w:r w:rsidR="00A24F0E">
        <w:rPr>
          <w:rFonts w:hint="eastAsia"/>
          <w:rtl/>
        </w:rPr>
        <w:t> </w:t>
      </w:r>
      <w:r w:rsidRPr="006E1D7F">
        <w:rPr>
          <w:rFonts w:hint="cs"/>
          <w:rtl/>
        </w:rPr>
        <w:t>الإسلامية.</w:t>
      </w:r>
    </w:p>
    <w:p w:rsidR="006E1D7F" w:rsidRPr="006E1D7F" w:rsidRDefault="006E1D7F" w:rsidP="00A24F0E">
      <w:pPr>
        <w:pStyle w:val="SingleTxt"/>
        <w:rPr>
          <w:rFonts w:hint="cs"/>
          <w:rtl/>
        </w:rPr>
      </w:pPr>
      <w:r w:rsidRPr="006E1D7F">
        <w:rPr>
          <w:rFonts w:hint="cs"/>
          <w:rtl/>
        </w:rPr>
        <w:t>27 -</w:t>
      </w:r>
      <w:r w:rsidRPr="006E1D7F">
        <w:rPr>
          <w:rFonts w:hint="cs"/>
          <w:rtl/>
        </w:rPr>
        <w:tab/>
        <w:t>وبحسب التقرير، يسهم الزواج المبك</w:t>
      </w:r>
      <w:r>
        <w:rPr>
          <w:rFonts w:hint="cs"/>
          <w:rtl/>
        </w:rPr>
        <w:t>ر</w:t>
      </w:r>
      <w:r w:rsidRPr="006E1D7F">
        <w:rPr>
          <w:rFonts w:hint="cs"/>
          <w:rtl/>
        </w:rPr>
        <w:t xml:space="preserve"> في الارتفا</w:t>
      </w:r>
      <w:r w:rsidR="00A24F0E">
        <w:rPr>
          <w:rFonts w:hint="cs"/>
          <w:rtl/>
        </w:rPr>
        <w:t xml:space="preserve">ع غير المقبول في معدلات الوفيات </w:t>
      </w:r>
      <w:r w:rsidRPr="006E1D7F">
        <w:rPr>
          <w:rFonts w:hint="cs"/>
          <w:rtl/>
        </w:rPr>
        <w:t>النفاسية ومعدلات الأمية بين النساء والفتيات. فيرجى ا</w:t>
      </w:r>
      <w:r w:rsidR="00A24F0E">
        <w:rPr>
          <w:rFonts w:hint="cs"/>
          <w:rtl/>
        </w:rPr>
        <w:t xml:space="preserve">لإفادة بما إذا كانت الحكومة تفكر في </w:t>
      </w:r>
      <w:r w:rsidRPr="006E1D7F">
        <w:rPr>
          <w:rFonts w:hint="cs"/>
          <w:rtl/>
        </w:rPr>
        <w:t>جعل السن الدنيا لزواج البنات 18 سنة، امتثالا للمادة 1 من اتفاقية حقوق الطفل والمادة</w:t>
      </w:r>
      <w:r w:rsidR="00A24F0E">
        <w:rPr>
          <w:rFonts w:hint="eastAsia"/>
          <w:rtl/>
        </w:rPr>
        <w:t> </w:t>
      </w:r>
      <w:r w:rsidRPr="006E1D7F">
        <w:rPr>
          <w:rFonts w:hint="cs"/>
          <w:rtl/>
        </w:rPr>
        <w:t>16 من اتفاقية القضاء على جميع أشكال التمييز ضد المرأة والتوصية</w:t>
      </w:r>
      <w:r w:rsidR="00A24F0E">
        <w:rPr>
          <w:rFonts w:hint="cs"/>
          <w:rtl/>
        </w:rPr>
        <w:t xml:space="preserve"> </w:t>
      </w:r>
      <w:r w:rsidRPr="006E1D7F">
        <w:rPr>
          <w:rFonts w:hint="cs"/>
          <w:rtl/>
        </w:rPr>
        <w:t>العامة 21 الصادرة عن اللجنة، وإذا كانت تفكّر في ذلك فه</w:t>
      </w:r>
      <w:r w:rsidR="00A24F0E">
        <w:rPr>
          <w:rFonts w:hint="cs"/>
          <w:rtl/>
        </w:rPr>
        <w:t>ل وضعت جدولا زمنيا لسَن مثل هذا </w:t>
      </w:r>
      <w:r w:rsidRPr="006E1D7F">
        <w:rPr>
          <w:rFonts w:hint="cs"/>
          <w:rtl/>
        </w:rPr>
        <w:t>القانون؟</w:t>
      </w:r>
    </w:p>
    <w:p w:rsidR="006E1D7F" w:rsidRPr="006E1D7F" w:rsidRDefault="006E1D7F" w:rsidP="006E1D7F">
      <w:pPr>
        <w:pStyle w:val="SingleTxt"/>
        <w:spacing w:after="0" w:line="120" w:lineRule="exact"/>
        <w:rPr>
          <w:rFonts w:hint="cs"/>
          <w:b/>
          <w:bCs/>
          <w:sz w:val="10"/>
          <w:rtl/>
        </w:rPr>
      </w:pPr>
    </w:p>
    <w:p w:rsidR="006E1D7F" w:rsidRPr="006E1D7F" w:rsidRDefault="006E1D7F" w:rsidP="006E1D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6E1D7F">
        <w:rPr>
          <w:rFonts w:hint="cs"/>
          <w:rtl/>
        </w:rPr>
        <w:tab/>
      </w:r>
      <w:r w:rsidRPr="006E1D7F">
        <w:rPr>
          <w:rFonts w:hint="cs"/>
          <w:rtl/>
        </w:rPr>
        <w:tab/>
        <w:t>البروتوكول الاختياري</w:t>
      </w:r>
    </w:p>
    <w:p w:rsidR="00CD3849" w:rsidRPr="006E1D7F" w:rsidRDefault="006E1D7F" w:rsidP="006E1D7F">
      <w:pPr>
        <w:pStyle w:val="SingleTxt"/>
        <w:rPr>
          <w:rFonts w:hint="cs"/>
          <w:rtl/>
        </w:rPr>
      </w:pPr>
      <w:r w:rsidRPr="006E1D7F">
        <w:rPr>
          <w:rFonts w:hint="cs"/>
          <w:rtl/>
        </w:rPr>
        <w:t>28 -</w:t>
      </w:r>
      <w:r w:rsidRPr="006E1D7F">
        <w:rPr>
          <w:rFonts w:hint="cs"/>
          <w:rtl/>
        </w:rPr>
        <w:tab/>
        <w:t>ي</w:t>
      </w:r>
      <w:r>
        <w:rPr>
          <w:rFonts w:hint="cs"/>
          <w:rtl/>
        </w:rPr>
        <w:t>ُ</w:t>
      </w:r>
      <w:r w:rsidRPr="006E1D7F">
        <w:rPr>
          <w:rFonts w:hint="cs"/>
          <w:rtl/>
        </w:rPr>
        <w:t>رجى الإفادة بما إذا كانت قد اتخذت أي تدابير أو إجراءات للتصديق على البروتوكول الاختياري.</w:t>
      </w:r>
    </w:p>
    <w:p w:rsidR="00794CA6" w:rsidRPr="006E1D7F" w:rsidRDefault="006E1D7F" w:rsidP="006E1D7F">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794CA6" w:rsidRPr="006E1D7F" w:rsidSect="0079274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6:19:00Z" w:initials="Start">
    <w:p w:rsidR="00A24F0E" w:rsidRDefault="00A24F0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NO&gt;&gt;N0752031A&lt;&lt;ODS JOB NO</w:t>
      </w:r>
      <w:r>
        <w:rPr>
          <w:rtl/>
        </w:rPr>
        <w:t>&gt;&gt;</w:t>
      </w:r>
    </w:p>
    <w:p w:rsidR="00A24F0E" w:rsidRDefault="00A24F0E">
      <w:pPr>
        <w:pStyle w:val="CommentText"/>
        <w:rPr>
          <w:rtl/>
        </w:rPr>
      </w:pPr>
      <w:r>
        <w:rPr>
          <w:rtl/>
        </w:rPr>
        <w:t>&lt;&lt;</w:t>
      </w:r>
      <w:r>
        <w:t>ODS DOC SYMBOL1&gt;&gt;CEDAW/C/YEM/Q/6&lt;&lt;ODS DOC SYMBOL1</w:t>
      </w:r>
      <w:r>
        <w:rPr>
          <w:rtl/>
        </w:rPr>
        <w:t>&gt;&gt;</w:t>
      </w:r>
    </w:p>
    <w:p w:rsidR="00A24F0E" w:rsidRDefault="00A24F0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F0E" w:rsidRDefault="00A24F0E">
      <w:r>
        <w:separator/>
      </w:r>
    </w:p>
  </w:endnote>
  <w:endnote w:type="continuationSeparator" w:id="0">
    <w:p w:rsidR="00A24F0E" w:rsidRDefault="00A24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4F0E">
      <w:tblPrEx>
        <w:tblCellMar>
          <w:top w:w="0" w:type="dxa"/>
          <w:bottom w:w="0" w:type="dxa"/>
        </w:tblCellMar>
      </w:tblPrEx>
      <w:tc>
        <w:tcPr>
          <w:tcW w:w="5033" w:type="dxa"/>
          <w:shd w:val="clear" w:color="auto" w:fill="auto"/>
        </w:tcPr>
        <w:p w:rsidR="00A24F0E" w:rsidRPr="0079274A" w:rsidRDefault="00A24F0E" w:rsidP="0079274A">
          <w:pPr>
            <w:pStyle w:val="Footer"/>
            <w:jc w:val="right"/>
            <w:rPr>
              <w:w w:val="103"/>
            </w:rPr>
          </w:pPr>
          <w:r>
            <w:rPr>
              <w:w w:val="103"/>
            </w:rPr>
            <w:fldChar w:fldCharType="begin"/>
          </w:r>
          <w:r>
            <w:rPr>
              <w:w w:val="103"/>
            </w:rPr>
            <w:instrText xml:space="preserve"> PAGE  \* MERGEFORMAT </w:instrText>
          </w:r>
          <w:r>
            <w:rPr>
              <w:w w:val="103"/>
            </w:rPr>
            <w:fldChar w:fldCharType="separate"/>
          </w:r>
          <w:r w:rsidR="00C96417">
            <w:rPr>
              <w:w w:val="103"/>
            </w:rPr>
            <w:t>6</w:t>
          </w:r>
          <w:r>
            <w:rPr>
              <w:w w:val="103"/>
            </w:rPr>
            <w:fldChar w:fldCharType="end"/>
          </w:r>
        </w:p>
      </w:tc>
      <w:tc>
        <w:tcPr>
          <w:tcW w:w="5033" w:type="dxa"/>
          <w:shd w:val="clear" w:color="auto" w:fill="auto"/>
        </w:tcPr>
        <w:p w:rsidR="00A24F0E" w:rsidRPr="0079274A" w:rsidRDefault="00A24F0E" w:rsidP="0079274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07-52031</w:t>
          </w:r>
          <w:r>
            <w:rPr>
              <w:b w:val="0"/>
              <w:w w:val="103"/>
            </w:rPr>
            <w:fldChar w:fldCharType="end"/>
          </w:r>
        </w:p>
      </w:tc>
    </w:tr>
  </w:tbl>
  <w:p w:rsidR="00A24F0E" w:rsidRPr="0079274A" w:rsidRDefault="00A24F0E" w:rsidP="007927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4F0E">
      <w:tblPrEx>
        <w:tblCellMar>
          <w:top w:w="0" w:type="dxa"/>
          <w:bottom w:w="0" w:type="dxa"/>
        </w:tblCellMar>
      </w:tblPrEx>
      <w:tc>
        <w:tcPr>
          <w:tcW w:w="5033" w:type="dxa"/>
          <w:shd w:val="clear" w:color="auto" w:fill="auto"/>
        </w:tcPr>
        <w:p w:rsidR="00A24F0E" w:rsidRPr="0079274A" w:rsidRDefault="00A24F0E" w:rsidP="0079274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07-52031</w:t>
          </w:r>
          <w:r>
            <w:rPr>
              <w:b w:val="0"/>
              <w:w w:val="103"/>
            </w:rPr>
            <w:fldChar w:fldCharType="end"/>
          </w:r>
        </w:p>
      </w:tc>
      <w:tc>
        <w:tcPr>
          <w:tcW w:w="5033" w:type="dxa"/>
          <w:shd w:val="clear" w:color="auto" w:fill="auto"/>
        </w:tcPr>
        <w:p w:rsidR="00A24F0E" w:rsidRPr="0079274A" w:rsidRDefault="00A24F0E" w:rsidP="0079274A">
          <w:pPr>
            <w:pStyle w:val="Footer"/>
            <w:rPr>
              <w:w w:val="103"/>
            </w:rPr>
          </w:pPr>
          <w:r>
            <w:rPr>
              <w:w w:val="103"/>
            </w:rPr>
            <w:fldChar w:fldCharType="begin"/>
          </w:r>
          <w:r>
            <w:rPr>
              <w:w w:val="103"/>
            </w:rPr>
            <w:instrText xml:space="preserve"> PAGE  \* MERGEFORMAT </w:instrText>
          </w:r>
          <w:r>
            <w:rPr>
              <w:w w:val="103"/>
            </w:rPr>
            <w:fldChar w:fldCharType="separate"/>
          </w:r>
          <w:r w:rsidR="00C96417">
            <w:rPr>
              <w:w w:val="103"/>
            </w:rPr>
            <w:t>5</w:t>
          </w:r>
          <w:r>
            <w:rPr>
              <w:w w:val="103"/>
            </w:rPr>
            <w:fldChar w:fldCharType="end"/>
          </w:r>
        </w:p>
      </w:tc>
    </w:tr>
  </w:tbl>
  <w:p w:rsidR="00A24F0E" w:rsidRPr="0079274A" w:rsidRDefault="00A24F0E" w:rsidP="007927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F0E" w:rsidRDefault="00A24F0E">
    <w:pPr>
      <w:pStyle w:val="Footer"/>
    </w:pPr>
  </w:p>
  <w:p w:rsidR="00A24F0E" w:rsidRDefault="00A24F0E" w:rsidP="0079274A">
    <w:pPr>
      <w:pStyle w:val="Footer"/>
      <w:jc w:val="right"/>
      <w:rPr>
        <w:rFonts w:cs="Times New Roman"/>
        <w:b w:val="0"/>
        <w:w w:val="103"/>
        <w:sz w:val="20"/>
      </w:rPr>
    </w:pPr>
    <w:r>
      <w:rPr>
        <w:rFonts w:cs="Times New Roman"/>
        <w:b w:val="0"/>
        <w:w w:val="103"/>
        <w:sz w:val="20"/>
      </w:rPr>
      <w:t xml:space="preserve">101007    101007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07-52031 (A)</w:t>
    </w:r>
    <w:r>
      <w:rPr>
        <w:rFonts w:cs="Times New Roman"/>
        <w:b w:val="0"/>
        <w:w w:val="103"/>
        <w:sz w:val="20"/>
      </w:rPr>
      <w:fldChar w:fldCharType="end"/>
    </w:r>
  </w:p>
  <w:p w:rsidR="00A24F0E" w:rsidRPr="0079274A" w:rsidRDefault="00A24F0E" w:rsidP="0079274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*0752031*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F0E" w:rsidRPr="006E1D7F" w:rsidRDefault="00A24F0E" w:rsidP="006E1D7F">
      <w:pPr>
        <w:pStyle w:val="Footer"/>
        <w:bidi/>
        <w:spacing w:after="80"/>
        <w:ind w:left="792"/>
        <w:rPr>
          <w:sz w:val="16"/>
        </w:rPr>
      </w:pPr>
      <w:r w:rsidRPr="006E1D7F">
        <w:rPr>
          <w:sz w:val="16"/>
          <w:rtl/>
        </w:rPr>
        <w:t>__________</w:t>
      </w:r>
    </w:p>
  </w:footnote>
  <w:footnote w:type="continuationSeparator" w:id="0">
    <w:p w:rsidR="00A24F0E" w:rsidRPr="006E1D7F" w:rsidRDefault="00A24F0E" w:rsidP="006E1D7F">
      <w:pPr>
        <w:pStyle w:val="Footer"/>
        <w:spacing w:after="80"/>
        <w:ind w:left="792"/>
        <w:rPr>
          <w:sz w:val="16"/>
        </w:rPr>
      </w:pPr>
      <w:r w:rsidRPr="006E1D7F">
        <w:rPr>
          <w:sz w:val="16"/>
        </w:rPr>
        <w:t>__________</w:t>
      </w:r>
    </w:p>
  </w:footnote>
  <w:footnote w:id="1">
    <w:p w:rsidR="00A24F0E" w:rsidRPr="00794CA6" w:rsidRDefault="00A24F0E" w:rsidP="00794C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94CA6">
        <w:rPr>
          <w:w w:val="103"/>
          <w:rtl/>
        </w:rPr>
        <w:t>(</w:t>
      </w:r>
      <w:r w:rsidRPr="00794CA6">
        <w:rPr>
          <w:rStyle w:val="FootnoteReference"/>
          <w:spacing w:val="0"/>
          <w:w w:val="103"/>
          <w:vertAlign w:val="baseline"/>
          <w:rtl/>
        </w:rPr>
        <w:footnoteRef/>
      </w:r>
      <w:r w:rsidRPr="00794CA6">
        <w:rPr>
          <w:w w:val="103"/>
          <w:rtl/>
        </w:rPr>
        <w:t>)</w:t>
      </w:r>
      <w:r w:rsidRPr="00794CA6">
        <w:rPr>
          <w:w w:val="103"/>
          <w:rtl/>
        </w:rPr>
        <w:tab/>
      </w:r>
      <w:r w:rsidRPr="00794CA6">
        <w:rPr>
          <w:rFonts w:hint="cs"/>
          <w:i/>
          <w:iCs/>
          <w:w w:val="103"/>
          <w:rtl/>
        </w:rPr>
        <w:t xml:space="preserve">انظر الوثائق الرسمية للجمعية العامة، الدورة السابعة والخمسون، الملحق رقم 38 </w:t>
      </w:r>
      <w:r w:rsidRPr="00794CA6">
        <w:rPr>
          <w:rFonts w:hint="cs"/>
          <w:w w:val="103"/>
          <w:rtl/>
        </w:rPr>
        <w:t>(</w:t>
      </w:r>
      <w:r w:rsidRPr="00794CA6">
        <w:rPr>
          <w:w w:val="103"/>
        </w:rPr>
        <w:t>A/57/38</w:t>
      </w:r>
      <w:r w:rsidRPr="00794CA6">
        <w:rPr>
          <w:rFonts w:hint="cs"/>
          <w:w w:val="103"/>
          <w:rtl/>
        </w:rPr>
        <w:t>)، الجزء الثالث، الفقرة 398.</w:t>
      </w:r>
    </w:p>
  </w:footnote>
  <w:footnote w:id="2">
    <w:p w:rsidR="00A24F0E" w:rsidRPr="00C43D81" w:rsidRDefault="00A24F0E" w:rsidP="00C43D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43D81">
        <w:rPr>
          <w:w w:val="103"/>
          <w:rtl/>
        </w:rPr>
        <w:t>(</w:t>
      </w:r>
      <w:r w:rsidRPr="00C43D81">
        <w:rPr>
          <w:rStyle w:val="FootnoteReference"/>
          <w:spacing w:val="0"/>
          <w:w w:val="103"/>
          <w:vertAlign w:val="baseline"/>
          <w:rtl/>
        </w:rPr>
        <w:footnoteRef/>
      </w:r>
      <w:r w:rsidRPr="00C43D81">
        <w:rPr>
          <w:w w:val="103"/>
          <w:rtl/>
        </w:rPr>
        <w:t>)</w:t>
      </w:r>
      <w:r w:rsidRPr="00C43D81">
        <w:rPr>
          <w:w w:val="103"/>
          <w:rtl/>
        </w:rPr>
        <w:tab/>
      </w:r>
      <w:r>
        <w:rPr>
          <w:rFonts w:hint="cs"/>
          <w:w w:val="103"/>
          <w:rtl/>
        </w:rPr>
        <w:t>المرجع نفسه، الفقرة 389.</w:t>
      </w:r>
    </w:p>
  </w:footnote>
  <w:footnote w:id="3">
    <w:p w:rsidR="00A24F0E" w:rsidRPr="0071311B" w:rsidRDefault="00A24F0E" w:rsidP="0071311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1311B">
        <w:rPr>
          <w:w w:val="103"/>
          <w:rtl/>
        </w:rPr>
        <w:t>(</w:t>
      </w:r>
      <w:r w:rsidRPr="0071311B">
        <w:rPr>
          <w:rStyle w:val="FootnoteReference"/>
          <w:spacing w:val="0"/>
          <w:w w:val="103"/>
          <w:vertAlign w:val="baseline"/>
          <w:rtl/>
        </w:rPr>
        <w:footnoteRef/>
      </w:r>
      <w:r w:rsidRPr="0071311B">
        <w:rPr>
          <w:w w:val="103"/>
          <w:rtl/>
        </w:rPr>
        <w:t>)</w:t>
      </w:r>
      <w:r w:rsidRPr="0071311B">
        <w:rPr>
          <w:w w:val="103"/>
          <w:rtl/>
        </w:rPr>
        <w:tab/>
      </w:r>
      <w:r>
        <w:rPr>
          <w:rFonts w:hint="cs"/>
          <w:w w:val="103"/>
          <w:rtl/>
        </w:rPr>
        <w:t>المرجع نفسه، الفقرة 402.</w:t>
      </w:r>
    </w:p>
  </w:footnote>
  <w:footnote w:id="4">
    <w:p w:rsidR="00A24F0E" w:rsidRPr="006E1D7F" w:rsidRDefault="00A24F0E" w:rsidP="006E1D7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E1D7F">
        <w:rPr>
          <w:w w:val="103"/>
          <w:rtl/>
        </w:rPr>
        <w:t>(</w:t>
      </w:r>
      <w:r w:rsidRPr="006E1D7F">
        <w:rPr>
          <w:rStyle w:val="FootnoteReference"/>
          <w:spacing w:val="0"/>
          <w:w w:val="103"/>
          <w:vertAlign w:val="baseline"/>
          <w:rtl/>
        </w:rPr>
        <w:footnoteRef/>
      </w:r>
      <w:r w:rsidRPr="006E1D7F">
        <w:rPr>
          <w:w w:val="103"/>
          <w:rtl/>
        </w:rPr>
        <w:t>)</w:t>
      </w:r>
      <w:r w:rsidRPr="006E1D7F">
        <w:rPr>
          <w:w w:val="103"/>
          <w:rtl/>
        </w:rPr>
        <w:tab/>
      </w:r>
      <w:r>
        <w:rPr>
          <w:rFonts w:hint="cs"/>
          <w:w w:val="103"/>
          <w:rtl/>
        </w:rPr>
        <w:t>المرجع نفسه، الفقرة 391.</w:t>
      </w:r>
    </w:p>
  </w:footnote>
  <w:footnote w:id="5">
    <w:p w:rsidR="00A24F0E" w:rsidRPr="006E1D7F" w:rsidRDefault="00A24F0E" w:rsidP="006E1D7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E1D7F">
        <w:rPr>
          <w:w w:val="103"/>
          <w:rtl/>
        </w:rPr>
        <w:t>(</w:t>
      </w:r>
      <w:r w:rsidRPr="006E1D7F">
        <w:rPr>
          <w:rStyle w:val="FootnoteReference"/>
          <w:spacing w:val="0"/>
          <w:w w:val="103"/>
          <w:vertAlign w:val="baseline"/>
          <w:rtl/>
        </w:rPr>
        <w:footnoteRef/>
      </w:r>
      <w:r w:rsidRPr="006E1D7F">
        <w:rPr>
          <w:w w:val="103"/>
          <w:rtl/>
        </w:rPr>
        <w:t>)</w:t>
      </w:r>
      <w:r w:rsidRPr="006E1D7F">
        <w:rPr>
          <w:w w:val="103"/>
          <w:rtl/>
        </w:rPr>
        <w:tab/>
      </w:r>
      <w:r>
        <w:rPr>
          <w:rFonts w:hint="cs"/>
          <w:w w:val="103"/>
          <w:rtl/>
        </w:rPr>
        <w:t>المرجع نفسه، الفقرة 392.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A24F0E">
      <w:tblPrEx>
        <w:tblCellMar>
          <w:top w:w="0" w:type="dxa"/>
          <w:bottom w:w="0" w:type="dxa"/>
        </w:tblCellMar>
      </w:tblPrEx>
      <w:trPr>
        <w:trHeight w:hRule="exact" w:val="864"/>
        <w:jc w:val="center"/>
      </w:trPr>
      <w:tc>
        <w:tcPr>
          <w:tcW w:w="5033" w:type="dxa"/>
          <w:shd w:val="clear" w:color="auto" w:fill="auto"/>
          <w:vAlign w:val="bottom"/>
        </w:tcPr>
        <w:p w:rsidR="00A24F0E" w:rsidRDefault="00A24F0E" w:rsidP="0079274A">
          <w:pPr>
            <w:pStyle w:val="Header"/>
            <w:bidi/>
            <w:jc w:val="right"/>
          </w:pPr>
        </w:p>
      </w:tc>
      <w:tc>
        <w:tcPr>
          <w:tcW w:w="5033" w:type="dxa"/>
          <w:shd w:val="clear" w:color="auto" w:fill="auto"/>
          <w:vAlign w:val="bottom"/>
        </w:tcPr>
        <w:p w:rsidR="00A24F0E" w:rsidRPr="0079274A" w:rsidRDefault="00A24F0E" w:rsidP="0079274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CEDAW/C/YEM/Q/6</w:t>
          </w:r>
          <w:r>
            <w:rPr>
              <w:w w:val="103"/>
            </w:rPr>
            <w:fldChar w:fldCharType="end"/>
          </w:r>
        </w:p>
      </w:tc>
    </w:tr>
  </w:tbl>
  <w:p w:rsidR="00A24F0E" w:rsidRPr="0079274A" w:rsidRDefault="00A24F0E" w:rsidP="007927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A24F0E">
      <w:tblPrEx>
        <w:tblCellMar>
          <w:top w:w="0" w:type="dxa"/>
          <w:bottom w:w="0" w:type="dxa"/>
        </w:tblCellMar>
      </w:tblPrEx>
      <w:trPr>
        <w:trHeight w:hRule="exact" w:val="864"/>
        <w:jc w:val="center"/>
      </w:trPr>
      <w:tc>
        <w:tcPr>
          <w:tcW w:w="5033" w:type="dxa"/>
          <w:shd w:val="clear" w:color="auto" w:fill="auto"/>
          <w:vAlign w:val="bottom"/>
        </w:tcPr>
        <w:p w:rsidR="00A24F0E" w:rsidRPr="0079274A" w:rsidRDefault="00A24F0E" w:rsidP="0079274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CEDAW/C/YEM/Q/6</w:t>
          </w:r>
          <w:r>
            <w:rPr>
              <w:w w:val="103"/>
              <w:rtl/>
            </w:rPr>
            <w:fldChar w:fldCharType="end"/>
          </w:r>
        </w:p>
      </w:tc>
      <w:tc>
        <w:tcPr>
          <w:tcW w:w="5033" w:type="dxa"/>
          <w:shd w:val="clear" w:color="auto" w:fill="auto"/>
          <w:vAlign w:val="bottom"/>
        </w:tcPr>
        <w:p w:rsidR="00A24F0E" w:rsidRDefault="00A24F0E" w:rsidP="0079274A">
          <w:pPr>
            <w:pStyle w:val="Header"/>
          </w:pPr>
        </w:p>
      </w:tc>
    </w:tr>
  </w:tbl>
  <w:p w:rsidR="00A24F0E" w:rsidRPr="0079274A" w:rsidRDefault="00A24F0E" w:rsidP="007927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4F0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4F0E" w:rsidRDefault="00A24F0E" w:rsidP="0079274A">
          <w:pPr>
            <w:pStyle w:val="Header"/>
            <w:spacing w:after="120"/>
          </w:pPr>
        </w:p>
      </w:tc>
      <w:tc>
        <w:tcPr>
          <w:tcW w:w="1786" w:type="dxa"/>
          <w:tcBorders>
            <w:bottom w:val="single" w:sz="4" w:space="0" w:color="auto"/>
          </w:tcBorders>
          <w:shd w:val="clear" w:color="auto" w:fill="auto"/>
          <w:vAlign w:val="bottom"/>
        </w:tcPr>
        <w:p w:rsidR="00A24F0E" w:rsidRPr="0079274A" w:rsidRDefault="00A24F0E" w:rsidP="0079274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4F0E" w:rsidRDefault="00A24F0E" w:rsidP="0079274A">
          <w:pPr>
            <w:pStyle w:val="Header"/>
            <w:spacing w:after="120"/>
          </w:pPr>
        </w:p>
      </w:tc>
      <w:tc>
        <w:tcPr>
          <w:tcW w:w="6523" w:type="dxa"/>
          <w:gridSpan w:val="3"/>
          <w:tcBorders>
            <w:bottom w:val="single" w:sz="4" w:space="0" w:color="auto"/>
          </w:tcBorders>
          <w:shd w:val="clear" w:color="auto" w:fill="auto"/>
          <w:vAlign w:val="bottom"/>
        </w:tcPr>
        <w:p w:rsidR="00A24F0E" w:rsidRPr="0079274A" w:rsidRDefault="00A24F0E" w:rsidP="0079274A">
          <w:pPr>
            <w:spacing w:line="380" w:lineRule="exact"/>
            <w:jc w:val="right"/>
          </w:pPr>
          <w:r>
            <w:rPr>
              <w:sz w:val="40"/>
            </w:rPr>
            <w:t>CEDAW</w:t>
          </w:r>
          <w:r>
            <w:t>/C/YEM/Q/6</w:t>
          </w:r>
        </w:p>
      </w:tc>
    </w:tr>
    <w:tr w:rsidR="00A24F0E" w:rsidRPr="0079274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4F0E" w:rsidRDefault="00A24F0E" w:rsidP="0079274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4F0E" w:rsidRPr="0079274A" w:rsidRDefault="00A24F0E" w:rsidP="0079274A">
          <w:pPr>
            <w:pStyle w:val="Header"/>
            <w:spacing w:before="109"/>
            <w:jc w:val="right"/>
          </w:pPr>
        </w:p>
      </w:tc>
      <w:tc>
        <w:tcPr>
          <w:tcW w:w="5227" w:type="dxa"/>
          <w:gridSpan w:val="3"/>
          <w:tcBorders>
            <w:top w:val="single" w:sz="4" w:space="0" w:color="auto"/>
            <w:bottom w:val="single" w:sz="12" w:space="0" w:color="auto"/>
          </w:tcBorders>
          <w:shd w:val="clear" w:color="auto" w:fill="auto"/>
        </w:tcPr>
        <w:p w:rsidR="00A24F0E" w:rsidRPr="0079274A" w:rsidRDefault="00A24F0E" w:rsidP="0079274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4F0E" w:rsidRPr="0079274A" w:rsidRDefault="00A24F0E" w:rsidP="0079274A">
          <w:pPr>
            <w:pStyle w:val="Header"/>
            <w:spacing w:before="109"/>
          </w:pPr>
        </w:p>
      </w:tc>
      <w:tc>
        <w:tcPr>
          <w:tcW w:w="3100" w:type="dxa"/>
          <w:gridSpan w:val="2"/>
          <w:tcBorders>
            <w:top w:val="single" w:sz="4" w:space="0" w:color="auto"/>
            <w:bottom w:val="single" w:sz="12" w:space="0" w:color="auto"/>
          </w:tcBorders>
          <w:shd w:val="clear" w:color="auto" w:fill="auto"/>
        </w:tcPr>
        <w:p w:rsidR="00A24F0E" w:rsidRDefault="00A24F0E" w:rsidP="0079274A">
          <w:pPr>
            <w:bidi w:val="0"/>
            <w:spacing w:before="240" w:line="240" w:lineRule="exact"/>
          </w:pPr>
          <w:r>
            <w:t>Distr.: General</w:t>
          </w:r>
        </w:p>
        <w:p w:rsidR="00A24F0E" w:rsidRDefault="00A24F0E" w:rsidP="0079274A">
          <w:pPr>
            <w:bidi w:val="0"/>
            <w:spacing w:line="240" w:lineRule="exact"/>
            <w:jc w:val="left"/>
          </w:pPr>
          <w:r>
            <w:t>27 September 2007</w:t>
          </w:r>
        </w:p>
        <w:p w:rsidR="00A24F0E" w:rsidRDefault="00A24F0E" w:rsidP="0079274A">
          <w:pPr>
            <w:bidi w:val="0"/>
            <w:spacing w:line="240" w:lineRule="exact"/>
            <w:jc w:val="left"/>
          </w:pPr>
          <w:r>
            <w:t>Arabic</w:t>
          </w:r>
        </w:p>
        <w:p w:rsidR="00A24F0E" w:rsidRPr="0079274A" w:rsidRDefault="00A24F0E" w:rsidP="0079274A">
          <w:pPr>
            <w:bidi w:val="0"/>
            <w:spacing w:line="240" w:lineRule="exact"/>
            <w:jc w:val="left"/>
          </w:pPr>
          <w:r>
            <w:t>Original: English</w:t>
          </w:r>
        </w:p>
      </w:tc>
    </w:tr>
  </w:tbl>
  <w:p w:rsidR="00A24F0E" w:rsidRPr="0079274A" w:rsidRDefault="00A24F0E" w:rsidP="0079274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1*"/>
    <w:docVar w:name="CreationDt" w:val="10/10/2007 04:190 م"/>
    <w:docVar w:name="DocCategory" w:val="Doc"/>
    <w:docVar w:name="DocType" w:val="Final"/>
    <w:docVar w:name="FooterJN" w:val="07-52031"/>
    <w:docVar w:name="jobn" w:val="07-52031 (A)"/>
    <w:docVar w:name="jobnDT" w:val="07-52031 (A)   101007"/>
    <w:docVar w:name="jobnDTDT" w:val="07-52031 (A)   101007   101007"/>
    <w:docVar w:name="JobNo" w:val="0752031A"/>
    <w:docVar w:name="OandT" w:val=" "/>
    <w:docVar w:name="sss1" w:val="CEDAW/C/YEM/Q/6"/>
    <w:docVar w:name="sss2" w:val="-"/>
    <w:docVar w:name="Symbol1" w:val="CEDAW/C/YEM/Q/6"/>
    <w:docVar w:name="Symbol2" w:val="-"/>
  </w:docVars>
  <w:rsids>
    <w:rsidRoot w:val="00904F55"/>
    <w:rsid w:val="00042425"/>
    <w:rsid w:val="0006648F"/>
    <w:rsid w:val="00087310"/>
    <w:rsid w:val="0009732C"/>
    <w:rsid w:val="000C4EED"/>
    <w:rsid w:val="000D2CEC"/>
    <w:rsid w:val="00101EE8"/>
    <w:rsid w:val="00110F88"/>
    <w:rsid w:val="00113349"/>
    <w:rsid w:val="001519A9"/>
    <w:rsid w:val="001737F8"/>
    <w:rsid w:val="00187870"/>
    <w:rsid w:val="00195B75"/>
    <w:rsid w:val="001B122C"/>
    <w:rsid w:val="001F6786"/>
    <w:rsid w:val="002416C5"/>
    <w:rsid w:val="00266F59"/>
    <w:rsid w:val="00272B6C"/>
    <w:rsid w:val="0027623A"/>
    <w:rsid w:val="00290F2F"/>
    <w:rsid w:val="002937DA"/>
    <w:rsid w:val="002A09C6"/>
    <w:rsid w:val="002C2AF2"/>
    <w:rsid w:val="002C4E1B"/>
    <w:rsid w:val="00312162"/>
    <w:rsid w:val="00344B55"/>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67D4"/>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6E1D7F"/>
    <w:rsid w:val="0071311B"/>
    <w:rsid w:val="0071531E"/>
    <w:rsid w:val="0071645B"/>
    <w:rsid w:val="00716E9D"/>
    <w:rsid w:val="00747B9E"/>
    <w:rsid w:val="007524BE"/>
    <w:rsid w:val="007525FA"/>
    <w:rsid w:val="007566E0"/>
    <w:rsid w:val="00774FF0"/>
    <w:rsid w:val="0079046D"/>
    <w:rsid w:val="0079274A"/>
    <w:rsid w:val="00794CA6"/>
    <w:rsid w:val="0079753A"/>
    <w:rsid w:val="007A6DD9"/>
    <w:rsid w:val="007D60E0"/>
    <w:rsid w:val="007D6B8D"/>
    <w:rsid w:val="007E32B9"/>
    <w:rsid w:val="0081284F"/>
    <w:rsid w:val="00814843"/>
    <w:rsid w:val="008170DE"/>
    <w:rsid w:val="00830E32"/>
    <w:rsid w:val="00873A11"/>
    <w:rsid w:val="00873AF9"/>
    <w:rsid w:val="008C1928"/>
    <w:rsid w:val="008D1C04"/>
    <w:rsid w:val="008F04A0"/>
    <w:rsid w:val="008F09CA"/>
    <w:rsid w:val="008F64A7"/>
    <w:rsid w:val="0090012B"/>
    <w:rsid w:val="0090351F"/>
    <w:rsid w:val="00904F55"/>
    <w:rsid w:val="00970BAD"/>
    <w:rsid w:val="009768D1"/>
    <w:rsid w:val="009829B7"/>
    <w:rsid w:val="009927C0"/>
    <w:rsid w:val="009961E6"/>
    <w:rsid w:val="009B6C65"/>
    <w:rsid w:val="009C0017"/>
    <w:rsid w:val="009C15F4"/>
    <w:rsid w:val="009D62A3"/>
    <w:rsid w:val="009E2A1F"/>
    <w:rsid w:val="00A24F0E"/>
    <w:rsid w:val="00A37C4B"/>
    <w:rsid w:val="00A66F66"/>
    <w:rsid w:val="00A71AE5"/>
    <w:rsid w:val="00AA1E16"/>
    <w:rsid w:val="00AC002C"/>
    <w:rsid w:val="00AC6CDD"/>
    <w:rsid w:val="00AD38D0"/>
    <w:rsid w:val="00AE108C"/>
    <w:rsid w:val="00AF1A53"/>
    <w:rsid w:val="00AF7AC7"/>
    <w:rsid w:val="00B05ADC"/>
    <w:rsid w:val="00B272BE"/>
    <w:rsid w:val="00B632B8"/>
    <w:rsid w:val="00B9542C"/>
    <w:rsid w:val="00B95560"/>
    <w:rsid w:val="00BA7FAB"/>
    <w:rsid w:val="00BC2F4C"/>
    <w:rsid w:val="00BC4A05"/>
    <w:rsid w:val="00BF0B15"/>
    <w:rsid w:val="00C12CBB"/>
    <w:rsid w:val="00C25A2D"/>
    <w:rsid w:val="00C260F8"/>
    <w:rsid w:val="00C43D81"/>
    <w:rsid w:val="00C43FBE"/>
    <w:rsid w:val="00C449C6"/>
    <w:rsid w:val="00C564B0"/>
    <w:rsid w:val="00C6283F"/>
    <w:rsid w:val="00C814A5"/>
    <w:rsid w:val="00C96417"/>
    <w:rsid w:val="00C96573"/>
    <w:rsid w:val="00CD0BB8"/>
    <w:rsid w:val="00CD3849"/>
    <w:rsid w:val="00CF7384"/>
    <w:rsid w:val="00D2343D"/>
    <w:rsid w:val="00D30EAE"/>
    <w:rsid w:val="00D318F1"/>
    <w:rsid w:val="00D40B0E"/>
    <w:rsid w:val="00DA49D9"/>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46B4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9274A"/>
    <w:rPr>
      <w:szCs w:val="20"/>
    </w:rPr>
  </w:style>
  <w:style w:type="paragraph" w:styleId="CommentSubject">
    <w:name w:val="annotation subject"/>
    <w:basedOn w:val="CommentText"/>
    <w:next w:val="CommentText"/>
    <w:semiHidden/>
    <w:rsid w:val="00792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1376</Words>
  <Characters>7844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Ahmad Jouejati 23</cp:lastModifiedBy>
  <cp:revision>2</cp:revision>
  <cp:lastPrinted>2007-10-10T15:34:00Z</cp:lastPrinted>
  <dcterms:created xsi:type="dcterms:W3CDTF">2007-10-10T15:35:00Z</dcterms:created>
  <dcterms:modified xsi:type="dcterms:W3CDTF">2007-10-10T15:35:00Z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0752031</vt:lpwstr>
  </property>
  <property fmtid="{D5CDD505-2E9C-101B-9397-08002B2CF9AE}" pid="3" name="Symbol1">
    <vt:lpwstr>CEDAW/C/YEM/Q/6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