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42451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210602    250602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CAT/C/CR/28/7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6 June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Двадцать восьмая сессия</w:t>
      </w:r>
    </w:p>
    <w:p w:rsidR="00000000" w:rsidRDefault="00000000">
      <w:r>
        <w:t xml:space="preserve">29 апреля </w:t>
      </w:r>
      <w:r>
        <w:noBreakHyphen/>
        <w:t xml:space="preserve"> 17 мая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</w:t>
      </w:r>
      <w:r>
        <w:noBreakHyphen/>
        <w:t xml:space="preserve"> УЧАСТНИКАМИ В СООТВЕТСТВИИ СО СТАТЬЕЙ 19 КОНВЕНЦИИ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Выводы и рекомендации Комитета против пыток</w:t>
      </w:r>
    </w:p>
    <w:p w:rsidR="00000000" w:rsidRDefault="00000000">
      <w:pPr>
        <w:pStyle w:val="11"/>
      </w:pPr>
    </w:p>
    <w:p w:rsidR="00000000" w:rsidRDefault="00000000">
      <w:pPr>
        <w:pStyle w:val="16"/>
      </w:pPr>
      <w:r>
        <w:t>Узбекистан</w:t>
      </w: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Комитет рассмотрел второй периодический доклад Узбекистана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/53/</w:t>
      </w:r>
      <w:r>
        <w:rPr>
          <w:lang w:val="en-US"/>
        </w:rPr>
        <w:t>Add</w:t>
      </w:r>
      <w:r>
        <w:t>.1) на своих 506, 509 и 518</w:t>
      </w:r>
      <w:r>
        <w:noBreakHyphen/>
        <w:t>м заседаниях, состоявшихся 1, 2 и 8 мая 2002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.506, 509 и 518), и принял следующие выводы и рекомендации.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A</w:t>
      </w:r>
      <w:r>
        <w:t>.</w:t>
      </w:r>
      <w: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второй периодический доклад Узбекистана, который был представлен своевременно и в соответствии с предыдущей просьбой Комитета.  Он ценит обстоятельную информацию о многочисленных реформах с целью привести внутреннее законодательство в соответствие с обязательствами государства</w:t>
      </w:r>
      <w:r>
        <w:noBreakHyphen/>
        <w:t>участника по Конвенции.  Отмечая, что в докладе имеется мало информации об осуществлении Конвенции на практике, Комитет вместе с тем хотел бы выразить свою признательность за информативные устные обновленные данные, приведенные представителями государства</w:t>
      </w:r>
      <w:r>
        <w:noBreakHyphen/>
        <w:t>участника в ходе рассмотрения доклада, и за готовность государства</w:t>
      </w:r>
      <w:r>
        <w:noBreakHyphen/>
        <w:t xml:space="preserve">участника предоставить дальнейшую информацию и соответствующую статистику в письменном виде.  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br w:type="page"/>
        <w:t>B</w:t>
      </w:r>
      <w:r>
        <w:t>.</w:t>
      </w:r>
      <w: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 xml:space="preserve">Комитет отмечает следующие позитивные события:  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ратификацию нескольких важных договоров по правам человека и принятие многочисленных законов с целью привести законодательство в соответствие с обязательствами по этим договорам;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предпринятые государством</w:t>
      </w:r>
      <w:r>
        <w:noBreakHyphen/>
        <w:t>участником просветительские инициативы для ознакомления различных слоев общества с международными стандартами в области прав человека и обширные усилия в плане сотрудничества с международными организациями в целях поощрения понимания прав человека, включая привлечение технического сотрудничества со стороны Управления Верховного комиссара по правам человека;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сообщения государства</w:t>
      </w:r>
      <w:r>
        <w:noBreakHyphen/>
        <w:t>участника о его усилиях по составлению нового определения пыток, которое было бы совместимо с определением по статье 1 Конвенции, и внесение в парламент законопроекта, с тем чтобы позволить гражданам подавать жалобы, в том что касается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заверения представителя государства</w:t>
      </w:r>
      <w:r>
        <w:noBreakHyphen/>
        <w:t>участника на тот счет, что государство намерено учредить независимую судебную власть;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сообщение представителя государства</w:t>
      </w:r>
      <w:r>
        <w:noBreakHyphen/>
        <w:t xml:space="preserve">участника об учреждении апелляционной системы в отношении судебных приговоров и о введении альтернатив приговорам к тюремному заключению, освобождения задержанных под залог;  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сообщенную представителем государства</w:t>
      </w:r>
      <w:r>
        <w:noBreakHyphen/>
        <w:t xml:space="preserve">участника информацию о том, что разрабатываются меры по выводам официального разбора жалоб, поступивших в Управление </w:t>
      </w:r>
      <w:proofErr w:type="spellStart"/>
      <w:r>
        <w:t>омбудсмена</w:t>
      </w:r>
      <w:proofErr w:type="spellEnd"/>
      <w:r>
        <w:t>, который позволил выявить ряд спорных судебных приговоров, случаи пыток или жестокого обращения со стороны сотрудников правоохранительных органов и неадекватный надзор за применением норм в области прав человека со стороны правоохранительных ведомств;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судебное преследование четырех сотрудников полиции и назначение им в январе 2002 года наказания в виде тюремного заключения за применение пыток, а также заявление представителя государства</w:t>
      </w:r>
      <w:r>
        <w:noBreakHyphen/>
        <w:t>частника о том, что это стало поворотным пунктом, возвестившим о приверженности государства</w:t>
      </w:r>
      <w:r>
        <w:noBreakHyphen/>
        <w:t>участника реализации запрещения пыток на практике.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C</w:t>
      </w:r>
      <w:r>
        <w:t>.</w:t>
      </w:r>
      <w:r>
        <w:tab/>
        <w:t>Факторы и трудности, препятствующие применению Конвенции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сознает трудность преодоления наследия тоталитарной системы при переходе к демократической форме правления, а также то обстоятельство, что такой переход усугубляется нестабильностью в регионе.  Тем не менее Комитет подчеркивает, что на такие обстоятельства нельзя ссылаться в качестве оправдания пыток.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Комитет выражает озабоченность в отношении следующего: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особенно многочисленных, непрекращающихся и систематических утверждений о весьма жестоких актах пыток и других жестоких, бесчеловечных или унижающих достоинство видах обращения или наказания, совершаемых сотрудниками правоохранительных органов;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отсутствия у лиц, лишенных свободы, надлежащего доступа, сразу же после задержания, к независимому адвокату, врачу или судебно</w:t>
      </w:r>
      <w:r>
        <w:noBreakHyphen/>
        <w:t>медицинскому эксперту и к членам семьи, что является важной гарантией против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недостаточного уровня независимости и эффективности прокуратуры, тем более что прокурор наделен компетенцией осуществлять надзор над правомерностью продолжительности срока предварительного заключения, который может быть продлен вплоть до 12 месяцев;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 xml:space="preserve">недостаточной практической подготовкой  </w:t>
      </w:r>
      <w:proofErr w:type="spellStart"/>
      <w:r>
        <w:rPr>
          <w:lang w:val="en-US"/>
        </w:rPr>
        <w:t>i</w:t>
      </w:r>
      <w:proofErr w:type="spellEnd"/>
      <w:r>
        <w:t xml:space="preserve">)  врачей на предмет выявления признаков пыток или жестокого обращения у находившихся и находящихся в заключении лиц, а также  </w:t>
      </w:r>
      <w:r>
        <w:rPr>
          <w:lang w:val="en-US"/>
        </w:rPr>
        <w:t>ii</w:t>
      </w:r>
      <w:r>
        <w:t xml:space="preserve">)   правоохранительного персонала и судейских работников на предмет возбуждения оперативных беспристрастных расследований; 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недостаточной независимости судебной власти;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фактического отказа судей принимать в расчет представления обвиняемым доказательства пыток и жесткого обращения, вследствие чего не предпринимается ни расследований, ни преследований;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того обстоятельства, что определение пыток в Уголовном кодексе государства</w:t>
      </w:r>
      <w:r>
        <w:noBreakHyphen/>
        <w:t>участника носит неполный характер и поэтому не вполне соответствует статье 1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многочисленных случаев вынесения обвинительных приговоров на основе признательных показаний и продолжающегося использования критерия "раскрываемости преступлений" в качестве основы для продвижения по службе правоохранительного персонала, что в совокупности создает благоприятные условия применения пыток и жестокого обращения, с тем чтобы вынудить задерживаемых к "признанию";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 xml:space="preserve">отсутствия </w:t>
      </w:r>
      <w:proofErr w:type="spellStart"/>
      <w:r>
        <w:t>транспарентности</w:t>
      </w:r>
      <w:proofErr w:type="spellEnd"/>
      <w:r>
        <w:t xml:space="preserve"> в системе уголовной юстиции и недостаточности публично доступной статистики относительно заключенных, жалоб на применение пыток, а также количества и результатов расследований по таким жалобам;  кроме того, государство</w:t>
      </w:r>
      <w:r>
        <w:noBreakHyphen/>
        <w:t>участник не представило запрошенную в связи с рассмотрением в ноябре 1999 года его первоначального доклада информацию относительно численности лиц, содержащихся под стражей, и численности лиц, подвергнутых казни после вынесения смертного приговора;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экстрадиции или высылки отдельных лиц, включая просителей убежища в Узбекистане, в страны, где они могут подвергаться риску применения пыток.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E</w:t>
      </w:r>
      <w:r>
        <w:t>.</w:t>
      </w:r>
      <w:r>
        <w:tab/>
        <w:t>Рекомендации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Комитет рекомендует государству</w:t>
      </w:r>
      <w:r>
        <w:noBreakHyphen/>
        <w:t>участнику: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безотлагательно приступить к реализации планов по рассмотрению предложений о внесении поправок в его внутреннее уголовное право, с тем чтобы включить в него преступление пыток, состав которого был бы полностью совместим с определением содержащимся в статье 1 Конвенции, и подкреплялся адекватным наказанием;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принять экстренные и эффективные меры к тому, чтобы:  </w:t>
      </w:r>
      <w:proofErr w:type="spellStart"/>
      <w:r>
        <w:rPr>
          <w:lang w:val="en-US"/>
        </w:rPr>
        <w:t>i</w:t>
      </w:r>
      <w:proofErr w:type="spellEnd"/>
      <w:r>
        <w:t>)</w:t>
      </w:r>
      <w:r>
        <w:rPr>
          <w:lang w:val="en-US"/>
        </w:rPr>
        <w:t> </w:t>
      </w:r>
      <w:r>
        <w:t xml:space="preserve"> создать, вне рамок прокураторы, полностью независимый механизм обжалования для лиц, содержащихся в официальном заключении;  и  </w:t>
      </w:r>
      <w:r>
        <w:rPr>
          <w:lang w:val="en-US"/>
        </w:rPr>
        <w:t>ii</w:t>
      </w:r>
      <w:r>
        <w:t>)  обеспечить оперативные, беспристрастные и полные расследования сообщаемых властям многочисленных утверждений о применении пыток, а также надлежащее преследование и наказание исполнителей;</w:t>
      </w:r>
    </w:p>
    <w:p w:rsidR="00000000" w:rsidRDefault="00000000"/>
    <w:p w:rsidR="00000000" w:rsidRDefault="00000000">
      <w:r>
        <w:tab/>
        <w:t>с)</w:t>
      </w:r>
      <w:r>
        <w:tab/>
        <w:t>обеспечить, чтобы лица, обращающиеся с жалобами на применение пыток, и их свидетели были защищены от мести;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обеспечить на практике абсолютное соблюдение принципа недопустимости показаний, полученных под пыткой;</w:t>
      </w:r>
    </w:p>
    <w:p w:rsidR="00000000" w:rsidRDefault="00000000"/>
    <w:p w:rsidR="00000000" w:rsidRDefault="00000000">
      <w:r>
        <w:tab/>
        <w:t>е)</w:t>
      </w:r>
      <w:r>
        <w:tab/>
        <w:t>принять меры по установлению и обеспечению независимости судейских работников при исполнении ими своих обязанностей в соответствии с международными стандартами, и в частности с Основными принципами независимости судей;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принять меры к тому, чтобы позволить заключенным получить доступ к адвокату, врачу и членам семьи с момента их взятия под стражу и обеспечить, чтобы врачи предоставлялись по просьбе заключенных без необходимости заручиться разрешением со стороны тюремных должностных лиц;  а также вести реестр с именами всех заключенных с указанием времени, когда были произведены соответствующие уведомления адвокатов, врачей и членов семьи, а также результатов медицинских обследований;  такой реестр должен быть доступен в соответствующих случаях адвокатам и другим лицам;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улучшить условия пребывания в тюрьмах и следственных изоляторах и установить систему, допускающую внезапные инспекции таких мест внушающими доверие и беспристрастными следственными работниками, чьи выводы следует предавать гласности.  Государству-участнику следует также предпринять шаги к тому, чтобы сократить нынешний срок предварительного заключения и обеспечить независимый судебный надзор за сроками и условиями предварительного заключения.  Кроме того, ордер на арест должен даваться только судом;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 xml:space="preserve">обеспечить, чтобы правоохранительный судебный, медицинский и иной персонал, причастный к содержанию под стражей, проведению допросов, лечению заключенных или вступающий с ними в контакт каким-либо иным образом, получал подготовку на предмет запрещения пыток и чтобы процедура </w:t>
      </w:r>
      <w:proofErr w:type="spellStart"/>
      <w:r>
        <w:t>реквалификации</w:t>
      </w:r>
      <w:proofErr w:type="spellEnd"/>
      <w:r>
        <w:t xml:space="preserve"> ("переаттестации") такого персонала включала как проверку его осведомленности о требованиях Конвенции, так и рассмотрение его послужного списка на предмет обращения с заключенными;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рассмотреть дальнейшие шаги по переводу пенитенциарной системы из ведения министерства внутренних дел в ведение министерства юстиции, что позволит улучшить режим пребывания в пенитенциарной системе в соответствии с Конвенцией;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пересмотреть дела, по которым вынесение обвинительных приговоров было произведено исключительно на основе признательных показаний, за период, в течение которого Узбекистан является участником Конвенции, признавая, что многие из них могли быть основаны на доказательствах, полученных при помощи пыток или жестокого обращения, и соответственно предпринять оперативные и беспристрастные расследования и принять надлежащие коррективные меры;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обеспечить в законодательном порядке и на практике, чтобы никто не подвергался высылке, возвращению или экстрадиции в какое-либо государство при наличии веских оснований полагать, что там ему грозила бы опасность подвергнуться применению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рассмотреть вопрос о том, чтобы сделать заявления по статьям 21 и 22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представить в следующем периодическом докладе дезагрегированные, среди прочего, по признаку возраста, пола, этнической принадлежности соответствующих лиц, а также по географическому местонахождению, данные о гражданских и военных пенитенциарных заведениях, а также о пенитенциарных центрах для содержания несовершеннолетних и о других заведениях, где лица могут быть уязвимы с точки зрения применения пыток или жестокого обращения применительно к Конвенции;  представить в следующем периодическом докладе информацию о количестве, видах и результатах рассмотрения дел, как дисциплинарного, так и уголовного характера, в отношении полицейского и иного правоохранительного персонала, обвиняемого в применении пыток и совершении связанных с этим преступлений;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n</w:t>
      </w:r>
      <w:r>
        <w:t>)</w:t>
      </w:r>
      <w:r>
        <w:tab/>
        <w:t>широко распространить выводы и рекомендации Комитета и краткие отчеты относительно рассмотрения докладов государства-участника, в том числе среди правоохранительных сотрудников, в средствах массовой информации, а также за счет популяризаторской деятельности со стороны неправительственных организаций;</w:t>
      </w:r>
    </w:p>
    <w:p w:rsidR="00000000" w:rsidRDefault="00000000"/>
    <w:p w:rsidR="00000000" w:rsidRDefault="00000000">
      <w:r>
        <w:tab/>
        <w:t>о)</w:t>
      </w:r>
      <w:r>
        <w:tab/>
        <w:t>рассмотреть вопрос о проведении прямых консультаций с независимыми неправительственными правозащитными организациями при подготовке следующего периодического доклада.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CAT/C/CR/28/7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ind w:left="7371"/>
      <w:rPr>
        <w:lang w:val="en-US"/>
      </w:rPr>
    </w:pPr>
    <w:r>
      <w:rPr>
        <w:lang w:val="en-US"/>
      </w:rPr>
      <w:t>CAT/C/CR/28/7</w:t>
    </w:r>
  </w:p>
  <w:p w:rsidR="00000000" w:rsidRDefault="00000000">
    <w:pPr>
      <w:pStyle w:val="Header"/>
      <w:tabs>
        <w:tab w:val="left" w:pos="6521"/>
      </w:tabs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1668</Words>
  <Characters>9508</Characters>
  <Application>Microsoft Office Word</Application>
  <DocSecurity>4</DocSecurity>
  <Lines>79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Tatiana TCHERNIAEVA</cp:lastModifiedBy>
  <cp:revision>3</cp:revision>
  <cp:lastPrinted>2002-06-25T08:43:00Z</cp:lastPrinted>
  <dcterms:created xsi:type="dcterms:W3CDTF">2002-06-25T08:43:00Z</dcterms:created>
  <dcterms:modified xsi:type="dcterms:W3CDTF">2002-06-25T08:44:00Z</dcterms:modified>
</cp:coreProperties>
</file>