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2D50" w:rsidRPr="00C27A44" w14:paraId="7B964881" w14:textId="77777777">
        <w:trPr>
          <w:cantSplit/>
          <w:trHeight w:hRule="exact" w:val="851"/>
        </w:trPr>
        <w:tc>
          <w:tcPr>
            <w:tcW w:w="1276" w:type="dxa"/>
            <w:tcBorders>
              <w:bottom w:val="single" w:sz="4" w:space="0" w:color="auto"/>
            </w:tcBorders>
            <w:vAlign w:val="bottom"/>
          </w:tcPr>
          <w:p w14:paraId="23BEE320" w14:textId="77777777" w:rsidR="00C62D50" w:rsidRPr="00C27A44" w:rsidRDefault="00C62D50">
            <w:pPr>
              <w:spacing w:after="80"/>
            </w:pPr>
          </w:p>
        </w:tc>
        <w:tc>
          <w:tcPr>
            <w:tcW w:w="2268" w:type="dxa"/>
            <w:tcBorders>
              <w:bottom w:val="single" w:sz="4" w:space="0" w:color="auto"/>
            </w:tcBorders>
            <w:vAlign w:val="bottom"/>
          </w:tcPr>
          <w:p w14:paraId="6D1C072F" w14:textId="77777777" w:rsidR="00C62D50" w:rsidRPr="00C27A44" w:rsidRDefault="00664656">
            <w:pPr>
              <w:spacing w:after="80" w:line="300" w:lineRule="exact"/>
              <w:rPr>
                <w:b/>
                <w:sz w:val="24"/>
                <w:szCs w:val="24"/>
              </w:rPr>
            </w:pPr>
            <w:r w:rsidRPr="00C27A44">
              <w:rPr>
                <w:sz w:val="28"/>
                <w:szCs w:val="28"/>
              </w:rPr>
              <w:t>United Nations</w:t>
            </w:r>
          </w:p>
        </w:tc>
        <w:tc>
          <w:tcPr>
            <w:tcW w:w="6095" w:type="dxa"/>
            <w:gridSpan w:val="2"/>
            <w:tcBorders>
              <w:bottom w:val="single" w:sz="4" w:space="0" w:color="auto"/>
            </w:tcBorders>
            <w:vAlign w:val="bottom"/>
          </w:tcPr>
          <w:p w14:paraId="674C77A1" w14:textId="0F746E28" w:rsidR="00C62D50" w:rsidRPr="00C27A44" w:rsidRDefault="00664656">
            <w:pPr>
              <w:suppressAutoHyphens w:val="0"/>
              <w:spacing w:after="20"/>
              <w:jc w:val="right"/>
            </w:pPr>
            <w:r w:rsidRPr="00C27A44">
              <w:rPr>
                <w:sz w:val="40"/>
              </w:rPr>
              <w:t>CERD</w:t>
            </w:r>
            <w:r w:rsidRPr="00C27A44">
              <w:t>/C/CZE/Q/12-13</w:t>
            </w:r>
          </w:p>
        </w:tc>
      </w:tr>
      <w:tr w:rsidR="00C62D50" w:rsidRPr="00C27A44" w14:paraId="7B06298A" w14:textId="77777777">
        <w:trPr>
          <w:cantSplit/>
          <w:trHeight w:hRule="exact" w:val="2835"/>
        </w:trPr>
        <w:tc>
          <w:tcPr>
            <w:tcW w:w="1276" w:type="dxa"/>
            <w:tcBorders>
              <w:top w:val="single" w:sz="4" w:space="0" w:color="auto"/>
              <w:bottom w:val="single" w:sz="12" w:space="0" w:color="auto"/>
            </w:tcBorders>
          </w:tcPr>
          <w:p w14:paraId="4F688814" w14:textId="77777777" w:rsidR="00C62D50" w:rsidRPr="00C27A44" w:rsidRDefault="00664656">
            <w:pPr>
              <w:spacing w:before="120"/>
              <w:jc w:val="center"/>
            </w:pPr>
            <w:r w:rsidRPr="00C27A44">
              <w:rPr>
                <w:noProof/>
                <w:lang w:val="en-US" w:eastAsia="zh-CN"/>
              </w:rPr>
              <w:drawing>
                <wp:inline distT="0" distB="0" distL="0" distR="0" wp14:anchorId="55C6B767" wp14:editId="4376C9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3953FC" w14:textId="77777777" w:rsidR="00C62D50" w:rsidRPr="00C27A44" w:rsidRDefault="00664656">
            <w:pPr>
              <w:spacing w:before="120" w:line="380" w:lineRule="exact"/>
            </w:pPr>
            <w:r w:rsidRPr="00C27A44">
              <w:rPr>
                <w:b/>
                <w:sz w:val="34"/>
                <w:szCs w:val="40"/>
              </w:rPr>
              <w:t>International Convention on</w:t>
            </w:r>
            <w:r w:rsidRPr="00C27A44">
              <w:rPr>
                <w:b/>
                <w:sz w:val="34"/>
                <w:szCs w:val="40"/>
              </w:rPr>
              <w:br/>
              <w:t>the Elimination of All Forms</w:t>
            </w:r>
            <w:r w:rsidRPr="00C27A44">
              <w:rPr>
                <w:b/>
                <w:sz w:val="34"/>
                <w:szCs w:val="40"/>
              </w:rPr>
              <w:br/>
              <w:t>of Racial Discrimination</w:t>
            </w:r>
          </w:p>
        </w:tc>
        <w:tc>
          <w:tcPr>
            <w:tcW w:w="2835" w:type="dxa"/>
            <w:tcBorders>
              <w:top w:val="single" w:sz="4" w:space="0" w:color="auto"/>
              <w:bottom w:val="single" w:sz="12" w:space="0" w:color="auto"/>
            </w:tcBorders>
          </w:tcPr>
          <w:p w14:paraId="4A57D9E4" w14:textId="3F910822" w:rsidR="00C62D50" w:rsidRPr="00C27A44" w:rsidRDefault="00664656">
            <w:pPr>
              <w:suppressAutoHyphens w:val="0"/>
              <w:spacing w:before="240" w:line="240" w:lineRule="exact"/>
            </w:pPr>
            <w:r w:rsidRPr="00C27A44">
              <w:t>Distr.: General</w:t>
            </w:r>
          </w:p>
          <w:p w14:paraId="274ED6AC" w14:textId="7F95BA6B" w:rsidR="00C62D50" w:rsidRPr="00C27A44" w:rsidRDefault="00C27A44" w:rsidP="00C27A44">
            <w:pPr>
              <w:suppressAutoHyphens w:val="0"/>
            </w:pPr>
            <w:r w:rsidRPr="00292EDD">
              <w:t>6 June 2019</w:t>
            </w:r>
          </w:p>
          <w:p w14:paraId="168E4BF8" w14:textId="5F3C5A08" w:rsidR="00C62D50" w:rsidRPr="00C27A44" w:rsidRDefault="00C62D50">
            <w:pPr>
              <w:suppressAutoHyphens w:val="0"/>
            </w:pPr>
          </w:p>
          <w:p w14:paraId="6C052782" w14:textId="77777777" w:rsidR="00235105" w:rsidRPr="00C27A44" w:rsidRDefault="00235105">
            <w:pPr>
              <w:suppressAutoHyphens w:val="0"/>
            </w:pPr>
            <w:r w:rsidRPr="00C27A44">
              <w:t>Original: English</w:t>
            </w:r>
          </w:p>
          <w:p w14:paraId="1CC98BD5" w14:textId="37CA1960" w:rsidR="00C62D50" w:rsidRPr="00C27A44" w:rsidRDefault="00664656">
            <w:pPr>
              <w:suppressAutoHyphens w:val="0"/>
            </w:pPr>
            <w:r w:rsidRPr="00C27A44">
              <w:t>English, French and Spanish only</w:t>
            </w:r>
          </w:p>
        </w:tc>
      </w:tr>
    </w:tbl>
    <w:p w14:paraId="3674980E" w14:textId="77777777" w:rsidR="00C62D50" w:rsidRPr="00C27A44" w:rsidRDefault="00664656">
      <w:pPr>
        <w:spacing w:before="120"/>
        <w:rPr>
          <w:b/>
          <w:sz w:val="24"/>
          <w:szCs w:val="24"/>
        </w:rPr>
      </w:pPr>
      <w:r w:rsidRPr="00C27A44">
        <w:rPr>
          <w:b/>
          <w:sz w:val="24"/>
          <w:szCs w:val="24"/>
        </w:rPr>
        <w:t>Committee on the Elimination of Racial Discrimination</w:t>
      </w:r>
    </w:p>
    <w:p w14:paraId="31FA33EB" w14:textId="4706655B" w:rsidR="00C62D50" w:rsidRPr="00C27A44" w:rsidRDefault="00664656">
      <w:pPr>
        <w:rPr>
          <w:b/>
        </w:rPr>
      </w:pPr>
      <w:r w:rsidRPr="00C27A44">
        <w:rPr>
          <w:b/>
        </w:rPr>
        <w:t>Ninety-ninth session</w:t>
      </w:r>
    </w:p>
    <w:p w14:paraId="66A68840" w14:textId="2C15FBAB" w:rsidR="00C62D50" w:rsidRPr="00C27A44" w:rsidRDefault="00470D42">
      <w:r w:rsidRPr="00C27A44">
        <w:t>5–</w:t>
      </w:r>
      <w:r w:rsidR="00664656" w:rsidRPr="00C27A44">
        <w:t xml:space="preserve">29 </w:t>
      </w:r>
      <w:r w:rsidRPr="00C27A44">
        <w:t>August</w:t>
      </w:r>
      <w:r w:rsidR="00664656" w:rsidRPr="00C27A44">
        <w:t xml:space="preserve"> 2019</w:t>
      </w:r>
    </w:p>
    <w:p w14:paraId="1DC5DCD6" w14:textId="77777777" w:rsidR="00C62D50" w:rsidRPr="00C27A44" w:rsidRDefault="00664656">
      <w:r w:rsidRPr="00C27A44">
        <w:t>Item</w:t>
      </w:r>
      <w:r w:rsidR="00C1720E" w:rsidRPr="00C27A44">
        <w:t xml:space="preserve"> 4</w:t>
      </w:r>
      <w:r w:rsidRPr="00C27A44">
        <w:t xml:space="preserve"> of the provisional agenda</w:t>
      </w:r>
    </w:p>
    <w:p w14:paraId="4AB5D290" w14:textId="77777777" w:rsidR="00C1720E" w:rsidRPr="00C27A44" w:rsidRDefault="00C1720E" w:rsidP="00C1720E">
      <w:pPr>
        <w:rPr>
          <w:b/>
        </w:rPr>
      </w:pPr>
      <w:bookmarkStart w:id="0" w:name="_GoBack"/>
      <w:r w:rsidRPr="00C27A44">
        <w:rPr>
          <w:b/>
        </w:rPr>
        <w:t>C</w:t>
      </w:r>
      <w:bookmarkEnd w:id="0"/>
      <w:r w:rsidRPr="00C27A44">
        <w:rPr>
          <w:b/>
        </w:rPr>
        <w:t>onsideration of reports, comments and information submitted</w:t>
      </w:r>
      <w:r w:rsidRPr="00C27A44">
        <w:rPr>
          <w:b/>
        </w:rPr>
        <w:br/>
        <w:t>by States parties under article 9 of the Convention</w:t>
      </w:r>
    </w:p>
    <w:p w14:paraId="3C5BA977" w14:textId="35BF03B5" w:rsidR="00C62D50" w:rsidRPr="00C27A44" w:rsidRDefault="00664656" w:rsidP="00E8454F">
      <w:pPr>
        <w:pStyle w:val="HChG"/>
      </w:pPr>
      <w:r w:rsidRPr="00C27A44">
        <w:tab/>
      </w:r>
      <w:r w:rsidRPr="00C27A44">
        <w:tab/>
        <w:t xml:space="preserve">List of </w:t>
      </w:r>
      <w:r w:rsidR="00BE18F4">
        <w:t xml:space="preserve">themes </w:t>
      </w:r>
      <w:r w:rsidRPr="00C27A44">
        <w:t xml:space="preserve">in relation to the combined twelfth and thirteenth </w:t>
      </w:r>
      <w:r w:rsidR="00C27A44">
        <w:t xml:space="preserve">periodic </w:t>
      </w:r>
      <w:r w:rsidRPr="00C27A44">
        <w:t xml:space="preserve">reports of </w:t>
      </w:r>
      <w:proofErr w:type="spellStart"/>
      <w:r w:rsidRPr="00C27A44">
        <w:t>Czech</w:t>
      </w:r>
      <w:r w:rsidR="00C27A44">
        <w:t>ia</w:t>
      </w:r>
      <w:proofErr w:type="spellEnd"/>
    </w:p>
    <w:p w14:paraId="23811B31" w14:textId="77777777" w:rsidR="00C62D50" w:rsidRPr="00C27A44" w:rsidRDefault="00664656">
      <w:pPr>
        <w:pStyle w:val="H1G"/>
      </w:pPr>
      <w:r w:rsidRPr="00C27A44">
        <w:tab/>
      </w:r>
      <w:r w:rsidRPr="00C27A44">
        <w:tab/>
        <w:t>Note by the Country Rapporteur</w:t>
      </w:r>
    </w:p>
    <w:p w14:paraId="2AFCDBED" w14:textId="3192515B" w:rsidR="00C62D50" w:rsidRPr="00C27A44" w:rsidRDefault="00664656" w:rsidP="00E8454F">
      <w:pPr>
        <w:pStyle w:val="SingleTxtG"/>
      </w:pPr>
      <w:r w:rsidRPr="00C27A44">
        <w:t>1.</w:t>
      </w:r>
      <w:r w:rsidRPr="00C27A44">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45363E">
        <w:t>’</w:t>
      </w:r>
      <w:r w:rsidRPr="00C27A44">
        <w:t>s delegation and the Committee during the consideration of the State party</w:t>
      </w:r>
      <w:r w:rsidR="0045363E">
        <w:t>’</w:t>
      </w:r>
      <w:r w:rsidRPr="00C27A44">
        <w:t>s report. The present document contains a list of such themes. It is not an exhaustive list; other issues may also be raised in the course of the dialogue. No written replies are required.</w:t>
      </w:r>
    </w:p>
    <w:p w14:paraId="418DE49F" w14:textId="58F4C9E5" w:rsidR="00C1720E" w:rsidRPr="00C27A44" w:rsidRDefault="00664656" w:rsidP="00A34A79">
      <w:pPr>
        <w:pStyle w:val="H23G"/>
      </w:pPr>
      <w:r w:rsidRPr="00C27A44">
        <w:tab/>
      </w:r>
      <w:r w:rsidR="007B12BA" w:rsidRPr="00C27A44">
        <w:tab/>
      </w:r>
      <w:r w:rsidR="00C1720E" w:rsidRPr="00C27A44">
        <w:t>Statistics (arts. 1</w:t>
      </w:r>
      <w:r w:rsidR="00BE18F4">
        <w:t xml:space="preserve"> and</w:t>
      </w:r>
      <w:r w:rsidR="00C1720E" w:rsidRPr="00C27A44">
        <w:t xml:space="preserve"> 5)</w:t>
      </w:r>
    </w:p>
    <w:p w14:paraId="7B887336" w14:textId="3A0B5085" w:rsidR="00C1720E" w:rsidRPr="00C27A44" w:rsidRDefault="00235105" w:rsidP="007B12BA">
      <w:pPr>
        <w:pStyle w:val="SingleTxtG"/>
      </w:pPr>
      <w:r w:rsidRPr="00C27A44">
        <w:t>2.</w:t>
      </w:r>
      <w:r w:rsidRPr="00C27A44">
        <w:tab/>
      </w:r>
      <w:r w:rsidR="00C1720E" w:rsidRPr="00C27A44">
        <w:t>Improvement of data collection on the ethnic composition of the population (</w:t>
      </w:r>
      <w:hyperlink r:id="rId8" w:history="1">
        <w:r w:rsidR="00C1720E" w:rsidRPr="00C27A44">
          <w:t>CERD/C/CZE/CO/10-11</w:t>
        </w:r>
      </w:hyperlink>
      <w:r w:rsidR="00C1720E" w:rsidRPr="00C27A44">
        <w:t>, para. 6) and on the socioeconomic situation of ethnic minorities and non-citizens, including asylum</w:t>
      </w:r>
      <w:r w:rsidR="00CB0780">
        <w:t xml:space="preserve"> </w:t>
      </w:r>
      <w:r w:rsidR="00C1720E" w:rsidRPr="00C27A44">
        <w:t>seekers and refugee</w:t>
      </w:r>
      <w:r w:rsidR="00CB0780">
        <w:t>s</w:t>
      </w:r>
      <w:r w:rsidR="00C1720E" w:rsidRPr="00C27A44">
        <w:t>. Statistics on the ethnic composition of the prison population.</w:t>
      </w:r>
    </w:p>
    <w:p w14:paraId="3CB8DB73" w14:textId="5F1CDCCD" w:rsidR="00C1720E" w:rsidRPr="00C27A44" w:rsidRDefault="007B12BA" w:rsidP="007B12BA">
      <w:pPr>
        <w:pStyle w:val="H23G"/>
      </w:pPr>
      <w:r w:rsidRPr="00C27A44">
        <w:tab/>
      </w:r>
      <w:r w:rsidRPr="00C27A44">
        <w:tab/>
      </w:r>
      <w:r w:rsidR="00C1720E" w:rsidRPr="00C27A44">
        <w:t>The Convention in domestic law and the institutional and policy framework for its implementation (arts. 1, 2, 4, 6 and 7)</w:t>
      </w:r>
    </w:p>
    <w:p w14:paraId="1AC795EF" w14:textId="2618754C" w:rsidR="00C1720E" w:rsidRPr="00887D2D" w:rsidRDefault="00235105" w:rsidP="00E8454F">
      <w:pPr>
        <w:pStyle w:val="SingleTxtG"/>
      </w:pPr>
      <w:r w:rsidRPr="00C27A44">
        <w:t>3.</w:t>
      </w:r>
      <w:r w:rsidRPr="00C27A44">
        <w:tab/>
      </w:r>
      <w:r w:rsidR="00C1720E" w:rsidRPr="00C27A44">
        <w:t>Update on the application of the Anti-Discrimination Act (</w:t>
      </w:r>
      <w:r w:rsidR="00C1720E" w:rsidRPr="00C27A44">
        <w:rPr>
          <w:sz w:val="18"/>
        </w:rPr>
        <w:t>CERD</w:t>
      </w:r>
      <w:r w:rsidR="00C1720E" w:rsidRPr="00C27A44">
        <w:t>/C/CZE/12-13, para.</w:t>
      </w:r>
      <w:r w:rsidR="0045363E">
        <w:t xml:space="preserve"> </w:t>
      </w:r>
      <w:r w:rsidR="00C1720E" w:rsidRPr="00C27A44">
        <w:t xml:space="preserve">99) and the articles of the Criminal Code pertaining to hate speech, incitement to hatred and hate crimes. Plans to amend the </w:t>
      </w:r>
      <w:r w:rsidR="00C1720E" w:rsidRPr="00887D2D">
        <w:t xml:space="preserve">Anti-Discrimination Act to shift the burden of proof onto the defendant in cases of racial discrimination (CERD/C/CZE/12-13, para. 99). </w:t>
      </w:r>
    </w:p>
    <w:p w14:paraId="75CFAC6A" w14:textId="10102108" w:rsidR="00C1720E" w:rsidRPr="00887D2D" w:rsidRDefault="00235105" w:rsidP="007B12BA">
      <w:pPr>
        <w:pStyle w:val="SingleTxtG"/>
      </w:pPr>
      <w:r w:rsidRPr="00C27A44">
        <w:t>4.</w:t>
      </w:r>
      <w:r w:rsidRPr="00887D2D">
        <w:tab/>
      </w:r>
      <w:r w:rsidR="00C1720E" w:rsidRPr="00887D2D">
        <w:t>Statistical data on victims of racially motivated crimes who have received assistance under the Victims of Crime Act (CERD/C/CZE/12-13, para. 3</w:t>
      </w:r>
      <w:r w:rsidR="00E8454F" w:rsidRPr="00887D2D">
        <w:t>8</w:t>
      </w:r>
      <w:r w:rsidR="00C1720E" w:rsidRPr="00887D2D">
        <w:t>).</w:t>
      </w:r>
    </w:p>
    <w:p w14:paraId="3B16605C" w14:textId="3E5E8258" w:rsidR="00C1720E" w:rsidRPr="00887D2D" w:rsidRDefault="00235105" w:rsidP="007B12BA">
      <w:pPr>
        <w:pStyle w:val="SingleTxtG"/>
      </w:pPr>
      <w:r w:rsidRPr="00887D2D">
        <w:t>5.</w:t>
      </w:r>
      <w:r w:rsidRPr="00887D2D">
        <w:tab/>
      </w:r>
      <w:r w:rsidR="00C1720E" w:rsidRPr="00887D2D">
        <w:t>Compliance of the Ombudsperson</w:t>
      </w:r>
      <w:r w:rsidR="0045363E" w:rsidRPr="00887D2D">
        <w:t>’</w:t>
      </w:r>
      <w:r w:rsidR="00C1720E" w:rsidRPr="00887D2D">
        <w:t xml:space="preserve">s mandate with </w:t>
      </w:r>
      <w:r w:rsidR="00816051" w:rsidRPr="00887D2D">
        <w:t xml:space="preserve">the </w:t>
      </w:r>
      <w:r w:rsidR="00E8454F" w:rsidRPr="00887D2D">
        <w:t>principles relating to the status of national institutions for the promotion and protection of human rights (</w:t>
      </w:r>
      <w:r w:rsidR="00C1720E" w:rsidRPr="00887D2D">
        <w:t>the Paris Principles) and steps taken for its accreditation by the Global Alliance of National Human Rights Institutions (CERD/C/CZE/12-13, para. 19). Complaints related to racial discrimination addressed to the Ombudsperson and the outcomes.</w:t>
      </w:r>
    </w:p>
    <w:p w14:paraId="647B7B04" w14:textId="645F7DEE" w:rsidR="00C1720E" w:rsidRPr="00C27A44" w:rsidRDefault="007B12BA" w:rsidP="007B12BA">
      <w:pPr>
        <w:pStyle w:val="H23G"/>
      </w:pPr>
      <w:r w:rsidRPr="00C27A44">
        <w:lastRenderedPageBreak/>
        <w:tab/>
      </w:r>
      <w:r w:rsidRPr="00C27A44">
        <w:tab/>
      </w:r>
      <w:r w:rsidR="00C1720E" w:rsidRPr="00C27A44">
        <w:t>Racist hate speech, incitement to raci</w:t>
      </w:r>
      <w:r w:rsidR="00E8454F">
        <w:t>al</w:t>
      </w:r>
      <w:r w:rsidR="00C1720E" w:rsidRPr="00C27A44">
        <w:t xml:space="preserve"> hatred and hate crime (art</w:t>
      </w:r>
      <w:r w:rsidR="00BE18F4">
        <w:t>s</w:t>
      </w:r>
      <w:r w:rsidR="00C1720E" w:rsidRPr="00C27A44">
        <w:t>. 2, 4</w:t>
      </w:r>
      <w:r w:rsidR="00BE18F4">
        <w:t xml:space="preserve"> and</w:t>
      </w:r>
      <w:r w:rsidR="00C1720E" w:rsidRPr="00C27A44">
        <w:t xml:space="preserve"> 6)</w:t>
      </w:r>
    </w:p>
    <w:p w14:paraId="702B413C" w14:textId="6ADF0432" w:rsidR="00C1720E" w:rsidRPr="00887D2D" w:rsidRDefault="00235105" w:rsidP="00E4791F">
      <w:pPr>
        <w:pStyle w:val="SingleTxtG"/>
      </w:pPr>
      <w:r w:rsidRPr="00C27A44">
        <w:t>6.</w:t>
      </w:r>
      <w:r w:rsidRPr="00C27A44">
        <w:tab/>
      </w:r>
      <w:r w:rsidR="00C1720E" w:rsidRPr="00C27A44">
        <w:t>Impact of the measures to increase awareness o</w:t>
      </w:r>
      <w:r w:rsidR="007C2B62">
        <w:t>f</w:t>
      </w:r>
      <w:r w:rsidR="00C1720E" w:rsidRPr="00C27A44">
        <w:t xml:space="preserve"> </w:t>
      </w:r>
      <w:r w:rsidR="007C2B62">
        <w:t xml:space="preserve">and combat </w:t>
      </w:r>
      <w:r w:rsidR="00C1720E" w:rsidRPr="00C27A44">
        <w:t xml:space="preserve">prejudice and stereotypes </w:t>
      </w:r>
      <w:r w:rsidR="007C2B62">
        <w:t xml:space="preserve">against </w:t>
      </w:r>
      <w:r w:rsidR="00C1720E" w:rsidRPr="00C27A44">
        <w:t>Roma and refugees and asylum</w:t>
      </w:r>
      <w:r w:rsidR="00E8454F">
        <w:t xml:space="preserve"> </w:t>
      </w:r>
      <w:r w:rsidR="00C1720E" w:rsidRPr="00C27A44">
        <w:t>seekers, in particular those of Muslim background, among the population, a</w:t>
      </w:r>
      <w:r w:rsidR="00470D42" w:rsidRPr="00C27A44">
        <w:t xml:space="preserve">nd additional measures </w:t>
      </w:r>
      <w:r w:rsidR="00E4791F">
        <w:t>planned</w:t>
      </w:r>
      <w:r w:rsidR="00E4791F" w:rsidRPr="00C27A44">
        <w:t xml:space="preserve"> </w:t>
      </w:r>
      <w:r w:rsidR="00C1720E" w:rsidRPr="00C27A44">
        <w:t>(CERD/C/CZE/CO/</w:t>
      </w:r>
      <w:r w:rsidR="00C1720E" w:rsidRPr="00887D2D">
        <w:t>10-11, para</w:t>
      </w:r>
      <w:r w:rsidR="00E8454F" w:rsidRPr="00887D2D">
        <w:t>s</w:t>
      </w:r>
      <w:r w:rsidR="00C1720E" w:rsidRPr="00887D2D">
        <w:t>. 1</w:t>
      </w:r>
      <w:r w:rsidR="00E8454F" w:rsidRPr="00887D2D">
        <w:t>3–14</w:t>
      </w:r>
      <w:r w:rsidR="00C1720E" w:rsidRPr="00887D2D">
        <w:t xml:space="preserve">; CERD/C/CZE/12-13, para. 36). </w:t>
      </w:r>
    </w:p>
    <w:p w14:paraId="46729382" w14:textId="342431AD" w:rsidR="00C1720E" w:rsidRPr="00C27A44" w:rsidRDefault="00235105" w:rsidP="00600CBD">
      <w:pPr>
        <w:pStyle w:val="SingleTxtG"/>
      </w:pPr>
      <w:r w:rsidRPr="00887D2D">
        <w:t>7.</w:t>
      </w:r>
      <w:r w:rsidRPr="00887D2D">
        <w:tab/>
      </w:r>
      <w:r w:rsidR="00C1720E" w:rsidRPr="00887D2D">
        <w:t xml:space="preserve">Impact of the measures to combat hate speech and incitement to hatred, including in </w:t>
      </w:r>
      <w:r w:rsidR="00600CBD" w:rsidRPr="00887D2D">
        <w:t xml:space="preserve">the </w:t>
      </w:r>
      <w:r w:rsidR="00C1720E" w:rsidRPr="00887D2D">
        <w:t xml:space="preserve">media and </w:t>
      </w:r>
      <w:r w:rsidR="00600CBD" w:rsidRPr="00887D2D">
        <w:t xml:space="preserve">on </w:t>
      </w:r>
      <w:r w:rsidR="00C1720E" w:rsidRPr="00887D2D">
        <w:t>other public platforms, such as the Internet, and by politicians and public figures (CERD/C/CZE/12-13, para</w:t>
      </w:r>
      <w:r w:rsidR="00E4791F" w:rsidRPr="00887D2D">
        <w:t>s</w:t>
      </w:r>
      <w:r w:rsidR="00C1720E" w:rsidRPr="00887D2D">
        <w:t xml:space="preserve">. 31–32), and additional measures foreseen. Cases of hate speech, incitement to hatred and hate crime reported to the police, those brought to court and the outcome of such cases. Measures taken and envisaged to increase the </w:t>
      </w:r>
      <w:r w:rsidR="00600CBD" w:rsidRPr="00887D2D">
        <w:t xml:space="preserve">rate of </w:t>
      </w:r>
      <w:r w:rsidR="00C1720E" w:rsidRPr="00887D2D">
        <w:t xml:space="preserve">reporting of </w:t>
      </w:r>
      <w:r w:rsidR="00600CBD" w:rsidRPr="00887D2D">
        <w:t xml:space="preserve">cases of </w:t>
      </w:r>
      <w:r w:rsidR="00C1720E" w:rsidRPr="00887D2D">
        <w:t>racial discrimination and racially motivated crimes and to facilitate</w:t>
      </w:r>
      <w:r w:rsidR="00C1720E" w:rsidRPr="00C27A44">
        <w:t xml:space="preserve"> access by victims to complaint mechanisms for these crimes (CERD/C/CZE/12-13, para. 108). Progress made in the systemic improvement of data collection on hate crimes (CERD/C/CZE/12-13, para. 31). </w:t>
      </w:r>
    </w:p>
    <w:p w14:paraId="3491ADAE" w14:textId="6D2DC72A" w:rsidR="00C1720E" w:rsidRPr="00C27A44" w:rsidRDefault="007B12BA" w:rsidP="00274735">
      <w:pPr>
        <w:pStyle w:val="H23G"/>
      </w:pPr>
      <w:r w:rsidRPr="00C27A44">
        <w:tab/>
      </w:r>
      <w:r w:rsidRPr="00C27A44">
        <w:tab/>
      </w:r>
      <w:r w:rsidR="00CB0780">
        <w:t>S</w:t>
      </w:r>
      <w:r w:rsidR="00C1720E" w:rsidRPr="00C27A44">
        <w:t>ituation of Roma (arts. 2, 3</w:t>
      </w:r>
      <w:r w:rsidR="00CB0780">
        <w:t xml:space="preserve"> and</w:t>
      </w:r>
      <w:r w:rsidR="00C1720E" w:rsidRPr="00C27A44">
        <w:t xml:space="preserve"> 5)</w:t>
      </w:r>
    </w:p>
    <w:p w14:paraId="53C0C2AD" w14:textId="7325A322" w:rsidR="00C1720E" w:rsidRPr="00C27A44" w:rsidRDefault="00235105" w:rsidP="00292EDD">
      <w:pPr>
        <w:pStyle w:val="SingleTxtG"/>
      </w:pPr>
      <w:r w:rsidRPr="00C27A44">
        <w:t>8.</w:t>
      </w:r>
      <w:r w:rsidRPr="00C27A44">
        <w:tab/>
      </w:r>
      <w:r w:rsidR="00C1720E" w:rsidRPr="00C27A44">
        <w:t>Implementation, impact and evaluation</w:t>
      </w:r>
      <w:r w:rsidR="00E13FE5" w:rsidRPr="00C27A44">
        <w:t xml:space="preserve">, </w:t>
      </w:r>
      <w:r w:rsidR="00C1720E" w:rsidRPr="00C27A44">
        <w:t xml:space="preserve">including </w:t>
      </w:r>
      <w:r w:rsidR="00816051">
        <w:t xml:space="preserve">the </w:t>
      </w:r>
      <w:r w:rsidR="00C1720E" w:rsidRPr="00C27A44">
        <w:t>methods to assess</w:t>
      </w:r>
      <w:r w:rsidR="00E13FE5" w:rsidRPr="00C27A44">
        <w:t xml:space="preserve"> effectiveness,</w:t>
      </w:r>
      <w:r w:rsidR="00C1720E" w:rsidRPr="00C27A44">
        <w:t xml:space="preserve"> of the Roma Integration Strategy up to 2020</w:t>
      </w:r>
      <w:r w:rsidR="00816051">
        <w:t xml:space="preserve"> and</w:t>
      </w:r>
      <w:r w:rsidR="00C1720E" w:rsidRPr="00C27A44">
        <w:t xml:space="preserve"> the Strategy to Combat Social Exclusion 2016–2019 and its </w:t>
      </w:r>
      <w:r w:rsidR="00274735">
        <w:t>a</w:t>
      </w:r>
      <w:r w:rsidR="00C1720E" w:rsidRPr="00C27A44">
        <w:t xml:space="preserve">ction </w:t>
      </w:r>
      <w:r w:rsidR="00274735">
        <w:t>p</w:t>
      </w:r>
      <w:r w:rsidR="00C1720E" w:rsidRPr="00C27A44">
        <w:t>lans</w:t>
      </w:r>
      <w:r w:rsidR="00274735">
        <w:t>,</w:t>
      </w:r>
      <w:r w:rsidR="00C1720E" w:rsidRPr="00C27A44">
        <w:t xml:space="preserve"> including major achievements and challenges. Activities of th</w:t>
      </w:r>
      <w:r w:rsidR="00470D42" w:rsidRPr="00C27A44">
        <w:t>e related monitoring mechanisms</w:t>
      </w:r>
      <w:r w:rsidR="00C1720E" w:rsidRPr="00C27A44">
        <w:t xml:space="preserve"> (CERD/C/CZE/12-13, paras. 16</w:t>
      </w:r>
      <w:r w:rsidR="00274735">
        <w:t xml:space="preserve"> and</w:t>
      </w:r>
      <w:r w:rsidR="00C1720E" w:rsidRPr="00C27A44">
        <w:t xml:space="preserve"> 22</w:t>
      </w:r>
      <w:r w:rsidR="00274735">
        <w:t>–</w:t>
      </w:r>
      <w:r w:rsidR="00C1720E" w:rsidRPr="00C27A44">
        <w:t>26).</w:t>
      </w:r>
    </w:p>
    <w:p w14:paraId="24F95837" w14:textId="77777777" w:rsidR="00C1720E" w:rsidRPr="00887D2D" w:rsidRDefault="00235105" w:rsidP="007B12BA">
      <w:pPr>
        <w:pStyle w:val="SingleTxtG"/>
      </w:pPr>
      <w:r w:rsidRPr="00C27A44">
        <w:t>9.</w:t>
      </w:r>
      <w:r w:rsidRPr="00C27A44">
        <w:tab/>
      </w:r>
      <w:r w:rsidR="00C1720E" w:rsidRPr="00C27A44">
        <w:t xml:space="preserve">Measures to improve the access </w:t>
      </w:r>
      <w:r w:rsidR="00C1720E" w:rsidRPr="00887D2D">
        <w:t>of Roma to adequate housing, including social housing, and strategies to reduce the number of people, including Roma, living in socially excluded communities</w:t>
      </w:r>
      <w:r w:rsidR="00E13FE5" w:rsidRPr="00887D2D">
        <w:t xml:space="preserve">. </w:t>
      </w:r>
    </w:p>
    <w:p w14:paraId="0CBA0901" w14:textId="60192EA9" w:rsidR="00C1720E" w:rsidRPr="00887D2D" w:rsidRDefault="00235105" w:rsidP="00C618D9">
      <w:pPr>
        <w:pStyle w:val="SingleTxtG"/>
      </w:pPr>
      <w:r w:rsidRPr="00887D2D">
        <w:t>10.</w:t>
      </w:r>
      <w:r w:rsidRPr="00887D2D">
        <w:tab/>
      </w:r>
      <w:r w:rsidR="00C1720E" w:rsidRPr="00887D2D">
        <w:t xml:space="preserve">Additional measures to reduce the high unemployment rate of Roma, particularly among women and youth. Impact of the </w:t>
      </w:r>
      <w:r w:rsidR="0045363E" w:rsidRPr="00887D2D">
        <w:t>“</w:t>
      </w:r>
      <w:r w:rsidR="00C1720E" w:rsidRPr="00887D2D">
        <w:t>Guarantees for Youth</w:t>
      </w:r>
      <w:r w:rsidR="0045363E" w:rsidRPr="00887D2D">
        <w:t>”</w:t>
      </w:r>
      <w:r w:rsidR="00C1720E" w:rsidRPr="00887D2D">
        <w:t xml:space="preserve"> Programme on the employment of young Roma (CERD/C/CZE/12-13, paras. 55–57). </w:t>
      </w:r>
    </w:p>
    <w:p w14:paraId="57F828BA" w14:textId="6996E00C" w:rsidR="00C1720E" w:rsidRPr="00887D2D" w:rsidRDefault="00235105" w:rsidP="00C618D9">
      <w:pPr>
        <w:pStyle w:val="SingleTxtG"/>
      </w:pPr>
      <w:r w:rsidRPr="00887D2D">
        <w:t>11.</w:t>
      </w:r>
      <w:r w:rsidRPr="00887D2D">
        <w:tab/>
      </w:r>
      <w:r w:rsidR="00C1720E" w:rsidRPr="00887D2D">
        <w:t xml:space="preserve">Measures to increase the participation rate of Roma children in education at </w:t>
      </w:r>
      <w:r w:rsidR="00C618D9" w:rsidRPr="00887D2D">
        <w:t xml:space="preserve">the </w:t>
      </w:r>
      <w:r w:rsidR="00C1720E" w:rsidRPr="00887D2D">
        <w:t xml:space="preserve">preschool, primary and secondary levels and to decrease the proportion of Roma children enrolled in ethnically segregated schools and in </w:t>
      </w:r>
      <w:r w:rsidR="0045363E" w:rsidRPr="00887D2D">
        <w:t>“</w:t>
      </w:r>
      <w:r w:rsidR="00C1720E" w:rsidRPr="00887D2D">
        <w:t>practical</w:t>
      </w:r>
      <w:r w:rsidR="0045363E" w:rsidRPr="00887D2D">
        <w:t>”</w:t>
      </w:r>
      <w:r w:rsidR="00C1720E" w:rsidRPr="00887D2D">
        <w:t xml:space="preserve"> (special) schools (CERD/C/CZE/12-13</w:t>
      </w:r>
      <w:r w:rsidR="00C618D9" w:rsidRPr="00887D2D">
        <w:t>, annex 7</w:t>
      </w:r>
      <w:r w:rsidR="00C1720E" w:rsidRPr="00887D2D">
        <w:t>).</w:t>
      </w:r>
      <w:r w:rsidR="00C618D9" w:rsidRPr="0056427D">
        <w:rPr>
          <w:rStyle w:val="FootnoteReference"/>
        </w:rPr>
        <w:footnoteReference w:id="2"/>
      </w:r>
      <w:r w:rsidR="007B12BA" w:rsidRPr="00887D2D">
        <w:t xml:space="preserve"> </w:t>
      </w:r>
    </w:p>
    <w:p w14:paraId="663F5EB4" w14:textId="7491DCDE" w:rsidR="00C1720E" w:rsidRPr="00887D2D" w:rsidRDefault="00235105" w:rsidP="00E4791F">
      <w:pPr>
        <w:pStyle w:val="SingleTxtG"/>
      </w:pPr>
      <w:r w:rsidRPr="00887D2D">
        <w:t>12.</w:t>
      </w:r>
      <w:r w:rsidRPr="00887D2D">
        <w:tab/>
      </w:r>
      <w:r w:rsidR="00C1720E" w:rsidRPr="00887D2D">
        <w:t>Measures taken to increase access to health</w:t>
      </w:r>
      <w:r w:rsidR="00C618D9" w:rsidRPr="00887D2D">
        <w:t xml:space="preserve"> </w:t>
      </w:r>
      <w:r w:rsidR="00C1720E" w:rsidRPr="00887D2D">
        <w:t xml:space="preserve">care for Roma. Measures to establish an extrajudicial mechanism to provide effective reparation to Roma women who </w:t>
      </w:r>
      <w:r w:rsidR="00C618D9" w:rsidRPr="00887D2D">
        <w:t xml:space="preserve">have been </w:t>
      </w:r>
      <w:r w:rsidR="00C1720E" w:rsidRPr="00887D2D">
        <w:t xml:space="preserve">subjected to involuntary sterilization and to bring perpetrators of forced sterilization to justice, and </w:t>
      </w:r>
      <w:r w:rsidR="00C618D9" w:rsidRPr="00887D2D">
        <w:t xml:space="preserve">the </w:t>
      </w:r>
      <w:r w:rsidR="00C1720E" w:rsidRPr="00887D2D">
        <w:t xml:space="preserve">impact of the </w:t>
      </w:r>
      <w:r w:rsidR="00E4791F" w:rsidRPr="00887D2D">
        <w:t>u</w:t>
      </w:r>
      <w:r w:rsidR="00C1720E" w:rsidRPr="00887D2D">
        <w:t xml:space="preserve">nlawful </w:t>
      </w:r>
      <w:r w:rsidR="00E4791F" w:rsidRPr="00887D2D">
        <w:t>s</w:t>
      </w:r>
      <w:r w:rsidR="00C1720E" w:rsidRPr="00887D2D">
        <w:t xml:space="preserve">terilization </w:t>
      </w:r>
      <w:r w:rsidR="00E4791F" w:rsidRPr="00887D2D">
        <w:t>w</w:t>
      </w:r>
      <w:r w:rsidR="00C1720E" w:rsidRPr="00887D2D">
        <w:t xml:space="preserve">orking </w:t>
      </w:r>
      <w:r w:rsidR="00E4791F" w:rsidRPr="00887D2D">
        <w:t>p</w:t>
      </w:r>
      <w:r w:rsidR="00C1720E" w:rsidRPr="00887D2D">
        <w:t>arty (CERD/C/CZE/12-13, paras. 65–67)</w:t>
      </w:r>
      <w:r w:rsidR="00E13FE5" w:rsidRPr="00887D2D">
        <w:t>.</w:t>
      </w:r>
      <w:r w:rsidR="00C1720E" w:rsidRPr="00887D2D">
        <w:t xml:space="preserve"> Steps taken to guarantee that all procedures of sterilization are based on free and informed consent of women, particularly Roma women (</w:t>
      </w:r>
      <w:hyperlink r:id="rId9" w:history="1">
        <w:r w:rsidR="00C1720E" w:rsidRPr="00887D2D">
          <w:t>CERD/C/CZE/CO/10-11</w:t>
        </w:r>
      </w:hyperlink>
      <w:r w:rsidR="00C1720E" w:rsidRPr="00887D2D">
        <w:t>, para.</w:t>
      </w:r>
      <w:r w:rsidR="0045363E" w:rsidRPr="00887D2D">
        <w:t xml:space="preserve"> </w:t>
      </w:r>
      <w:r w:rsidR="00C1720E" w:rsidRPr="00887D2D">
        <w:t>22).</w:t>
      </w:r>
    </w:p>
    <w:p w14:paraId="28211840" w14:textId="44B7DF40" w:rsidR="00C1720E" w:rsidRPr="00C27A44" w:rsidRDefault="00235105" w:rsidP="00C618D9">
      <w:pPr>
        <w:pStyle w:val="SingleTxtG"/>
      </w:pPr>
      <w:r w:rsidRPr="00887D2D">
        <w:t>13.</w:t>
      </w:r>
      <w:r w:rsidRPr="00887D2D">
        <w:tab/>
      </w:r>
      <w:r w:rsidR="00C1720E" w:rsidRPr="00887D2D">
        <w:t xml:space="preserve">Progress made in the purchase of the former camp </w:t>
      </w:r>
      <w:r w:rsidR="00AA3D2C" w:rsidRPr="00887D2D">
        <w:t xml:space="preserve">for Roma </w:t>
      </w:r>
      <w:r w:rsidR="00C1720E" w:rsidRPr="00887D2D">
        <w:t xml:space="preserve">in </w:t>
      </w:r>
      <w:proofErr w:type="spellStart"/>
      <w:r w:rsidR="00C1720E" w:rsidRPr="00887D2D">
        <w:t>Lety</w:t>
      </w:r>
      <w:proofErr w:type="spellEnd"/>
      <w:r w:rsidR="00C1720E" w:rsidRPr="00887D2D">
        <w:t xml:space="preserve"> u </w:t>
      </w:r>
      <w:proofErr w:type="spellStart"/>
      <w:r w:rsidR="00C1720E" w:rsidRPr="00887D2D">
        <w:t>Písku</w:t>
      </w:r>
      <w:proofErr w:type="spellEnd"/>
      <w:r w:rsidR="00C1720E" w:rsidRPr="00887D2D">
        <w:t xml:space="preserve"> and the establishment of a memorial site for victims of the Roma holocaust (CERD/C/CZE/12-13,</w:t>
      </w:r>
      <w:r w:rsidR="00C1720E" w:rsidRPr="00C27A44">
        <w:t xml:space="preserve"> paras</w:t>
      </w:r>
      <w:r w:rsidR="00C618D9">
        <w:t>.</w:t>
      </w:r>
      <w:r w:rsidR="00C1720E" w:rsidRPr="00C27A44">
        <w:t xml:space="preserve"> 78–80).</w:t>
      </w:r>
    </w:p>
    <w:p w14:paraId="18AC2891" w14:textId="5CFC61CE" w:rsidR="00C1720E" w:rsidRPr="00C27A44" w:rsidRDefault="007B12BA" w:rsidP="007B12BA">
      <w:pPr>
        <w:pStyle w:val="H23G"/>
      </w:pPr>
      <w:r w:rsidRPr="00C27A44">
        <w:tab/>
      </w:r>
      <w:r w:rsidRPr="00C27A44">
        <w:tab/>
      </w:r>
      <w:r w:rsidR="00C1720E" w:rsidRPr="00C27A44">
        <w:t>Situation of other minorities (arts. 2</w:t>
      </w:r>
      <w:r w:rsidR="00CB0780">
        <w:t xml:space="preserve"> and</w:t>
      </w:r>
      <w:r w:rsidR="00C1720E" w:rsidRPr="00C27A44">
        <w:t xml:space="preserve"> 5)</w:t>
      </w:r>
    </w:p>
    <w:p w14:paraId="1F9D09EF" w14:textId="77777777" w:rsidR="00C1720E" w:rsidRPr="00C27A44" w:rsidRDefault="00235105" w:rsidP="007B12BA">
      <w:pPr>
        <w:pStyle w:val="SingleTxtG"/>
      </w:pPr>
      <w:r w:rsidRPr="00C27A44">
        <w:t>14.</w:t>
      </w:r>
      <w:r w:rsidRPr="00C27A44">
        <w:tab/>
      </w:r>
      <w:r w:rsidR="00C1720E" w:rsidRPr="00C27A44">
        <w:t>Information on the situation of ethnic minority groups other than Roma.</w:t>
      </w:r>
      <w:r w:rsidR="007B12BA" w:rsidRPr="00C27A44">
        <w:t xml:space="preserve"> </w:t>
      </w:r>
      <w:r w:rsidR="00C1720E" w:rsidRPr="00C27A44">
        <w:t>Measures to facilitate the use of minority languages in relation to local administrative authorities, particularly in municipalities where no minority councils have been established</w:t>
      </w:r>
      <w:r w:rsidR="00E13FE5" w:rsidRPr="00C27A44">
        <w:t>.</w:t>
      </w:r>
    </w:p>
    <w:p w14:paraId="6692E5B2" w14:textId="2ECCC09D" w:rsidR="00C1720E" w:rsidRPr="00C27A44" w:rsidRDefault="007B12BA" w:rsidP="007B12BA">
      <w:pPr>
        <w:pStyle w:val="H23G"/>
      </w:pPr>
      <w:r w:rsidRPr="00C27A44">
        <w:tab/>
      </w:r>
      <w:r w:rsidRPr="00C27A44">
        <w:tab/>
      </w:r>
      <w:r w:rsidR="00C1720E" w:rsidRPr="00C27A44">
        <w:t>Non-citizens, including refugees, asylum</w:t>
      </w:r>
      <w:r w:rsidR="001355B9">
        <w:t xml:space="preserve"> </w:t>
      </w:r>
      <w:r w:rsidR="00C1720E" w:rsidRPr="00C27A44">
        <w:t>seekers and stateless persons (arts. 2</w:t>
      </w:r>
      <w:r w:rsidR="00CB0780">
        <w:t xml:space="preserve"> and</w:t>
      </w:r>
      <w:r w:rsidR="00C1720E" w:rsidRPr="00C27A44">
        <w:t xml:space="preserve"> 5)</w:t>
      </w:r>
    </w:p>
    <w:p w14:paraId="2C82CFA2" w14:textId="02371072" w:rsidR="00C1720E" w:rsidRPr="00C27A44" w:rsidRDefault="00235105" w:rsidP="007B12BA">
      <w:pPr>
        <w:pStyle w:val="SingleTxtG"/>
      </w:pPr>
      <w:r w:rsidRPr="00C27A44">
        <w:t>15.</w:t>
      </w:r>
      <w:r w:rsidRPr="00C27A44">
        <w:tab/>
      </w:r>
      <w:r w:rsidR="00C1720E" w:rsidRPr="00C27A44">
        <w:t>Detention rate of asylum</w:t>
      </w:r>
      <w:r w:rsidR="001355B9">
        <w:t xml:space="preserve"> </w:t>
      </w:r>
      <w:r w:rsidR="00C1720E" w:rsidRPr="00C27A44">
        <w:t>seekers over the past few years and measures to end the practice of detaining asylum</w:t>
      </w:r>
      <w:r w:rsidR="001355B9">
        <w:t xml:space="preserve"> </w:t>
      </w:r>
      <w:r w:rsidR="00C1720E" w:rsidRPr="00C27A44">
        <w:t xml:space="preserve">seekers, in particular children, and offer them alternatives to </w:t>
      </w:r>
      <w:r w:rsidR="00C1720E" w:rsidRPr="00C27A44">
        <w:lastRenderedPageBreak/>
        <w:t>detention (</w:t>
      </w:r>
      <w:hyperlink r:id="rId10" w:history="1">
        <w:r w:rsidR="00C1720E" w:rsidRPr="00C27A44">
          <w:t>CERD/C/CZE/CO/10-11</w:t>
        </w:r>
      </w:hyperlink>
      <w:r w:rsidR="00C1720E" w:rsidRPr="00C27A44">
        <w:t>, para. 26).</w:t>
      </w:r>
      <w:r w:rsidR="007B12BA" w:rsidRPr="00C27A44">
        <w:rPr>
          <w:rStyle w:val="FootnoteReference"/>
          <w:sz w:val="20"/>
          <w:vertAlign w:val="baseline"/>
        </w:rPr>
        <w:t xml:space="preserve"> </w:t>
      </w:r>
      <w:r w:rsidR="00C1720E" w:rsidRPr="00C27A44">
        <w:t xml:space="preserve">Measures to improve the living conditions in reception centres. </w:t>
      </w:r>
    </w:p>
    <w:p w14:paraId="316437E5" w14:textId="77777777" w:rsidR="00C1720E" w:rsidRPr="00C27A44" w:rsidRDefault="00235105" w:rsidP="007B12BA">
      <w:pPr>
        <w:pStyle w:val="SingleTxtG"/>
      </w:pPr>
      <w:r w:rsidRPr="00C27A44">
        <w:t>16.</w:t>
      </w:r>
      <w:r w:rsidRPr="00C27A44">
        <w:tab/>
      </w:r>
      <w:r w:rsidR="00C1720E" w:rsidRPr="00C27A44">
        <w:t>Measures to ensure that refugee status determination procedures are conducted in an independent manner.</w:t>
      </w:r>
      <w:r w:rsidR="00E13FE5" w:rsidRPr="00C27A44">
        <w:rPr>
          <w:rStyle w:val="FootnoteReference"/>
          <w:sz w:val="20"/>
          <w:vertAlign w:val="baseline"/>
        </w:rPr>
        <w:t xml:space="preserve"> </w:t>
      </w:r>
    </w:p>
    <w:p w14:paraId="6CC10EF3" w14:textId="6E1D6BFB" w:rsidR="00C1720E" w:rsidRPr="00C27A44" w:rsidRDefault="00235105" w:rsidP="006763FA">
      <w:pPr>
        <w:pStyle w:val="SingleTxtG"/>
      </w:pPr>
      <w:r w:rsidRPr="00C27A44">
        <w:t>17.</w:t>
      </w:r>
      <w:r w:rsidRPr="00C27A44">
        <w:tab/>
      </w:r>
      <w:r w:rsidR="00C1720E" w:rsidRPr="00C27A44">
        <w:t>Measures to improve the integration of foreigners into society, including beneficiaries of international protection (</w:t>
      </w:r>
      <w:r w:rsidR="006763FA" w:rsidRPr="00C27A44">
        <w:t>CERD/C/CZE/1</w:t>
      </w:r>
      <w:r w:rsidR="006763FA">
        <w:t>2</w:t>
      </w:r>
      <w:r w:rsidR="006763FA" w:rsidRPr="00C27A44">
        <w:t>-1</w:t>
      </w:r>
      <w:r w:rsidR="006763FA">
        <w:t>3</w:t>
      </w:r>
      <w:r w:rsidR="00C1720E" w:rsidRPr="00C27A44">
        <w:t>, paras. 8</w:t>
      </w:r>
      <w:r w:rsidR="006763FA">
        <w:t>2</w:t>
      </w:r>
      <w:r w:rsidR="00C1720E" w:rsidRPr="00C27A44">
        <w:t xml:space="preserve">–89). </w:t>
      </w:r>
    </w:p>
    <w:p w14:paraId="45677A69" w14:textId="77777777" w:rsidR="00C1720E" w:rsidRPr="00C27A44" w:rsidRDefault="00235105" w:rsidP="007B12BA">
      <w:pPr>
        <w:pStyle w:val="SingleTxtG"/>
      </w:pPr>
      <w:r w:rsidRPr="00C27A44">
        <w:t>18.</w:t>
      </w:r>
      <w:r w:rsidRPr="00C27A44">
        <w:tab/>
      </w:r>
      <w:r w:rsidR="00C1720E" w:rsidRPr="00C27A44">
        <w:t>Plans to adopt a mechanism to identify and grant protection to stateless persons. Impact of the new Citizenship Act on the reduction of statelessness (CERD/C/CZE/12-13, para. 47).</w:t>
      </w:r>
      <w:r w:rsidR="00E13FE5" w:rsidRPr="00C27A44">
        <w:rPr>
          <w:rStyle w:val="FootnoteReference"/>
          <w:sz w:val="20"/>
          <w:vertAlign w:val="baseline"/>
        </w:rPr>
        <w:t xml:space="preserve"> </w:t>
      </w:r>
    </w:p>
    <w:p w14:paraId="2DCFEAFB" w14:textId="79C47D5C" w:rsidR="00C1720E" w:rsidRPr="00C27A44" w:rsidRDefault="007B12BA" w:rsidP="007B12BA">
      <w:pPr>
        <w:pStyle w:val="H23G"/>
      </w:pPr>
      <w:r w:rsidRPr="00C27A44">
        <w:tab/>
      </w:r>
      <w:r w:rsidRPr="00C27A44">
        <w:tab/>
      </w:r>
      <w:r w:rsidR="00C1720E" w:rsidRPr="00C27A44">
        <w:t>Trafficking in persons (arts. 2, 5</w:t>
      </w:r>
      <w:r w:rsidR="00CB0780">
        <w:t xml:space="preserve"> and</w:t>
      </w:r>
      <w:r w:rsidR="00C1720E" w:rsidRPr="00C27A44">
        <w:t xml:space="preserve"> 6)</w:t>
      </w:r>
    </w:p>
    <w:p w14:paraId="1C767B0C" w14:textId="6308A734" w:rsidR="00C1720E" w:rsidRPr="00C27A44" w:rsidRDefault="00235105" w:rsidP="007B12BA">
      <w:pPr>
        <w:pStyle w:val="SingleTxtG"/>
      </w:pPr>
      <w:r w:rsidRPr="00C27A44">
        <w:t>19.</w:t>
      </w:r>
      <w:r w:rsidRPr="00C27A44">
        <w:tab/>
      </w:r>
      <w:r w:rsidR="00C1720E" w:rsidRPr="00C27A44">
        <w:t xml:space="preserve">Effective implementation of legislation against human trafficking, including the Criminal Code. Impact of the work of the </w:t>
      </w:r>
      <w:proofErr w:type="spellStart"/>
      <w:r w:rsidR="00C1720E" w:rsidRPr="00C27A44">
        <w:t>Interministerial</w:t>
      </w:r>
      <w:proofErr w:type="spellEnd"/>
      <w:r w:rsidR="00C1720E" w:rsidRPr="00C27A44">
        <w:t xml:space="preserve"> Group on Combating Human Trafficking (CERD/C/CZE/12-13, paras. 92–98). Protection measures and long-term support for victims of human trafficking, in particular victims of foreign origin.</w:t>
      </w:r>
      <w:r w:rsidR="00E13FE5" w:rsidRPr="00C27A44">
        <w:rPr>
          <w:rStyle w:val="FootnoteReference"/>
          <w:sz w:val="20"/>
          <w:vertAlign w:val="baseline"/>
        </w:rPr>
        <w:t xml:space="preserve"> </w:t>
      </w:r>
    </w:p>
    <w:p w14:paraId="085B495D" w14:textId="77777777" w:rsidR="00C1720E" w:rsidRPr="00C27A44" w:rsidRDefault="007B12BA" w:rsidP="007B12BA">
      <w:pPr>
        <w:pStyle w:val="H23G"/>
      </w:pPr>
      <w:r w:rsidRPr="00C27A44">
        <w:tab/>
      </w:r>
      <w:r w:rsidRPr="00C27A44">
        <w:tab/>
      </w:r>
      <w:r w:rsidR="00C1720E" w:rsidRPr="00C27A44">
        <w:t>Human rights education to combat prejudice and intolerance (art. 7)</w:t>
      </w:r>
    </w:p>
    <w:p w14:paraId="311A2BA2" w14:textId="42978DC4" w:rsidR="00C1720E" w:rsidRPr="00C27A44" w:rsidRDefault="00235105" w:rsidP="006763FA">
      <w:pPr>
        <w:pStyle w:val="SingleTxtG"/>
      </w:pPr>
      <w:r w:rsidRPr="00C27A44">
        <w:t>20.</w:t>
      </w:r>
      <w:r w:rsidRPr="00C27A44">
        <w:tab/>
      </w:r>
      <w:r w:rsidR="00C1720E" w:rsidRPr="00C27A44">
        <w:t>Implementation, impact and evaluation of measures in the field of education and culture to promote human rights, foster tolerance for diversity and combat racial discrimination and stereotypes. Information on the representation of ethnic and national groups, including Roma, refugees and asylum</w:t>
      </w:r>
      <w:r w:rsidR="006763FA">
        <w:t xml:space="preserve"> </w:t>
      </w:r>
      <w:r w:rsidR="00C1720E" w:rsidRPr="00C27A44">
        <w:t>seekers, in school textbooks and curricula (CERD/C/CZE/12-13, paras. 111</w:t>
      </w:r>
      <w:r w:rsidR="006763FA">
        <w:t>–</w:t>
      </w:r>
      <w:r w:rsidR="00C1720E" w:rsidRPr="00C27A44">
        <w:t>114).</w:t>
      </w:r>
    </w:p>
    <w:p w14:paraId="5408BE31" w14:textId="77777777" w:rsidR="007B12BA" w:rsidRPr="00C27A44" w:rsidRDefault="007B12BA" w:rsidP="007B12BA">
      <w:pPr>
        <w:pStyle w:val="SingleTxtG"/>
        <w:kinsoku/>
        <w:overflowPunct/>
        <w:autoSpaceDE/>
        <w:autoSpaceDN/>
        <w:adjustRightInd/>
        <w:snapToGrid/>
        <w:spacing w:before="240" w:after="0"/>
        <w:jc w:val="center"/>
        <w:rPr>
          <w:u w:val="single"/>
        </w:rPr>
      </w:pPr>
      <w:r w:rsidRPr="00C27A44">
        <w:rPr>
          <w:u w:val="single"/>
        </w:rPr>
        <w:tab/>
      </w:r>
      <w:r w:rsidRPr="00C27A44">
        <w:rPr>
          <w:u w:val="single"/>
        </w:rPr>
        <w:tab/>
      </w:r>
      <w:r w:rsidRPr="00C27A44">
        <w:rPr>
          <w:u w:val="single"/>
        </w:rPr>
        <w:tab/>
      </w:r>
    </w:p>
    <w:sectPr w:rsidR="007B12BA" w:rsidRPr="00C27A4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56DD4" w14:textId="77777777" w:rsidR="00C62D50" w:rsidRDefault="00C62D50"/>
  </w:endnote>
  <w:endnote w:type="continuationSeparator" w:id="0">
    <w:p w14:paraId="66F6C7BA" w14:textId="77777777" w:rsidR="00C62D50" w:rsidRDefault="00C62D50">
      <w:pPr>
        <w:pStyle w:val="Footer"/>
      </w:pPr>
    </w:p>
  </w:endnote>
  <w:endnote w:type="continuationNotice" w:id="1">
    <w:p w14:paraId="07BFEE2A" w14:textId="77777777" w:rsidR="00C62D50" w:rsidRDefault="00C62D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9D54" w14:textId="4E123F2C" w:rsidR="00C62D50" w:rsidRDefault="0066465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62662">
      <w:rPr>
        <w:b/>
        <w:noProof/>
        <w:sz w:val="18"/>
      </w:rPr>
      <w:t>2</w:t>
    </w:r>
    <w:r>
      <w:rPr>
        <w:b/>
        <w:sz w:val="18"/>
      </w:rPr>
      <w:fldChar w:fldCharType="end"/>
    </w:r>
    <w:r>
      <w:tab/>
    </w:r>
    <w:r w:rsidR="001F563E">
      <w:fldChar w:fldCharType="begin"/>
    </w:r>
    <w:r w:rsidR="001F563E">
      <w:instrText xml:space="preserve"> DOCPROPERTY  gdocf  \* MERGEFORMAT </w:instrText>
    </w:r>
    <w:r w:rsidR="001F563E">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83C34" w14:textId="19493ACB" w:rsidR="00C62D50" w:rsidRDefault="001F563E">
    <w:pPr>
      <w:pStyle w:val="Footer"/>
      <w:tabs>
        <w:tab w:val="right" w:pos="9639"/>
      </w:tabs>
      <w:rPr>
        <w:sz w:val="20"/>
      </w:rPr>
    </w:pPr>
    <w:r>
      <w:fldChar w:fldCharType="begin"/>
    </w:r>
    <w:r>
      <w:instrText xml:space="preserve"> DOCPROPERTY  gdocf  \* MERGEFORMAT </w:instrText>
    </w:r>
    <w:r>
      <w:fldChar w:fldCharType="end"/>
    </w:r>
    <w:r w:rsidR="00664656">
      <w:tab/>
    </w:r>
    <w:r w:rsidR="00664656">
      <w:rPr>
        <w:b/>
        <w:sz w:val="18"/>
      </w:rPr>
      <w:fldChar w:fldCharType="begin"/>
    </w:r>
    <w:r w:rsidR="00664656">
      <w:rPr>
        <w:b/>
        <w:sz w:val="18"/>
      </w:rPr>
      <w:instrText xml:space="preserve"> PAGE  \* MERGEFORMAT </w:instrText>
    </w:r>
    <w:r w:rsidR="00664656">
      <w:rPr>
        <w:b/>
        <w:sz w:val="18"/>
      </w:rPr>
      <w:fldChar w:fldCharType="separate"/>
    </w:r>
    <w:r w:rsidR="00162662">
      <w:rPr>
        <w:b/>
        <w:noProof/>
        <w:sz w:val="18"/>
      </w:rPr>
      <w:t>3</w:t>
    </w:r>
    <w:r w:rsidR="006646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B281E" w14:textId="498975E4" w:rsidR="00162662" w:rsidRDefault="00162662" w:rsidP="00162662">
    <w:pPr>
      <w:pStyle w:val="Footer"/>
    </w:pPr>
    <w:r>
      <w:rPr>
        <w:noProof/>
        <w:lang w:val="en-US" w:eastAsia="zh-CN"/>
      </w:rPr>
      <w:drawing>
        <wp:anchor distT="0" distB="0" distL="114300" distR="114300" simplePos="0" relativeHeight="251659264" behindDoc="1" locked="1" layoutInCell="1" allowOverlap="1" wp14:anchorId="25B7E3A0" wp14:editId="1AA439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7C93AE" w14:textId="68EC2A09" w:rsidR="00162662" w:rsidRDefault="00162662" w:rsidP="00162662">
    <w:pPr>
      <w:pStyle w:val="Footer"/>
      <w:ind w:right="1134"/>
      <w:rPr>
        <w:sz w:val="20"/>
      </w:rPr>
    </w:pPr>
    <w:r>
      <w:rPr>
        <w:sz w:val="20"/>
      </w:rPr>
      <w:t>GE.19-09155(E)</w:t>
    </w:r>
  </w:p>
  <w:p w14:paraId="471593FB" w14:textId="3503EBAC" w:rsidR="00162662" w:rsidRPr="00162662" w:rsidRDefault="00162662" w:rsidP="0016266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D83D942" wp14:editId="738A549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ZE/Q/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Q/1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95DEE" w14:textId="77777777" w:rsidR="00C62D50" w:rsidRDefault="00664656">
      <w:pPr>
        <w:pStyle w:val="Footer"/>
        <w:tabs>
          <w:tab w:val="right" w:pos="2155"/>
        </w:tabs>
        <w:spacing w:after="80" w:line="240" w:lineRule="atLeast"/>
        <w:ind w:left="680"/>
        <w:rPr>
          <w:u w:val="single"/>
        </w:rPr>
      </w:pPr>
      <w:r>
        <w:rPr>
          <w:u w:val="single"/>
        </w:rPr>
        <w:tab/>
      </w:r>
    </w:p>
  </w:footnote>
  <w:footnote w:type="continuationSeparator" w:id="0">
    <w:p w14:paraId="164939BF" w14:textId="77777777" w:rsidR="00C62D50" w:rsidRDefault="00664656">
      <w:pPr>
        <w:pStyle w:val="Footer"/>
        <w:tabs>
          <w:tab w:val="right" w:pos="2155"/>
        </w:tabs>
        <w:spacing w:after="80" w:line="240" w:lineRule="atLeast"/>
        <w:ind w:left="680"/>
        <w:rPr>
          <w:u w:val="single"/>
        </w:rPr>
      </w:pPr>
      <w:r>
        <w:rPr>
          <w:u w:val="single"/>
        </w:rPr>
        <w:tab/>
      </w:r>
    </w:p>
  </w:footnote>
  <w:footnote w:type="continuationNotice" w:id="1">
    <w:p w14:paraId="34A41048" w14:textId="77777777" w:rsidR="00C62D50" w:rsidRDefault="00C62D50">
      <w:pPr>
        <w:rPr>
          <w:sz w:val="2"/>
          <w:szCs w:val="2"/>
        </w:rPr>
      </w:pPr>
    </w:p>
  </w:footnote>
  <w:footnote w:id="2">
    <w:p w14:paraId="48B05834" w14:textId="080D13A4" w:rsidR="00C618D9" w:rsidRPr="001C476E" w:rsidRDefault="00C618D9" w:rsidP="001C476E">
      <w:pPr>
        <w:pStyle w:val="FootnoteText"/>
        <w:widowControl w:val="0"/>
        <w:rPr>
          <w:lang w:val="en-US"/>
        </w:rPr>
      </w:pPr>
      <w:r>
        <w:tab/>
      </w:r>
      <w:r w:rsidRPr="0056427D">
        <w:rPr>
          <w:rStyle w:val="FootnoteReference"/>
        </w:rPr>
        <w:footnoteRef/>
      </w:r>
      <w:r>
        <w:tab/>
        <w:t>The annexes to the State party</w:t>
      </w:r>
      <w:r w:rsidR="0045363E">
        <w:t>’</w:t>
      </w:r>
      <w:r>
        <w:t>s report are available (in one document) on the web page for the Committee</w:t>
      </w:r>
      <w:r w:rsidR="0045363E">
        <w:t>’</w:t>
      </w:r>
      <w:r>
        <w:t xml:space="preserve">s ninety-ninth session.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6F879" w14:textId="3F1346BA" w:rsidR="00C62D50" w:rsidRDefault="00162662">
    <w:pPr>
      <w:pStyle w:val="Header"/>
    </w:pPr>
    <w:r>
      <w:fldChar w:fldCharType="begin"/>
    </w:r>
    <w:r>
      <w:instrText xml:space="preserve"> DOCPROPERTY  symh  \* MERGEFORMAT </w:instrText>
    </w:r>
    <w:r>
      <w:fldChar w:fldCharType="separate"/>
    </w:r>
    <w:r w:rsidR="0056427D">
      <w:t>CERD/C/CZE/Q/12-13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7DFFF" w14:textId="7CB55544" w:rsidR="00C62D50" w:rsidRDefault="00162662">
    <w:pPr>
      <w:pStyle w:val="Header"/>
      <w:jc w:val="right"/>
    </w:pPr>
    <w:r>
      <w:fldChar w:fldCharType="begin"/>
    </w:r>
    <w:r>
      <w:instrText xml:space="preserve"> DOCPROPERTY  symh  \* MERGEFORMAT </w:instrText>
    </w:r>
    <w:r>
      <w:fldChar w:fldCharType="separate"/>
    </w:r>
    <w:r w:rsidR="0056427D">
      <w:t>CERD/C/CZE/Q/12-13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5F9D3" w14:textId="77777777" w:rsidR="00C62D50" w:rsidRDefault="00C62D5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096B08"/>
    <w:multiLevelType w:val="hybridMultilevel"/>
    <w:tmpl w:val="1FBCCF5E"/>
    <w:lvl w:ilvl="0" w:tplc="731C8BC2">
      <w:start w:val="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7E2335"/>
    <w:multiLevelType w:val="hybridMultilevel"/>
    <w:tmpl w:val="3DCE7AD0"/>
    <w:lvl w:ilvl="0" w:tplc="58368866">
      <w:start w:val="3"/>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51106B"/>
    <w:multiLevelType w:val="hybridMultilevel"/>
    <w:tmpl w:val="B950ADAC"/>
    <w:lvl w:ilvl="0" w:tplc="4AA2B46A">
      <w:start w:val="1"/>
      <w:numFmt w:val="decimal"/>
      <w:lvlText w:val="%1."/>
      <w:lvlJc w:val="left"/>
      <w:pPr>
        <w:ind w:left="1701" w:firstLine="0"/>
      </w:pPr>
      <w:rPr>
        <w:rFonts w:hint="default"/>
      </w:r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7"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9"/>
  </w:num>
  <w:num w:numId="18">
    <w:abstractNumId w:val="20"/>
  </w:num>
  <w:num w:numId="19">
    <w:abstractNumId w:val="18"/>
  </w:num>
  <w:num w:numId="20">
    <w:abstractNumId w:val="22"/>
  </w:num>
  <w:num w:numId="21">
    <w:abstractNumId w:val="21"/>
  </w:num>
  <w:num w:numId="22">
    <w:abstractNumId w:val="17"/>
  </w:num>
  <w:num w:numId="23">
    <w:abstractNumId w:val="12"/>
  </w:num>
  <w:num w:numId="24">
    <w:abstractNumId w:val="16"/>
  </w:num>
  <w:num w:numId="25">
    <w:abstractNumId w:val="14"/>
  </w:num>
  <w:num w:numId="26">
    <w:abstractNumId w:val="1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embedSystemFonts/>
  <w:proofState w:spelling="clean" w:grammar="clean"/>
  <w:defaultTabStop w:val="567"/>
  <w:hyphenationZone w:val="425"/>
  <w:evenAndOddHeaders/>
  <w:characterSpacingControl w:val="doNotCompress"/>
  <w:hdrShapeDefaults>
    <o:shapedefaults v:ext="edit" spidmax="1085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D50"/>
    <w:rsid w:val="0000350E"/>
    <w:rsid w:val="0003154D"/>
    <w:rsid w:val="000F6A08"/>
    <w:rsid w:val="001355B9"/>
    <w:rsid w:val="00147850"/>
    <w:rsid w:val="00162662"/>
    <w:rsid w:val="001C476E"/>
    <w:rsid w:val="001F1410"/>
    <w:rsid w:val="001F563E"/>
    <w:rsid w:val="00235105"/>
    <w:rsid w:val="00274735"/>
    <w:rsid w:val="002767CF"/>
    <w:rsid w:val="00292EDD"/>
    <w:rsid w:val="003505B6"/>
    <w:rsid w:val="00390870"/>
    <w:rsid w:val="0045363E"/>
    <w:rsid w:val="00470D42"/>
    <w:rsid w:val="00481B51"/>
    <w:rsid w:val="004A3845"/>
    <w:rsid w:val="00522B2D"/>
    <w:rsid w:val="0056389F"/>
    <w:rsid w:val="0056427D"/>
    <w:rsid w:val="00600CBD"/>
    <w:rsid w:val="00616B42"/>
    <w:rsid w:val="00653441"/>
    <w:rsid w:val="00664656"/>
    <w:rsid w:val="006763FA"/>
    <w:rsid w:val="006E194E"/>
    <w:rsid w:val="007721B2"/>
    <w:rsid w:val="007B12BA"/>
    <w:rsid w:val="007C2B62"/>
    <w:rsid w:val="00801445"/>
    <w:rsid w:val="00816051"/>
    <w:rsid w:val="00887D2D"/>
    <w:rsid w:val="00890150"/>
    <w:rsid w:val="008A0548"/>
    <w:rsid w:val="00963FC6"/>
    <w:rsid w:val="00A34A79"/>
    <w:rsid w:val="00A95075"/>
    <w:rsid w:val="00AA3D2C"/>
    <w:rsid w:val="00AB0127"/>
    <w:rsid w:val="00AF191F"/>
    <w:rsid w:val="00B96B11"/>
    <w:rsid w:val="00BE18F4"/>
    <w:rsid w:val="00C1720E"/>
    <w:rsid w:val="00C27A44"/>
    <w:rsid w:val="00C618D9"/>
    <w:rsid w:val="00C62D50"/>
    <w:rsid w:val="00CB0780"/>
    <w:rsid w:val="00CB5BEB"/>
    <w:rsid w:val="00D211E6"/>
    <w:rsid w:val="00D83410"/>
    <w:rsid w:val="00E13FE5"/>
    <w:rsid w:val="00E4791F"/>
    <w:rsid w:val="00E77DF0"/>
    <w:rsid w:val="00E8454F"/>
    <w:rsid w:val="00FC00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8546"/>
    <o:shapelayout v:ext="edit">
      <o:idmap v:ext="edit" data="1"/>
    </o:shapelayout>
  </w:shapeDefaults>
  <w:decimalSymbol w:val="."/>
  <w:listSeparator w:val=","/>
  <w14:docId w14:val="1301C1EC"/>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3154D"/>
    <w:pPr>
      <w:numPr>
        <w:numId w:val="27"/>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C1720E"/>
    <w:pPr>
      <w:ind w:left="720"/>
      <w:contextualSpacing/>
    </w:pPr>
    <w:rPr>
      <w:rFonts w:eastAsia="SimSun"/>
    </w:rPr>
  </w:style>
  <w:style w:type="paragraph" w:customStyle="1" w:styleId="Default">
    <w:name w:val="Default"/>
    <w:rsid w:val="00C1720E"/>
    <w:pPr>
      <w:autoSpaceDE w:val="0"/>
      <w:autoSpaceDN w:val="0"/>
      <w:adjustRightInd w:val="0"/>
      <w:spacing w:after="0" w:line="240" w:lineRule="auto"/>
    </w:pPr>
    <w:rPr>
      <w:rFonts w:ascii="Verdana" w:eastAsia="SimSun" w:hAnsi="Verdana" w:cs="Verdana"/>
      <w:color w:val="000000"/>
      <w:sz w:val="24"/>
      <w:szCs w:val="24"/>
      <w:lang w:val="en-GB" w:eastAsia="fr-FR"/>
    </w:rPr>
  </w:style>
  <w:style w:type="character" w:styleId="CommentReference">
    <w:name w:val="annotation reference"/>
    <w:basedOn w:val="DefaultParagraphFont"/>
    <w:uiPriority w:val="99"/>
    <w:semiHidden/>
    <w:unhideWhenUsed/>
    <w:rsid w:val="00E8454F"/>
    <w:rPr>
      <w:sz w:val="16"/>
      <w:szCs w:val="16"/>
    </w:rPr>
  </w:style>
  <w:style w:type="paragraph" w:styleId="CommentText">
    <w:name w:val="annotation text"/>
    <w:basedOn w:val="Normal"/>
    <w:link w:val="CommentTextChar"/>
    <w:uiPriority w:val="99"/>
    <w:semiHidden/>
    <w:unhideWhenUsed/>
    <w:rsid w:val="00E8454F"/>
    <w:pPr>
      <w:spacing w:line="240" w:lineRule="auto"/>
    </w:pPr>
  </w:style>
  <w:style w:type="character" w:customStyle="1" w:styleId="CommentTextChar">
    <w:name w:val="Comment Text Char"/>
    <w:basedOn w:val="DefaultParagraphFont"/>
    <w:link w:val="CommentText"/>
    <w:uiPriority w:val="99"/>
    <w:semiHidden/>
    <w:rsid w:val="00E8454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8454F"/>
    <w:rPr>
      <w:b/>
      <w:bCs/>
    </w:rPr>
  </w:style>
  <w:style w:type="character" w:customStyle="1" w:styleId="CommentSubjectChar">
    <w:name w:val="Comment Subject Char"/>
    <w:basedOn w:val="CommentTextChar"/>
    <w:link w:val="CommentSubject"/>
    <w:uiPriority w:val="99"/>
    <w:semiHidden/>
    <w:rsid w:val="00E8454F"/>
    <w:rPr>
      <w:rFonts w:ascii="Times New Roman" w:eastAsia="Times New Roman" w:hAnsi="Times New Roman" w:cs="Times New Roman"/>
      <w:b/>
      <w:bCs/>
      <w:sz w:val="20"/>
      <w:szCs w:val="20"/>
      <w:lang w:val="en-GB"/>
    </w:rPr>
  </w:style>
  <w:style w:type="paragraph" w:styleId="Revision">
    <w:name w:val="Revision"/>
    <w:hidden/>
    <w:uiPriority w:val="99"/>
    <w:semiHidden/>
    <w:rsid w:val="00E8454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RD/C/CZE/CO/10-11&amp;Lang=E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tbinternet.ohchr.org/_layouts/15/treatybodyexternal/Download.aspx?symbolno=CERD/C/CZE/CO/10-11&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ERD/C/CZE/CO/10-1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1079</Words>
  <Characters>6219</Characters>
  <Application>Microsoft Office Word</Application>
  <DocSecurity>0</DocSecurity>
  <Lines>114</Lines>
  <Paragraphs>42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CERD/C/CZE/Q/12-13</vt:lpstr>
      <vt:lpstr/>
      <vt:lpstr/>
    </vt:vector>
  </TitlesOfParts>
  <Company>DCM</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CERD/C/CZE/Q/12-13</dc:title>
  <dc:subject>1909155</dc:subject>
  <dc:creator>cg</dc:creator>
  <cp:keywords/>
  <dc:description/>
  <cp:lastModifiedBy>Generic Pdf eng</cp:lastModifiedBy>
  <cp:revision>2</cp:revision>
  <cp:lastPrinted>2019-06-06T11:42:00Z</cp:lastPrinted>
  <dcterms:created xsi:type="dcterms:W3CDTF">2019-06-06T13:05:00Z</dcterms:created>
  <dcterms:modified xsi:type="dcterms:W3CDTF">2019-06-06T13:05:00Z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C/CZE/Q/12-13</vt:lpwstr>
  </property>
  <property fmtid="{D5CDD505-2E9C-101B-9397-08002B2CF9AE}" pid="3" name="symh">
    <vt:lpwstr>CERD/C/CZE/Q/12-13</vt:lpwstr>
  </property>
  <property fmtid="{D5CDD505-2E9C-101B-9397-08002B2CF9AE}" pid="4" name="dist">
    <vt:lpwstr>General</vt:lpwstr>
  </property>
  <property fmtid="{D5CDD505-2E9C-101B-9397-08002B2CF9AE}" pid="5" name="date">
    <vt:lpwstr>8 May 2019</vt:lpwstr>
  </property>
  <property fmtid="{D5CDD505-2E9C-101B-9397-08002B2CF9AE}" pid="6" name="sdate">
    <vt:lpwstr>5 August-29 July 2019</vt:lpwstr>
  </property>
  <property fmtid="{D5CDD505-2E9C-101B-9397-08002B2CF9AE}" pid="7" name="virs">
    <vt:lpwstr>English, French and Spanish only</vt:lpwstr>
  </property>
  <property fmtid="{D5CDD505-2E9C-101B-9397-08002B2CF9AE}" pid="8" name="snum">
    <vt:lpwstr>Ninety-ninth</vt:lpwstr>
  </property>
  <property fmtid="{D5CDD505-2E9C-101B-9397-08002B2CF9AE}" pid="9" name="anum">
    <vt:lpwstr>[NUMBER]</vt:lpwstr>
  </property>
  <property fmtid="{D5CDD505-2E9C-101B-9397-08002B2CF9AE}" pid="10" name="count">
    <vt:lpwstr>Czech Republic</vt:lpwstr>
  </property>
  <property fmtid="{D5CDD505-2E9C-101B-9397-08002B2CF9AE}" pid="11" name="countw">
    <vt:lpwstr>Czech Republic</vt:lpwstr>
  </property>
  <property fmtid="{D5CDD505-2E9C-101B-9397-08002B2CF9AE}" pid="12" name="countwd">
    <vt:lpwstr>Czech Republic</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combined twelfth and thirteenth reports of Czech Republic</vt:lpwstr>
  </property>
  <property fmtid="{D5CDD505-2E9C-101B-9397-08002B2CF9AE}" pid="19" name="preps">
    <vt:lpwstr>combined twelfth and thirteenth reports of Czech Republic</vt:lpwstr>
  </property>
  <property fmtid="{D5CDD505-2E9C-101B-9397-08002B2CF9AE}" pid="20" name="prepw">
    <vt:lpwstr>combined twelfth and thirteenth reports</vt:lpwstr>
  </property>
  <property fmtid="{D5CDD505-2E9C-101B-9397-08002B2CF9AE}" pid="21" name="prepws">
    <vt:lpwstr>combined twelfth and thirteenth reports</vt:lpwstr>
  </property>
  <property fmtid="{D5CDD505-2E9C-101B-9397-08002B2CF9AE}" pid="22" name="prepwc">
    <vt:lpwstr>Combined twelfth and thirteenth reports </vt:lpwstr>
  </property>
  <property fmtid="{D5CDD505-2E9C-101B-9397-08002B2CF9AE}" pid="23" name="olang">
    <vt:lpwstr>English</vt:lpwstr>
  </property>
  <property fmtid="{D5CDD505-2E9C-101B-9397-08002B2CF9AE}" pid="24" name="Date-Generated">
    <vt:filetime>2019-05-08T08:19:29Z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