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CB59D8">
              <w:rPr>
                <w:rFonts w:hint="eastAsia"/>
                <w:sz w:val="20"/>
              </w:rPr>
              <w:t>RES/24/30</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C84D6A" w:rsidP="00637834">
            <w:pPr>
              <w:spacing w:before="240" w:line="240" w:lineRule="atLeast"/>
              <w:rPr>
                <w:sz w:val="20"/>
              </w:rPr>
            </w:pPr>
            <w:r>
              <w:rPr>
                <w:sz w:val="20"/>
              </w:rPr>
              <w:t xml:space="preserve">Distr.: </w:t>
            </w:r>
            <w:r w:rsidR="00BF7E3F">
              <w:rPr>
                <w:sz w:val="20"/>
              </w:rPr>
              <w:t>General</w:t>
            </w:r>
          </w:p>
          <w:p w:rsidR="00F53D4C" w:rsidRPr="00637834" w:rsidRDefault="00CB59D8">
            <w:pPr>
              <w:spacing w:line="240" w:lineRule="atLeast"/>
              <w:rPr>
                <w:rFonts w:hint="eastAsia"/>
                <w:sz w:val="20"/>
              </w:rPr>
            </w:pPr>
            <w:r>
              <w:rPr>
                <w:rFonts w:hint="eastAsia"/>
                <w:sz w:val="20"/>
              </w:rPr>
              <w:t xml:space="preserve">8 </w:t>
            </w:r>
            <w:r w:rsidRPr="00CB59D8">
              <w:rPr>
                <w:sz w:val="20"/>
              </w:rPr>
              <w:t>October</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C84D6A" w:rsidP="00751C2E">
            <w:pPr>
              <w:spacing w:line="240" w:lineRule="atLeast"/>
              <w:rPr>
                <w:rFonts w:hint="eastAsia"/>
              </w:rPr>
            </w:pPr>
            <w:r>
              <w:rPr>
                <w:sz w:val="20"/>
              </w:rPr>
              <w:t xml:space="preserve">Original: </w:t>
            </w:r>
            <w:r w:rsidR="00F53D4C" w:rsidRPr="00637834">
              <w:rPr>
                <w:sz w:val="20"/>
              </w:rPr>
              <w:t>English</w:t>
            </w:r>
          </w:p>
        </w:tc>
      </w:tr>
    </w:tbl>
    <w:p w:rsidR="00CB59D8" w:rsidRDefault="00CB59D8" w:rsidP="00CB59D8">
      <w:pPr>
        <w:spacing w:before="120"/>
        <w:rPr>
          <w:rFonts w:eastAsia="SimHei" w:hint="eastAsia"/>
          <w:sz w:val="24"/>
          <w:szCs w:val="24"/>
          <w:lang w:val="fr-CH"/>
        </w:rPr>
      </w:pPr>
      <w:r>
        <w:rPr>
          <w:rFonts w:eastAsia="SimHei" w:hint="eastAsia"/>
          <w:sz w:val="24"/>
          <w:szCs w:val="24"/>
          <w:lang w:val="fr-CH"/>
        </w:rPr>
        <w:t>人权理事会</w:t>
      </w:r>
    </w:p>
    <w:p w:rsidR="00CB59D8" w:rsidRPr="00A6065E" w:rsidRDefault="00CB59D8" w:rsidP="00CB59D8">
      <w:pPr>
        <w:rPr>
          <w:rFonts w:eastAsia="SimHei" w:hint="eastAsia"/>
          <w:szCs w:val="21"/>
          <w:lang w:val="fr-CH"/>
        </w:rPr>
      </w:pPr>
      <w:r w:rsidRPr="00A6065E">
        <w:rPr>
          <w:rFonts w:eastAsia="SimHei" w:hint="eastAsia"/>
          <w:szCs w:val="21"/>
          <w:lang w:val="fr-CH"/>
        </w:rPr>
        <w:t>第二十四届会议</w:t>
      </w:r>
    </w:p>
    <w:p w:rsidR="00CB59D8" w:rsidRPr="00A6065E" w:rsidRDefault="00CB59D8" w:rsidP="00CB59D8">
      <w:pPr>
        <w:rPr>
          <w:rFonts w:hint="eastAsia"/>
          <w:szCs w:val="21"/>
          <w:lang w:val="fr-CH"/>
        </w:rPr>
      </w:pPr>
      <w:r w:rsidRPr="00A6065E">
        <w:rPr>
          <w:rFonts w:hint="eastAsia"/>
          <w:szCs w:val="21"/>
          <w:lang w:val="fr-CH"/>
        </w:rPr>
        <w:t>议程项目</w:t>
      </w:r>
      <w:r w:rsidRPr="00A6065E">
        <w:rPr>
          <w:rFonts w:hint="eastAsia"/>
          <w:szCs w:val="21"/>
          <w:lang w:val="fr-CH"/>
        </w:rPr>
        <w:t>10</w:t>
      </w:r>
    </w:p>
    <w:p w:rsidR="00CB59D8" w:rsidRPr="00A6065E" w:rsidRDefault="00CB59D8" w:rsidP="00CB59D8">
      <w:pPr>
        <w:rPr>
          <w:rFonts w:eastAsia="SimHei" w:hint="eastAsia"/>
          <w:lang w:val="fr-CH"/>
        </w:rPr>
      </w:pPr>
      <w:r w:rsidRPr="00A6065E">
        <w:rPr>
          <w:rFonts w:eastAsia="SimHei" w:hint="eastAsia"/>
          <w:lang w:val="fr-CH"/>
        </w:rPr>
        <w:t>技术援助和能力建设</w:t>
      </w:r>
    </w:p>
    <w:p w:rsidR="00CB59D8" w:rsidRDefault="00CB59D8" w:rsidP="004240DC">
      <w:pPr>
        <w:pStyle w:val="H1GC"/>
        <w:rPr>
          <w:rFonts w:hint="eastAsia"/>
        </w:rPr>
      </w:pPr>
      <w:r>
        <w:rPr>
          <w:rFonts w:hint="eastAsia"/>
        </w:rPr>
        <w:tab/>
      </w:r>
      <w:r>
        <w:rPr>
          <w:rFonts w:hint="eastAsia"/>
        </w:rPr>
        <w:tab/>
      </w:r>
      <w:r w:rsidRPr="001C4873">
        <w:rPr>
          <w:rFonts w:hint="eastAsia"/>
        </w:rPr>
        <w:t>人权理事会通过的决</w:t>
      </w:r>
      <w:r>
        <w:rPr>
          <w:rFonts w:hint="eastAsia"/>
        </w:rPr>
        <w:t>议</w:t>
      </w:r>
      <w:r w:rsidRPr="004240DC">
        <w:rPr>
          <w:rStyle w:val="FootnoteReference"/>
          <w:vertAlign w:val="baseline"/>
          <w:lang w:val="fr-CH"/>
        </w:rPr>
        <w:footnoteReference w:customMarkFollows="1" w:id="2"/>
        <w:sym w:font="Symbol" w:char="F02A"/>
      </w:r>
    </w:p>
    <w:p w:rsidR="00CB59D8" w:rsidRDefault="00CB59D8" w:rsidP="004240DC">
      <w:pPr>
        <w:pStyle w:val="H1GC"/>
        <w:rPr>
          <w:rFonts w:hint="eastAsia"/>
        </w:rPr>
      </w:pPr>
      <w:r>
        <w:rPr>
          <w:rFonts w:hint="eastAsia"/>
        </w:rPr>
        <w:tab/>
      </w:r>
      <w:r>
        <w:rPr>
          <w:rFonts w:hint="eastAsia"/>
        </w:rPr>
        <w:tab/>
        <w:t>24/30.</w:t>
      </w:r>
      <w:r>
        <w:br/>
      </w:r>
      <w:r>
        <w:rPr>
          <w:rFonts w:hint="eastAsia"/>
        </w:rPr>
        <w:t>向索马里提供人权领域的援助</w:t>
      </w:r>
    </w:p>
    <w:p w:rsidR="00CB59D8" w:rsidRPr="004240DC" w:rsidRDefault="00CB59D8" w:rsidP="004240DC">
      <w:pPr>
        <w:pStyle w:val="SingleTxtGC"/>
        <w:rPr>
          <w:rFonts w:eastAsia="KaiTi_GB2312" w:hint="eastAsia"/>
        </w:rPr>
      </w:pPr>
      <w:r w:rsidRPr="004240DC">
        <w:rPr>
          <w:rFonts w:eastAsia="KaiTi_GB2312" w:hint="eastAsia"/>
        </w:rPr>
        <w:tab/>
      </w:r>
      <w:r w:rsidRPr="004240DC">
        <w:rPr>
          <w:rFonts w:eastAsia="KaiTi_GB2312" w:hint="eastAsia"/>
        </w:rPr>
        <w:t>人权理事会，</w:t>
      </w:r>
    </w:p>
    <w:p w:rsidR="00CB59D8" w:rsidRDefault="00CB59D8" w:rsidP="00A87098">
      <w:pPr>
        <w:pStyle w:val="SingleTxtGC"/>
        <w:rPr>
          <w:rFonts w:hint="eastAsia"/>
        </w:rPr>
      </w:pPr>
      <w:r>
        <w:rPr>
          <w:rFonts w:hint="eastAsia"/>
        </w:rPr>
        <w:tab/>
      </w:r>
      <w:r w:rsidRPr="00A6065E">
        <w:rPr>
          <w:rFonts w:eastAsia="KaiTi_GB2312" w:hint="eastAsia"/>
        </w:rPr>
        <w:t>遵循</w:t>
      </w:r>
      <w:r>
        <w:rPr>
          <w:rFonts w:hint="eastAsia"/>
        </w:rPr>
        <w:t>《联合国宪章》和《世界人权宣言》，</w:t>
      </w:r>
    </w:p>
    <w:p w:rsidR="00CB59D8" w:rsidRDefault="00CB59D8" w:rsidP="00A87098">
      <w:pPr>
        <w:pStyle w:val="SingleTxtGC"/>
        <w:rPr>
          <w:rFonts w:hint="eastAsia"/>
        </w:rPr>
      </w:pPr>
      <w:r>
        <w:rPr>
          <w:rFonts w:hint="eastAsia"/>
        </w:rPr>
        <w:tab/>
      </w:r>
      <w:r w:rsidRPr="00A6065E">
        <w:rPr>
          <w:rFonts w:eastAsia="KaiTi_GB2312" w:hint="eastAsia"/>
        </w:rPr>
        <w:t>承认</w:t>
      </w:r>
      <w:r>
        <w:rPr>
          <w:rFonts w:hint="eastAsia"/>
        </w:rPr>
        <w:t>和平与安全、发展及人权是联合国系统的支柱，</w:t>
      </w:r>
    </w:p>
    <w:p w:rsidR="00CB59D8" w:rsidRDefault="00CB59D8" w:rsidP="00A87098">
      <w:pPr>
        <w:pStyle w:val="SingleTxtGC"/>
        <w:rPr>
          <w:rFonts w:hint="eastAsia"/>
        </w:rPr>
      </w:pPr>
      <w:r>
        <w:rPr>
          <w:rFonts w:hint="eastAsia"/>
        </w:rPr>
        <w:tab/>
      </w:r>
      <w:r w:rsidRPr="00A6065E">
        <w:rPr>
          <w:rFonts w:eastAsia="KaiTi_GB2312" w:hint="eastAsia"/>
        </w:rPr>
        <w:t>重申</w:t>
      </w:r>
      <w:r>
        <w:rPr>
          <w:rFonts w:hint="eastAsia"/>
        </w:rPr>
        <w:t>其对索马里的主权、领土完整、政治独立及统一的尊重，</w:t>
      </w:r>
    </w:p>
    <w:p w:rsidR="00CB59D8" w:rsidRDefault="00CB59D8" w:rsidP="00A87098">
      <w:pPr>
        <w:pStyle w:val="SingleTxtGC"/>
        <w:rPr>
          <w:rFonts w:hint="eastAsia"/>
        </w:rPr>
      </w:pPr>
      <w:r>
        <w:rPr>
          <w:rFonts w:hint="eastAsia"/>
        </w:rPr>
        <w:tab/>
      </w:r>
      <w:r>
        <w:rPr>
          <w:rFonts w:eastAsia="KaiTi_GB2312" w:hint="eastAsia"/>
        </w:rPr>
        <w:t>又</w:t>
      </w:r>
      <w:r w:rsidRPr="00A6065E">
        <w:rPr>
          <w:rFonts w:eastAsia="KaiTi_GB2312" w:hint="eastAsia"/>
        </w:rPr>
        <w:t>重</w:t>
      </w:r>
      <w:r w:rsidRPr="002430FE">
        <w:rPr>
          <w:rFonts w:eastAsia="KaiTi_GB2312" w:hint="eastAsia"/>
        </w:rPr>
        <w:t>申</w:t>
      </w:r>
      <w:r>
        <w:rPr>
          <w:rFonts w:hint="eastAsia"/>
        </w:rPr>
        <w:t>人权理事会以往有关索马里的各项决议，</w:t>
      </w:r>
    </w:p>
    <w:p w:rsidR="00CB59D8" w:rsidRDefault="00CB59D8" w:rsidP="00A87098">
      <w:pPr>
        <w:pStyle w:val="SingleTxtGC"/>
        <w:rPr>
          <w:rFonts w:hint="eastAsia"/>
        </w:rPr>
      </w:pPr>
      <w:r>
        <w:rPr>
          <w:rFonts w:hint="eastAsia"/>
        </w:rPr>
        <w:tab/>
      </w:r>
      <w:r w:rsidRPr="00041ED3">
        <w:rPr>
          <w:rFonts w:eastAsia="KaiTi_GB2312" w:hint="eastAsia"/>
        </w:rPr>
        <w:t>回顾</w:t>
      </w:r>
      <w:r>
        <w:t>人权理事会</w:t>
      </w:r>
      <w:r>
        <w:t>2007</w:t>
      </w:r>
      <w:r>
        <w:t>年</w:t>
      </w:r>
      <w:r>
        <w:t>6</w:t>
      </w:r>
      <w:r>
        <w:t>月</w:t>
      </w:r>
      <w:r>
        <w:t>18</w:t>
      </w:r>
      <w:r>
        <w:t>日第</w:t>
      </w:r>
      <w:r>
        <w:t>5/1</w:t>
      </w:r>
      <w:r>
        <w:t>号</w:t>
      </w:r>
      <w:r>
        <w:rPr>
          <w:rFonts w:hint="eastAsia"/>
        </w:rPr>
        <w:t>和</w:t>
      </w:r>
      <w:r>
        <w:t>第</w:t>
      </w:r>
      <w:r>
        <w:t>5/2</w:t>
      </w:r>
      <w:r>
        <w:t>号决议</w:t>
      </w:r>
      <w:r>
        <w:rPr>
          <w:rFonts w:hint="eastAsia"/>
        </w:rPr>
        <w:t>，</w:t>
      </w:r>
    </w:p>
    <w:p w:rsidR="00CB59D8" w:rsidRDefault="00CB59D8" w:rsidP="00A87098">
      <w:pPr>
        <w:pStyle w:val="SingleTxtGC"/>
        <w:rPr>
          <w:rFonts w:hint="eastAsia"/>
        </w:rPr>
      </w:pPr>
      <w:r>
        <w:rPr>
          <w:rFonts w:hint="eastAsia"/>
        </w:rPr>
        <w:tab/>
      </w:r>
      <w:r w:rsidRPr="00041ED3">
        <w:rPr>
          <w:rFonts w:eastAsia="KaiTi_GB2312" w:hint="eastAsia"/>
        </w:rPr>
        <w:t>确</w:t>
      </w:r>
      <w:r w:rsidRPr="00A6065E">
        <w:rPr>
          <w:rFonts w:eastAsia="KaiTi_GB2312" w:hint="eastAsia"/>
        </w:rPr>
        <w:t>认</w:t>
      </w:r>
      <w:r>
        <w:rPr>
          <w:rFonts w:hint="eastAsia"/>
        </w:rPr>
        <w:t>对于向索马里提供的人权领域的所有能力发展和技术援助，急需加大规模，提高一致性，改进质量，</w:t>
      </w:r>
    </w:p>
    <w:p w:rsidR="00CB59D8" w:rsidRDefault="00CB59D8" w:rsidP="00CB59D8">
      <w:pPr>
        <w:pStyle w:val="SingleTxtGC"/>
        <w:rPr>
          <w:rFonts w:hint="eastAsia"/>
        </w:rPr>
      </w:pPr>
      <w:r>
        <w:rPr>
          <w:rFonts w:hint="eastAsia"/>
        </w:rPr>
        <w:tab/>
      </w:r>
      <w:r>
        <w:rPr>
          <w:rFonts w:eastAsia="KaiTi_GB2312" w:hint="eastAsia"/>
        </w:rPr>
        <w:t>又</w:t>
      </w:r>
      <w:r w:rsidRPr="00041ED3">
        <w:rPr>
          <w:rFonts w:eastAsia="KaiTi_GB2312" w:hint="eastAsia"/>
        </w:rPr>
        <w:t>确</w:t>
      </w:r>
      <w:r w:rsidRPr="00A6065E">
        <w:rPr>
          <w:rFonts w:eastAsia="KaiTi_GB2312" w:hint="eastAsia"/>
        </w:rPr>
        <w:t>认</w:t>
      </w:r>
      <w:r>
        <w:rPr>
          <w:rFonts w:hint="eastAsia"/>
        </w:rPr>
        <w:t>妇女在索马里社会在社区动员与建设和平方面已经发挥的并将继续发挥的作用，并确认必须增强妇女的经济</w:t>
      </w:r>
      <w:r w:rsidRPr="00861AE1">
        <w:rPr>
          <w:rFonts w:hint="eastAsia"/>
        </w:rPr>
        <w:t>权力</w:t>
      </w:r>
      <w:r>
        <w:rPr>
          <w:rFonts w:hint="eastAsia"/>
        </w:rPr>
        <w:t>，让她们更多地参与政治和公共决策过程，包括议会活动，</w:t>
      </w:r>
    </w:p>
    <w:p w:rsidR="00CB59D8" w:rsidRDefault="00CB59D8" w:rsidP="00CB59D8">
      <w:pPr>
        <w:pStyle w:val="SingleTxtGC"/>
        <w:rPr>
          <w:rFonts w:hint="eastAsia"/>
        </w:rPr>
      </w:pPr>
      <w:r>
        <w:rPr>
          <w:rFonts w:hint="eastAsia"/>
        </w:rPr>
        <w:tab/>
        <w:t xml:space="preserve">1.  </w:t>
      </w:r>
      <w:r w:rsidRPr="00A6065E">
        <w:rPr>
          <w:rFonts w:eastAsia="KaiTi_GB2312" w:hint="eastAsia"/>
        </w:rPr>
        <w:t>表示关切</w:t>
      </w:r>
      <w:r>
        <w:rPr>
          <w:rFonts w:eastAsia="KaiTi_GB2312" w:hint="eastAsia"/>
        </w:rPr>
        <w:t>的是，</w:t>
      </w:r>
      <w:r w:rsidRPr="00DB2EC7">
        <w:rPr>
          <w:rFonts w:hint="eastAsia"/>
        </w:rPr>
        <w:t>有</w:t>
      </w:r>
      <w:r>
        <w:rPr>
          <w:rFonts w:hint="eastAsia"/>
        </w:rPr>
        <w:t>报告称，索马里有侵犯人权行为；强调必须结束有罪不罚现象，维护人权，并追究任何犯有此类相关罪行者的责任；</w:t>
      </w:r>
    </w:p>
    <w:p w:rsidR="00CB59D8" w:rsidRDefault="00CB59D8" w:rsidP="00CB59D8">
      <w:pPr>
        <w:pStyle w:val="SingleTxtGC"/>
        <w:rPr>
          <w:rFonts w:hint="eastAsia"/>
        </w:rPr>
      </w:pPr>
      <w:r>
        <w:rPr>
          <w:rFonts w:hint="eastAsia"/>
        </w:rPr>
        <w:tab/>
        <w:t xml:space="preserve">2.  </w:t>
      </w:r>
      <w:r>
        <w:rPr>
          <w:rFonts w:eastAsia="KaiTi_GB2312" w:hint="eastAsia"/>
        </w:rPr>
        <w:t>又</w:t>
      </w:r>
      <w:r w:rsidRPr="00A6065E">
        <w:rPr>
          <w:rFonts w:eastAsia="KaiTi_GB2312" w:hint="eastAsia"/>
        </w:rPr>
        <w:t>表示关切</w:t>
      </w:r>
      <w:r>
        <w:rPr>
          <w:rFonts w:eastAsia="KaiTi_GB2312" w:hint="eastAsia"/>
        </w:rPr>
        <w:t>的是，</w:t>
      </w:r>
      <w:r>
        <w:rPr>
          <w:rFonts w:hint="eastAsia"/>
        </w:rPr>
        <w:t>妇女遭到虐待和侵害，包括性暴力；强调须对所有此类虐待和侵犯行为追究责任；</w:t>
      </w:r>
    </w:p>
    <w:p w:rsidR="00CB59D8" w:rsidRDefault="00CB59D8" w:rsidP="00CB59D8">
      <w:pPr>
        <w:pStyle w:val="SingleTxtGC"/>
        <w:rPr>
          <w:rFonts w:hint="eastAsia"/>
        </w:rPr>
      </w:pPr>
      <w:r>
        <w:rPr>
          <w:rFonts w:hint="eastAsia"/>
        </w:rPr>
        <w:tab/>
        <w:t xml:space="preserve">3.  </w:t>
      </w:r>
      <w:r w:rsidRPr="00A6065E">
        <w:rPr>
          <w:rFonts w:eastAsia="KaiTi_GB2312" w:hint="eastAsia"/>
        </w:rPr>
        <w:t>表示深为关切的是</w:t>
      </w:r>
      <w:r>
        <w:rPr>
          <w:rFonts w:hint="eastAsia"/>
        </w:rPr>
        <w:t>，儿童继续遭受侵犯和虐待，包括被招募和用作儿童兵，遭杀害和致残，遭强奸和其他性暴力，遭绑架，遭袭击学校和</w:t>
      </w:r>
      <w:r w:rsidR="00C84D6A">
        <w:rPr>
          <w:rFonts w:hint="eastAsia"/>
        </w:rPr>
        <w:t>(</w:t>
      </w:r>
      <w:r>
        <w:rPr>
          <w:rFonts w:hint="eastAsia"/>
        </w:rPr>
        <w:t>或</w:t>
      </w:r>
      <w:r w:rsidR="00C84D6A">
        <w:rPr>
          <w:rFonts w:hint="eastAsia"/>
        </w:rPr>
        <w:t>)</w:t>
      </w:r>
      <w:r>
        <w:rPr>
          <w:rFonts w:hint="eastAsia"/>
        </w:rPr>
        <w:t>医院等事件之害；并对儿童继续因武装冲突而流离失所深感关切；</w:t>
      </w:r>
    </w:p>
    <w:p w:rsidR="00CB59D8" w:rsidRDefault="00CB59D8" w:rsidP="00CB59D8">
      <w:pPr>
        <w:pStyle w:val="SingleTxtGC"/>
        <w:rPr>
          <w:rFonts w:hint="eastAsia"/>
        </w:rPr>
      </w:pPr>
      <w:r>
        <w:rPr>
          <w:rFonts w:hint="eastAsia"/>
        </w:rPr>
        <w:tab/>
        <w:t xml:space="preserve">4.  </w:t>
      </w:r>
      <w:r>
        <w:rPr>
          <w:rFonts w:eastAsia="KaiTi_GB2312" w:hint="eastAsia"/>
        </w:rPr>
        <w:t>又</w:t>
      </w:r>
      <w:r w:rsidRPr="00A6065E">
        <w:rPr>
          <w:rFonts w:eastAsia="KaiTi_GB2312" w:hint="eastAsia"/>
        </w:rPr>
        <w:t>深表关切</w:t>
      </w:r>
      <w:r>
        <w:rPr>
          <w:rFonts w:eastAsia="KaiTi_GB2312" w:hint="eastAsia"/>
        </w:rPr>
        <w:t>的是，</w:t>
      </w:r>
      <w:r>
        <w:rPr>
          <w:rFonts w:hint="eastAsia"/>
        </w:rPr>
        <w:t>记者在索马里继续遭受攻击和侵害；敦促所有各方避免对记者施以暴力和进行骚扰，尊重言论自由；并强调有必要结束有罪不罚现象，维护人权，追究任何犯有此类相关罪行者的责任；</w:t>
      </w:r>
    </w:p>
    <w:p w:rsidR="00CB59D8" w:rsidRDefault="00CB59D8" w:rsidP="00CB59D8">
      <w:pPr>
        <w:pStyle w:val="SingleTxtGC"/>
        <w:rPr>
          <w:rFonts w:hint="eastAsia"/>
        </w:rPr>
      </w:pPr>
      <w:r>
        <w:rPr>
          <w:rFonts w:hint="eastAsia"/>
        </w:rPr>
        <w:tab/>
        <w:t xml:space="preserve">5.  </w:t>
      </w:r>
      <w:r w:rsidRPr="00A6065E">
        <w:rPr>
          <w:rFonts w:eastAsia="KaiTi_GB2312" w:hint="eastAsia"/>
        </w:rPr>
        <w:t>强烈谴责</w:t>
      </w:r>
      <w:r>
        <w:rPr>
          <w:rFonts w:hint="eastAsia"/>
        </w:rPr>
        <w:t>青年党及其追随者严重和蓄意侵犯平民的人权，包括侵犯妇女、儿童、记者和人权维护者的人权；并要求其立即停止这些行为；</w:t>
      </w:r>
    </w:p>
    <w:p w:rsidR="00CB59D8" w:rsidRDefault="00CB59D8" w:rsidP="00CB59D8">
      <w:pPr>
        <w:pStyle w:val="SingleTxtGC"/>
        <w:rPr>
          <w:rFonts w:hint="eastAsia"/>
        </w:rPr>
      </w:pPr>
      <w:r>
        <w:rPr>
          <w:rFonts w:hint="eastAsia"/>
        </w:rPr>
        <w:tab/>
        <w:t xml:space="preserve">6.  </w:t>
      </w:r>
      <w:r w:rsidRPr="00A6065E">
        <w:rPr>
          <w:rFonts w:eastAsia="KaiTi_GB2312" w:hint="eastAsia"/>
        </w:rPr>
        <w:t>欢迎</w:t>
      </w:r>
      <w:r>
        <w:rPr>
          <w:rFonts w:hint="eastAsia"/>
        </w:rPr>
        <w:t>索马里联邦政府作出改善索马里人权状况的承诺；为此并欢迎：</w:t>
      </w:r>
    </w:p>
    <w:p w:rsidR="00CB59D8" w:rsidRDefault="00CB59D8" w:rsidP="00673853">
      <w:pPr>
        <w:pStyle w:val="SingleTxtGC"/>
        <w:numPr>
          <w:ilvl w:val="0"/>
          <w:numId w:val="45"/>
        </w:numPr>
        <w:rPr>
          <w:rFonts w:hint="eastAsia"/>
        </w:rPr>
      </w:pPr>
      <w:r>
        <w:rPr>
          <w:rFonts w:hint="eastAsia"/>
        </w:rPr>
        <w:t>2013</w:t>
      </w:r>
      <w:r>
        <w:rPr>
          <w:rFonts w:hint="eastAsia"/>
        </w:rPr>
        <w:t>年</w:t>
      </w:r>
      <w:r>
        <w:rPr>
          <w:rFonts w:hint="eastAsia"/>
        </w:rPr>
        <w:t>8</w:t>
      </w:r>
      <w:r>
        <w:rPr>
          <w:rFonts w:hint="eastAsia"/>
        </w:rPr>
        <w:t>月</w:t>
      </w:r>
      <w:r>
        <w:rPr>
          <w:rFonts w:hint="eastAsia"/>
        </w:rPr>
        <w:t>27</w:t>
      </w:r>
      <w:r>
        <w:rPr>
          <w:rFonts w:hint="eastAsia"/>
        </w:rPr>
        <w:t>日通过了后过渡期索马里人权路线图，以及路线图的继续发展和实现；</w:t>
      </w:r>
    </w:p>
    <w:p w:rsidR="00CB59D8" w:rsidRDefault="00CB59D8" w:rsidP="00673853">
      <w:pPr>
        <w:pStyle w:val="SingleTxtGC"/>
        <w:numPr>
          <w:ilvl w:val="0"/>
          <w:numId w:val="45"/>
        </w:numPr>
        <w:rPr>
          <w:rFonts w:hint="eastAsia"/>
        </w:rPr>
      </w:pPr>
      <w:r>
        <w:rPr>
          <w:rFonts w:hint="eastAsia"/>
        </w:rPr>
        <w:t>在</w:t>
      </w:r>
      <w:r>
        <w:rPr>
          <w:rFonts w:hint="eastAsia"/>
        </w:rPr>
        <w:t>2013</w:t>
      </w:r>
      <w:r>
        <w:rPr>
          <w:rFonts w:hint="eastAsia"/>
        </w:rPr>
        <w:t>年</w:t>
      </w:r>
      <w:r>
        <w:rPr>
          <w:rFonts w:hint="eastAsia"/>
        </w:rPr>
        <w:t>5</w:t>
      </w:r>
      <w:r>
        <w:rPr>
          <w:rFonts w:hint="eastAsia"/>
        </w:rPr>
        <w:t>月</w:t>
      </w:r>
      <w:r>
        <w:rPr>
          <w:rFonts w:hint="eastAsia"/>
        </w:rPr>
        <w:t>7</w:t>
      </w:r>
      <w:r>
        <w:rPr>
          <w:rFonts w:hint="eastAsia"/>
        </w:rPr>
        <w:t>日索马里会议上介绍的司法、警察和军队改革计划；</w:t>
      </w:r>
    </w:p>
    <w:p w:rsidR="00CB59D8" w:rsidRDefault="00CB59D8" w:rsidP="00673853">
      <w:pPr>
        <w:pStyle w:val="SingleTxtGC"/>
        <w:numPr>
          <w:ilvl w:val="0"/>
          <w:numId w:val="45"/>
        </w:numPr>
        <w:rPr>
          <w:rFonts w:hint="eastAsia"/>
        </w:rPr>
      </w:pPr>
      <w:r>
        <w:rPr>
          <w:rFonts w:hint="eastAsia"/>
        </w:rPr>
        <w:t>在索马里增进和保护人权活动的持续制度化，包括努力在安全和司法部门改革计划中纳入对平民的保护和增进人权的内容；</w:t>
      </w:r>
    </w:p>
    <w:p w:rsidR="00CB59D8" w:rsidRDefault="00CB59D8" w:rsidP="00673853">
      <w:pPr>
        <w:pStyle w:val="SingleTxtGC"/>
        <w:numPr>
          <w:ilvl w:val="0"/>
          <w:numId w:val="45"/>
        </w:numPr>
        <w:rPr>
          <w:rFonts w:hint="eastAsia"/>
        </w:rPr>
      </w:pPr>
      <w:r>
        <w:rPr>
          <w:rFonts w:hint="eastAsia"/>
        </w:rPr>
        <w:t>索马里联邦政府承诺在适当时候建立一个国家人权委员会；</w:t>
      </w:r>
    </w:p>
    <w:p w:rsidR="00CB59D8" w:rsidRDefault="00CB59D8" w:rsidP="00673853">
      <w:pPr>
        <w:pStyle w:val="SingleTxtGC"/>
        <w:numPr>
          <w:ilvl w:val="0"/>
          <w:numId w:val="45"/>
        </w:numPr>
        <w:rPr>
          <w:rFonts w:hint="eastAsia"/>
        </w:rPr>
      </w:pPr>
      <w:r>
        <w:rPr>
          <w:rFonts w:hint="eastAsia"/>
        </w:rPr>
        <w:t>联合国和索马里联邦政府于</w:t>
      </w:r>
      <w:r>
        <w:rPr>
          <w:rFonts w:hint="eastAsia"/>
        </w:rPr>
        <w:t>2013</w:t>
      </w:r>
      <w:r>
        <w:rPr>
          <w:rFonts w:hint="eastAsia"/>
        </w:rPr>
        <w:t>年</w:t>
      </w:r>
      <w:r>
        <w:rPr>
          <w:rFonts w:hint="eastAsia"/>
        </w:rPr>
        <w:t>5</w:t>
      </w:r>
      <w:r>
        <w:rPr>
          <w:rFonts w:hint="eastAsia"/>
        </w:rPr>
        <w:t>月</w:t>
      </w:r>
      <w:r>
        <w:rPr>
          <w:rFonts w:hint="eastAsia"/>
        </w:rPr>
        <w:t>7</w:t>
      </w:r>
      <w:r>
        <w:rPr>
          <w:rFonts w:hint="eastAsia"/>
        </w:rPr>
        <w:t>日签署</w:t>
      </w:r>
      <w:r>
        <w:t>关于以可持续的方式解决性暴力的根本原因的联合公报</w:t>
      </w:r>
      <w:r>
        <w:rPr>
          <w:rFonts w:hint="eastAsia"/>
        </w:rPr>
        <w:t>；</w:t>
      </w:r>
    </w:p>
    <w:p w:rsidR="00CB59D8" w:rsidRDefault="00CB59D8" w:rsidP="00673853">
      <w:pPr>
        <w:pStyle w:val="SingleTxtGC"/>
        <w:numPr>
          <w:ilvl w:val="0"/>
          <w:numId w:val="45"/>
        </w:numPr>
        <w:rPr>
          <w:rFonts w:hint="eastAsia"/>
        </w:rPr>
      </w:pPr>
      <w:r>
        <w:rPr>
          <w:rFonts w:hint="eastAsia"/>
        </w:rPr>
        <w:t>索马里联邦政府继续致力于普遍定期审议程序；</w:t>
      </w:r>
    </w:p>
    <w:p w:rsidR="00CB59D8" w:rsidRDefault="00CB59D8" w:rsidP="00673853">
      <w:pPr>
        <w:pStyle w:val="SingleTxtGC"/>
        <w:numPr>
          <w:ilvl w:val="0"/>
          <w:numId w:val="45"/>
        </w:numPr>
        <w:rPr>
          <w:rFonts w:hint="eastAsia"/>
        </w:rPr>
      </w:pPr>
      <w:r>
        <w:rPr>
          <w:rFonts w:hint="eastAsia"/>
        </w:rPr>
        <w:t>索马里加入《关于禁止发展、生产、储存和使用化学武器及销毁此种武器的公约》，并承诺在禁止化学武器组织的技术支持下并在会员国双边援助下实施该《公约》；</w:t>
      </w:r>
    </w:p>
    <w:p w:rsidR="00CB59D8" w:rsidRDefault="00CB59D8" w:rsidP="00CB59D8">
      <w:pPr>
        <w:pStyle w:val="SingleTxtGC"/>
        <w:rPr>
          <w:rFonts w:hint="eastAsia"/>
        </w:rPr>
      </w:pPr>
      <w:r>
        <w:rPr>
          <w:rFonts w:hint="eastAsia"/>
        </w:rPr>
        <w:tab/>
        <w:t xml:space="preserve">7.  </w:t>
      </w:r>
      <w:r w:rsidRPr="00A6065E">
        <w:rPr>
          <w:rFonts w:eastAsia="KaiTi_GB2312" w:hint="eastAsia"/>
        </w:rPr>
        <w:t>强调</w:t>
      </w:r>
      <w:r>
        <w:rPr>
          <w:rFonts w:hint="eastAsia"/>
        </w:rPr>
        <w:t>必须在人权领域向索马里提供协调一致的国际援助；为此欢迎：</w:t>
      </w:r>
    </w:p>
    <w:p w:rsidR="00CB59D8" w:rsidRDefault="00CB59D8" w:rsidP="00673853">
      <w:pPr>
        <w:pStyle w:val="SingleTxtGC"/>
        <w:numPr>
          <w:ilvl w:val="0"/>
          <w:numId w:val="46"/>
        </w:numPr>
        <w:rPr>
          <w:rFonts w:hint="eastAsia"/>
        </w:rPr>
      </w:pPr>
      <w:r>
        <w:rPr>
          <w:rFonts w:hint="eastAsia"/>
        </w:rPr>
        <w:t>2013</w:t>
      </w:r>
      <w:r>
        <w:rPr>
          <w:rFonts w:hint="eastAsia"/>
        </w:rPr>
        <w:t>年</w:t>
      </w:r>
      <w:r>
        <w:rPr>
          <w:rFonts w:hint="eastAsia"/>
        </w:rPr>
        <w:t>9</w:t>
      </w:r>
      <w:r>
        <w:rPr>
          <w:rFonts w:hint="eastAsia"/>
        </w:rPr>
        <w:t>月</w:t>
      </w:r>
      <w:r>
        <w:rPr>
          <w:rFonts w:hint="eastAsia"/>
        </w:rPr>
        <w:t>16</w:t>
      </w:r>
      <w:r>
        <w:rPr>
          <w:rFonts w:hint="eastAsia"/>
        </w:rPr>
        <w:t>日通过了《援助索马里契约》；</w:t>
      </w:r>
    </w:p>
    <w:p w:rsidR="00CB59D8" w:rsidRDefault="00CB59D8" w:rsidP="00673853">
      <w:pPr>
        <w:pStyle w:val="SingleTxtGC"/>
        <w:numPr>
          <w:ilvl w:val="0"/>
          <w:numId w:val="46"/>
        </w:numPr>
        <w:rPr>
          <w:rFonts w:hint="eastAsia"/>
        </w:rPr>
      </w:pPr>
      <w:r>
        <w:rPr>
          <w:rFonts w:hint="eastAsia"/>
        </w:rPr>
        <w:t>2013</w:t>
      </w:r>
      <w:r>
        <w:rPr>
          <w:rFonts w:hint="eastAsia"/>
        </w:rPr>
        <w:t>年</w:t>
      </w:r>
      <w:r>
        <w:rPr>
          <w:rFonts w:hint="eastAsia"/>
        </w:rPr>
        <w:t>3</w:t>
      </w:r>
      <w:r>
        <w:rPr>
          <w:rFonts w:hint="eastAsia"/>
        </w:rPr>
        <w:t>月建立了一个高级别专责小组，由索马里联邦政府与索马里联邦议会、索马里民间社会、联合国和捐助方的代表组成，负责指导和支持在相互问责基础上实施《援助索马里契约》的工作；</w:t>
      </w:r>
    </w:p>
    <w:p w:rsidR="00CB59D8" w:rsidRDefault="00CB59D8" w:rsidP="00673853">
      <w:pPr>
        <w:pStyle w:val="SingleTxtGC"/>
        <w:numPr>
          <w:ilvl w:val="0"/>
          <w:numId w:val="46"/>
        </w:numPr>
        <w:rPr>
          <w:rFonts w:hint="eastAsia"/>
        </w:rPr>
      </w:pPr>
      <w:r>
        <w:rPr>
          <w:rFonts w:hint="eastAsia"/>
        </w:rPr>
        <w:t>2013</w:t>
      </w:r>
      <w:r>
        <w:rPr>
          <w:rFonts w:hint="eastAsia"/>
        </w:rPr>
        <w:t>年</w:t>
      </w:r>
      <w:r>
        <w:rPr>
          <w:rFonts w:hint="eastAsia"/>
        </w:rPr>
        <w:t>5</w:t>
      </w:r>
      <w:r>
        <w:rPr>
          <w:rFonts w:hint="eastAsia"/>
        </w:rPr>
        <w:t>月</w:t>
      </w:r>
      <w:r>
        <w:rPr>
          <w:rFonts w:hint="eastAsia"/>
        </w:rPr>
        <w:t>7</w:t>
      </w:r>
      <w:r>
        <w:rPr>
          <w:rFonts w:hint="eastAsia"/>
        </w:rPr>
        <w:t>日在伦敦举行了索马里会议并发表了公报，特别注意到以下承诺：建立尊重人权的可持续和负责任的安全部队，确保</w:t>
      </w:r>
      <w:r>
        <w:t>在冲突中</w:t>
      </w:r>
      <w:r>
        <w:rPr>
          <w:rFonts w:hint="eastAsia"/>
        </w:rPr>
        <w:t>保护妇女和儿童，确保人人能平等地求助于</w:t>
      </w:r>
      <w:r>
        <w:t>健全</w:t>
      </w:r>
      <w:r>
        <w:rPr>
          <w:rFonts w:hint="eastAsia"/>
        </w:rPr>
        <w:t>、公正和有效的司法系统，并确保新闻和媒体的安全和自由；</w:t>
      </w:r>
    </w:p>
    <w:p w:rsidR="00CB59D8" w:rsidRDefault="00CB59D8" w:rsidP="00673853">
      <w:pPr>
        <w:pStyle w:val="SingleTxtGC"/>
        <w:numPr>
          <w:ilvl w:val="0"/>
          <w:numId w:val="46"/>
        </w:numPr>
        <w:rPr>
          <w:rFonts w:hint="eastAsia"/>
        </w:rPr>
      </w:pPr>
      <w:r>
        <w:rPr>
          <w:rFonts w:hint="eastAsia"/>
        </w:rPr>
        <w:t>非洲联盟驻索马里特派团和政府间发展管理局</w:t>
      </w:r>
      <w:r>
        <w:t>作出的持久重大承诺</w:t>
      </w:r>
      <w:r>
        <w:rPr>
          <w:rFonts w:hint="eastAsia"/>
        </w:rPr>
        <w:t>；</w:t>
      </w:r>
    </w:p>
    <w:p w:rsidR="00CB59D8" w:rsidRDefault="00CB59D8" w:rsidP="00CB59D8">
      <w:pPr>
        <w:pStyle w:val="SingleTxtGC"/>
        <w:rPr>
          <w:rFonts w:hint="eastAsia"/>
        </w:rPr>
      </w:pPr>
      <w:r>
        <w:rPr>
          <w:rFonts w:hint="eastAsia"/>
        </w:rPr>
        <w:tab/>
        <w:t xml:space="preserve">8.  </w:t>
      </w:r>
      <w:r>
        <w:rPr>
          <w:rFonts w:eastAsia="KaiTi_GB2312" w:hint="eastAsia"/>
        </w:rPr>
        <w:t>确认</w:t>
      </w:r>
      <w:r>
        <w:rPr>
          <w:rFonts w:hint="eastAsia"/>
        </w:rPr>
        <w:t>必须向索马里提供国际援助；并强调索马里联邦政府及其地方机构负有在索马里增进和保护人权的主要责任；</w:t>
      </w:r>
    </w:p>
    <w:p w:rsidR="00CB59D8" w:rsidRDefault="00CB59D8" w:rsidP="00CB59D8">
      <w:pPr>
        <w:pStyle w:val="SingleTxtGC"/>
        <w:rPr>
          <w:rFonts w:hint="eastAsia"/>
        </w:rPr>
      </w:pPr>
      <w:r>
        <w:rPr>
          <w:rFonts w:hint="eastAsia"/>
        </w:rPr>
        <w:tab/>
        <w:t xml:space="preserve">9.  </w:t>
      </w:r>
      <w:r w:rsidRPr="00A6065E">
        <w:rPr>
          <w:rFonts w:eastAsia="KaiTi_GB2312" w:hint="eastAsia"/>
        </w:rPr>
        <w:t>鼓励</w:t>
      </w:r>
      <w:r>
        <w:rPr>
          <w:rFonts w:hint="eastAsia"/>
        </w:rPr>
        <w:t>各国提供及时和实际的双边援助，加强与索马里联邦政府及其地方机构的合作；</w:t>
      </w:r>
    </w:p>
    <w:p w:rsidR="00CB59D8" w:rsidRDefault="00CB59D8" w:rsidP="00CB59D8">
      <w:pPr>
        <w:pStyle w:val="SingleTxtGC"/>
        <w:rPr>
          <w:rFonts w:hint="eastAsia"/>
        </w:rPr>
      </w:pPr>
      <w:r>
        <w:rPr>
          <w:rFonts w:hint="eastAsia"/>
        </w:rPr>
        <w:tab/>
        <w:t xml:space="preserve">10.  </w:t>
      </w:r>
      <w:r w:rsidRPr="00A6065E">
        <w:rPr>
          <w:rFonts w:eastAsia="KaiTi_GB2312" w:hint="eastAsia"/>
        </w:rPr>
        <w:t>吁请</w:t>
      </w:r>
      <w:r>
        <w:rPr>
          <w:rFonts w:hint="eastAsia"/>
        </w:rPr>
        <w:t>索马里联邦政府在国际社会的支持下：</w:t>
      </w:r>
    </w:p>
    <w:p w:rsidR="00CB59D8" w:rsidRDefault="00CB59D8" w:rsidP="00673853">
      <w:pPr>
        <w:pStyle w:val="SingleTxtGC"/>
        <w:numPr>
          <w:ilvl w:val="0"/>
          <w:numId w:val="47"/>
        </w:numPr>
        <w:rPr>
          <w:rFonts w:hint="eastAsia"/>
        </w:rPr>
      </w:pPr>
      <w:r>
        <w:rPr>
          <w:rFonts w:hint="eastAsia"/>
        </w:rPr>
        <w:t>在地方和国家两级促进和解与对话，承认政府间发展管理局所提供的援助的重要性；</w:t>
      </w:r>
    </w:p>
    <w:p w:rsidR="00CB59D8" w:rsidRDefault="00CB59D8" w:rsidP="00673853">
      <w:pPr>
        <w:pStyle w:val="SingleTxtGC"/>
        <w:numPr>
          <w:ilvl w:val="0"/>
          <w:numId w:val="47"/>
        </w:numPr>
        <w:rPr>
          <w:rFonts w:hint="eastAsia"/>
        </w:rPr>
      </w:pPr>
      <w:r>
        <w:rPr>
          <w:rFonts w:hint="eastAsia"/>
        </w:rPr>
        <w:t>在</w:t>
      </w:r>
      <w:r>
        <w:rPr>
          <w:rFonts w:hint="eastAsia"/>
        </w:rPr>
        <w:t>2015</w:t>
      </w:r>
      <w:r>
        <w:rPr>
          <w:rFonts w:hint="eastAsia"/>
        </w:rPr>
        <w:t>年</w:t>
      </w:r>
      <w:r>
        <w:rPr>
          <w:rFonts w:hint="eastAsia"/>
        </w:rPr>
        <w:t>12</w:t>
      </w:r>
      <w:r>
        <w:rPr>
          <w:rFonts w:hint="eastAsia"/>
        </w:rPr>
        <w:t>月之前最终确定并通过联邦宪法；</w:t>
      </w:r>
    </w:p>
    <w:p w:rsidR="00CB59D8" w:rsidRDefault="00CB59D8" w:rsidP="00673853">
      <w:pPr>
        <w:pStyle w:val="SingleTxtGC"/>
        <w:numPr>
          <w:ilvl w:val="0"/>
          <w:numId w:val="47"/>
        </w:numPr>
        <w:rPr>
          <w:rFonts w:hint="eastAsia"/>
        </w:rPr>
      </w:pPr>
      <w:r>
        <w:rPr>
          <w:rFonts w:hint="eastAsia"/>
        </w:rPr>
        <w:t>筹备在</w:t>
      </w:r>
      <w:r>
        <w:rPr>
          <w:rFonts w:hint="eastAsia"/>
        </w:rPr>
        <w:t>2016</w:t>
      </w:r>
      <w:r>
        <w:rPr>
          <w:rFonts w:hint="eastAsia"/>
        </w:rPr>
        <w:t>年举行可信的选举；</w:t>
      </w:r>
    </w:p>
    <w:p w:rsidR="00CB59D8" w:rsidRDefault="00CB59D8" w:rsidP="00673853">
      <w:pPr>
        <w:pStyle w:val="SingleTxtGC"/>
        <w:numPr>
          <w:ilvl w:val="0"/>
          <w:numId w:val="47"/>
        </w:numPr>
        <w:rPr>
          <w:rFonts w:hint="eastAsia"/>
        </w:rPr>
      </w:pPr>
      <w:r>
        <w:rPr>
          <w:rFonts w:hint="eastAsia"/>
        </w:rPr>
        <w:t>确保妇女、青年、少数群体和其他被边缘化的群体平等参与国家政治进程；</w:t>
      </w:r>
    </w:p>
    <w:p w:rsidR="00CB59D8" w:rsidRDefault="00CB59D8" w:rsidP="00673853">
      <w:pPr>
        <w:pStyle w:val="SingleTxtGC"/>
        <w:numPr>
          <w:ilvl w:val="0"/>
          <w:numId w:val="47"/>
        </w:numPr>
        <w:rPr>
          <w:rFonts w:hint="eastAsia"/>
        </w:rPr>
      </w:pPr>
      <w:r>
        <w:rPr>
          <w:rFonts w:hint="eastAsia"/>
        </w:rPr>
        <w:t>就建立国家人权委员会的法律草案举行公众听证会，其主要目的是确保根据有关促进和保护人权的国家机构的地位的原则</w:t>
      </w:r>
      <w:r>
        <w:rPr>
          <w:rFonts w:hint="eastAsia"/>
        </w:rPr>
        <w:t>(</w:t>
      </w:r>
      <w:r>
        <w:rPr>
          <w:rFonts w:hint="eastAsia"/>
        </w:rPr>
        <w:t>“巴黎原则”</w:t>
      </w:r>
      <w:r>
        <w:rPr>
          <w:rFonts w:hint="eastAsia"/>
        </w:rPr>
        <w:t>)</w:t>
      </w:r>
      <w:r>
        <w:rPr>
          <w:rFonts w:hint="eastAsia"/>
        </w:rPr>
        <w:t>建立一个有广泛授权并在国家和地方各级有执法能力的独立机构；</w:t>
      </w:r>
    </w:p>
    <w:p w:rsidR="00CB59D8" w:rsidRDefault="00CB59D8" w:rsidP="00673853">
      <w:pPr>
        <w:pStyle w:val="SingleTxtGC"/>
        <w:numPr>
          <w:ilvl w:val="0"/>
          <w:numId w:val="47"/>
        </w:numPr>
        <w:rPr>
          <w:rFonts w:hint="eastAsia"/>
        </w:rPr>
      </w:pPr>
      <w:r>
        <w:rPr>
          <w:rFonts w:hint="eastAsia"/>
        </w:rPr>
        <w:t>确保将人权遵约机制纳入国家和地方各级的文书和制度，并确认增进和保护人权的重要性；</w:t>
      </w:r>
    </w:p>
    <w:p w:rsidR="00CB59D8" w:rsidRDefault="00CB59D8" w:rsidP="00673853">
      <w:pPr>
        <w:pStyle w:val="SingleTxtGC"/>
        <w:numPr>
          <w:ilvl w:val="0"/>
          <w:numId w:val="47"/>
        </w:numPr>
        <w:rPr>
          <w:rFonts w:hint="eastAsia"/>
        </w:rPr>
      </w:pPr>
      <w:r>
        <w:rPr>
          <w:rFonts w:hint="eastAsia"/>
        </w:rPr>
        <w:t>使国家和地方的政治政策和法律框架符合适用的人权义务和其他承诺，包括临时宪法所提到的那些义务和承诺以及在全国和地方各级所制订的移徙和人权议程，以便切实一致地实现</w:t>
      </w:r>
      <w:r>
        <w:t>所有人的人权</w:t>
      </w:r>
      <w:r>
        <w:rPr>
          <w:rFonts w:hint="eastAsia"/>
        </w:rPr>
        <w:t>；并为此吁请联合国会员国考虑到政治红利的潜在益处，确保提供及时和实际的援助；</w:t>
      </w:r>
    </w:p>
    <w:p w:rsidR="00CB59D8" w:rsidRDefault="00CB59D8" w:rsidP="00673853">
      <w:pPr>
        <w:pStyle w:val="SingleTxtGC"/>
        <w:numPr>
          <w:ilvl w:val="0"/>
          <w:numId w:val="47"/>
        </w:numPr>
        <w:rPr>
          <w:rFonts w:hint="eastAsia"/>
        </w:rPr>
      </w:pPr>
      <w:r>
        <w:rPr>
          <w:rFonts w:hint="eastAsia"/>
        </w:rPr>
        <w:t>建立独立、负责任和有效率的司法机构；</w:t>
      </w:r>
    </w:p>
    <w:p w:rsidR="00CB59D8" w:rsidRDefault="00CB59D8" w:rsidP="00673853">
      <w:pPr>
        <w:pStyle w:val="SingleTxtGC"/>
        <w:numPr>
          <w:ilvl w:val="0"/>
          <w:numId w:val="47"/>
        </w:numPr>
        <w:rPr>
          <w:rFonts w:hint="eastAsia"/>
        </w:rPr>
      </w:pPr>
      <w:r>
        <w:rPr>
          <w:rFonts w:hint="eastAsia"/>
        </w:rPr>
        <w:t>尤其寻求区域机构提供实际和及时的援助，以改革索马里司法系统，在国内挑选法官并提高其能力，尤其注重增进和保护人权工作；并为此吁请各会员国提供及时和实际的援助；</w:t>
      </w:r>
    </w:p>
    <w:p w:rsidR="00CB59D8" w:rsidRDefault="00CB59D8" w:rsidP="00673853">
      <w:pPr>
        <w:pStyle w:val="SingleTxtGC"/>
        <w:numPr>
          <w:ilvl w:val="0"/>
          <w:numId w:val="47"/>
        </w:numPr>
        <w:rPr>
          <w:rFonts w:hint="eastAsia"/>
        </w:rPr>
      </w:pPr>
      <w:r>
        <w:rPr>
          <w:rFonts w:hint="eastAsia"/>
        </w:rPr>
        <w:t>确保对国家机构和安全部队以及在其中任职的人实行问责制；</w:t>
      </w:r>
    </w:p>
    <w:p w:rsidR="00CB59D8" w:rsidRDefault="00CB59D8" w:rsidP="00673853">
      <w:pPr>
        <w:pStyle w:val="SingleTxtGC"/>
        <w:numPr>
          <w:ilvl w:val="0"/>
          <w:numId w:val="47"/>
        </w:numPr>
        <w:rPr>
          <w:rFonts w:hint="eastAsia"/>
        </w:rPr>
      </w:pPr>
      <w:r>
        <w:rPr>
          <w:rFonts w:hint="eastAsia"/>
        </w:rPr>
        <w:t>在国际社会及时和切实的支持下，增加索马里全国和地方各级安全部队对人权的认识及这方面的培训，包括对平民的保护意识；</w:t>
      </w:r>
    </w:p>
    <w:p w:rsidR="00CB59D8" w:rsidRDefault="00CB59D8" w:rsidP="00673853">
      <w:pPr>
        <w:pStyle w:val="SingleTxtGC"/>
        <w:numPr>
          <w:ilvl w:val="0"/>
          <w:numId w:val="47"/>
        </w:numPr>
        <w:rPr>
          <w:rFonts w:hint="eastAsia"/>
        </w:rPr>
      </w:pPr>
      <w:r>
        <w:rPr>
          <w:rFonts w:hint="eastAsia"/>
        </w:rPr>
        <w:t>对安全部队和安全机构任职人员建立全面的审查程序；</w:t>
      </w:r>
    </w:p>
    <w:p w:rsidR="00CB59D8" w:rsidRDefault="00CB59D8" w:rsidP="00673853">
      <w:pPr>
        <w:pStyle w:val="SingleTxtGC"/>
        <w:numPr>
          <w:ilvl w:val="0"/>
          <w:numId w:val="47"/>
        </w:numPr>
        <w:rPr>
          <w:rFonts w:hint="eastAsia"/>
        </w:rPr>
      </w:pPr>
      <w:r>
        <w:rPr>
          <w:rFonts w:hint="eastAsia"/>
        </w:rPr>
        <w:t>发出明确和公开的命令，要求索马里国家武装部队、索马里国家警察部队和同盟民兵遵守适用的人权义务；</w:t>
      </w:r>
    </w:p>
    <w:p w:rsidR="00CB59D8" w:rsidRDefault="00CB59D8" w:rsidP="00673853">
      <w:pPr>
        <w:pStyle w:val="SingleTxtGC"/>
        <w:numPr>
          <w:ilvl w:val="0"/>
          <w:numId w:val="47"/>
        </w:numPr>
        <w:rPr>
          <w:rFonts w:hint="eastAsia"/>
        </w:rPr>
      </w:pPr>
      <w:r>
        <w:rPr>
          <w:rFonts w:hint="eastAsia"/>
        </w:rPr>
        <w:t>为了保证能最低限度地保护儿童，实施制止索马里国家武装部队招募和使用儿童的行动计划；</w:t>
      </w:r>
    </w:p>
    <w:p w:rsidR="00CB59D8" w:rsidRDefault="00CB59D8" w:rsidP="00673853">
      <w:pPr>
        <w:pStyle w:val="SingleTxtGC"/>
        <w:numPr>
          <w:ilvl w:val="0"/>
          <w:numId w:val="47"/>
        </w:numPr>
        <w:rPr>
          <w:rFonts w:hint="eastAsia"/>
        </w:rPr>
      </w:pPr>
      <w:r>
        <w:rPr>
          <w:rFonts w:hint="eastAsia"/>
        </w:rPr>
        <w:t>以明确和易于落实的方式，实施对基于性别的暴力、尤其是性暴力的零容忍政策，并将预防性剥削和其他形式的虐待列入政策内容；</w:t>
      </w:r>
    </w:p>
    <w:p w:rsidR="00CB59D8" w:rsidRDefault="00CB59D8" w:rsidP="00673853">
      <w:pPr>
        <w:pStyle w:val="SingleTxtGC"/>
        <w:numPr>
          <w:ilvl w:val="0"/>
          <w:numId w:val="47"/>
        </w:numPr>
        <w:rPr>
          <w:rFonts w:hint="eastAsia"/>
        </w:rPr>
      </w:pPr>
      <w:r>
        <w:rPr>
          <w:rFonts w:hint="eastAsia"/>
        </w:rPr>
        <w:t>确保对性暴力负有责任者或参与性暴力者，无论其地位或级别高低，都加以追究；</w:t>
      </w:r>
    </w:p>
    <w:p w:rsidR="00CB59D8" w:rsidRDefault="00CB59D8" w:rsidP="00673853">
      <w:pPr>
        <w:pStyle w:val="SingleTxtGC"/>
        <w:numPr>
          <w:ilvl w:val="0"/>
          <w:numId w:val="47"/>
        </w:numPr>
        <w:rPr>
          <w:rFonts w:hint="eastAsia"/>
        </w:rPr>
      </w:pPr>
      <w:r>
        <w:rPr>
          <w:rFonts w:hint="eastAsia"/>
        </w:rPr>
        <w:t>对杀害记者事件开始有效和公正的调查，按照适用的国内和国际法律义务起诉责任人，并创造安全和自由的新闻媒体运营空间；</w:t>
      </w:r>
    </w:p>
    <w:p w:rsidR="00CB59D8" w:rsidRDefault="00CB59D8" w:rsidP="00673853">
      <w:pPr>
        <w:pStyle w:val="SingleTxtGC"/>
        <w:numPr>
          <w:ilvl w:val="0"/>
          <w:numId w:val="47"/>
        </w:numPr>
        <w:rPr>
          <w:rFonts w:hint="eastAsia"/>
        </w:rPr>
      </w:pPr>
      <w:r>
        <w:rPr>
          <w:rFonts w:hint="eastAsia"/>
        </w:rPr>
        <w:t>根据适用的国内法和国际法、尤其是国际人权法规定的义务，对待</w:t>
      </w:r>
      <w:r w:rsidRPr="001F5DB9">
        <w:rPr>
          <w:rFonts w:hint="eastAsia"/>
        </w:rPr>
        <w:t>退役</w:t>
      </w:r>
      <w:r>
        <w:rPr>
          <w:rFonts w:hint="eastAsia"/>
        </w:rPr>
        <w:t>士兵；</w:t>
      </w:r>
    </w:p>
    <w:p w:rsidR="00CB59D8" w:rsidRDefault="00CB59D8" w:rsidP="00673853">
      <w:pPr>
        <w:pStyle w:val="SingleTxtGC"/>
        <w:numPr>
          <w:ilvl w:val="0"/>
          <w:numId w:val="47"/>
        </w:numPr>
        <w:rPr>
          <w:rFonts w:hint="eastAsia"/>
        </w:rPr>
      </w:pPr>
      <w:r>
        <w:rPr>
          <w:rFonts w:hint="eastAsia"/>
        </w:rPr>
        <w:t>确保所有国内流离失所者得到保护、生活安定，包括使他们免受性暴力和性剥削，尤其要注意确保在安置摩加迪沙的国内流离失所者时尊重他们的人权，确保有充分协商的过程，提供事先通知，并确保安全、卫生的新地点有基本的服务，人道主义组织可以不受阻碍地进入；</w:t>
      </w:r>
    </w:p>
    <w:p w:rsidR="00CB59D8" w:rsidRDefault="00CB59D8" w:rsidP="00673853">
      <w:pPr>
        <w:pStyle w:val="SingleTxtGC"/>
        <w:numPr>
          <w:ilvl w:val="0"/>
          <w:numId w:val="47"/>
        </w:numPr>
        <w:rPr>
          <w:rFonts w:hint="eastAsia"/>
        </w:rPr>
      </w:pPr>
      <w:r>
        <w:rPr>
          <w:rFonts w:hint="eastAsia"/>
        </w:rPr>
        <w:t>方便有需要的人在索马里任何地方都能充分获得人道主义援助，保障人道主义行动者的中立、公正和独立地位不受政治、经济和军事干涉，同时要特别注意需要人道主义援助的少数族裔和宗教少数群体的权利、自由和需要；</w:t>
      </w:r>
    </w:p>
    <w:p w:rsidR="00CB59D8" w:rsidRDefault="00CB59D8" w:rsidP="00CB59D8">
      <w:pPr>
        <w:pStyle w:val="SingleTxtGC"/>
        <w:rPr>
          <w:rFonts w:hint="eastAsia"/>
        </w:rPr>
      </w:pPr>
      <w:r>
        <w:rPr>
          <w:rFonts w:hint="eastAsia"/>
        </w:rPr>
        <w:tab/>
        <w:t xml:space="preserve">11.  </w:t>
      </w:r>
      <w:r w:rsidRPr="00A6065E">
        <w:rPr>
          <w:rFonts w:eastAsia="KaiTi_GB2312" w:hint="eastAsia"/>
        </w:rPr>
        <w:t>热烈称赞</w:t>
      </w:r>
      <w:r>
        <w:rPr>
          <w:rFonts w:hint="eastAsia"/>
        </w:rPr>
        <w:t>索马里人权状况独立专家的专心投入及其最近向人权理事会提交的报告；</w:t>
      </w:r>
      <w:r>
        <w:rPr>
          <w:rStyle w:val="FootnoteReference"/>
        </w:rPr>
        <w:footnoteReference w:id="3"/>
      </w:r>
    </w:p>
    <w:p w:rsidR="00CB59D8" w:rsidRDefault="00CB59D8" w:rsidP="00CB59D8">
      <w:pPr>
        <w:pStyle w:val="SingleTxtGC"/>
        <w:rPr>
          <w:rFonts w:hint="eastAsia"/>
        </w:rPr>
      </w:pPr>
      <w:r>
        <w:rPr>
          <w:rFonts w:hint="eastAsia"/>
        </w:rPr>
        <w:tab/>
        <w:t xml:space="preserve">12.  </w:t>
      </w:r>
      <w:r w:rsidRPr="00A6065E">
        <w:rPr>
          <w:rFonts w:eastAsia="KaiTi_GB2312" w:hint="eastAsia"/>
        </w:rPr>
        <w:t>强调</w:t>
      </w:r>
      <w:r>
        <w:rPr>
          <w:rFonts w:hint="eastAsia"/>
        </w:rPr>
        <w:t>技术援助在建立可信和公正的国家监测、调查和向公众报告的能力，以查明人权问题、指导</w:t>
      </w:r>
      <w:r>
        <w:t>义务承担者</w:t>
      </w:r>
      <w:r>
        <w:rPr>
          <w:rFonts w:hint="eastAsia"/>
        </w:rPr>
        <w:t>采取适当补救措施、评估技术援助需求方面的重要作用；</w:t>
      </w:r>
    </w:p>
    <w:p w:rsidR="00CB59D8" w:rsidRDefault="00CB59D8" w:rsidP="00CB59D8">
      <w:pPr>
        <w:pStyle w:val="SingleTxtGC"/>
        <w:rPr>
          <w:rFonts w:hint="eastAsia"/>
        </w:rPr>
      </w:pPr>
      <w:r>
        <w:rPr>
          <w:rFonts w:hint="eastAsia"/>
        </w:rPr>
        <w:tab/>
        <w:t xml:space="preserve">13.  </w:t>
      </w:r>
      <w:r>
        <w:rPr>
          <w:rFonts w:eastAsia="KaiTi_GB2312" w:hint="eastAsia"/>
        </w:rPr>
        <w:t>又</w:t>
      </w:r>
      <w:r w:rsidRPr="00A6065E">
        <w:rPr>
          <w:rFonts w:eastAsia="KaiTi_GB2312" w:hint="eastAsia"/>
        </w:rPr>
        <w:t>强调</w:t>
      </w:r>
      <w:r>
        <w:rPr>
          <w:rFonts w:hint="eastAsia"/>
        </w:rPr>
        <w:t>国内和国际专家联合监测和报告索马里人权状况的重要作用，以及监督人权者在评估和确保技术援助项目成功方面的作用，而这些项目反过来必须造福于所有索马里人；</w:t>
      </w:r>
    </w:p>
    <w:p w:rsidR="00CB59D8" w:rsidRDefault="00CB59D8" w:rsidP="00CB59D8">
      <w:pPr>
        <w:pStyle w:val="SingleTxtGC"/>
        <w:rPr>
          <w:rFonts w:hint="eastAsia"/>
        </w:rPr>
      </w:pPr>
      <w:r>
        <w:rPr>
          <w:rFonts w:hint="eastAsia"/>
        </w:rPr>
        <w:tab/>
        <w:t xml:space="preserve">14.  </w:t>
      </w:r>
      <w:r w:rsidRPr="00A6065E">
        <w:rPr>
          <w:rFonts w:eastAsia="KaiTi_GB2312" w:hint="eastAsia"/>
        </w:rPr>
        <w:t>强调</w:t>
      </w:r>
      <w:r>
        <w:rPr>
          <w:rFonts w:hint="eastAsia"/>
        </w:rPr>
        <w:t>联合国索马里援助团必须在索马里全国完成任务，并确保与联合国人权事务高级专员办事处的工作起协同作用；</w:t>
      </w:r>
    </w:p>
    <w:p w:rsidR="00CB59D8" w:rsidRDefault="00CB59D8" w:rsidP="00CB59D8">
      <w:pPr>
        <w:pStyle w:val="SingleTxtGC"/>
        <w:rPr>
          <w:rFonts w:hint="eastAsia"/>
        </w:rPr>
      </w:pPr>
      <w:r>
        <w:rPr>
          <w:rFonts w:hint="eastAsia"/>
        </w:rPr>
        <w:tab/>
        <w:t xml:space="preserve">15.  </w:t>
      </w:r>
      <w:r w:rsidRPr="00A6065E">
        <w:rPr>
          <w:rFonts w:eastAsia="KaiTi_GB2312" w:hint="eastAsia"/>
        </w:rPr>
        <w:t>决定</w:t>
      </w:r>
      <w:r>
        <w:rPr>
          <w:rFonts w:hint="eastAsia"/>
        </w:rPr>
        <w:t>在议程项目</w:t>
      </w:r>
      <w:r>
        <w:rPr>
          <w:rFonts w:hint="eastAsia"/>
        </w:rPr>
        <w:t>10</w:t>
      </w:r>
      <w:r>
        <w:rPr>
          <w:rFonts w:hint="eastAsia"/>
        </w:rPr>
        <w:t>下将索马里人权状况独立专家的任期延长两年；</w:t>
      </w:r>
    </w:p>
    <w:p w:rsidR="00CB59D8" w:rsidRDefault="00CB59D8" w:rsidP="00CB59D8">
      <w:pPr>
        <w:pStyle w:val="SingleTxtGC"/>
        <w:rPr>
          <w:rFonts w:hint="eastAsia"/>
        </w:rPr>
      </w:pPr>
      <w:r>
        <w:rPr>
          <w:rFonts w:hint="eastAsia"/>
        </w:rPr>
        <w:tab/>
        <w:t xml:space="preserve">16.  </w:t>
      </w:r>
      <w:r w:rsidRPr="00A6065E">
        <w:rPr>
          <w:rFonts w:eastAsia="KaiTi_GB2312" w:hint="eastAsia"/>
        </w:rPr>
        <w:t>请</w:t>
      </w:r>
      <w:r>
        <w:rPr>
          <w:rFonts w:hint="eastAsia"/>
        </w:rPr>
        <w:t>独立专家继续与索马里全国政府及其地方机构、民间社会和联合国索马里援助团一道工作，以便协助索马里：</w:t>
      </w:r>
    </w:p>
    <w:p w:rsidR="00CB59D8" w:rsidRDefault="00CB59D8" w:rsidP="00673853">
      <w:pPr>
        <w:pStyle w:val="SingleTxtGC"/>
        <w:numPr>
          <w:ilvl w:val="0"/>
          <w:numId w:val="48"/>
        </w:numPr>
        <w:rPr>
          <w:rFonts w:hint="eastAsia"/>
        </w:rPr>
      </w:pPr>
      <w:r>
        <w:rPr>
          <w:rFonts w:hint="eastAsia"/>
        </w:rPr>
        <w:t>履行其国内和国际人权义务；</w:t>
      </w:r>
    </w:p>
    <w:p w:rsidR="00CB59D8" w:rsidRDefault="00CB59D8" w:rsidP="00673853">
      <w:pPr>
        <w:pStyle w:val="SingleTxtGC"/>
        <w:numPr>
          <w:ilvl w:val="0"/>
          <w:numId w:val="48"/>
        </w:numPr>
        <w:rPr>
          <w:rFonts w:hint="eastAsia"/>
        </w:rPr>
      </w:pPr>
      <w:r>
        <w:rPr>
          <w:rFonts w:hint="eastAsia"/>
        </w:rPr>
        <w:t>执行人权理事会的决议；</w:t>
      </w:r>
    </w:p>
    <w:p w:rsidR="00CB59D8" w:rsidRDefault="00CB59D8" w:rsidP="00673853">
      <w:pPr>
        <w:pStyle w:val="SingleTxtGC"/>
        <w:numPr>
          <w:ilvl w:val="0"/>
          <w:numId w:val="48"/>
        </w:numPr>
        <w:rPr>
          <w:rFonts w:hint="eastAsia"/>
        </w:rPr>
      </w:pPr>
      <w:r>
        <w:rPr>
          <w:rFonts w:hint="eastAsia"/>
        </w:rPr>
        <w:t>实施已接受的普遍定期审议产生的建议；</w:t>
      </w:r>
    </w:p>
    <w:p w:rsidR="00CB59D8" w:rsidRDefault="00CB59D8" w:rsidP="00673853">
      <w:pPr>
        <w:pStyle w:val="SingleTxtGC"/>
        <w:numPr>
          <w:ilvl w:val="0"/>
          <w:numId w:val="48"/>
        </w:numPr>
        <w:rPr>
          <w:rFonts w:hint="eastAsia"/>
        </w:rPr>
      </w:pPr>
      <w:r>
        <w:rPr>
          <w:rFonts w:hint="eastAsia"/>
        </w:rPr>
        <w:t>遵守其他人权承诺，包括关于后过渡期人权路线图和适时建立独立的人权委员会的承诺；</w:t>
      </w:r>
    </w:p>
    <w:p w:rsidR="00CB59D8" w:rsidRDefault="00CB59D8" w:rsidP="00CB59D8">
      <w:pPr>
        <w:pStyle w:val="SingleTxtGC"/>
        <w:rPr>
          <w:rFonts w:hint="eastAsia"/>
        </w:rPr>
      </w:pPr>
      <w:r>
        <w:rPr>
          <w:rFonts w:hint="eastAsia"/>
        </w:rPr>
        <w:tab/>
        <w:t xml:space="preserve">17.  </w:t>
      </w:r>
      <w:r>
        <w:rPr>
          <w:rFonts w:eastAsia="KaiTi_GB2312" w:hint="eastAsia"/>
        </w:rPr>
        <w:t>又</w:t>
      </w:r>
      <w:r w:rsidRPr="00A6065E">
        <w:rPr>
          <w:rFonts w:eastAsia="KaiTi_GB2312" w:hint="eastAsia"/>
        </w:rPr>
        <w:t>请</w:t>
      </w:r>
      <w:r>
        <w:rPr>
          <w:rFonts w:hint="eastAsia"/>
        </w:rPr>
        <w:t>独立专家向人权理事会第二十七届会议提交报告；</w:t>
      </w:r>
    </w:p>
    <w:p w:rsidR="00CB59D8" w:rsidRDefault="00CB59D8" w:rsidP="00CB59D8">
      <w:pPr>
        <w:pStyle w:val="SingleTxtGC"/>
        <w:rPr>
          <w:rFonts w:hint="eastAsia"/>
        </w:rPr>
      </w:pPr>
      <w:r>
        <w:rPr>
          <w:rFonts w:hint="eastAsia"/>
        </w:rPr>
        <w:tab/>
        <w:t xml:space="preserve">18.  </w:t>
      </w:r>
      <w:r w:rsidRPr="00A6065E">
        <w:rPr>
          <w:rFonts w:eastAsia="KaiTi_GB2312" w:hint="eastAsia"/>
        </w:rPr>
        <w:t>请</w:t>
      </w:r>
      <w:r>
        <w:rPr>
          <w:rFonts w:hint="eastAsia"/>
        </w:rPr>
        <w:t>高级专员办事处和联合国其他有关机构提供独立专家履行任务所需要的一切必要的人力、技术和财政援助；</w:t>
      </w:r>
    </w:p>
    <w:p w:rsidR="00CB59D8" w:rsidRDefault="00CB59D8" w:rsidP="00CB59D8">
      <w:pPr>
        <w:pStyle w:val="SingleTxtGC"/>
        <w:rPr>
          <w:rFonts w:hint="eastAsia"/>
        </w:rPr>
      </w:pPr>
      <w:r>
        <w:rPr>
          <w:rFonts w:hint="eastAsia"/>
        </w:rPr>
        <w:tab/>
        <w:t xml:space="preserve">19.  </w:t>
      </w:r>
      <w:r w:rsidRPr="00A6065E">
        <w:rPr>
          <w:rFonts w:eastAsia="KaiTi_GB2312" w:hint="eastAsia"/>
        </w:rPr>
        <w:t>决定</w:t>
      </w:r>
      <w:r>
        <w:rPr>
          <w:rFonts w:hint="eastAsia"/>
        </w:rPr>
        <w:t>继续积极处理此事。</w:t>
      </w:r>
    </w:p>
    <w:p w:rsidR="00CB59D8" w:rsidRPr="00E62F5C" w:rsidRDefault="00CB59D8" w:rsidP="00CB59D8">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9</w:t>
      </w:r>
      <w:r w:rsidRPr="00331E83">
        <w:rPr>
          <w:rFonts w:eastAsia="KaiTi_GB2312" w:hint="eastAsia"/>
        </w:rPr>
        <w:t>月</w:t>
      </w:r>
      <w:r>
        <w:rPr>
          <w:rFonts w:eastAsia="KaiTi_GB2312" w:hint="eastAsia"/>
        </w:rPr>
        <w:t>27</w:t>
      </w:r>
      <w:r w:rsidRPr="00331E83">
        <w:rPr>
          <w:rFonts w:eastAsia="KaiTi_GB2312" w:hint="eastAsia"/>
        </w:rPr>
        <w:t>日</w:t>
      </w:r>
    </w:p>
    <w:p w:rsidR="00CB59D8" w:rsidRDefault="00CB59D8" w:rsidP="00CB59D8">
      <w:pPr>
        <w:pStyle w:val="SingleTxtGC"/>
        <w:jc w:val="right"/>
        <w:rPr>
          <w:rFonts w:eastAsia="KaiTi_GB2312" w:hint="eastAsia"/>
        </w:rPr>
      </w:pPr>
      <w:r w:rsidRPr="00331E83">
        <w:rPr>
          <w:rFonts w:eastAsia="KaiTi_GB2312" w:hint="eastAsia"/>
        </w:rPr>
        <w:t>第</w:t>
      </w:r>
      <w:r>
        <w:rPr>
          <w:rFonts w:eastAsia="KaiTi_GB2312" w:hint="eastAsia"/>
        </w:rPr>
        <w:t>37</w:t>
      </w:r>
      <w:r w:rsidRPr="00331E83">
        <w:rPr>
          <w:rFonts w:eastAsia="KaiTi_GB2312" w:hint="eastAsia"/>
        </w:rPr>
        <w:t>次会议</w:t>
      </w:r>
    </w:p>
    <w:p w:rsidR="00CB59D8" w:rsidRPr="00165BC6" w:rsidRDefault="00CB59D8" w:rsidP="00CB59D8">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4240DC" w:rsidRPr="002D6A9C" w:rsidRDefault="004240D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45946">
      <w:pPr>
        <w:pStyle w:val="SingleTxtGC"/>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B55" w:rsidRPr="00E0554F" w:rsidRDefault="00E70B5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70B55" w:rsidRPr="00E0554F" w:rsidRDefault="00E70B5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F6" w:rsidRPr="00CB59D8" w:rsidRDefault="00A902F6"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745D0">
      <w:rPr>
        <w:rStyle w:val="PageNumber"/>
        <w:noProof/>
      </w:rPr>
      <w:t>2</w:t>
    </w:r>
    <w:r>
      <w:rPr>
        <w:rStyle w:val="PageNumber"/>
      </w:rPr>
      <w:fldChar w:fldCharType="end"/>
    </w:r>
    <w:r>
      <w:rPr>
        <w:rStyle w:val="PageNumber"/>
        <w:rFonts w:eastAsia="SimSun" w:hint="eastAsia"/>
        <w:lang w:eastAsia="zh-CN"/>
      </w:rPr>
      <w:tab/>
    </w:r>
    <w:r w:rsidRPr="00CB59D8">
      <w:rPr>
        <w:rFonts w:eastAsia="SimSun"/>
        <w:lang w:eastAsia="zh-CN"/>
      </w:rPr>
      <w:t>GE.13-17991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F6" w:rsidRDefault="00A902F6">
    <w:pPr>
      <w:pStyle w:val="Footer"/>
      <w:tabs>
        <w:tab w:val="right" w:pos="9639"/>
      </w:tabs>
    </w:pPr>
    <w:r w:rsidRPr="00CB59D8">
      <w:rPr>
        <w:rFonts w:eastAsia="SimSun"/>
        <w:lang w:eastAsia="zh-CN"/>
      </w:rPr>
      <w:t>GE.13-17991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745D0">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F6" w:rsidRPr="00690C33" w:rsidRDefault="00A902F6"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17991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281113</w:t>
    </w:r>
    <w:r>
      <w:rPr>
        <w:rFonts w:eastAsia="SimSun"/>
        <w:sz w:val="20"/>
        <w:lang w:eastAsia="zh-CN"/>
      </w:rPr>
      <w:tab/>
    </w:r>
    <w:r>
      <w:rPr>
        <w:rFonts w:eastAsia="SimSun" w:hint="eastAsia"/>
        <w:sz w:val="20"/>
        <w:lang w:eastAsia="zh-CN"/>
      </w:rPr>
      <w:t>281113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B55" w:rsidRPr="000157B1" w:rsidRDefault="00E70B5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70B55" w:rsidRPr="000157B1" w:rsidRDefault="00E70B5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E70B55" w:rsidRDefault="00E70B55"/>
  </w:footnote>
  <w:footnote w:id="2">
    <w:p w:rsidR="00A902F6" w:rsidRDefault="00A902F6" w:rsidP="004240DC">
      <w:pPr>
        <w:pStyle w:val="EndnoteText"/>
        <w:rPr>
          <w:rFonts w:hint="eastAsia"/>
        </w:rPr>
      </w:pPr>
      <w:r>
        <w:rPr>
          <w:rFonts w:hint="eastAsia"/>
        </w:rPr>
        <w:tab/>
      </w:r>
      <w:r w:rsidRPr="004240DC">
        <w:rPr>
          <w:rStyle w:val="FootnoteReference"/>
          <w:vertAlign w:val="baseline"/>
        </w:rPr>
        <w:sym w:font="Symbol" w:char="F02A"/>
      </w:r>
      <w:r w:rsidRPr="004240DC">
        <w:rPr>
          <w:rFonts w:hint="eastAsia"/>
        </w:rPr>
        <w:tab/>
      </w:r>
      <w:r>
        <w:t>人权理事会通过的决议和决定将载于理事会第</w:t>
      </w:r>
      <w:r>
        <w:rPr>
          <w:rFonts w:hint="eastAsia"/>
        </w:rPr>
        <w:t>二十四</w:t>
      </w:r>
      <w:r>
        <w:t>届会议报告</w:t>
      </w:r>
      <w:r>
        <w:t>(A/HRC/</w:t>
      </w:r>
      <w:r>
        <w:rPr>
          <w:rFonts w:hint="eastAsia"/>
        </w:rPr>
        <w:t>24</w:t>
      </w:r>
      <w:r>
        <w:t>/2)</w:t>
      </w:r>
      <w:r>
        <w:t>，第一</w:t>
      </w:r>
      <w:r>
        <w:rPr>
          <w:rFonts w:hint="eastAsia"/>
        </w:rPr>
        <w:t>部分</w:t>
      </w:r>
      <w:r>
        <w:t>。</w:t>
      </w:r>
    </w:p>
  </w:footnote>
  <w:footnote w:id="3">
    <w:p w:rsidR="00A902F6" w:rsidRPr="0045267A" w:rsidRDefault="00A902F6" w:rsidP="004240DC">
      <w:pPr>
        <w:pStyle w:val="EndnoteText"/>
      </w:pPr>
      <w:r>
        <w:rPr>
          <w:rFonts w:hint="eastAsia"/>
        </w:rPr>
        <w:tab/>
      </w:r>
      <w:r>
        <w:rPr>
          <w:rStyle w:val="FootnoteReference"/>
        </w:rPr>
        <w:footnoteRef/>
      </w:r>
      <w:r>
        <w:rPr>
          <w:rFonts w:hint="eastAsia"/>
        </w:rPr>
        <w:tab/>
      </w:r>
      <w:r>
        <w:t>A/HRC/24/40</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F6" w:rsidRPr="00CB59D8" w:rsidRDefault="00A902F6">
    <w:pPr>
      <w:pStyle w:val="Header"/>
    </w:pPr>
    <w:r w:rsidRPr="00CB59D8">
      <w:t>A/HRC/RES/24/30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2F6" w:rsidRPr="00CB59D8" w:rsidRDefault="00A902F6">
    <w:pPr>
      <w:pStyle w:val="Header"/>
      <w:jc w:val="right"/>
      <w:rPr>
        <w:rFonts w:hint="eastAsia"/>
        <w:lang w:eastAsia="zh-CN"/>
      </w:rPr>
    </w:pPr>
    <w:r w:rsidRPr="00CB59D8">
      <w:rPr>
        <w:lang w:eastAsia="zh-CN"/>
      </w:rPr>
      <w:t>A/HRC/RES/24/30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27E6BFF"/>
    <w:multiLevelType w:val="hybridMultilevel"/>
    <w:tmpl w:val="A75625BA"/>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BC975C3"/>
    <w:multiLevelType w:val="hybridMultilevel"/>
    <w:tmpl w:val="FE4C718A"/>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ECD1876"/>
    <w:multiLevelType w:val="hybridMultilevel"/>
    <w:tmpl w:val="17B4C0F0"/>
    <w:lvl w:ilvl="0" w:tplc="5766561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4">
    <w:nsid w:val="325D59D6"/>
    <w:multiLevelType w:val="hybridMultilevel"/>
    <w:tmpl w:val="54A806B4"/>
    <w:lvl w:ilvl="0" w:tplc="5766561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3835C9F"/>
    <w:multiLevelType w:val="hybridMultilevel"/>
    <w:tmpl w:val="21004302"/>
    <w:lvl w:ilvl="0" w:tplc="5766561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6547CBC"/>
    <w:multiLevelType w:val="hybridMultilevel"/>
    <w:tmpl w:val="08167C5C"/>
    <w:lvl w:ilvl="0" w:tplc="5766561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49797DCE"/>
    <w:multiLevelType w:val="hybridMultilevel"/>
    <w:tmpl w:val="16AC2174"/>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3">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792E2C60"/>
    <w:multiLevelType w:val="hybridMultilevel"/>
    <w:tmpl w:val="4AECBB92"/>
    <w:lvl w:ilvl="0" w:tplc="0F103302">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30"/>
  </w:num>
  <w:num w:numId="14">
    <w:abstractNumId w:val="13"/>
  </w:num>
  <w:num w:numId="15">
    <w:abstractNumId w:val="14"/>
  </w:num>
  <w:num w:numId="16">
    <w:abstractNumId w:val="34"/>
  </w:num>
  <w:num w:numId="17">
    <w:abstractNumId w:val="13"/>
  </w:num>
  <w:num w:numId="18">
    <w:abstractNumId w:val="34"/>
  </w:num>
  <w:num w:numId="19">
    <w:abstractNumId w:val="14"/>
  </w:num>
  <w:num w:numId="20">
    <w:abstractNumId w:val="14"/>
  </w:num>
  <w:num w:numId="21">
    <w:abstractNumId w:val="20"/>
  </w:num>
  <w:num w:numId="22">
    <w:abstractNumId w:val="12"/>
  </w:num>
  <w:num w:numId="23">
    <w:abstractNumId w:val="29"/>
  </w:num>
  <w:num w:numId="24">
    <w:abstractNumId w:val="32"/>
  </w:num>
  <w:num w:numId="25">
    <w:abstractNumId w:val="26"/>
  </w:num>
  <w:num w:numId="26">
    <w:abstractNumId w:val="18"/>
  </w:num>
  <w:num w:numId="27">
    <w:abstractNumId w:val="36"/>
  </w:num>
  <w:num w:numId="28">
    <w:abstractNumId w:val="32"/>
  </w:num>
  <w:num w:numId="29">
    <w:abstractNumId w:val="26"/>
  </w:num>
  <w:num w:numId="30">
    <w:abstractNumId w:val="18"/>
  </w:num>
  <w:num w:numId="31">
    <w:abstractNumId w:val="29"/>
  </w:num>
  <w:num w:numId="32">
    <w:abstractNumId w:val="12"/>
  </w:num>
  <w:num w:numId="33">
    <w:abstractNumId w:val="20"/>
  </w:num>
  <w:num w:numId="34">
    <w:abstractNumId w:val="36"/>
  </w:num>
  <w:num w:numId="35">
    <w:abstractNumId w:val="33"/>
  </w:num>
  <w:num w:numId="36">
    <w:abstractNumId w:val="28"/>
  </w:num>
  <w:num w:numId="37">
    <w:abstractNumId w:val="16"/>
  </w:num>
  <w:num w:numId="38">
    <w:abstractNumId w:val="10"/>
  </w:num>
  <w:num w:numId="39">
    <w:abstractNumId w:val="23"/>
  </w:num>
  <w:num w:numId="40">
    <w:abstractNumId w:val="11"/>
  </w:num>
  <w:num w:numId="41">
    <w:abstractNumId w:val="19"/>
  </w:num>
  <w:num w:numId="42">
    <w:abstractNumId w:val="31"/>
  </w:num>
  <w:num w:numId="43">
    <w:abstractNumId w:val="35"/>
  </w:num>
  <w:num w:numId="44">
    <w:abstractNumId w:val="21"/>
  </w:num>
  <w:num w:numId="45">
    <w:abstractNumId w:val="27"/>
  </w:num>
  <w:num w:numId="46">
    <w:abstractNumId w:val="22"/>
  </w:num>
  <w:num w:numId="47">
    <w:abstractNumId w:val="24"/>
  </w:num>
  <w:num w:numId="48">
    <w:abstractNumId w:val="2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59D8"/>
    <w:rsid w:val="0000411A"/>
    <w:rsid w:val="00005A89"/>
    <w:rsid w:val="00007BCF"/>
    <w:rsid w:val="000157B1"/>
    <w:rsid w:val="00050226"/>
    <w:rsid w:val="0005102E"/>
    <w:rsid w:val="000637CE"/>
    <w:rsid w:val="000745D0"/>
    <w:rsid w:val="00082E10"/>
    <w:rsid w:val="00086FA3"/>
    <w:rsid w:val="000A03EB"/>
    <w:rsid w:val="000A7C04"/>
    <w:rsid w:val="000C416A"/>
    <w:rsid w:val="000D1E21"/>
    <w:rsid w:val="000D39E1"/>
    <w:rsid w:val="000F5937"/>
    <w:rsid w:val="00107C15"/>
    <w:rsid w:val="00125776"/>
    <w:rsid w:val="00127C05"/>
    <w:rsid w:val="00140B6A"/>
    <w:rsid w:val="00145946"/>
    <w:rsid w:val="00145C92"/>
    <w:rsid w:val="001613CE"/>
    <w:rsid w:val="00165F4E"/>
    <w:rsid w:val="001A23E8"/>
    <w:rsid w:val="001A5624"/>
    <w:rsid w:val="001B11DB"/>
    <w:rsid w:val="001C3E9A"/>
    <w:rsid w:val="0024012F"/>
    <w:rsid w:val="002561DB"/>
    <w:rsid w:val="002629D4"/>
    <w:rsid w:val="00280515"/>
    <w:rsid w:val="00286515"/>
    <w:rsid w:val="002D31D6"/>
    <w:rsid w:val="002D3FCB"/>
    <w:rsid w:val="002E68BE"/>
    <w:rsid w:val="002F3F47"/>
    <w:rsid w:val="002F6678"/>
    <w:rsid w:val="00315796"/>
    <w:rsid w:val="00322B61"/>
    <w:rsid w:val="00322F28"/>
    <w:rsid w:val="003734E0"/>
    <w:rsid w:val="00382B00"/>
    <w:rsid w:val="003836F1"/>
    <w:rsid w:val="00385C14"/>
    <w:rsid w:val="003B038F"/>
    <w:rsid w:val="003C27FE"/>
    <w:rsid w:val="003F65D6"/>
    <w:rsid w:val="003F7BF8"/>
    <w:rsid w:val="00400A2E"/>
    <w:rsid w:val="00407FCF"/>
    <w:rsid w:val="004240DC"/>
    <w:rsid w:val="0044178A"/>
    <w:rsid w:val="00453A81"/>
    <w:rsid w:val="00467D72"/>
    <w:rsid w:val="004746B9"/>
    <w:rsid w:val="004755EF"/>
    <w:rsid w:val="004858FB"/>
    <w:rsid w:val="00486766"/>
    <w:rsid w:val="00497F5C"/>
    <w:rsid w:val="004C5291"/>
    <w:rsid w:val="004D1280"/>
    <w:rsid w:val="004D7F04"/>
    <w:rsid w:val="004E6C67"/>
    <w:rsid w:val="00500866"/>
    <w:rsid w:val="00535843"/>
    <w:rsid w:val="00571343"/>
    <w:rsid w:val="005774CA"/>
    <w:rsid w:val="00582C70"/>
    <w:rsid w:val="005906E6"/>
    <w:rsid w:val="005A2B35"/>
    <w:rsid w:val="005A5B0A"/>
    <w:rsid w:val="005B0D8A"/>
    <w:rsid w:val="005F34AF"/>
    <w:rsid w:val="005F4B29"/>
    <w:rsid w:val="00613337"/>
    <w:rsid w:val="00630755"/>
    <w:rsid w:val="00637441"/>
    <w:rsid w:val="00637834"/>
    <w:rsid w:val="00647FD7"/>
    <w:rsid w:val="00654172"/>
    <w:rsid w:val="00670C28"/>
    <w:rsid w:val="0067129C"/>
    <w:rsid w:val="00673853"/>
    <w:rsid w:val="00690C33"/>
    <w:rsid w:val="00697A6C"/>
    <w:rsid w:val="006A73BC"/>
    <w:rsid w:val="006B1273"/>
    <w:rsid w:val="006B3300"/>
    <w:rsid w:val="006B3471"/>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C0B4E"/>
    <w:rsid w:val="007D00F8"/>
    <w:rsid w:val="007D0842"/>
    <w:rsid w:val="007D7229"/>
    <w:rsid w:val="007E7822"/>
    <w:rsid w:val="007F501B"/>
    <w:rsid w:val="00801DCC"/>
    <w:rsid w:val="0082049D"/>
    <w:rsid w:val="00824A57"/>
    <w:rsid w:val="0083180F"/>
    <w:rsid w:val="00885DC7"/>
    <w:rsid w:val="00890356"/>
    <w:rsid w:val="008A6AB8"/>
    <w:rsid w:val="009006FB"/>
    <w:rsid w:val="00964622"/>
    <w:rsid w:val="0096567D"/>
    <w:rsid w:val="009B1BD6"/>
    <w:rsid w:val="009D60E5"/>
    <w:rsid w:val="009E5AE2"/>
    <w:rsid w:val="009F6C52"/>
    <w:rsid w:val="009F7338"/>
    <w:rsid w:val="00A067AD"/>
    <w:rsid w:val="00A26748"/>
    <w:rsid w:val="00A36F72"/>
    <w:rsid w:val="00A67F3E"/>
    <w:rsid w:val="00A87098"/>
    <w:rsid w:val="00A902F6"/>
    <w:rsid w:val="00A95BD9"/>
    <w:rsid w:val="00A97235"/>
    <w:rsid w:val="00AD6719"/>
    <w:rsid w:val="00AE4D20"/>
    <w:rsid w:val="00B16973"/>
    <w:rsid w:val="00B30642"/>
    <w:rsid w:val="00B34537"/>
    <w:rsid w:val="00B61E34"/>
    <w:rsid w:val="00B624FD"/>
    <w:rsid w:val="00B82B2A"/>
    <w:rsid w:val="00B8703D"/>
    <w:rsid w:val="00B9104B"/>
    <w:rsid w:val="00BC2A65"/>
    <w:rsid w:val="00BC3D38"/>
    <w:rsid w:val="00BE4EAA"/>
    <w:rsid w:val="00BF6DC5"/>
    <w:rsid w:val="00BF7E3F"/>
    <w:rsid w:val="00C143D7"/>
    <w:rsid w:val="00C435EE"/>
    <w:rsid w:val="00C62277"/>
    <w:rsid w:val="00C623B2"/>
    <w:rsid w:val="00C80DA9"/>
    <w:rsid w:val="00C84D6A"/>
    <w:rsid w:val="00C862E5"/>
    <w:rsid w:val="00CA073C"/>
    <w:rsid w:val="00CA4105"/>
    <w:rsid w:val="00CB59D8"/>
    <w:rsid w:val="00CE6DB5"/>
    <w:rsid w:val="00D2146D"/>
    <w:rsid w:val="00D43F71"/>
    <w:rsid w:val="00D54DF4"/>
    <w:rsid w:val="00D56026"/>
    <w:rsid w:val="00D619F6"/>
    <w:rsid w:val="00D84673"/>
    <w:rsid w:val="00DA7104"/>
    <w:rsid w:val="00DD66BC"/>
    <w:rsid w:val="00DF4798"/>
    <w:rsid w:val="00E05040"/>
    <w:rsid w:val="00E0554F"/>
    <w:rsid w:val="00E1548B"/>
    <w:rsid w:val="00E27398"/>
    <w:rsid w:val="00E40A46"/>
    <w:rsid w:val="00E422D4"/>
    <w:rsid w:val="00E54840"/>
    <w:rsid w:val="00E70B55"/>
    <w:rsid w:val="00E911E5"/>
    <w:rsid w:val="00E91C05"/>
    <w:rsid w:val="00EE0918"/>
    <w:rsid w:val="00EE277A"/>
    <w:rsid w:val="00F41BAF"/>
    <w:rsid w:val="00F50AC2"/>
    <w:rsid w:val="00F50CB9"/>
    <w:rsid w:val="00F53D4C"/>
    <w:rsid w:val="00F54A14"/>
    <w:rsid w:val="00F61015"/>
    <w:rsid w:val="00F70079"/>
    <w:rsid w:val="00F72A3C"/>
    <w:rsid w:val="00F75048"/>
    <w:rsid w:val="00F75357"/>
    <w:rsid w:val="00F806C4"/>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reference,FA Fu,Footnote Text Char Char Char Char Char,Footnote Text Char Char Char Char,Footnote Text Char1,Footnote Text Char Char,Footnote Expulsion, Char,Char,5_GC,fn,Car,Footnote ak,Footnote text,Footnote,f,Geneva 9"/>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r,Footnote number,16 Point,Superscript 6 Point,stylish,Ref,de nota al pie,FNRefe Char,BVI fnr Char,BVI fnr Char Char,BVI fnr Car Car Char Char,BVI fnr Car Char Char,BVI fnr Car Car Car Car Char Char Char Char,FNRefe Char Char,ftr"/>
    <w:basedOn w:val="DefaultParagraphFont"/>
    <w:link w:val="4GChar1"/>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Footnote Expulsion Char, Char Char,Char Char,fn Char"/>
    <w:basedOn w:val="DefaultParagraphFont"/>
    <w:link w:val="FootnoteText"/>
    <w:semiHidden/>
    <w:locked/>
    <w:rsid w:val="00CB59D8"/>
    <w:rPr>
      <w:rFonts w:eastAsia="SimSun"/>
      <w:snapToGrid w:val="0"/>
      <w:sz w:val="18"/>
      <w:lang w:val="en-US" w:eastAsia="zh-CN" w:bidi="ar-SA"/>
    </w:rPr>
  </w:style>
  <w:style w:type="paragraph" w:customStyle="1" w:styleId="4GChar1">
    <w:name w:val="4_G Char1"/>
    <w:aliases w:val="Footnote number Char,4_G Char Char Char Char,4_G Char Char Char Char Char,ftref Char Char Char Char Char Char,ftref Char Char Char Char Char Char Char,Heading 2 Char1 Char Char Char Char Char Char Char"/>
    <w:basedOn w:val="Normal"/>
    <w:link w:val="FootnoteReference"/>
    <w:rsid w:val="00CB59D8"/>
    <w:pPr>
      <w:tabs>
        <w:tab w:val="clear" w:pos="431"/>
      </w:tabs>
      <w:overflowPunct/>
      <w:adjustRightInd/>
      <w:snapToGrid/>
      <w:spacing w:after="160" w:line="240" w:lineRule="exact"/>
      <w:jc w:val="left"/>
    </w:pPr>
    <w:rPr>
      <w:rFonts w:eastAsia="Times New Roman"/>
      <w:snapToGrid/>
      <w:color w:val="0000FF"/>
      <w:vertAlign w:val="superscript"/>
      <w:lang w:val="en-US" w:eastAsia="en-US"/>
    </w:rPr>
  </w:style>
  <w:style w:type="character" w:customStyle="1" w:styleId="SingleTxtGCChar">
    <w:name w:val="_ Single Txt_GC Char"/>
    <w:basedOn w:val="DefaultParagraphFont"/>
    <w:link w:val="SingleTxtGC"/>
    <w:locked/>
    <w:rsid w:val="00CB59D8"/>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1559</Words>
  <Characters>1653</Characters>
  <Application>Microsoft Office Outlook</Application>
  <DocSecurity>4</DocSecurity>
  <Lines>71</Lines>
  <Paragraphs>78</Paragraphs>
  <ScaleCrop>false</ScaleCrop>
  <Company>CSD</Company>
  <LinksUpToDate>false</LinksUpToDate>
  <CharactersWithSpaces>3134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3</cp:revision>
  <cp:lastPrinted>2013-11-28T08:43:00Z</cp:lastPrinted>
  <dcterms:created xsi:type="dcterms:W3CDTF">2013-11-28T08:43:00Z</dcterms:created>
  <dcterms:modified xsi:type="dcterms:W3CDTF">2013-11-28T08:44:00Z</dcterms:modified>
</cp:coreProperties>
</file>