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790223C0" w14:textId="77777777" w:rsidTr="005B51C4">
        <w:trPr>
          <w:trHeight w:hRule="exact" w:val="851"/>
        </w:trPr>
        <w:tc>
          <w:tcPr>
            <w:tcW w:w="1274" w:type="dxa"/>
            <w:tcBorders>
              <w:bottom w:val="single" w:sz="4" w:space="0" w:color="auto"/>
            </w:tcBorders>
            <w:shd w:val="clear" w:color="auto" w:fill="auto"/>
          </w:tcPr>
          <w:p w14:paraId="7BDCC854" w14:textId="77777777" w:rsidR="006B3E27" w:rsidRPr="00C175A6" w:rsidRDefault="006B3E27" w:rsidP="00B37B63">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5FFE4C0E"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9B89392" w14:textId="11DBC057" w:rsidR="006B3E27" w:rsidRPr="006C525B" w:rsidRDefault="006C525B" w:rsidP="006C525B">
            <w:pPr>
              <w:bidi w:val="0"/>
              <w:rPr>
                <w:szCs w:val="20"/>
              </w:rPr>
            </w:pPr>
            <w:r w:rsidRPr="00306EEC">
              <w:rPr>
                <w:sz w:val="40"/>
                <w:szCs w:val="20"/>
              </w:rPr>
              <w:t>CCPR</w:t>
            </w:r>
            <w:r w:rsidRPr="00306EEC">
              <w:rPr>
                <w:szCs w:val="20"/>
              </w:rPr>
              <w:t>/C/BDI/CO/</w:t>
            </w:r>
            <w:r w:rsidRPr="00E44E0B">
              <w:t>3</w:t>
            </w:r>
          </w:p>
        </w:tc>
      </w:tr>
      <w:tr w:rsidR="006B3E27" w:rsidRPr="00C175A6" w14:paraId="1F4EF082" w14:textId="77777777" w:rsidTr="005B51C4">
        <w:trPr>
          <w:trHeight w:hRule="exact" w:val="2835"/>
        </w:trPr>
        <w:tc>
          <w:tcPr>
            <w:tcW w:w="1274" w:type="dxa"/>
            <w:tcBorders>
              <w:top w:val="single" w:sz="4" w:space="0" w:color="auto"/>
              <w:bottom w:val="single" w:sz="12" w:space="0" w:color="auto"/>
            </w:tcBorders>
            <w:shd w:val="clear" w:color="auto" w:fill="auto"/>
          </w:tcPr>
          <w:p w14:paraId="6222632D"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2A1BC273" wp14:editId="05FF89DA">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C439AE0" w14:textId="77777777" w:rsidR="006B3E27" w:rsidRPr="00E44E0B" w:rsidRDefault="00ED7442" w:rsidP="00730446">
            <w:pPr>
              <w:spacing w:before="120" w:after="40" w:line="640" w:lineRule="exact"/>
              <w:ind w:left="57"/>
              <w:rPr>
                <w:b/>
                <w:bCs/>
                <w:sz w:val="46"/>
                <w:szCs w:val="46"/>
              </w:rPr>
            </w:pPr>
            <w:r w:rsidRPr="00E44E0B">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9417E6A" w14:textId="09D11D45" w:rsidR="006B3E27" w:rsidRDefault="006C525B" w:rsidP="004B27E0">
            <w:pPr>
              <w:bidi w:val="0"/>
              <w:spacing w:before="240"/>
              <w:rPr>
                <w:szCs w:val="20"/>
              </w:rPr>
            </w:pPr>
            <w:r>
              <w:rPr>
                <w:szCs w:val="20"/>
              </w:rPr>
              <w:t>Dist</w:t>
            </w:r>
            <w:r w:rsidR="00306EEC" w:rsidRPr="00306EEC">
              <w:rPr>
                <w:szCs w:val="20"/>
              </w:rPr>
              <w:t>r.:</w:t>
            </w:r>
            <w:r>
              <w:rPr>
                <w:szCs w:val="20"/>
              </w:rPr>
              <w:t xml:space="preserve"> General</w:t>
            </w:r>
          </w:p>
          <w:p w14:paraId="4D5EF28A" w14:textId="7A3899AE" w:rsidR="006C525B" w:rsidRDefault="00975325" w:rsidP="006C525B">
            <w:pPr>
              <w:bidi w:val="0"/>
              <w:spacing w:line="240" w:lineRule="exact"/>
              <w:jc w:val="left"/>
              <w:rPr>
                <w:szCs w:val="20"/>
              </w:rPr>
            </w:pPr>
            <w:r w:rsidRPr="00E44E0B">
              <w:rPr>
                <w:szCs w:val="20"/>
              </w:rPr>
              <w:t>29</w:t>
            </w:r>
            <w:r>
              <w:rPr>
                <w:szCs w:val="20"/>
              </w:rPr>
              <w:t xml:space="preserve"> </w:t>
            </w:r>
            <w:r w:rsidR="00487755">
              <w:rPr>
                <w:szCs w:val="20"/>
              </w:rPr>
              <w:t xml:space="preserve">August </w:t>
            </w:r>
            <w:r w:rsidR="00487755" w:rsidRPr="00E44E0B">
              <w:rPr>
                <w:szCs w:val="20"/>
              </w:rPr>
              <w:t>2023</w:t>
            </w:r>
          </w:p>
          <w:p w14:paraId="69931BFE" w14:textId="77777777" w:rsidR="006C525B" w:rsidRDefault="006C525B" w:rsidP="006C525B">
            <w:pPr>
              <w:bidi w:val="0"/>
              <w:spacing w:line="240" w:lineRule="exact"/>
              <w:jc w:val="left"/>
              <w:rPr>
                <w:szCs w:val="20"/>
              </w:rPr>
            </w:pPr>
            <w:r>
              <w:rPr>
                <w:szCs w:val="20"/>
              </w:rPr>
              <w:t>Arabic</w:t>
            </w:r>
          </w:p>
          <w:p w14:paraId="289961F0" w14:textId="28C4AAC1" w:rsidR="006C525B" w:rsidRPr="006C525B" w:rsidRDefault="006C525B" w:rsidP="006C525B">
            <w:pPr>
              <w:bidi w:val="0"/>
              <w:spacing w:line="240" w:lineRule="exact"/>
              <w:jc w:val="left"/>
              <w:rPr>
                <w:szCs w:val="20"/>
              </w:rPr>
            </w:pPr>
            <w:r>
              <w:rPr>
                <w:szCs w:val="20"/>
              </w:rPr>
              <w:t>Origina</w:t>
            </w:r>
            <w:r w:rsidR="00306EEC" w:rsidRPr="00306EEC">
              <w:rPr>
                <w:szCs w:val="20"/>
              </w:rPr>
              <w:t xml:space="preserve">l: </w:t>
            </w:r>
            <w:r w:rsidR="00487755">
              <w:rPr>
                <w:szCs w:val="20"/>
              </w:rPr>
              <w:t>French</w:t>
            </w:r>
          </w:p>
        </w:tc>
      </w:tr>
    </w:tbl>
    <w:p w14:paraId="3E9690B6" w14:textId="77777777" w:rsidR="00D66135" w:rsidRPr="00E44E0B" w:rsidRDefault="00D66135" w:rsidP="00A15BF0">
      <w:pPr>
        <w:spacing w:before="120" w:line="360" w:lineRule="exact"/>
        <w:textDirection w:val="tbRlV"/>
        <w:rPr>
          <w:rFonts w:cs="Times New Roman"/>
          <w:b/>
          <w:bCs/>
          <w:sz w:val="28"/>
          <w:szCs w:val="28"/>
          <w:rtl/>
          <w:lang w:val="ar-SA" w:eastAsia="zh-TW"/>
        </w:rPr>
      </w:pPr>
      <w:r w:rsidRPr="00E44E0B">
        <w:rPr>
          <w:b/>
          <w:bCs/>
          <w:sz w:val="24"/>
          <w:szCs w:val="26"/>
          <w:rtl/>
        </w:rPr>
        <w:t>اللجنة المعنية بحقوق الإنسان</w:t>
      </w:r>
    </w:p>
    <w:p w14:paraId="313A720E" w14:textId="77777777" w:rsidR="00D66135" w:rsidRPr="00E44E0B" w:rsidRDefault="00D66135" w:rsidP="00F52A07">
      <w:pPr>
        <w:pStyle w:val="HChGA"/>
        <w:rPr>
          <w:rFonts w:cs="Times New Roman"/>
          <w:sz w:val="20"/>
          <w:szCs w:val="20"/>
          <w:rtl/>
          <w:lang w:val="ar-SA" w:eastAsia="zh-TW"/>
        </w:rPr>
      </w:pPr>
      <w:r w:rsidRPr="00E44E0B">
        <w:rPr>
          <w:rtl/>
        </w:rPr>
        <w:tab/>
      </w:r>
      <w:r w:rsidRPr="00E44E0B">
        <w:rPr>
          <w:rtl/>
        </w:rPr>
        <w:tab/>
        <w:t>الملاحظات الختامية بشأن التقرير الدوري الثالث لبوروندي</w:t>
      </w:r>
      <w:r w:rsidRPr="00E44E0B">
        <w:rPr>
          <w:rFonts w:ascii="Simplified Arabic"/>
          <w:sz w:val="20"/>
          <w:szCs w:val="20"/>
          <w:rtl/>
        </w:rPr>
        <w:footnoteReference w:customMarkFollows="1" w:id="1"/>
        <w:t>*</w:t>
      </w:r>
      <w:bookmarkStart w:id="1" w:name="_Hlk139978936"/>
      <w:bookmarkEnd w:id="1"/>
    </w:p>
    <w:p w14:paraId="4FFF7364" w14:textId="22ABD54A" w:rsidR="00306EEC" w:rsidRPr="00306EEC" w:rsidRDefault="00D66135" w:rsidP="00F52A07">
      <w:pPr>
        <w:pStyle w:val="SingleTxtGA"/>
        <w:rPr>
          <w:rFonts w:cs="Times New Roman"/>
          <w:szCs w:val="20"/>
          <w:rtl/>
          <w:lang w:val="ar-SA" w:eastAsia="zh-TW"/>
        </w:rPr>
      </w:pPr>
      <w:r w:rsidRPr="00E44E0B">
        <w:rPr>
          <w:rtl/>
        </w:rPr>
        <w:t>1</w:t>
      </w:r>
      <w:r w:rsidRPr="003E2B57">
        <w:rPr>
          <w:rtl/>
        </w:rPr>
        <w:t>-</w:t>
      </w:r>
      <w:r>
        <w:rPr>
          <w:rtl/>
        </w:rPr>
        <w:tab/>
        <w:t>نظرت اللجنة في التقرير الدوري الثالث لبوروندي</w:t>
      </w:r>
      <w:r w:rsidR="00306EEC">
        <w:rPr>
          <w:vertAlign w:val="superscript"/>
          <w:rtl/>
        </w:rPr>
        <w:t>(</w:t>
      </w:r>
      <w:r w:rsidR="00306EEC" w:rsidRPr="00E44E0B">
        <w:rPr>
          <w:vertAlign w:val="superscript"/>
          <w:lang w:val="en-AU"/>
        </w:rPr>
        <w:footnoteReference w:id="2"/>
      </w:r>
      <w:r w:rsidR="00FF61C7" w:rsidRPr="00D47108">
        <w:rPr>
          <w:vertAlign w:val="superscript"/>
          <w:rtl/>
        </w:rPr>
        <w:t>)</w:t>
      </w:r>
      <w:r>
        <w:rPr>
          <w:rtl/>
        </w:rPr>
        <w:t xml:space="preserve"> في جلستها </w:t>
      </w:r>
      <w:r w:rsidRPr="00E44E0B">
        <w:rPr>
          <w:rtl/>
        </w:rPr>
        <w:t>4003</w:t>
      </w:r>
      <w:r w:rsidR="00306EEC">
        <w:rPr>
          <w:vertAlign w:val="superscript"/>
          <w:rtl/>
        </w:rPr>
        <w:t>(</w:t>
      </w:r>
      <w:r w:rsidR="00306EEC" w:rsidRPr="00E44E0B">
        <w:rPr>
          <w:vertAlign w:val="superscript"/>
          <w:lang w:val="en-AU"/>
        </w:rPr>
        <w:footnoteReference w:id="3"/>
      </w:r>
      <w:r w:rsidR="00FF61C7" w:rsidRPr="00D47108">
        <w:rPr>
          <w:vertAlign w:val="superscript"/>
          <w:rtl/>
        </w:rPr>
        <w:t>)</w:t>
      </w:r>
      <w:r w:rsidR="00D47108">
        <w:rPr>
          <w:rFonts w:hint="cs"/>
          <w:rtl/>
        </w:rPr>
        <w:t xml:space="preserve"> </w:t>
      </w:r>
      <w:r>
        <w:rPr>
          <w:rtl/>
        </w:rPr>
        <w:t xml:space="preserve">المعقودة في </w:t>
      </w:r>
      <w:r w:rsidRPr="00E44E0B">
        <w:rPr>
          <w:rtl/>
        </w:rPr>
        <w:t>3</w:t>
      </w:r>
      <w:r>
        <w:rPr>
          <w:rtl/>
        </w:rPr>
        <w:t xml:space="preserve"> تموز/</w:t>
      </w:r>
      <w:r w:rsidR="00D47108">
        <w:rPr>
          <w:rFonts w:hint="cs"/>
          <w:rtl/>
        </w:rPr>
        <w:t xml:space="preserve"> </w:t>
      </w:r>
      <w:r>
        <w:rPr>
          <w:rtl/>
        </w:rPr>
        <w:t xml:space="preserve">يوليه </w:t>
      </w:r>
      <w:r w:rsidRPr="00E44E0B">
        <w:rPr>
          <w:rtl/>
        </w:rPr>
        <w:t>202</w:t>
      </w:r>
      <w:r w:rsidR="00306EEC" w:rsidRPr="00E44E0B">
        <w:rPr>
          <w:rtl/>
        </w:rPr>
        <w:t>3</w:t>
      </w:r>
      <w:r w:rsidR="00306EEC" w:rsidRPr="00306EEC">
        <w:rPr>
          <w:rFonts w:ascii="Simplified Arabic"/>
          <w:szCs w:val="20"/>
          <w:rtl/>
        </w:rPr>
        <w:t>.</w:t>
      </w:r>
      <w:r w:rsidR="00306EEC" w:rsidRPr="00306EEC">
        <w:rPr>
          <w:rtl/>
        </w:rPr>
        <w:t xml:space="preserve"> </w:t>
      </w:r>
      <w:r>
        <w:rPr>
          <w:rtl/>
        </w:rPr>
        <w:t xml:space="preserve">واعتمدت هذه الملاحظات الختامية في جلستها </w:t>
      </w:r>
      <w:r w:rsidRPr="00E44E0B">
        <w:rPr>
          <w:rtl/>
        </w:rPr>
        <w:t>4029</w:t>
      </w:r>
      <w:r>
        <w:rPr>
          <w:rtl/>
        </w:rPr>
        <w:t xml:space="preserve">، المعقودة في </w:t>
      </w:r>
      <w:r w:rsidRPr="00E44E0B">
        <w:rPr>
          <w:rtl/>
        </w:rPr>
        <w:t>20</w:t>
      </w:r>
      <w:r>
        <w:rPr>
          <w:rtl/>
        </w:rPr>
        <w:t xml:space="preserve"> تموز/يوليه </w:t>
      </w:r>
      <w:r w:rsidRPr="00E44E0B">
        <w:rPr>
          <w:rtl/>
        </w:rPr>
        <w:t>202</w:t>
      </w:r>
      <w:r w:rsidR="00306EEC" w:rsidRPr="00E44E0B">
        <w:rPr>
          <w:rtl/>
        </w:rPr>
        <w:t>3</w:t>
      </w:r>
      <w:r w:rsidR="00306EEC" w:rsidRPr="00306EEC">
        <w:rPr>
          <w:rtl/>
        </w:rPr>
        <w:t>.</w:t>
      </w:r>
    </w:p>
    <w:p w14:paraId="01DCEA2E" w14:textId="15FAA27E" w:rsidR="00D66135" w:rsidRPr="00E44E0B" w:rsidRDefault="00D66135" w:rsidP="00F52A07">
      <w:pPr>
        <w:pStyle w:val="H1GA"/>
        <w:rPr>
          <w:rFonts w:eastAsiaTheme="minorEastAsia" w:cs="Times New Roman"/>
          <w:szCs w:val="24"/>
          <w:rtl/>
          <w:lang w:val="ar-SA" w:eastAsia="zh-TW"/>
        </w:rPr>
      </w:pPr>
      <w:r w:rsidRPr="00E44E0B">
        <w:rPr>
          <w:rtl/>
        </w:rPr>
        <w:tab/>
        <w:t>ألف-</w:t>
      </w:r>
      <w:r w:rsidRPr="00E44E0B">
        <w:rPr>
          <w:rtl/>
        </w:rPr>
        <w:tab/>
        <w:t>مقدمة</w:t>
      </w:r>
      <w:bookmarkStart w:id="2" w:name="_Hlk139547118"/>
    </w:p>
    <w:p w14:paraId="13109911" w14:textId="79197B9D" w:rsidR="00D66135" w:rsidRPr="000E7225" w:rsidRDefault="00D66135" w:rsidP="00F52A07">
      <w:pPr>
        <w:pStyle w:val="SingleTxtGA"/>
        <w:rPr>
          <w:rFonts w:cs="Times New Roman"/>
          <w:szCs w:val="20"/>
          <w:rtl/>
          <w:lang w:val="ar-SA" w:eastAsia="zh-TW"/>
        </w:rPr>
      </w:pPr>
      <w:r w:rsidRPr="00E44E0B">
        <w:rPr>
          <w:rtl/>
        </w:rPr>
        <w:t>2</w:t>
      </w:r>
      <w:r w:rsidRPr="003E2B57">
        <w:rPr>
          <w:rtl/>
        </w:rPr>
        <w:t>-</w:t>
      </w:r>
      <w:r>
        <w:rPr>
          <w:rtl/>
        </w:rPr>
        <w:tab/>
        <w:t>ترحب اللجنة بتقديم الدولة الطرف التقرير الدوري الثالث وبالمعلومات الواردة فيه. وتعرب اللجنة عن امتنانها للدولة الطرف لما قدمته من ردود كتابية</w:t>
      </w:r>
      <w:r w:rsidR="00306EEC">
        <w:rPr>
          <w:vertAlign w:val="superscript"/>
          <w:rtl/>
        </w:rPr>
        <w:t>(</w:t>
      </w:r>
      <w:r w:rsidR="00306EEC" w:rsidRPr="00E44E0B">
        <w:rPr>
          <w:vertAlign w:val="superscript"/>
          <w:lang w:val="en-AU"/>
        </w:rPr>
        <w:footnoteReference w:id="4"/>
      </w:r>
      <w:r w:rsidR="00FF61C7" w:rsidRPr="00D47108">
        <w:rPr>
          <w:vertAlign w:val="superscript"/>
          <w:rtl/>
        </w:rPr>
        <w:t>)</w:t>
      </w:r>
      <w:r>
        <w:rPr>
          <w:rtl/>
        </w:rPr>
        <w:t> على قائمة المسائل</w:t>
      </w:r>
      <w:r w:rsidR="00306EEC">
        <w:rPr>
          <w:vertAlign w:val="superscript"/>
          <w:rtl/>
        </w:rPr>
        <w:t>(</w:t>
      </w:r>
      <w:r w:rsidR="00306EEC" w:rsidRPr="00E44E0B">
        <w:rPr>
          <w:vertAlign w:val="superscript"/>
          <w:lang w:val="en-AU"/>
        </w:rPr>
        <w:footnoteReference w:id="5"/>
      </w:r>
      <w:r w:rsidR="00306EEC" w:rsidRPr="00306EEC">
        <w:rPr>
          <w:vertAlign w:val="superscript"/>
          <w:rtl/>
        </w:rPr>
        <w:t>)</w:t>
      </w:r>
      <w:r w:rsidR="00306EEC" w:rsidRPr="00306EEC">
        <w:rPr>
          <w:rtl/>
        </w:rPr>
        <w:t xml:space="preserve">. </w:t>
      </w:r>
      <w:r>
        <w:rPr>
          <w:rtl/>
        </w:rPr>
        <w:t xml:space="preserve">غير أن اللجنة تأسف لكون وفد الدولة الطرف قرر ترك الاستعراض في بداية الجلسة ولعدم مشاركته في الحوار البناء معها. وتُذكر اللجنة الدولة الطرف بأن التقارير التي تلتزم الدول الأطراف بتقديمها بموجب المادة </w:t>
      </w:r>
      <w:r w:rsidRPr="00E44E0B">
        <w:rPr>
          <w:rtl/>
        </w:rPr>
        <w:t>40</w:t>
      </w:r>
      <w:r>
        <w:rPr>
          <w:rtl/>
        </w:rPr>
        <w:t xml:space="preserve"> من العهد يُنظر فيها في سياق حوار بين اللجنة وممثلي الدولة المعنية</w:t>
      </w:r>
      <w:r w:rsidR="00306EEC">
        <w:rPr>
          <w:vertAlign w:val="superscript"/>
          <w:rtl/>
        </w:rPr>
        <w:t>(</w:t>
      </w:r>
      <w:r w:rsidR="00306EEC" w:rsidRPr="00E44E0B">
        <w:rPr>
          <w:vertAlign w:val="superscript"/>
          <w:lang w:val="en-AU"/>
        </w:rPr>
        <w:footnoteReference w:id="6"/>
      </w:r>
      <w:r w:rsidR="00306EEC" w:rsidRPr="00306EEC">
        <w:rPr>
          <w:vertAlign w:val="superscript"/>
          <w:rtl/>
        </w:rPr>
        <w:t>)</w:t>
      </w:r>
      <w:r w:rsidR="00306EEC" w:rsidRPr="00306EEC">
        <w:rPr>
          <w:rtl/>
        </w:rPr>
        <w:t xml:space="preserve">. </w:t>
      </w:r>
      <w:r>
        <w:rPr>
          <w:rtl/>
        </w:rPr>
        <w:t>وتشدد اللجنة على أن المشاركة الكاملة للدول الأطراف في الحوار التفاعلي مع هيئات</w:t>
      </w:r>
      <w:r w:rsidR="003E2B57">
        <w:rPr>
          <w:rtl/>
        </w:rPr>
        <w:t xml:space="preserve"> </w:t>
      </w:r>
      <w:r>
        <w:rPr>
          <w:rtl/>
        </w:rPr>
        <w:t>معاهدات حقوق الإنسان عنصر أساسي في عملية الاستعراض الدوري</w:t>
      </w:r>
      <w:r w:rsidR="00306EEC">
        <w:rPr>
          <w:vertAlign w:val="superscript"/>
          <w:rtl/>
        </w:rPr>
        <w:t>(</w:t>
      </w:r>
      <w:r w:rsidR="00306EEC" w:rsidRPr="00E44E0B">
        <w:rPr>
          <w:vertAlign w:val="superscript"/>
          <w:lang w:val="en-AU"/>
        </w:rPr>
        <w:footnoteReference w:id="7"/>
      </w:r>
      <w:r w:rsidR="00306EEC" w:rsidRPr="00306EEC">
        <w:rPr>
          <w:vertAlign w:val="superscript"/>
          <w:rtl/>
        </w:rPr>
        <w:t>)</w:t>
      </w:r>
      <w:r w:rsidR="00306EEC" w:rsidRPr="00306EEC">
        <w:rPr>
          <w:rtl/>
        </w:rPr>
        <w:t xml:space="preserve">. </w:t>
      </w:r>
      <w:r>
        <w:rPr>
          <w:rtl/>
        </w:rPr>
        <w:t>وبناء على ذلك، كان على اللجنة أن تمضي قدما</w:t>
      </w:r>
      <w:r w:rsidR="0044797C">
        <w:rPr>
          <w:rFonts w:hint="cs"/>
          <w:rtl/>
        </w:rPr>
        <w:t>ً</w:t>
      </w:r>
      <w:r>
        <w:rPr>
          <w:rtl/>
        </w:rPr>
        <w:t xml:space="preserve"> في النظر في التقرير في غياب الوفد. </w:t>
      </w:r>
    </w:p>
    <w:bookmarkEnd w:id="2"/>
    <w:p w14:paraId="7ECCD70C" w14:textId="54382F2D" w:rsidR="00D66135" w:rsidRPr="00E44E0B" w:rsidRDefault="00F52A07" w:rsidP="00F52A07">
      <w:pPr>
        <w:pStyle w:val="H1GA"/>
        <w:rPr>
          <w:rFonts w:eastAsiaTheme="minorEastAsia" w:cs="Times New Roman"/>
          <w:szCs w:val="24"/>
          <w:rtl/>
          <w:lang w:val="ar-SA" w:eastAsia="zh-TW"/>
        </w:rPr>
      </w:pPr>
      <w:r w:rsidRPr="00E44E0B">
        <w:rPr>
          <w:rtl/>
        </w:rPr>
        <w:tab/>
      </w:r>
      <w:r w:rsidR="00D66135" w:rsidRPr="00E44E0B">
        <w:rPr>
          <w:rtl/>
        </w:rPr>
        <w:t>باء-</w:t>
      </w:r>
      <w:r w:rsidR="00D66135" w:rsidRPr="00E44E0B">
        <w:rPr>
          <w:rtl/>
        </w:rPr>
        <w:tab/>
        <w:t xml:space="preserve">الجوانب الإيجابية </w:t>
      </w:r>
    </w:p>
    <w:p w14:paraId="1362EF35" w14:textId="77777777" w:rsidR="00D66135" w:rsidRPr="00AB3FCC" w:rsidRDefault="00D66135" w:rsidP="00F52A07">
      <w:pPr>
        <w:pStyle w:val="SingleTxtGA"/>
        <w:rPr>
          <w:rFonts w:eastAsia="SimSun" w:cs="Times New Roman"/>
          <w:szCs w:val="20"/>
          <w:rtl/>
          <w:lang w:val="ar-SA" w:eastAsia="zh-TW"/>
        </w:rPr>
      </w:pPr>
      <w:r w:rsidRPr="00E44E0B">
        <w:rPr>
          <w:rtl/>
        </w:rPr>
        <w:t>3</w:t>
      </w:r>
      <w:r w:rsidRPr="003E2B57">
        <w:rPr>
          <w:rtl/>
        </w:rPr>
        <w:t>-</w:t>
      </w:r>
      <w:r>
        <w:rPr>
          <w:rtl/>
        </w:rPr>
        <w:tab/>
        <w:t>ترحّب اللجنة بالتدابير التشريعية والسياساتية التالية التي اتخذتها الدولة الطرف:</w:t>
      </w:r>
    </w:p>
    <w:p w14:paraId="557F83DE" w14:textId="7F98E199" w:rsidR="00D66135" w:rsidRDefault="00F52A07" w:rsidP="00F52A07">
      <w:pPr>
        <w:pStyle w:val="SingleTxtGA"/>
        <w:rPr>
          <w:rFonts w:eastAsia="SimSun" w:cs="Times New Roman"/>
          <w:szCs w:val="20"/>
          <w:rtl/>
          <w:lang w:val="ar-SA" w:eastAsia="zh-TW"/>
        </w:rPr>
      </w:pPr>
      <w:r>
        <w:rPr>
          <w:rtl/>
        </w:rPr>
        <w:tab/>
      </w:r>
      <w:r w:rsidR="00D66135">
        <w:rPr>
          <w:rtl/>
        </w:rPr>
        <w:t>(أ)</w:t>
      </w:r>
      <w:r w:rsidR="00D66135">
        <w:rPr>
          <w:rtl/>
        </w:rPr>
        <w:tab/>
        <w:t xml:space="preserve">القانون رقم </w:t>
      </w:r>
      <w:r w:rsidR="00D66135" w:rsidRPr="00E44E0B">
        <w:rPr>
          <w:rtl/>
        </w:rPr>
        <w:t>1</w:t>
      </w:r>
      <w:r w:rsidR="00D66135">
        <w:rPr>
          <w:rFonts w:ascii="Simplified Arabic"/>
          <w:szCs w:val="20"/>
          <w:rtl/>
        </w:rPr>
        <w:t>/</w:t>
      </w:r>
      <w:r w:rsidR="00D66135" w:rsidRPr="00E44E0B">
        <w:rPr>
          <w:rtl/>
        </w:rPr>
        <w:t>13</w:t>
      </w:r>
      <w:r w:rsidR="00D66135">
        <w:rPr>
          <w:rtl/>
        </w:rPr>
        <w:t xml:space="preserve"> المؤرخ </w:t>
      </w:r>
      <w:r w:rsidR="00D66135" w:rsidRPr="00E44E0B">
        <w:rPr>
          <w:rtl/>
        </w:rPr>
        <w:t>22</w:t>
      </w:r>
      <w:r w:rsidR="00D66135">
        <w:rPr>
          <w:rtl/>
        </w:rPr>
        <w:t xml:space="preserve"> أيلول/سبتمبر </w:t>
      </w:r>
      <w:r w:rsidR="00D66135" w:rsidRPr="00E44E0B">
        <w:rPr>
          <w:rtl/>
        </w:rPr>
        <w:t>2016</w:t>
      </w:r>
      <w:r w:rsidR="00D66135">
        <w:rPr>
          <w:rtl/>
        </w:rPr>
        <w:t xml:space="preserve"> بشأن منع العنف الجنساني وقمعه وحماية ضحاياه؛</w:t>
      </w:r>
    </w:p>
    <w:p w14:paraId="17F2BDA8" w14:textId="2713AF22" w:rsidR="00D66135" w:rsidRDefault="00F52A07" w:rsidP="00F52A07">
      <w:pPr>
        <w:pStyle w:val="SingleTxtGA"/>
        <w:rPr>
          <w:rFonts w:eastAsia="SimSun" w:cs="Times New Roman"/>
          <w:szCs w:val="20"/>
          <w:rtl/>
          <w:lang w:val="ar-SA" w:eastAsia="zh-TW"/>
        </w:rPr>
      </w:pPr>
      <w:r>
        <w:rPr>
          <w:rtl/>
        </w:rPr>
        <w:tab/>
      </w:r>
      <w:r w:rsidR="00D66135">
        <w:rPr>
          <w:rtl/>
        </w:rPr>
        <w:t>(ب)</w:t>
      </w:r>
      <w:r w:rsidR="00D66135">
        <w:rPr>
          <w:rtl/>
        </w:rPr>
        <w:tab/>
        <w:t xml:space="preserve">القانون رقم </w:t>
      </w:r>
      <w:r w:rsidR="00D66135" w:rsidRPr="00E44E0B">
        <w:rPr>
          <w:rtl/>
        </w:rPr>
        <w:t>1</w:t>
      </w:r>
      <w:r w:rsidR="00D66135">
        <w:rPr>
          <w:rFonts w:ascii="Simplified Arabic"/>
          <w:szCs w:val="20"/>
          <w:rtl/>
        </w:rPr>
        <w:t>/</w:t>
      </w:r>
      <w:r w:rsidR="00D66135" w:rsidRPr="00E44E0B">
        <w:rPr>
          <w:rtl/>
        </w:rPr>
        <w:t>04</w:t>
      </w:r>
      <w:r w:rsidR="00D66135">
        <w:rPr>
          <w:rtl/>
        </w:rPr>
        <w:t xml:space="preserve"> المؤرخ </w:t>
      </w:r>
      <w:r w:rsidR="00D66135" w:rsidRPr="00E44E0B">
        <w:rPr>
          <w:rtl/>
        </w:rPr>
        <w:t>27</w:t>
      </w:r>
      <w:r w:rsidR="00D66135">
        <w:rPr>
          <w:rtl/>
        </w:rPr>
        <w:t xml:space="preserve"> حزيران/يونيه </w:t>
      </w:r>
      <w:r w:rsidR="00D66135" w:rsidRPr="00E44E0B">
        <w:rPr>
          <w:rtl/>
        </w:rPr>
        <w:t>2016</w:t>
      </w:r>
      <w:r w:rsidR="00D66135">
        <w:rPr>
          <w:rtl/>
        </w:rPr>
        <w:t xml:space="preserve"> بشأن حماية الضحايا والشهود وغيرهم من الأشخاص المعرضين للخطر؛</w:t>
      </w:r>
    </w:p>
    <w:p w14:paraId="56629FFC" w14:textId="39326B44" w:rsidR="00D66135" w:rsidRDefault="00F52A07" w:rsidP="00F52A07">
      <w:pPr>
        <w:pStyle w:val="SingleTxtGA"/>
        <w:rPr>
          <w:rFonts w:eastAsia="SimSun" w:cs="Times New Roman"/>
          <w:szCs w:val="20"/>
          <w:rtl/>
          <w:lang w:val="ar-SA" w:eastAsia="zh-TW"/>
        </w:rPr>
      </w:pPr>
      <w:r>
        <w:rPr>
          <w:rtl/>
        </w:rPr>
        <w:lastRenderedPageBreak/>
        <w:tab/>
      </w:r>
      <w:r w:rsidR="00D66135">
        <w:rPr>
          <w:rtl/>
        </w:rPr>
        <w:t>(ج)</w:t>
      </w:r>
      <w:r w:rsidR="00D66135">
        <w:rPr>
          <w:rtl/>
        </w:rPr>
        <w:tab/>
        <w:t xml:space="preserve">القانون رقم </w:t>
      </w:r>
      <w:r w:rsidR="00D66135" w:rsidRPr="00E44E0B">
        <w:rPr>
          <w:rtl/>
        </w:rPr>
        <w:t>1</w:t>
      </w:r>
      <w:r w:rsidR="00D66135">
        <w:rPr>
          <w:rFonts w:ascii="Simplified Arabic"/>
          <w:szCs w:val="20"/>
          <w:rtl/>
        </w:rPr>
        <w:t>/</w:t>
      </w:r>
      <w:r w:rsidR="00D66135" w:rsidRPr="00E44E0B">
        <w:rPr>
          <w:rtl/>
        </w:rPr>
        <w:t>28</w:t>
      </w:r>
      <w:r w:rsidR="00D66135">
        <w:rPr>
          <w:rtl/>
        </w:rPr>
        <w:t xml:space="preserve"> المؤرخ </w:t>
      </w:r>
      <w:r w:rsidR="00D66135" w:rsidRPr="00E44E0B">
        <w:rPr>
          <w:rtl/>
        </w:rPr>
        <w:t>29</w:t>
      </w:r>
      <w:r w:rsidR="00D66135">
        <w:rPr>
          <w:rtl/>
        </w:rPr>
        <w:t xml:space="preserve"> تشرين الأول/أكتوبر </w:t>
      </w:r>
      <w:r w:rsidR="00D66135" w:rsidRPr="00E44E0B">
        <w:rPr>
          <w:rtl/>
        </w:rPr>
        <w:t>2014</w:t>
      </w:r>
      <w:r w:rsidR="00D66135">
        <w:rPr>
          <w:rtl/>
        </w:rPr>
        <w:t xml:space="preserve"> بشأن منع وقمع الاتجار بالأشخاص وحماية ضحاياه؛</w:t>
      </w:r>
    </w:p>
    <w:p w14:paraId="20A06B1A" w14:textId="221570DB" w:rsidR="00D66135" w:rsidRDefault="00F52A07" w:rsidP="00F52A07">
      <w:pPr>
        <w:pStyle w:val="SingleTxtGA"/>
        <w:rPr>
          <w:rFonts w:eastAsia="SimSun" w:cs="Times New Roman"/>
          <w:szCs w:val="20"/>
          <w:rtl/>
          <w:lang w:val="ar-SA" w:eastAsia="zh-TW"/>
        </w:rPr>
      </w:pPr>
      <w:r>
        <w:rPr>
          <w:rtl/>
        </w:rPr>
        <w:tab/>
      </w:r>
      <w:r w:rsidR="00D66135">
        <w:rPr>
          <w:rtl/>
        </w:rPr>
        <w:t>(د)</w:t>
      </w:r>
      <w:r w:rsidR="00D66135">
        <w:rPr>
          <w:rtl/>
        </w:rPr>
        <w:tab/>
        <w:t xml:space="preserve">السياسة الوطنية لحماية الطفل في بوروندي </w:t>
      </w:r>
      <w:r w:rsidR="00D66135">
        <w:rPr>
          <w:rFonts w:ascii="Simplified Arabic"/>
          <w:szCs w:val="20"/>
          <w:rtl/>
        </w:rPr>
        <w:t>(</w:t>
      </w:r>
      <w:r w:rsidR="00D66135" w:rsidRPr="00E44E0B">
        <w:rPr>
          <w:rtl/>
        </w:rPr>
        <w:t>2020</w:t>
      </w:r>
      <w:r w:rsidR="00D66135" w:rsidRPr="003E2B57">
        <w:rPr>
          <w:rtl/>
        </w:rPr>
        <w:t>-</w:t>
      </w:r>
      <w:r w:rsidR="00D66135" w:rsidRPr="00E44E0B">
        <w:rPr>
          <w:rtl/>
        </w:rPr>
        <w:t>2024</w:t>
      </w:r>
      <w:r w:rsidR="00306EEC" w:rsidRPr="00306EEC">
        <w:rPr>
          <w:rFonts w:ascii="Simplified Arabic"/>
          <w:szCs w:val="20"/>
          <w:rtl/>
        </w:rPr>
        <w:t>)</w:t>
      </w:r>
      <w:r w:rsidR="00306EEC" w:rsidRPr="00306EEC">
        <w:rPr>
          <w:rtl/>
        </w:rPr>
        <w:t xml:space="preserve">؛ </w:t>
      </w:r>
    </w:p>
    <w:p w14:paraId="4EEB20D6" w14:textId="6C5B2917" w:rsidR="00306EEC" w:rsidRPr="00306EEC" w:rsidRDefault="00EF2155" w:rsidP="00F52A07">
      <w:pPr>
        <w:pStyle w:val="SingleTxtGA"/>
        <w:rPr>
          <w:rFonts w:eastAsia="SimSun" w:cs="Times New Roman"/>
          <w:szCs w:val="20"/>
          <w:rtl/>
          <w:lang w:val="ar-SA" w:eastAsia="zh-TW"/>
        </w:rPr>
      </w:pPr>
      <w:r>
        <w:rPr>
          <w:rtl/>
        </w:rPr>
        <w:tab/>
      </w:r>
      <w:r w:rsidR="00D66135">
        <w:rPr>
          <w:rtl/>
        </w:rPr>
        <w:t>(هـ)</w:t>
      </w:r>
      <w:r w:rsidR="00D66135">
        <w:rPr>
          <w:rtl/>
        </w:rPr>
        <w:tab/>
        <w:t xml:space="preserve">السياسة الوطنية المتعلقة بالقضايا الجنسانية </w:t>
      </w:r>
      <w:r w:rsidR="00D66135">
        <w:rPr>
          <w:rFonts w:ascii="Simplified Arabic"/>
          <w:szCs w:val="20"/>
          <w:rtl/>
        </w:rPr>
        <w:t>(</w:t>
      </w:r>
      <w:r w:rsidR="00D66135" w:rsidRPr="00E44E0B">
        <w:rPr>
          <w:rtl/>
        </w:rPr>
        <w:t>2012</w:t>
      </w:r>
      <w:r w:rsidR="00D66135" w:rsidRPr="003E2B57">
        <w:rPr>
          <w:rtl/>
        </w:rPr>
        <w:t>-</w:t>
      </w:r>
      <w:r w:rsidR="00D66135" w:rsidRPr="00E44E0B">
        <w:rPr>
          <w:rtl/>
        </w:rPr>
        <w:t>202</w:t>
      </w:r>
      <w:r w:rsidR="00306EEC" w:rsidRPr="00E44E0B">
        <w:rPr>
          <w:rtl/>
        </w:rPr>
        <w:t>5</w:t>
      </w:r>
      <w:bookmarkStart w:id="3" w:name="_Hlk139382689"/>
      <w:r w:rsidR="00306EEC" w:rsidRPr="00306EEC">
        <w:rPr>
          <w:rFonts w:ascii="Simplified Arabic"/>
          <w:szCs w:val="20"/>
          <w:rtl/>
        </w:rPr>
        <w:t>)</w:t>
      </w:r>
      <w:r w:rsidR="00306EEC" w:rsidRPr="00306EEC">
        <w:rPr>
          <w:rtl/>
        </w:rPr>
        <w:t>.</w:t>
      </w:r>
    </w:p>
    <w:p w14:paraId="4D1B77F8" w14:textId="2D579BEB" w:rsidR="00D66135" w:rsidRPr="00E44E0B" w:rsidRDefault="00D66135" w:rsidP="00F52A07">
      <w:pPr>
        <w:pStyle w:val="H1GA"/>
        <w:rPr>
          <w:rFonts w:eastAsiaTheme="minorEastAsia" w:cs="Times New Roman"/>
          <w:szCs w:val="24"/>
          <w:rtl/>
          <w:lang w:val="ar-SA" w:eastAsia="zh-TW"/>
        </w:rPr>
      </w:pPr>
      <w:r w:rsidRPr="00E44E0B">
        <w:rPr>
          <w:rtl/>
        </w:rPr>
        <w:tab/>
        <w:t>جيم-</w:t>
      </w:r>
      <w:r w:rsidRPr="00E44E0B">
        <w:rPr>
          <w:rtl/>
        </w:rPr>
        <w:tab/>
        <w:t xml:space="preserve">دواعي القلق الرئيسية والتوصيات </w:t>
      </w:r>
    </w:p>
    <w:p w14:paraId="31D64288" w14:textId="77777777" w:rsidR="00D66135" w:rsidRPr="00E44E0B" w:rsidRDefault="00D66135" w:rsidP="00F52A07">
      <w:pPr>
        <w:pStyle w:val="H23GA"/>
        <w:rPr>
          <w:rFonts w:cs="Times New Roman"/>
          <w:szCs w:val="20"/>
          <w:rtl/>
          <w:lang w:val="ar-SA" w:eastAsia="zh-TW"/>
        </w:rPr>
      </w:pPr>
      <w:r w:rsidRPr="00E44E0B">
        <w:rPr>
          <w:rtl/>
        </w:rPr>
        <w:tab/>
      </w:r>
      <w:r w:rsidRPr="00E44E0B">
        <w:rPr>
          <w:rtl/>
        </w:rPr>
        <w:tab/>
        <w:t>تنفيذ العهد في النظام القانوني الوطني</w:t>
      </w:r>
    </w:p>
    <w:p w14:paraId="03C3224B" w14:textId="0544447C" w:rsidR="00D66135" w:rsidRPr="00D86C31" w:rsidRDefault="00D66135" w:rsidP="00F52A07">
      <w:pPr>
        <w:pStyle w:val="SingleTxtGA"/>
        <w:rPr>
          <w:rFonts w:eastAsia="SimSun" w:cs="Times New Roman"/>
          <w:szCs w:val="20"/>
          <w:rtl/>
          <w:lang w:val="ar-SA" w:eastAsia="zh-TW"/>
        </w:rPr>
      </w:pPr>
      <w:r w:rsidRPr="00E44E0B">
        <w:rPr>
          <w:rtl/>
        </w:rPr>
        <w:t>4</w:t>
      </w:r>
      <w:r w:rsidRPr="003E2B57">
        <w:rPr>
          <w:rtl/>
        </w:rPr>
        <w:t>-</w:t>
      </w:r>
      <w:r>
        <w:rPr>
          <w:rtl/>
        </w:rPr>
        <w:tab/>
        <w:t xml:space="preserve">بينما تلاحظ اللجنة أن المادة </w:t>
      </w:r>
      <w:r w:rsidRPr="00E44E0B">
        <w:rPr>
          <w:rtl/>
        </w:rPr>
        <w:t>19</w:t>
      </w:r>
      <w:r>
        <w:rPr>
          <w:rtl/>
        </w:rPr>
        <w:t xml:space="preserve"> من دستور الدولة الطرف تنص على أن الحقوق المكرسة في الصكوك الدولية لحقوق الإنسان تشكل جزءاً لا يتجزأ من الدستور، فإنها تأسف لعدم وجود معلومات عن أمثلة لحالات احتُجّ فيها بأحكام العهد أمام المحاكم أو قضت فيها المحاكم بإنفاذ هذه الأحكام مباشرةً. وتأسف لعدم تصديق الدولة الطرف بعدُ على البروتوكولين الاختياريين الملحقين بالعهد. كما تلاحظ اللجنة بقلق عدم تعاون الدولة الطرف مع الآليات الدولية لحقوق الإنسان، بما في ذلك الإجراءات الخاصة لمجلس حقوق الإنسان وعدم بدء حوار معها، وإغلاق المكتب القطري لمفوضية الأمم المتحدة السامية لحقوق الإنسان في عام </w:t>
      </w:r>
      <w:r w:rsidRPr="00E44E0B">
        <w:rPr>
          <w:rtl/>
        </w:rPr>
        <w:t>2019</w:t>
      </w:r>
      <w:r>
        <w:rPr>
          <w:rtl/>
        </w:rPr>
        <w:t xml:space="preserve">، بناء على طلب الحكومة (المادة </w:t>
      </w:r>
      <w:r w:rsidR="00306EEC" w:rsidRPr="00E44E0B">
        <w:rPr>
          <w:rtl/>
        </w:rPr>
        <w:t>2</w:t>
      </w:r>
      <w:r w:rsidR="00306EEC" w:rsidRPr="00306EEC">
        <w:rPr>
          <w:rFonts w:ascii="Simplified Arabic"/>
          <w:szCs w:val="20"/>
          <w:rtl/>
        </w:rPr>
        <w:t>)</w:t>
      </w:r>
      <w:r w:rsidR="00306EEC" w:rsidRPr="00306EEC">
        <w:rPr>
          <w:rtl/>
        </w:rPr>
        <w:t xml:space="preserve">. </w:t>
      </w:r>
    </w:p>
    <w:p w14:paraId="70074447" w14:textId="77777777" w:rsidR="00D66135" w:rsidRPr="00E44E0B" w:rsidRDefault="00D66135" w:rsidP="00F52A07">
      <w:pPr>
        <w:pStyle w:val="SingleTxtGA"/>
        <w:rPr>
          <w:rFonts w:eastAsia="SimSun" w:cs="Times New Roman"/>
          <w:b/>
          <w:bCs/>
          <w:szCs w:val="20"/>
          <w:rtl/>
          <w:lang w:val="ar-SA" w:eastAsia="zh-TW"/>
        </w:rPr>
      </w:pPr>
      <w:r w:rsidRPr="00E44E0B">
        <w:rPr>
          <w:rtl/>
        </w:rPr>
        <w:t>5</w:t>
      </w:r>
      <w:r w:rsidRPr="003E2B57">
        <w:rPr>
          <w:rtl/>
        </w:rPr>
        <w:t>-</w:t>
      </w:r>
      <w:r>
        <w:rPr>
          <w:rtl/>
        </w:rPr>
        <w:tab/>
      </w:r>
      <w:r w:rsidRPr="00E44E0B">
        <w:rPr>
          <w:b/>
          <w:bCs/>
          <w:rtl/>
        </w:rPr>
        <w:t>ينبغي أن تكثف الدولة الطرف التدابير الرامية إلى إذكاء الوعي بالعهد في صفوف القضاة والمدعين العامين والمحامين، لضمان مراعاة أحكامه من قبل المحاكم المحلية وفي الإجراءات المتبعة أمامها، وأن تنظم أنشطة توعوية لفائدة عامة الجمهور. وينبغي أن تعجّل بعملية التصديق على البروتوكولين الاختياريين الملحقين بالعهد. وينبغي أيضاً أن تستعيد الحوار والتعاون بشكل كامل مع الآليات الدولية لحقوق الإنسان، بما في ذلك الإجراءات الخاصة لمجلس حقوق الإنسان، وأن تأذن بإعادة فتح المكتب القطري لمفوضية الأمم المتحدة السامية لحقوق الإنسان.</w:t>
      </w:r>
    </w:p>
    <w:bookmarkEnd w:id="3"/>
    <w:p w14:paraId="61D33800" w14:textId="77777777" w:rsidR="00D66135" w:rsidRPr="00E44E0B" w:rsidRDefault="00D66135" w:rsidP="00F52A07">
      <w:pPr>
        <w:pStyle w:val="H23GA"/>
        <w:rPr>
          <w:rFonts w:cs="Times New Roman"/>
          <w:szCs w:val="20"/>
          <w:rtl/>
          <w:lang w:val="ar-SA" w:eastAsia="zh-TW"/>
        </w:rPr>
      </w:pPr>
      <w:r w:rsidRPr="00E44E0B">
        <w:rPr>
          <w:rtl/>
        </w:rPr>
        <w:tab/>
      </w:r>
      <w:r w:rsidRPr="00E44E0B">
        <w:rPr>
          <w:rtl/>
        </w:rPr>
        <w:tab/>
        <w:t>اللجنة الوطنية المستقلة المعنية بحقوق الإنسان</w:t>
      </w:r>
    </w:p>
    <w:p w14:paraId="7F183A87" w14:textId="015D86D5" w:rsidR="00D66135" w:rsidRPr="00707FDE" w:rsidRDefault="00D66135" w:rsidP="00F52A07">
      <w:pPr>
        <w:pStyle w:val="SingleTxtGA"/>
        <w:rPr>
          <w:rFonts w:cs="Times New Roman"/>
          <w:szCs w:val="20"/>
          <w:rtl/>
          <w:lang w:val="ar-SA" w:eastAsia="zh-TW"/>
        </w:rPr>
      </w:pPr>
      <w:r w:rsidRPr="00E44E0B">
        <w:rPr>
          <w:rtl/>
        </w:rPr>
        <w:t>6</w:t>
      </w:r>
      <w:r w:rsidRPr="003E2B57">
        <w:rPr>
          <w:rtl/>
        </w:rPr>
        <w:t>-</w:t>
      </w:r>
      <w:r>
        <w:rPr>
          <w:rtl/>
        </w:rPr>
        <w:tab/>
        <w:t xml:space="preserve">تحيط اللجنة علماً بأن التحالف العالمي للمؤسسات الوطنية لحقوق الإنسان أعاد تصنيف اللجنة الوطنية المستقلة المعنية بحقوق الإنسان ضمن الفئة "ألف" وبزيادة الموارد المالية المخصصة لهذه المؤسسة منذ عام </w:t>
      </w:r>
      <w:r w:rsidRPr="00E44E0B">
        <w:rPr>
          <w:rtl/>
        </w:rPr>
        <w:t>202</w:t>
      </w:r>
      <w:r w:rsidR="00306EEC" w:rsidRPr="00E44E0B">
        <w:rPr>
          <w:rtl/>
        </w:rPr>
        <w:t>0</w:t>
      </w:r>
      <w:r w:rsidR="00306EEC" w:rsidRPr="00306EEC">
        <w:rPr>
          <w:rFonts w:ascii="Simplified Arabic"/>
          <w:szCs w:val="20"/>
          <w:rtl/>
        </w:rPr>
        <w:t>.</w:t>
      </w:r>
      <w:r w:rsidR="00306EEC" w:rsidRPr="00306EEC">
        <w:rPr>
          <w:rtl/>
        </w:rPr>
        <w:t xml:space="preserve"> </w:t>
      </w:r>
      <w:r>
        <w:rPr>
          <w:rtl/>
        </w:rPr>
        <w:t>ومع ذلك، يساور اللجنة القلق إزاء معلومات مفادها أن اللجنة الوطنية ليست مستقلة، وترصد بشكل انتقائي حالات انتهاكات حقوق الإنسان، ولا تدرج في تقاريرها بما فيه الكفاية حالات الانتهاكات التي ارتكبها عناصر الشرطة ووكالة الاستخبارات الوطنية والإمبونيراكور (أعضاء رابطة الشباب التابعة للحزب الحاكم</w:t>
      </w:r>
      <w:r w:rsidR="00306EEC" w:rsidRPr="00306EEC">
        <w:rPr>
          <w:rtl/>
        </w:rPr>
        <w:t xml:space="preserve">). </w:t>
      </w:r>
      <w:r>
        <w:rPr>
          <w:rtl/>
        </w:rPr>
        <w:t xml:space="preserve">ويساور اللجنة القلق أيضاً لأن اللجنة الوطنية ليس لديها مكاتب إقليمية للعمل في جميع أنحاء البلاد (المادة </w:t>
      </w:r>
      <w:r w:rsidR="00306EEC" w:rsidRPr="00E44E0B">
        <w:rPr>
          <w:rtl/>
        </w:rPr>
        <w:t>2</w:t>
      </w:r>
      <w:r w:rsidR="00306EEC" w:rsidRPr="00306EEC">
        <w:rPr>
          <w:rFonts w:ascii="Simplified Arabic"/>
          <w:szCs w:val="20"/>
          <w:rtl/>
        </w:rPr>
        <w:t>)</w:t>
      </w:r>
      <w:r w:rsidR="00306EEC" w:rsidRPr="00306EEC">
        <w:rPr>
          <w:rtl/>
        </w:rPr>
        <w:t xml:space="preserve">. </w:t>
      </w:r>
    </w:p>
    <w:p w14:paraId="5F8A47C6" w14:textId="1CA60E18" w:rsidR="00D66135" w:rsidRPr="00E44E0B" w:rsidRDefault="00D66135" w:rsidP="00F52A07">
      <w:pPr>
        <w:pStyle w:val="SingleTxtGA"/>
        <w:rPr>
          <w:rFonts w:eastAsia="SimSun" w:cs="Times New Roman"/>
          <w:b/>
          <w:bCs/>
          <w:szCs w:val="20"/>
          <w:rtl/>
          <w:lang w:val="ar-SA" w:eastAsia="zh-TW"/>
        </w:rPr>
      </w:pPr>
      <w:r w:rsidRPr="00E44E0B">
        <w:rPr>
          <w:rtl/>
        </w:rPr>
        <w:t>7</w:t>
      </w:r>
      <w:r w:rsidRPr="003E2B57">
        <w:rPr>
          <w:rtl/>
        </w:rPr>
        <w:t>-</w:t>
      </w:r>
      <w:r>
        <w:rPr>
          <w:rtl/>
        </w:rPr>
        <w:tab/>
      </w:r>
      <w:r w:rsidRPr="00E44E0B">
        <w:rPr>
          <w:b/>
          <w:bCs/>
          <w:rtl/>
        </w:rPr>
        <w:t>متابعةً للملاحظات الختامية السابقة للجنة</w:t>
      </w:r>
      <w:r w:rsidR="00306EEC" w:rsidRPr="00E44E0B">
        <w:rPr>
          <w:b/>
          <w:bCs/>
          <w:vertAlign w:val="superscript"/>
          <w:rtl/>
        </w:rPr>
        <w:t>(</w:t>
      </w:r>
      <w:r w:rsidR="00306EEC" w:rsidRPr="00E44E0B">
        <w:rPr>
          <w:b/>
          <w:bCs/>
          <w:vertAlign w:val="superscript"/>
          <w:lang w:val="en-AU"/>
        </w:rPr>
        <w:footnoteReference w:id="8"/>
      </w:r>
      <w:r w:rsidR="00306EEC" w:rsidRPr="00E44E0B">
        <w:rPr>
          <w:b/>
          <w:bCs/>
          <w:vertAlign w:val="superscript"/>
          <w:rtl/>
        </w:rPr>
        <w:t>)</w:t>
      </w:r>
      <w:r w:rsidR="00306EEC" w:rsidRPr="00E44E0B">
        <w:rPr>
          <w:b/>
          <w:bCs/>
          <w:rtl/>
        </w:rPr>
        <w:t xml:space="preserve">، </w:t>
      </w:r>
      <w:r w:rsidRPr="00E44E0B">
        <w:rPr>
          <w:b/>
          <w:bCs/>
          <w:rtl/>
        </w:rPr>
        <w:t>ينبغي أن تتخذ الدولة الطرف جميع التدابير اللازمة لضمان الاستقلال التام للجنة الوطنية المستقلة المعنية بحقوق الإنسان في الممارسة العملية وتزويدها بما يكفي من الموارد والقدرات للاضطلاع بولايتها بفعالية، وفقاً للمبادئ المتعلقة بمركز المؤسسات الوطنية لتعزيز وحماية حقوق الإنسان (مبادئ باريس</w:t>
      </w:r>
      <w:r w:rsidR="00306EEC" w:rsidRPr="00E44E0B">
        <w:rPr>
          <w:b/>
          <w:bCs/>
          <w:rtl/>
        </w:rPr>
        <w:t xml:space="preserve">). </w:t>
      </w:r>
      <w:r w:rsidRPr="00E44E0B">
        <w:rPr>
          <w:b/>
          <w:bCs/>
          <w:rtl/>
        </w:rPr>
        <w:t>وينبغي لها أيضاً أن تكفل أن يكون للجنة مكاتب ووسائل عمل فعالة في جميع أنحاء البلد.</w:t>
      </w:r>
    </w:p>
    <w:p w14:paraId="56F06526" w14:textId="77777777" w:rsidR="00D66135" w:rsidRPr="00E44E0B" w:rsidRDefault="00D66135" w:rsidP="00F52A07">
      <w:pPr>
        <w:pStyle w:val="H23GA"/>
        <w:rPr>
          <w:rFonts w:cs="Times New Roman"/>
          <w:szCs w:val="20"/>
          <w:rtl/>
          <w:lang w:val="ar-SA" w:eastAsia="zh-TW"/>
        </w:rPr>
      </w:pPr>
      <w:r w:rsidRPr="00E44E0B">
        <w:rPr>
          <w:rtl/>
        </w:rPr>
        <w:lastRenderedPageBreak/>
        <w:tab/>
      </w:r>
      <w:r w:rsidRPr="00E44E0B">
        <w:rPr>
          <w:rtl/>
        </w:rPr>
        <w:tab/>
        <w:t>مكافحة الفساد</w:t>
      </w:r>
    </w:p>
    <w:p w14:paraId="5F65440F" w14:textId="19BEABA6" w:rsidR="00D66135" w:rsidRPr="001F724D" w:rsidRDefault="00D66135" w:rsidP="00F52A07">
      <w:pPr>
        <w:pStyle w:val="SingleTxtGA"/>
        <w:rPr>
          <w:rFonts w:eastAsia="SimSun" w:cs="Times New Roman"/>
          <w:szCs w:val="20"/>
          <w:rtl/>
          <w:lang w:val="ar-SA" w:eastAsia="zh-TW"/>
        </w:rPr>
      </w:pPr>
      <w:r w:rsidRPr="00E44E0B">
        <w:rPr>
          <w:rtl/>
        </w:rPr>
        <w:t>8</w:t>
      </w:r>
      <w:r w:rsidRPr="003E2B57">
        <w:rPr>
          <w:rtl/>
        </w:rPr>
        <w:t>-</w:t>
      </w:r>
      <w:r>
        <w:rPr>
          <w:rtl/>
        </w:rPr>
        <w:tab/>
        <w:t xml:space="preserve">يساور اللجنة القلق إزاء التقارير التي تفيد باستمرار الفساد على أعلى مستويات الدولة، في القطاع العام والقضاء، وكذلك في قطاعات المشتريات العامة والبناء والبنية التحتية واستغلال الموارد الطبيعية، ولا سيما أثناء التفاوض على تراخيص التعدين، مما يؤدي إلى تقويض سيادة القانون وإلى انتهاكات لأحكام العهد. وتأسف لنقص المعلومات التفصيلية بشأن عدد التحقيقات والملاحقات القضائية وأحكام الإدانة المتعلقة بالفساد (المواد </w:t>
      </w:r>
      <w:r w:rsidRPr="00E44E0B">
        <w:rPr>
          <w:rtl/>
        </w:rPr>
        <w:t>2</w:t>
      </w:r>
      <w:r>
        <w:rPr>
          <w:rtl/>
        </w:rPr>
        <w:t xml:space="preserve"> و</w:t>
      </w:r>
      <w:r w:rsidRPr="00E44E0B">
        <w:rPr>
          <w:rtl/>
        </w:rPr>
        <w:t>14</w:t>
      </w:r>
      <w:r>
        <w:rPr>
          <w:rtl/>
        </w:rPr>
        <w:t xml:space="preserve"> و</w:t>
      </w:r>
      <w:r w:rsidRPr="00E44E0B">
        <w:rPr>
          <w:rtl/>
        </w:rPr>
        <w:t>2</w:t>
      </w:r>
      <w:r w:rsidR="00306EEC" w:rsidRPr="00E44E0B">
        <w:rPr>
          <w:rtl/>
        </w:rPr>
        <w:t>5</w:t>
      </w:r>
      <w:r w:rsidR="00306EEC" w:rsidRPr="00EF2155">
        <w:rPr>
          <w:rtl/>
        </w:rPr>
        <w:t>)</w:t>
      </w:r>
      <w:r w:rsidR="00306EEC" w:rsidRPr="00306EEC">
        <w:rPr>
          <w:rtl/>
        </w:rPr>
        <w:t xml:space="preserve">. </w:t>
      </w:r>
    </w:p>
    <w:p w14:paraId="4AF0EACF" w14:textId="77777777" w:rsidR="00D66135" w:rsidRPr="00E44E0B" w:rsidRDefault="00D66135" w:rsidP="00F52A07">
      <w:pPr>
        <w:pStyle w:val="SingleTxtGA"/>
        <w:rPr>
          <w:rFonts w:eastAsia="SimSun" w:cs="Times New Roman"/>
          <w:b/>
          <w:bCs/>
          <w:szCs w:val="20"/>
          <w:rtl/>
          <w:lang w:val="ar-SA" w:eastAsia="zh-TW"/>
        </w:rPr>
      </w:pPr>
      <w:r w:rsidRPr="00E44E0B">
        <w:rPr>
          <w:rtl/>
        </w:rPr>
        <w:t>9</w:t>
      </w:r>
      <w:r w:rsidRPr="003E2B57">
        <w:rPr>
          <w:rtl/>
        </w:rPr>
        <w:t>-</w:t>
      </w:r>
      <w:r>
        <w:rPr>
          <w:rtl/>
        </w:rPr>
        <w:tab/>
      </w:r>
      <w:r w:rsidRPr="00E44E0B">
        <w:rPr>
          <w:b/>
          <w:bCs/>
          <w:rtl/>
        </w:rPr>
        <w:t xml:space="preserve">ينبغي للدولة الطرف أن تكثف جهودها لمكافحة الفساد وأن تتخذ التدابير اللازمة لضمان استقلال وفعالية المؤسسات الوطنية لمكافحة الفساد، بما في ذلك المحكمة الخاصة لمكافحة الفساد ومكتب المدعي العام التابع لها، فضلاً عن الفرقة الخاصة لمكافحة الفساد. وينبغي أن تحرص على التحقيق في جميع أعمال الفساد تحقيقاً مستقلاً ونزيهاً وتقديم المسؤولين، بما فيهم المسؤولون في أعلى هرم السلطة وغيرهم من الشخصيات، إلى العدالة ومعاقبتهم كما ينبغي في حال ثبوت إدانتهم. </w:t>
      </w:r>
    </w:p>
    <w:p w14:paraId="176CEE9A" w14:textId="77777777" w:rsidR="00D66135" w:rsidRPr="00E44E0B" w:rsidRDefault="00D66135" w:rsidP="00F52A07">
      <w:pPr>
        <w:pStyle w:val="H23GA"/>
        <w:rPr>
          <w:rFonts w:cs="Times New Roman"/>
          <w:szCs w:val="20"/>
          <w:rtl/>
          <w:lang w:val="ar-SA" w:eastAsia="zh-TW"/>
        </w:rPr>
      </w:pPr>
      <w:r w:rsidRPr="00E44E0B">
        <w:rPr>
          <w:rtl/>
        </w:rPr>
        <w:tab/>
      </w:r>
      <w:r w:rsidRPr="00E44E0B">
        <w:rPr>
          <w:rtl/>
        </w:rPr>
        <w:tab/>
        <w:t>التمييز على أساس الميل الجنسي والهوية الجنسانية</w:t>
      </w:r>
    </w:p>
    <w:p w14:paraId="490A56E5" w14:textId="56F450BC" w:rsidR="00D66135" w:rsidRPr="008D4B5D" w:rsidRDefault="00D66135" w:rsidP="00EF2155">
      <w:pPr>
        <w:pStyle w:val="SingleTxtGA"/>
        <w:rPr>
          <w:rFonts w:eastAsia="SimSun" w:cs="Times New Roman"/>
          <w:szCs w:val="20"/>
          <w:rtl/>
          <w:lang w:val="ar-SA" w:eastAsia="zh-TW"/>
        </w:rPr>
      </w:pPr>
      <w:r w:rsidRPr="00E44E0B">
        <w:rPr>
          <w:rtl/>
        </w:rPr>
        <w:t>10</w:t>
      </w:r>
      <w:r w:rsidRPr="003E2B57">
        <w:rPr>
          <w:rtl/>
        </w:rPr>
        <w:t>-</w:t>
      </w:r>
      <w:r>
        <w:rPr>
          <w:rtl/>
        </w:rPr>
        <w:tab/>
        <w:t xml:space="preserve">إذ تذكّر اللجنة بملاحظاتها الختامية السابقة، فإنها تأسف لأن المادة </w:t>
      </w:r>
      <w:r w:rsidRPr="00E44E0B">
        <w:rPr>
          <w:rtl/>
        </w:rPr>
        <w:t>590</w:t>
      </w:r>
      <w:r>
        <w:rPr>
          <w:rtl/>
        </w:rPr>
        <w:t xml:space="preserve"> من القانون الجنائي لا تزال تجرم المثلية الجنسية وتشعر بالقلق إزاء توقيف الأفراد ومحاكمتهم، كما كان الحال بالنسبة لـ </w:t>
      </w:r>
      <w:r w:rsidRPr="00E44E0B">
        <w:rPr>
          <w:rtl/>
        </w:rPr>
        <w:t>24</w:t>
      </w:r>
      <w:r>
        <w:rPr>
          <w:rtl/>
        </w:rPr>
        <w:t xml:space="preserve"> شخصاً شاركوا في فعالية بشأن مكافحة فيروس نقص المناعة البشرية والإيدز في غيتيغا، وألقي القبض عليهم في </w:t>
      </w:r>
      <w:r w:rsidRPr="00E44E0B">
        <w:rPr>
          <w:rtl/>
        </w:rPr>
        <w:t>22</w:t>
      </w:r>
      <w:r>
        <w:rPr>
          <w:rtl/>
        </w:rPr>
        <w:t xml:space="preserve"> شباط/فبراير </w:t>
      </w:r>
      <w:r w:rsidRPr="00E44E0B">
        <w:rPr>
          <w:rtl/>
        </w:rPr>
        <w:t>2023</w:t>
      </w:r>
      <w:r>
        <w:rPr>
          <w:rtl/>
        </w:rPr>
        <w:t xml:space="preserve"> وحوكموا بتهمة "الممارسات الجنسية المثلية"</w:t>
      </w:r>
      <w:r w:rsidR="00306EEC">
        <w:rPr>
          <w:vertAlign w:val="superscript"/>
          <w:rtl/>
        </w:rPr>
        <w:t>(</w:t>
      </w:r>
      <w:r w:rsidR="00306EEC" w:rsidRPr="00E44E0B">
        <w:rPr>
          <w:vertAlign w:val="superscript"/>
          <w:lang w:val="en-AU"/>
        </w:rPr>
        <w:footnoteReference w:id="9"/>
      </w:r>
      <w:r w:rsidR="00FF61C7" w:rsidRPr="00D47108">
        <w:rPr>
          <w:vertAlign w:val="superscript"/>
          <w:rtl/>
        </w:rPr>
        <w:t>)</w:t>
      </w:r>
      <w:r w:rsidR="00EF2155">
        <w:rPr>
          <w:rFonts w:hint="cs"/>
          <w:rtl/>
        </w:rPr>
        <w:t>.</w:t>
      </w:r>
      <w:r>
        <w:rPr>
          <w:rtl/>
        </w:rPr>
        <w:t xml:space="preserve"> كما تكرر الإعراب عن قلقها إزاء أعمال التمييز والوصم ضد الأشخاص على أساس ميولهم الجنسية أو هوياتهم الجنسانية في مختلف مجالات الحياة، بما في ذلك ممارسة الحق في حرية التعبير والتجمع السلمي وتكوين الجمعيات، وكذلك في الحصول على السكن والخدمات الصحية والتعليم. ويساور اللجنة القلق أيضاً إزاء الادعاءات المتعلقة بالتحريض على الكراهية والعنف ضد الأشخاص على أساس ميولهم الجنسية أو هوياتهم الجنسانية، بما في ذلك من جانب سلطات الدولة الطرف والقادة السياسيين (المواد </w:t>
      </w:r>
      <w:r w:rsidRPr="00E44E0B">
        <w:rPr>
          <w:rtl/>
        </w:rPr>
        <w:t>2</w:t>
      </w:r>
      <w:r>
        <w:rPr>
          <w:rtl/>
        </w:rPr>
        <w:t xml:space="preserve"> و</w:t>
      </w:r>
      <w:r w:rsidRPr="00E44E0B">
        <w:rPr>
          <w:rtl/>
        </w:rPr>
        <w:t>9</w:t>
      </w:r>
      <w:r>
        <w:rPr>
          <w:rtl/>
        </w:rPr>
        <w:t xml:space="preserve"> و</w:t>
      </w:r>
      <w:r w:rsidRPr="00E44E0B">
        <w:rPr>
          <w:rtl/>
        </w:rPr>
        <w:t>2</w:t>
      </w:r>
      <w:r w:rsidR="00306EEC" w:rsidRPr="00E44E0B">
        <w:rPr>
          <w:rtl/>
        </w:rPr>
        <w:t>6</w:t>
      </w:r>
      <w:r w:rsidR="00306EEC" w:rsidRPr="00EF2155">
        <w:rPr>
          <w:rtl/>
        </w:rPr>
        <w:t>)</w:t>
      </w:r>
      <w:r w:rsidR="00306EEC" w:rsidRPr="00306EEC">
        <w:rPr>
          <w:rtl/>
        </w:rPr>
        <w:t xml:space="preserve">. </w:t>
      </w:r>
    </w:p>
    <w:p w14:paraId="2CB47DF0" w14:textId="2951ABF5" w:rsidR="00D66135" w:rsidRPr="00E44E0B" w:rsidRDefault="00D66135" w:rsidP="00F52A07">
      <w:pPr>
        <w:pStyle w:val="SingleTxtGA"/>
        <w:rPr>
          <w:rFonts w:eastAsia="SimSun" w:cs="Times New Roman"/>
          <w:b/>
          <w:bCs/>
          <w:szCs w:val="20"/>
          <w:rtl/>
          <w:lang w:val="ar-SA" w:eastAsia="zh-TW"/>
        </w:rPr>
      </w:pPr>
      <w:r w:rsidRPr="00E44E0B">
        <w:rPr>
          <w:rtl/>
        </w:rPr>
        <w:t>11</w:t>
      </w:r>
      <w:r w:rsidRPr="003E2B57">
        <w:rPr>
          <w:rtl/>
        </w:rPr>
        <w:t>-</w:t>
      </w:r>
      <w:r>
        <w:rPr>
          <w:rtl/>
        </w:rPr>
        <w:tab/>
      </w:r>
      <w:r w:rsidRPr="00E44E0B">
        <w:rPr>
          <w:b/>
          <w:bCs/>
          <w:rtl/>
        </w:rPr>
        <w:t>ينبغي للدولة الطرف أن تتخذ التدابير اللازمة من اجل ما يلي:</w:t>
      </w:r>
      <w:r w:rsidR="00525D6B" w:rsidRPr="00E44E0B">
        <w:rPr>
          <w:b/>
          <w:bCs/>
          <w:rtl/>
        </w:rPr>
        <w:t xml:space="preserve"> </w:t>
      </w:r>
    </w:p>
    <w:p w14:paraId="23502580" w14:textId="1875F085" w:rsidR="00D66135" w:rsidRPr="00E44E0B" w:rsidRDefault="00F52A07" w:rsidP="00F52A07">
      <w:pPr>
        <w:pStyle w:val="SingleTxtGA"/>
        <w:rPr>
          <w:b/>
          <w:bCs/>
          <w:rtl/>
        </w:rPr>
      </w:pPr>
      <w:r w:rsidRPr="00F52A07">
        <w:rPr>
          <w:rtl/>
        </w:rPr>
        <w:tab/>
      </w:r>
      <w:r w:rsidR="00D66135" w:rsidRPr="00F52A07">
        <w:rPr>
          <w:rtl/>
        </w:rPr>
        <w:t>(أ</w:t>
      </w:r>
      <w:r w:rsidR="00D66135" w:rsidRPr="00EF2155">
        <w:rPr>
          <w:rtl/>
        </w:rPr>
        <w:t>)</w:t>
      </w:r>
      <w:r w:rsidR="00D66135" w:rsidRPr="00E44E0B">
        <w:rPr>
          <w:b/>
          <w:bCs/>
          <w:rtl/>
        </w:rPr>
        <w:tab/>
        <w:t xml:space="preserve">إلغاء أي أحكام قد تؤدي إلى التمييز ضد الأشخاص وملاحقتهم قضائياً ومعاقبتهم على أساس ميولهم الجنسية أو هوياتهم الجنسانية، بما في ذلك المادة 590 من القانون الجنائي والمادة 9 من الأمر الوزاري رقم 620/613 المؤرخ 7 حزيران/يونيه 2011؛ </w:t>
      </w:r>
    </w:p>
    <w:p w14:paraId="54BB53A6" w14:textId="6B6FE9CD" w:rsidR="00D66135" w:rsidRPr="00E44E0B" w:rsidRDefault="00F52A07" w:rsidP="00F52A07">
      <w:pPr>
        <w:pStyle w:val="SingleTxtGA"/>
        <w:rPr>
          <w:b/>
          <w:bCs/>
          <w:rtl/>
        </w:rPr>
      </w:pPr>
      <w:r w:rsidRPr="00F52A07">
        <w:rPr>
          <w:rtl/>
        </w:rPr>
        <w:tab/>
      </w:r>
      <w:r w:rsidR="00D66135" w:rsidRPr="00F52A07">
        <w:rPr>
          <w:rtl/>
        </w:rPr>
        <w:t>(ب</w:t>
      </w:r>
      <w:r w:rsidR="00D66135" w:rsidRPr="00EF2155">
        <w:rPr>
          <w:rtl/>
        </w:rPr>
        <w:t>)</w:t>
      </w:r>
      <w:r w:rsidR="00D66135" w:rsidRPr="00E44E0B">
        <w:rPr>
          <w:b/>
          <w:bCs/>
          <w:rtl/>
        </w:rPr>
        <w:tab/>
        <w:t>وضع حد لتوقيف الأشخاص ومحاكمتهم بتهمة "الممارسات الجنسية المثلية" والإفراج عن أي شخص محتجز على هذا الأساس؛</w:t>
      </w:r>
      <w:r w:rsidR="003E2B57" w:rsidRPr="00E44E0B">
        <w:rPr>
          <w:b/>
          <w:bCs/>
          <w:rtl/>
        </w:rPr>
        <w:t xml:space="preserve"> </w:t>
      </w:r>
    </w:p>
    <w:p w14:paraId="3184F154" w14:textId="3F1F878E" w:rsidR="00D66135" w:rsidRPr="00E44E0B" w:rsidRDefault="00F52A07" w:rsidP="00F52A07">
      <w:pPr>
        <w:pStyle w:val="SingleTxtGA"/>
        <w:rPr>
          <w:rFonts w:ascii="Times New Roman Bold" w:hAnsi="Times New Roman Bold"/>
          <w:b/>
          <w:bCs/>
          <w:rtl/>
        </w:rPr>
      </w:pPr>
      <w:r w:rsidRPr="005426D0">
        <w:rPr>
          <w:spacing w:val="-2"/>
          <w:rtl/>
        </w:rPr>
        <w:tab/>
      </w:r>
      <w:r w:rsidR="00D66135" w:rsidRPr="005426D0">
        <w:rPr>
          <w:spacing w:val="-2"/>
          <w:rtl/>
        </w:rPr>
        <w:t>(ج)</w:t>
      </w:r>
      <w:r w:rsidR="00D66135" w:rsidRPr="00E44E0B">
        <w:rPr>
          <w:b/>
          <w:bCs/>
          <w:spacing w:val="-2"/>
          <w:rtl/>
        </w:rPr>
        <w:tab/>
        <w:t xml:space="preserve">كفالة ممارسة المثليات والمثليين ومزدوجي الميل الجنسي ومغايري الهوية الجنسانية </w:t>
      </w:r>
      <w:r w:rsidR="00D66135" w:rsidRPr="00E44E0B">
        <w:rPr>
          <w:rFonts w:ascii="Times New Roman Bold" w:hAnsi="Times New Roman Bold"/>
          <w:b/>
          <w:bCs/>
          <w:rtl/>
        </w:rPr>
        <w:t xml:space="preserve">لحقوقهم، ممارسة كاملة، بما في ذلك الحق في حرية التعبير وحرية التجمع السلمي وتكوين الجمعيات؛ </w:t>
      </w:r>
    </w:p>
    <w:p w14:paraId="542AFE2E" w14:textId="37EA2AF2" w:rsidR="00D66135" w:rsidRPr="00E44E0B" w:rsidRDefault="00F52A07" w:rsidP="00F52A07">
      <w:pPr>
        <w:pStyle w:val="SingleTxtGA"/>
        <w:rPr>
          <w:b/>
          <w:bCs/>
          <w:rtl/>
        </w:rPr>
      </w:pPr>
      <w:r w:rsidRPr="00F52A07">
        <w:rPr>
          <w:rtl/>
        </w:rPr>
        <w:tab/>
      </w:r>
      <w:r w:rsidR="00D66135" w:rsidRPr="00F52A07">
        <w:rPr>
          <w:rtl/>
        </w:rPr>
        <w:t>(د</w:t>
      </w:r>
      <w:r w:rsidR="00D66135" w:rsidRPr="00EF2155">
        <w:rPr>
          <w:rtl/>
        </w:rPr>
        <w:t>)</w:t>
      </w:r>
      <w:r w:rsidR="00D66135" w:rsidRPr="00E44E0B">
        <w:rPr>
          <w:b/>
          <w:bCs/>
          <w:rtl/>
        </w:rPr>
        <w:tab/>
        <w:t>وضع حد للتحريض على الكراهية والعنف ضد الأشخاص بسبب ميولهم الجنسية أو</w:t>
      </w:r>
      <w:r w:rsidR="00E44E0B" w:rsidRPr="00E44E0B">
        <w:rPr>
          <w:rFonts w:hint="cs"/>
          <w:b/>
          <w:bCs/>
          <w:rtl/>
        </w:rPr>
        <w:t> </w:t>
      </w:r>
      <w:r w:rsidR="00D66135" w:rsidRPr="00E44E0B">
        <w:rPr>
          <w:b/>
          <w:bCs/>
          <w:rtl/>
        </w:rPr>
        <w:t xml:space="preserve">هوياتهم الجنسانية؛ </w:t>
      </w:r>
    </w:p>
    <w:p w14:paraId="1065FC50" w14:textId="5DD27761" w:rsidR="00D66135" w:rsidRPr="00E44E0B" w:rsidRDefault="00F52A07" w:rsidP="00F52A07">
      <w:pPr>
        <w:pStyle w:val="SingleTxtGA"/>
        <w:rPr>
          <w:b/>
          <w:bCs/>
          <w:rtl/>
        </w:rPr>
      </w:pPr>
      <w:r w:rsidRPr="00F52A07">
        <w:rPr>
          <w:rtl/>
        </w:rPr>
        <w:tab/>
      </w:r>
      <w:r w:rsidR="00D66135" w:rsidRPr="00F52A07">
        <w:rPr>
          <w:rtl/>
        </w:rPr>
        <w:t>(ه</w:t>
      </w:r>
      <w:r w:rsidR="00D66135" w:rsidRPr="00EF2155">
        <w:rPr>
          <w:rtl/>
        </w:rPr>
        <w:t>)</w:t>
      </w:r>
      <w:r w:rsidR="00D66135" w:rsidRPr="00E44E0B">
        <w:rPr>
          <w:b/>
          <w:bCs/>
          <w:rtl/>
        </w:rPr>
        <w:tab/>
        <w:t>التحقيق في حالات التمييز والعنف ضد المثليات والمثليين ومزدوجي الميل الجنسي ومغايري الهوية الجنسانية ومحاكمة مرتكبيها، وإدانة المذنبين، وتوفير سبل انتصاف فعالة للضحايا.</w:t>
      </w:r>
    </w:p>
    <w:p w14:paraId="338D351F" w14:textId="77777777" w:rsidR="00D66135" w:rsidRPr="00E44E0B" w:rsidRDefault="00D66135" w:rsidP="00F52A07">
      <w:pPr>
        <w:pStyle w:val="H23GA"/>
        <w:rPr>
          <w:rtl/>
        </w:rPr>
      </w:pPr>
      <w:r w:rsidRPr="00E44E0B">
        <w:rPr>
          <w:rtl/>
        </w:rPr>
        <w:lastRenderedPageBreak/>
        <w:tab/>
      </w:r>
      <w:r w:rsidRPr="00E44E0B">
        <w:rPr>
          <w:rtl/>
        </w:rPr>
        <w:tab/>
        <w:t>المساواة بين الجنسين والتمييز ضد المرأة</w:t>
      </w:r>
    </w:p>
    <w:p w14:paraId="21F5303B" w14:textId="11E5E335" w:rsidR="00306EEC" w:rsidRPr="00306EEC" w:rsidRDefault="00D66135" w:rsidP="00F52A07">
      <w:pPr>
        <w:pStyle w:val="SingleTxtGA"/>
        <w:rPr>
          <w:rtl/>
        </w:rPr>
      </w:pPr>
      <w:r w:rsidRPr="00E44E0B">
        <w:rPr>
          <w:rtl/>
        </w:rPr>
        <w:t>12</w:t>
      </w:r>
      <w:r w:rsidRPr="003E2B57">
        <w:rPr>
          <w:rtl/>
        </w:rPr>
        <w:t>-</w:t>
      </w:r>
      <w:r w:rsidRPr="00F52A07">
        <w:rPr>
          <w:rtl/>
        </w:rPr>
        <w:tab/>
        <w:t>تحيط اللجنة علماً باعتماد السياسة الوطنية المتعلقة بالقضايا الجنسانية (</w:t>
      </w:r>
      <w:r w:rsidRPr="00E44E0B">
        <w:rPr>
          <w:rtl/>
        </w:rPr>
        <w:t>2012</w:t>
      </w:r>
      <w:r w:rsidRPr="003E2B57">
        <w:rPr>
          <w:rtl/>
        </w:rPr>
        <w:t>-</w:t>
      </w:r>
      <w:r w:rsidRPr="00E44E0B">
        <w:rPr>
          <w:rtl/>
        </w:rPr>
        <w:t>2025</w:t>
      </w:r>
      <w:r w:rsidR="00306EEC" w:rsidRPr="00EF2155">
        <w:rPr>
          <w:rtl/>
        </w:rPr>
        <w:t>)</w:t>
      </w:r>
      <w:r w:rsidR="00306EEC" w:rsidRPr="00306EEC">
        <w:rPr>
          <w:rtl/>
        </w:rPr>
        <w:t xml:space="preserve">، </w:t>
      </w:r>
      <w:r w:rsidRPr="00F52A07">
        <w:rPr>
          <w:rtl/>
        </w:rPr>
        <w:t>التي تهدف إلى تحقيق المساواة بين الجنسين وتمكين المرأة. ومع ذلك، لا تزال اللجنة تشعر بالقلق إزاء تطبيق القانون العرفي في مجال الميراث ونظم الملكية الزوجية والهبات، مما يعزز عدم المساواة في المعاملة بين الرجل والمرأة، فضلاً عن الأحكام التمييزية ضد المرأة في قانون الأحوال الشخصية والأسرة</w:t>
      </w:r>
      <w:r w:rsidR="00306EEC">
        <w:rPr>
          <w:vertAlign w:val="superscript"/>
          <w:rtl/>
        </w:rPr>
        <w:t>(</w:t>
      </w:r>
      <w:r w:rsidR="00306EEC" w:rsidRPr="00E44E0B">
        <w:rPr>
          <w:vertAlign w:val="superscript"/>
          <w:lang w:val="en-AU"/>
        </w:rPr>
        <w:footnoteReference w:id="10"/>
      </w:r>
      <w:r w:rsidR="00FF61C7" w:rsidRPr="00D47108">
        <w:rPr>
          <w:vertAlign w:val="superscript"/>
          <w:rtl/>
        </w:rPr>
        <w:t>)</w:t>
      </w:r>
      <w:r w:rsidRPr="00F52A07">
        <w:rPr>
          <w:rtl/>
        </w:rPr>
        <w:t> وقانون الجنسية</w:t>
      </w:r>
      <w:r w:rsidR="00306EEC">
        <w:rPr>
          <w:vertAlign w:val="superscript"/>
          <w:rtl/>
        </w:rPr>
        <w:t>(</w:t>
      </w:r>
      <w:r w:rsidR="00306EEC" w:rsidRPr="00E44E0B">
        <w:rPr>
          <w:vertAlign w:val="superscript"/>
          <w:lang w:val="en-AU"/>
        </w:rPr>
        <w:footnoteReference w:id="11"/>
      </w:r>
      <w:r w:rsidR="00306EEC" w:rsidRPr="00306EEC">
        <w:rPr>
          <w:vertAlign w:val="superscript"/>
          <w:rtl/>
        </w:rPr>
        <w:t>)</w:t>
      </w:r>
      <w:r w:rsidR="00306EEC" w:rsidRPr="00306EEC">
        <w:rPr>
          <w:rtl/>
        </w:rPr>
        <w:t xml:space="preserve">. </w:t>
      </w:r>
      <w:r w:rsidRPr="00F52A07">
        <w:rPr>
          <w:rtl/>
        </w:rPr>
        <w:t xml:space="preserve">وبينما ترحب اللجنة بالحكم الوارد في الدستور الذي يقضي بتحديد حصة </w:t>
      </w:r>
      <w:r w:rsidRPr="00E44E0B">
        <w:rPr>
          <w:rtl/>
        </w:rPr>
        <w:t>30</w:t>
      </w:r>
      <w:r w:rsidRPr="00F52A07">
        <w:rPr>
          <w:rtl/>
        </w:rPr>
        <w:t xml:space="preserve"> في المائة لتمثيل المرأة في الحكومة والجمعية الوطنية ومجلس الشيوخ</w:t>
      </w:r>
      <w:r w:rsidR="00306EEC">
        <w:rPr>
          <w:vertAlign w:val="superscript"/>
          <w:rtl/>
        </w:rPr>
        <w:t>(</w:t>
      </w:r>
      <w:r w:rsidR="00306EEC" w:rsidRPr="00E44E0B">
        <w:rPr>
          <w:vertAlign w:val="superscript"/>
          <w:lang w:val="en-AU"/>
        </w:rPr>
        <w:footnoteReference w:id="12"/>
      </w:r>
      <w:r w:rsidR="00FF61C7" w:rsidRPr="00D47108">
        <w:rPr>
          <w:vertAlign w:val="superscript"/>
          <w:rtl/>
        </w:rPr>
        <w:t>)</w:t>
      </w:r>
      <w:r w:rsidRPr="00F52A07">
        <w:rPr>
          <w:rtl/>
        </w:rPr>
        <w:t xml:space="preserve">، فإنها تلاحظ بقلق أن تمثيل المرأة ضعيف جداً على مستوى الأقاليم والمقاطعات وفي عدة قطاعات أخرى من الحياة المدنية والسياسية والاقتصادية (المواد </w:t>
      </w:r>
      <w:r w:rsidRPr="00E44E0B">
        <w:rPr>
          <w:rtl/>
        </w:rPr>
        <w:t>2</w:t>
      </w:r>
      <w:r w:rsidRPr="00F52A07">
        <w:rPr>
          <w:rtl/>
        </w:rPr>
        <w:t xml:space="preserve"> و</w:t>
      </w:r>
      <w:r w:rsidRPr="00E44E0B">
        <w:rPr>
          <w:rtl/>
        </w:rPr>
        <w:t>3</w:t>
      </w:r>
      <w:r w:rsidRPr="00F52A07">
        <w:rPr>
          <w:rtl/>
        </w:rPr>
        <w:t xml:space="preserve"> و</w:t>
      </w:r>
      <w:r w:rsidRPr="00E44E0B">
        <w:rPr>
          <w:rtl/>
        </w:rPr>
        <w:t>25</w:t>
      </w:r>
      <w:r w:rsidRPr="00F52A07">
        <w:rPr>
          <w:rtl/>
        </w:rPr>
        <w:t xml:space="preserve"> و</w:t>
      </w:r>
      <w:r w:rsidRPr="00E44E0B">
        <w:rPr>
          <w:rtl/>
        </w:rPr>
        <w:t>2</w:t>
      </w:r>
      <w:r w:rsidR="00306EEC" w:rsidRPr="00E44E0B">
        <w:rPr>
          <w:rtl/>
        </w:rPr>
        <w:t>6</w:t>
      </w:r>
      <w:r w:rsidR="00306EEC" w:rsidRPr="00947D84">
        <w:rPr>
          <w:rtl/>
        </w:rPr>
        <w:t>)</w:t>
      </w:r>
      <w:r w:rsidR="00306EEC" w:rsidRPr="00306EEC">
        <w:rPr>
          <w:rtl/>
        </w:rPr>
        <w:t>.</w:t>
      </w:r>
    </w:p>
    <w:p w14:paraId="4D26040D" w14:textId="461C5742" w:rsidR="00D66135" w:rsidRPr="00E44E0B" w:rsidRDefault="00D66135" w:rsidP="00F52A07">
      <w:pPr>
        <w:pStyle w:val="SingleTxtGA"/>
        <w:rPr>
          <w:rFonts w:eastAsia="SimSun" w:cs="Times New Roman"/>
          <w:b/>
          <w:bCs/>
          <w:szCs w:val="20"/>
          <w:rtl/>
          <w:lang w:val="ar-SA" w:eastAsia="zh-TW"/>
        </w:rPr>
      </w:pPr>
      <w:r w:rsidRPr="00E44E0B">
        <w:rPr>
          <w:rtl/>
        </w:rPr>
        <w:t>13</w:t>
      </w:r>
      <w:r w:rsidRPr="003E2B57">
        <w:rPr>
          <w:rtl/>
        </w:rPr>
        <w:t>-</w:t>
      </w:r>
      <w:r>
        <w:rPr>
          <w:rtl/>
        </w:rPr>
        <w:tab/>
      </w:r>
      <w:r w:rsidRPr="00E44E0B">
        <w:rPr>
          <w:b/>
          <w:bCs/>
          <w:rtl/>
        </w:rPr>
        <w:t>متابعةً للملاحظات الختامية السابقة للجنة</w:t>
      </w:r>
      <w:r w:rsidR="00306EEC" w:rsidRPr="00E44E0B">
        <w:rPr>
          <w:b/>
          <w:bCs/>
          <w:vertAlign w:val="superscript"/>
          <w:rtl/>
        </w:rPr>
        <w:t>(</w:t>
      </w:r>
      <w:r w:rsidR="00306EEC" w:rsidRPr="00E44E0B">
        <w:rPr>
          <w:b/>
          <w:bCs/>
          <w:vertAlign w:val="superscript"/>
          <w:lang w:val="en-AU"/>
        </w:rPr>
        <w:footnoteReference w:id="13"/>
      </w:r>
      <w:r w:rsidR="00306EEC" w:rsidRPr="00E44E0B">
        <w:rPr>
          <w:b/>
          <w:bCs/>
          <w:vertAlign w:val="superscript"/>
          <w:rtl/>
        </w:rPr>
        <w:t>)</w:t>
      </w:r>
      <w:r w:rsidR="00306EEC" w:rsidRPr="00E44E0B">
        <w:rPr>
          <w:b/>
          <w:bCs/>
          <w:rtl/>
        </w:rPr>
        <w:t xml:space="preserve">، </w:t>
      </w:r>
      <w:r w:rsidRPr="00E44E0B">
        <w:rPr>
          <w:b/>
          <w:bCs/>
          <w:rtl/>
        </w:rPr>
        <w:t>ينبغي للدولة الطرف القيام</w:t>
      </w:r>
      <w:r w:rsidR="003E2B57" w:rsidRPr="00E44E0B">
        <w:rPr>
          <w:b/>
          <w:bCs/>
          <w:rtl/>
        </w:rPr>
        <w:t xml:space="preserve"> </w:t>
      </w:r>
      <w:r w:rsidRPr="00E44E0B">
        <w:rPr>
          <w:b/>
          <w:bCs/>
          <w:rtl/>
        </w:rPr>
        <w:t>بما يلي:</w:t>
      </w:r>
    </w:p>
    <w:p w14:paraId="46763639" w14:textId="53E268E3" w:rsidR="00D66135" w:rsidRPr="00E44E0B" w:rsidRDefault="00F52A07" w:rsidP="00F52A07">
      <w:pPr>
        <w:pStyle w:val="SingleTxtGA"/>
        <w:rPr>
          <w:rFonts w:eastAsia="SimSun" w:cs="Times New Roman"/>
          <w:b/>
          <w:bCs/>
          <w:szCs w:val="20"/>
          <w:rtl/>
          <w:lang w:val="ar-SA" w:eastAsia="zh-TW"/>
        </w:rPr>
      </w:pPr>
      <w:r>
        <w:rPr>
          <w:rtl/>
        </w:rPr>
        <w:tab/>
      </w:r>
      <w:r w:rsidR="00D66135">
        <w:rPr>
          <w:rtl/>
        </w:rPr>
        <w:t>(أ</w:t>
      </w:r>
      <w:r w:rsidR="00D66135" w:rsidRPr="00947D84">
        <w:rPr>
          <w:rtl/>
        </w:rPr>
        <w:t>)</w:t>
      </w:r>
      <w:r w:rsidR="00D66135" w:rsidRPr="00E44E0B">
        <w:rPr>
          <w:b/>
          <w:bCs/>
          <w:rtl/>
        </w:rPr>
        <w:tab/>
        <w:t xml:space="preserve">اعتماد قانون بشأن الميراث ونظم الملكية الزوجية والهبات، من دون تأخير، وضمان توافقه التام مع أحكام العهد؛ </w:t>
      </w:r>
    </w:p>
    <w:p w14:paraId="400AF7D5" w14:textId="151B5040" w:rsidR="00D66135" w:rsidRPr="00E44E0B" w:rsidRDefault="00F52A07" w:rsidP="00F52A07">
      <w:pPr>
        <w:pStyle w:val="SingleTxtGA"/>
        <w:rPr>
          <w:rFonts w:eastAsia="SimSun" w:cs="Times New Roman"/>
          <w:b/>
          <w:bCs/>
          <w:szCs w:val="20"/>
          <w:rtl/>
          <w:lang w:eastAsia="zh-TW" w:bidi="ar-LB"/>
        </w:rPr>
      </w:pPr>
      <w:r>
        <w:rPr>
          <w:rtl/>
        </w:rPr>
        <w:tab/>
      </w:r>
      <w:r w:rsidR="00D66135">
        <w:rPr>
          <w:rtl/>
        </w:rPr>
        <w:t>(ب</w:t>
      </w:r>
      <w:r w:rsidR="00D66135" w:rsidRPr="00947D84">
        <w:rPr>
          <w:rtl/>
        </w:rPr>
        <w:t>)</w:t>
      </w:r>
      <w:r w:rsidR="00D66135" w:rsidRPr="00E44E0B">
        <w:rPr>
          <w:b/>
          <w:bCs/>
          <w:rtl/>
        </w:rPr>
        <w:tab/>
        <w:t>تعديل الأحكام التمييزية في قانون الأحوال الشخصية والأسرة وقانون الجنسية، من أجل الإعمال الكامل لمبدأ المساواة بين المرأة والرجل المنصوص عليه في الدستور والعهد؛</w:t>
      </w:r>
    </w:p>
    <w:p w14:paraId="7FD27905" w14:textId="04498FB9" w:rsidR="00D66135" w:rsidRPr="00E44E0B" w:rsidRDefault="00F52A07" w:rsidP="00F52A07">
      <w:pPr>
        <w:pStyle w:val="SingleTxtGA"/>
        <w:rPr>
          <w:rFonts w:eastAsia="SimSun" w:cs="Times New Roman"/>
          <w:b/>
          <w:bCs/>
          <w:szCs w:val="20"/>
          <w:rtl/>
          <w:lang w:val="ar-SA" w:eastAsia="zh-TW"/>
        </w:rPr>
      </w:pPr>
      <w:r>
        <w:rPr>
          <w:rtl/>
        </w:rPr>
        <w:tab/>
      </w:r>
      <w:r w:rsidR="00D66135">
        <w:rPr>
          <w:rtl/>
        </w:rPr>
        <w:t>(ج</w:t>
      </w:r>
      <w:r w:rsidR="00D66135" w:rsidRPr="00947D84">
        <w:rPr>
          <w:rtl/>
        </w:rPr>
        <w:t>)</w:t>
      </w:r>
      <w:r w:rsidR="00D66135" w:rsidRPr="00E44E0B">
        <w:rPr>
          <w:b/>
          <w:bCs/>
          <w:rtl/>
        </w:rPr>
        <w:tab/>
        <w:t xml:space="preserve">اتخاذ تدابير إضافية لتحسين نسبة تمثيل المرأة في الحياة السياسية والعامة على الصعيدين الوطني والمحلي؛ </w:t>
      </w:r>
    </w:p>
    <w:p w14:paraId="4879C26E" w14:textId="1AFA02C9" w:rsidR="00D66135" w:rsidRPr="00E44E0B" w:rsidRDefault="00F52A07" w:rsidP="00F52A07">
      <w:pPr>
        <w:pStyle w:val="SingleTxtGA"/>
        <w:rPr>
          <w:rFonts w:eastAsia="SimSun" w:cs="Times New Roman"/>
          <w:b/>
          <w:bCs/>
          <w:szCs w:val="20"/>
          <w:rtl/>
          <w:lang w:val="ar-SA" w:eastAsia="zh-TW"/>
        </w:rPr>
      </w:pPr>
      <w:r>
        <w:rPr>
          <w:rtl/>
        </w:rPr>
        <w:tab/>
      </w:r>
      <w:r w:rsidR="00D66135">
        <w:rPr>
          <w:rtl/>
        </w:rPr>
        <w:t>(د</w:t>
      </w:r>
      <w:r w:rsidR="00D66135" w:rsidRPr="00947D84">
        <w:rPr>
          <w:rtl/>
        </w:rPr>
        <w:t>)</w:t>
      </w:r>
      <w:r w:rsidR="00D66135" w:rsidRPr="00E44E0B">
        <w:rPr>
          <w:b/>
          <w:bCs/>
          <w:rtl/>
        </w:rPr>
        <w:tab/>
        <w:t>تعزيز أنشطة تثقيف وتوعية الناس لمكافحة القوالب النمطية القائمة على التحيز الجنساني والمتعلقة بتبعية المرأة وتشجيع احترام الأدوار والمسؤوليات المشتركة بين المرأة والرجل في الأسرة وفي المجتمع.</w:t>
      </w:r>
    </w:p>
    <w:p w14:paraId="0224DB7E" w14:textId="77777777" w:rsidR="00D66135" w:rsidRPr="00E44E0B" w:rsidRDefault="00D66135" w:rsidP="00F52A07">
      <w:pPr>
        <w:pStyle w:val="H23GA"/>
        <w:rPr>
          <w:rFonts w:cs="Times New Roman"/>
          <w:szCs w:val="20"/>
          <w:rtl/>
          <w:lang w:val="ar-SA" w:eastAsia="zh-TW"/>
        </w:rPr>
      </w:pPr>
      <w:r w:rsidRPr="00E44E0B">
        <w:rPr>
          <w:rtl/>
        </w:rPr>
        <w:tab/>
      </w:r>
      <w:r w:rsidRPr="00E44E0B">
        <w:rPr>
          <w:rtl/>
        </w:rPr>
        <w:tab/>
        <w:t>العنف ضد المرأة</w:t>
      </w:r>
    </w:p>
    <w:p w14:paraId="1B3275EE" w14:textId="2FD0CBE6" w:rsidR="00306EEC" w:rsidRPr="00306EEC" w:rsidRDefault="00D66135" w:rsidP="00AA3219">
      <w:pPr>
        <w:pStyle w:val="SingleTxtGA"/>
        <w:rPr>
          <w:rFonts w:eastAsia="SimSun" w:cs="Times New Roman"/>
          <w:szCs w:val="20"/>
          <w:lang w:eastAsia="zh-TW"/>
        </w:rPr>
      </w:pPr>
      <w:r w:rsidRPr="00E44E0B">
        <w:rPr>
          <w:rtl/>
        </w:rPr>
        <w:t>14</w:t>
      </w:r>
      <w:r w:rsidRPr="003E2B57">
        <w:rPr>
          <w:rtl/>
        </w:rPr>
        <w:t>-</w:t>
      </w:r>
      <w:r>
        <w:rPr>
          <w:rtl/>
        </w:rPr>
        <w:tab/>
        <w:t xml:space="preserve">بينما ترحب اللجنة باعتماد القانون رقم </w:t>
      </w:r>
      <w:r w:rsidRPr="00E44E0B">
        <w:rPr>
          <w:rtl/>
        </w:rPr>
        <w:t>1</w:t>
      </w:r>
      <w:r>
        <w:rPr>
          <w:rFonts w:ascii="Simplified Arabic"/>
          <w:szCs w:val="20"/>
          <w:rtl/>
        </w:rPr>
        <w:t>/</w:t>
      </w:r>
      <w:r w:rsidRPr="00E44E0B">
        <w:rPr>
          <w:rtl/>
        </w:rPr>
        <w:t>13</w:t>
      </w:r>
      <w:r>
        <w:rPr>
          <w:rtl/>
        </w:rPr>
        <w:t xml:space="preserve"> المؤرخ </w:t>
      </w:r>
      <w:r w:rsidRPr="00E44E0B">
        <w:rPr>
          <w:rtl/>
        </w:rPr>
        <w:t>22</w:t>
      </w:r>
      <w:r>
        <w:rPr>
          <w:rtl/>
        </w:rPr>
        <w:t xml:space="preserve"> أيلول/سبتمبر </w:t>
      </w:r>
      <w:r w:rsidRPr="00E44E0B">
        <w:rPr>
          <w:rtl/>
        </w:rPr>
        <w:t>2016</w:t>
      </w:r>
      <w:r>
        <w:rPr>
          <w:rtl/>
        </w:rPr>
        <w:t xml:space="preserve"> بشأن منع العنف الجنساني وقمعه وحماية ضحاياه، فإنها لا تزال تشعر بالقلق إزاء استمرار العنف ضد المرأة، بما في ذلك العنف الأسري والجنسي. وتعرب اللجنة عن قلقها إزاء انخفاض مستويات الإبلاغ والملاحقة القضائية لمرتكبي العنف، لأسباب منها خطر الوصم والانتقام، وإفلات الجناة من العقاب، وعدم كفاية مراكز الإيواء وتدابير حماية الضحايا. وتأسف اللجنة لعدم تلقيها معلومات كافية عن عدد التحقيقات والملاحقات القضائية والإدانات الصادرة بحق الجناة في قضايا العنف ضد المرأة فضلاً عن التدابير المتخذة لجبر الأضرار (المواد </w:t>
      </w:r>
      <w:r w:rsidRPr="00E44E0B">
        <w:rPr>
          <w:rtl/>
        </w:rPr>
        <w:t>3</w:t>
      </w:r>
      <w:r>
        <w:rPr>
          <w:rtl/>
        </w:rPr>
        <w:t xml:space="preserve"> و</w:t>
      </w:r>
      <w:r w:rsidRPr="00E44E0B">
        <w:rPr>
          <w:rtl/>
        </w:rPr>
        <w:t>6</w:t>
      </w:r>
      <w:r>
        <w:rPr>
          <w:rtl/>
        </w:rPr>
        <w:t xml:space="preserve"> و</w:t>
      </w:r>
      <w:r w:rsidRPr="00E44E0B">
        <w:rPr>
          <w:rtl/>
        </w:rPr>
        <w:t>7</w:t>
      </w:r>
      <w:r>
        <w:rPr>
          <w:rtl/>
        </w:rPr>
        <w:t xml:space="preserve"> و</w:t>
      </w:r>
      <w:r w:rsidRPr="00E44E0B">
        <w:rPr>
          <w:rtl/>
        </w:rPr>
        <w:t>1</w:t>
      </w:r>
      <w:r w:rsidR="00306EEC" w:rsidRPr="00E44E0B">
        <w:rPr>
          <w:rtl/>
        </w:rPr>
        <w:t>7</w:t>
      </w:r>
      <w:r w:rsidR="00306EEC" w:rsidRPr="00947D84">
        <w:rPr>
          <w:rtl/>
        </w:rPr>
        <w:t>)</w:t>
      </w:r>
      <w:r w:rsidR="00306EEC" w:rsidRPr="00306EEC">
        <w:rPr>
          <w:rtl/>
        </w:rPr>
        <w:t>.</w:t>
      </w:r>
    </w:p>
    <w:p w14:paraId="700194C6" w14:textId="79E2FB7B" w:rsidR="00D66135" w:rsidRPr="00E44E0B" w:rsidRDefault="00D66135" w:rsidP="00AA3219">
      <w:pPr>
        <w:pStyle w:val="SingleTxtGA"/>
        <w:rPr>
          <w:rFonts w:eastAsia="SimSun" w:cs="Times New Roman"/>
          <w:b/>
          <w:bCs/>
          <w:szCs w:val="20"/>
          <w:rtl/>
          <w:lang w:val="ar-SA" w:eastAsia="zh-TW"/>
        </w:rPr>
      </w:pPr>
      <w:r w:rsidRPr="00E44E0B">
        <w:rPr>
          <w:rtl/>
        </w:rPr>
        <w:t>15</w:t>
      </w:r>
      <w:r w:rsidRPr="003E2B57">
        <w:rPr>
          <w:rtl/>
        </w:rPr>
        <w:t>-</w:t>
      </w:r>
      <w:r>
        <w:rPr>
          <w:rtl/>
        </w:rPr>
        <w:tab/>
      </w:r>
      <w:r w:rsidRPr="00E44E0B">
        <w:rPr>
          <w:b/>
          <w:bCs/>
          <w:rtl/>
        </w:rPr>
        <w:t>ينبغي أن تقوم الدولة الطرف بما يلي:</w:t>
      </w:r>
    </w:p>
    <w:p w14:paraId="07B5693E" w14:textId="07442333" w:rsidR="00D66135" w:rsidRPr="00E44E0B" w:rsidRDefault="00AA3219" w:rsidP="00AA3219">
      <w:pPr>
        <w:pStyle w:val="SingleTxtGA"/>
        <w:rPr>
          <w:b/>
          <w:bCs/>
          <w:rtl/>
        </w:rPr>
      </w:pPr>
      <w:r w:rsidRPr="00AA3219">
        <w:rPr>
          <w:rtl/>
        </w:rPr>
        <w:tab/>
      </w:r>
      <w:r w:rsidR="00D66135" w:rsidRPr="00AA3219">
        <w:rPr>
          <w:rtl/>
        </w:rPr>
        <w:t>(أ</w:t>
      </w:r>
      <w:r w:rsidR="00D66135" w:rsidRPr="00947D84">
        <w:rPr>
          <w:rtl/>
        </w:rPr>
        <w:t>)</w:t>
      </w:r>
      <w:r w:rsidR="00D66135" w:rsidRPr="00E44E0B">
        <w:rPr>
          <w:b/>
          <w:bCs/>
          <w:rtl/>
        </w:rPr>
        <w:tab/>
        <w:t xml:space="preserve">مواصلة وتكثيف جهودها الرامية إلى منع ومكافحة جميع أشكال العنف ضد المرأة، ولاسيما عن طريق تعزيز المؤسسات المسؤولة عن تطبيق الإطار التشريعي الساري، ولا سيما مكتب </w:t>
      </w:r>
      <w:r w:rsidR="00D66135" w:rsidRPr="00E44E0B">
        <w:rPr>
          <w:b/>
          <w:bCs/>
          <w:rtl/>
        </w:rPr>
        <w:lastRenderedPageBreak/>
        <w:t>المدعي العام والمحاكم والهيئات القضائية، وتزويدها بالموارد اللازمة، وتوفير أنشطة تدريبية للمسؤولين الحكوميين بشأن هذه المسألة، وتعزيز حملات التوعية العامة؛</w:t>
      </w:r>
    </w:p>
    <w:p w14:paraId="559325FF" w14:textId="5E413968" w:rsidR="00D66135" w:rsidRPr="00E44E0B" w:rsidRDefault="00AA3219" w:rsidP="00AA3219">
      <w:pPr>
        <w:pStyle w:val="SingleTxtGA"/>
        <w:rPr>
          <w:b/>
          <w:bCs/>
          <w:rtl/>
        </w:rPr>
      </w:pPr>
      <w:r w:rsidRPr="00AA3219">
        <w:rPr>
          <w:rtl/>
        </w:rPr>
        <w:tab/>
      </w:r>
      <w:r w:rsidR="00D66135" w:rsidRPr="00AA3219">
        <w:rPr>
          <w:rtl/>
        </w:rPr>
        <w:t>(ب</w:t>
      </w:r>
      <w:r w:rsidR="00D66135" w:rsidRPr="00947D84">
        <w:rPr>
          <w:rtl/>
        </w:rPr>
        <w:t>)</w:t>
      </w:r>
      <w:r w:rsidR="00D66135" w:rsidRPr="00E44E0B">
        <w:rPr>
          <w:b/>
          <w:bCs/>
          <w:rtl/>
        </w:rPr>
        <w:tab/>
        <w:t xml:space="preserve">توسيع وتعزيز خدمات الايواء وترتيبات الرعاية للضحايا وحمايتهم من أي شكل من أشكال الانتقام؛ </w:t>
      </w:r>
    </w:p>
    <w:p w14:paraId="09258381" w14:textId="65CF56C9" w:rsidR="00D66135" w:rsidRPr="00E44E0B" w:rsidRDefault="00AA3219" w:rsidP="00AA3219">
      <w:pPr>
        <w:pStyle w:val="SingleTxtGA"/>
        <w:rPr>
          <w:b/>
          <w:bCs/>
          <w:rtl/>
        </w:rPr>
      </w:pPr>
      <w:r w:rsidRPr="00AA3219">
        <w:rPr>
          <w:rtl/>
        </w:rPr>
        <w:tab/>
      </w:r>
      <w:r w:rsidR="00D66135" w:rsidRPr="00AA3219">
        <w:rPr>
          <w:rtl/>
        </w:rPr>
        <w:t>(ج</w:t>
      </w:r>
      <w:r w:rsidR="00D66135" w:rsidRPr="00947D84">
        <w:rPr>
          <w:rtl/>
        </w:rPr>
        <w:t>)</w:t>
      </w:r>
      <w:r w:rsidR="00D66135" w:rsidRPr="00E44E0B">
        <w:rPr>
          <w:b/>
          <w:bCs/>
          <w:rtl/>
        </w:rPr>
        <w:tab/>
        <w:t xml:space="preserve">ضمان إجراء تحقيق شامل في جميع حالات العنف ضد المرأة، ومحاكمة الجناة ومعاقبتهم بعقوبات مناسبة، وحصول الضحايا على الحماية والجبر الكامل لما يلحقهم من ضرر؛ </w:t>
      </w:r>
    </w:p>
    <w:p w14:paraId="7F32937F" w14:textId="5D1E1318" w:rsidR="00D66135" w:rsidRPr="00E44E0B" w:rsidRDefault="00AA3219" w:rsidP="00AA3219">
      <w:pPr>
        <w:pStyle w:val="SingleTxtGA"/>
        <w:rPr>
          <w:b/>
          <w:bCs/>
          <w:rtl/>
        </w:rPr>
      </w:pPr>
      <w:r w:rsidRPr="00AA3219">
        <w:rPr>
          <w:rtl/>
        </w:rPr>
        <w:tab/>
      </w:r>
      <w:r w:rsidR="00D66135" w:rsidRPr="00AA3219">
        <w:rPr>
          <w:rtl/>
        </w:rPr>
        <w:t>(د)</w:t>
      </w:r>
      <w:r w:rsidR="00D66135" w:rsidRPr="00E44E0B">
        <w:rPr>
          <w:b/>
          <w:bCs/>
          <w:rtl/>
        </w:rPr>
        <w:tab/>
        <w:t xml:space="preserve">جمع وتوفير إحصاءات مصنفة عن معدل انتشار العنف ضد المرأة. </w:t>
      </w:r>
    </w:p>
    <w:p w14:paraId="525172B6" w14:textId="77777777" w:rsidR="00D66135" w:rsidRPr="00E44E0B" w:rsidRDefault="00D66135" w:rsidP="00AA3219">
      <w:pPr>
        <w:pStyle w:val="H23GA"/>
        <w:rPr>
          <w:rFonts w:cs="Times New Roman"/>
          <w:szCs w:val="20"/>
          <w:rtl/>
          <w:lang w:val="ar-SA" w:eastAsia="zh-TW"/>
        </w:rPr>
      </w:pPr>
      <w:r w:rsidRPr="00E44E0B">
        <w:rPr>
          <w:rtl/>
        </w:rPr>
        <w:tab/>
      </w:r>
      <w:r w:rsidRPr="00E44E0B">
        <w:rPr>
          <w:rtl/>
        </w:rPr>
        <w:tab/>
        <w:t>العنف الجنسي كأداة للقمع السياسي</w:t>
      </w:r>
    </w:p>
    <w:p w14:paraId="2F509FE7" w14:textId="772F9F26" w:rsidR="00306EEC" w:rsidRPr="001604E9" w:rsidRDefault="00D66135" w:rsidP="00AA3219">
      <w:pPr>
        <w:pStyle w:val="SingleTxtGA"/>
        <w:rPr>
          <w:rtl/>
        </w:rPr>
      </w:pPr>
      <w:r w:rsidRPr="00E44E0B">
        <w:rPr>
          <w:rtl/>
        </w:rPr>
        <w:t>16</w:t>
      </w:r>
      <w:r w:rsidRPr="001604E9">
        <w:rPr>
          <w:rtl/>
        </w:rPr>
        <w:t>-</w:t>
      </w:r>
      <w:r w:rsidRPr="001604E9">
        <w:rPr>
          <w:rtl/>
        </w:rPr>
        <w:tab/>
        <w:t>تلاحظ اللجنة بجزع المعلومات العديدة والمتسقة عن حالات العنف الجنسي ضد النساء والفتيات، بما في ذلك الاغتصاب الجماعي، المستخدمة كوسيلة للترهيب والقمع السياسي بسبب انتماء النساء أو الفتيات، أو انتماء أحد أفراد أسرهن إلى المعارضة السياسية، انتماء</w:t>
      </w:r>
      <w:r w:rsidR="001604E9" w:rsidRPr="001604E9">
        <w:rPr>
          <w:rFonts w:hint="cs"/>
          <w:rtl/>
        </w:rPr>
        <w:t>ً</w:t>
      </w:r>
      <w:r w:rsidRPr="001604E9">
        <w:rPr>
          <w:rtl/>
        </w:rPr>
        <w:t xml:space="preserve"> حقيقياً أو مفترضاً، ويُزعم أن المرتكبين هم عناصر من الإمبونيراكور ووكالة الاستخبارات الوطنية وقوات الأمن، وقد اشتدت هذه الانتهاكات خلال المظاهرات عام </w:t>
      </w:r>
      <w:r w:rsidRPr="00E44E0B">
        <w:rPr>
          <w:rtl/>
        </w:rPr>
        <w:t>2015</w:t>
      </w:r>
      <w:r w:rsidRPr="001604E9">
        <w:rPr>
          <w:rtl/>
        </w:rPr>
        <w:t xml:space="preserve">، والاستفتاء الدستوري عام </w:t>
      </w:r>
      <w:r w:rsidRPr="00E44E0B">
        <w:rPr>
          <w:rtl/>
        </w:rPr>
        <w:t>2018</w:t>
      </w:r>
      <w:r w:rsidRPr="001604E9">
        <w:rPr>
          <w:rtl/>
        </w:rPr>
        <w:t xml:space="preserve">، والانتخابات عام </w:t>
      </w:r>
      <w:r w:rsidRPr="00E44E0B">
        <w:rPr>
          <w:rtl/>
        </w:rPr>
        <w:t>202</w:t>
      </w:r>
      <w:r w:rsidR="00306EEC" w:rsidRPr="00E44E0B">
        <w:rPr>
          <w:rtl/>
        </w:rPr>
        <w:t>0</w:t>
      </w:r>
      <w:r w:rsidR="00306EEC" w:rsidRPr="001604E9">
        <w:rPr>
          <w:rtl/>
        </w:rPr>
        <w:t xml:space="preserve">. </w:t>
      </w:r>
      <w:r w:rsidRPr="001604E9">
        <w:rPr>
          <w:rtl/>
        </w:rPr>
        <w:t xml:space="preserve">وتعرب اللجنة عن جزعها إزاء الإفلات من العقاب الذي يتمتع به مرتكبو هذا العنف، والصعوبات التي تواجه الضحايا في اللجوء إلى العدالة، والخوف من الانتقام، مما يثنيهن عن تقديم شكاوى ضد المعتدين. كما تأسف اللجنة لعدم ورود معلومات عن التدابير المتخذة لمنع هذا النوع من العنف وعن التحقيقات والمحاكمات والعقوبات وجبر أضرار الضحايا (المواد </w:t>
      </w:r>
      <w:r w:rsidRPr="00E44E0B">
        <w:rPr>
          <w:rtl/>
        </w:rPr>
        <w:t>2</w:t>
      </w:r>
      <w:r w:rsidRPr="001604E9">
        <w:rPr>
          <w:rtl/>
        </w:rPr>
        <w:t xml:space="preserve"> و</w:t>
      </w:r>
      <w:r w:rsidRPr="00E44E0B">
        <w:rPr>
          <w:rtl/>
        </w:rPr>
        <w:t>3</w:t>
      </w:r>
      <w:r w:rsidRPr="001604E9">
        <w:rPr>
          <w:rtl/>
        </w:rPr>
        <w:t xml:space="preserve"> و</w:t>
      </w:r>
      <w:r w:rsidRPr="00E44E0B">
        <w:rPr>
          <w:rtl/>
        </w:rPr>
        <w:t>7</w:t>
      </w:r>
      <w:r w:rsidRPr="001604E9">
        <w:rPr>
          <w:rtl/>
        </w:rPr>
        <w:t xml:space="preserve"> و</w:t>
      </w:r>
      <w:r w:rsidRPr="00E44E0B">
        <w:rPr>
          <w:rtl/>
        </w:rPr>
        <w:t>2</w:t>
      </w:r>
      <w:r w:rsidR="00306EEC" w:rsidRPr="00E44E0B">
        <w:rPr>
          <w:rtl/>
        </w:rPr>
        <w:t>6</w:t>
      </w:r>
      <w:r w:rsidR="00306EEC" w:rsidRPr="00947D84">
        <w:rPr>
          <w:rtl/>
        </w:rPr>
        <w:t>)</w:t>
      </w:r>
      <w:r w:rsidR="00306EEC" w:rsidRPr="001604E9">
        <w:rPr>
          <w:rtl/>
        </w:rPr>
        <w:t>.</w:t>
      </w:r>
    </w:p>
    <w:p w14:paraId="3E41D043" w14:textId="07BF0DCB" w:rsidR="00D66135" w:rsidRPr="00E44E0B" w:rsidRDefault="00D66135" w:rsidP="00AA3219">
      <w:pPr>
        <w:pStyle w:val="SingleTxtGA"/>
        <w:rPr>
          <w:rFonts w:eastAsia="SimSun" w:cs="Times New Roman"/>
          <w:b/>
          <w:bCs/>
          <w:szCs w:val="20"/>
          <w:rtl/>
          <w:lang w:val="ar-SA" w:eastAsia="zh-TW"/>
        </w:rPr>
      </w:pPr>
      <w:r w:rsidRPr="00E44E0B">
        <w:rPr>
          <w:rtl/>
        </w:rPr>
        <w:t>17</w:t>
      </w:r>
      <w:r w:rsidRPr="003E2B57">
        <w:rPr>
          <w:rtl/>
        </w:rPr>
        <w:t>-</w:t>
      </w:r>
      <w:r>
        <w:rPr>
          <w:rtl/>
        </w:rPr>
        <w:tab/>
      </w:r>
      <w:r w:rsidRPr="00E44E0B">
        <w:rPr>
          <w:b/>
          <w:bCs/>
          <w:rtl/>
        </w:rPr>
        <w:t xml:space="preserve">في ضوء توصيات لجنة مناهضة </w:t>
      </w:r>
      <w:proofErr w:type="gramStart"/>
      <w:r w:rsidRPr="00E44E0B">
        <w:rPr>
          <w:b/>
          <w:bCs/>
          <w:rtl/>
        </w:rPr>
        <w:t>التعذيب</w:t>
      </w:r>
      <w:r w:rsidR="00306EEC" w:rsidRPr="00E44E0B">
        <w:rPr>
          <w:b/>
          <w:bCs/>
          <w:vertAlign w:val="superscript"/>
          <w:rtl/>
        </w:rPr>
        <w:t>(</w:t>
      </w:r>
      <w:proofErr w:type="gramEnd"/>
      <w:r w:rsidR="00306EEC" w:rsidRPr="00E44E0B">
        <w:rPr>
          <w:b/>
          <w:bCs/>
          <w:vertAlign w:val="superscript"/>
          <w:lang w:val="en-AU"/>
        </w:rPr>
        <w:footnoteReference w:id="14"/>
      </w:r>
      <w:r w:rsidR="00FF61C7" w:rsidRPr="00E44E0B">
        <w:rPr>
          <w:b/>
          <w:bCs/>
          <w:vertAlign w:val="superscript"/>
          <w:rtl/>
        </w:rPr>
        <w:t>)</w:t>
      </w:r>
      <w:r w:rsidRPr="00E44E0B">
        <w:rPr>
          <w:b/>
          <w:bCs/>
          <w:rtl/>
        </w:rPr>
        <w:t> واللجنة المعنية بالقضاء على التمييز ضد المرأة</w:t>
      </w:r>
      <w:r w:rsidR="00306EEC" w:rsidRPr="00E44E0B">
        <w:rPr>
          <w:vertAlign w:val="superscript"/>
          <w:rtl/>
        </w:rPr>
        <w:t>(</w:t>
      </w:r>
      <w:r w:rsidR="00306EEC" w:rsidRPr="00E44E0B">
        <w:rPr>
          <w:vertAlign w:val="superscript"/>
          <w:lang w:val="en-AU"/>
        </w:rPr>
        <w:footnoteReference w:id="15"/>
      </w:r>
      <w:r w:rsidR="00306EEC" w:rsidRPr="00E44E0B">
        <w:rPr>
          <w:vertAlign w:val="superscript"/>
          <w:rtl/>
        </w:rPr>
        <w:t>)</w:t>
      </w:r>
      <w:r w:rsidR="00306EEC" w:rsidRPr="00E44E0B">
        <w:rPr>
          <w:b/>
          <w:bCs/>
          <w:rtl/>
        </w:rPr>
        <w:t xml:space="preserve">، </w:t>
      </w:r>
      <w:r w:rsidRPr="00E44E0B">
        <w:rPr>
          <w:b/>
          <w:bCs/>
          <w:rtl/>
        </w:rPr>
        <w:t>ينبغي للدولة الطرف أن تتخذ جميع التدابير اللازمة من أجل ما يلي</w:t>
      </w:r>
      <w:r w:rsidRPr="00E44E0B">
        <w:rPr>
          <w:rFonts w:ascii="Simplified Arabic"/>
          <w:b/>
          <w:bCs/>
          <w:szCs w:val="20"/>
          <w:rtl/>
        </w:rPr>
        <w:t>:</w:t>
      </w:r>
      <w:r w:rsidRPr="00E44E0B">
        <w:rPr>
          <w:b/>
          <w:bCs/>
          <w:rtl/>
        </w:rPr>
        <w:t xml:space="preserve"> </w:t>
      </w:r>
    </w:p>
    <w:p w14:paraId="7DDF796C" w14:textId="7B746F9E" w:rsidR="00D66135" w:rsidRPr="00E44E0B" w:rsidRDefault="00AA3219" w:rsidP="00AA3219">
      <w:pPr>
        <w:pStyle w:val="SingleTxtGA"/>
        <w:rPr>
          <w:rFonts w:eastAsia="SimSun" w:cs="Times New Roman"/>
          <w:b/>
          <w:bCs/>
          <w:szCs w:val="20"/>
          <w:rtl/>
          <w:lang w:val="ar-SA" w:eastAsia="zh-TW"/>
        </w:rPr>
      </w:pPr>
      <w:r>
        <w:rPr>
          <w:rtl/>
        </w:rPr>
        <w:tab/>
      </w:r>
      <w:r w:rsidR="00D66135">
        <w:rPr>
          <w:rtl/>
        </w:rPr>
        <w:t>(أ</w:t>
      </w:r>
      <w:r w:rsidR="00D66135" w:rsidRPr="00947D84">
        <w:rPr>
          <w:rtl/>
        </w:rPr>
        <w:t>)</w:t>
      </w:r>
      <w:r w:rsidR="00D66135" w:rsidRPr="00E44E0B">
        <w:rPr>
          <w:b/>
          <w:bCs/>
          <w:rtl/>
        </w:rPr>
        <w:tab/>
        <w:t>التأكد من أن جميع حالات العنف الجنسي تخضع لتحقيقات شاملة ومستقلة، بما في ذلك الحالات التي يُزعم وقوعها على أيدي عناصر من الإمبونيراكور ووكالة الاستخبارات الوطنية وقوات الأمن، وتقديم الجناة إلى العدالة ومعاقبتهم في حال ثبوت إدانتهم؛</w:t>
      </w:r>
      <w:r w:rsidR="003E2B57" w:rsidRPr="00E44E0B">
        <w:rPr>
          <w:b/>
          <w:bCs/>
          <w:rtl/>
        </w:rPr>
        <w:t xml:space="preserve"> </w:t>
      </w:r>
    </w:p>
    <w:p w14:paraId="01421156" w14:textId="7DE55408" w:rsidR="00D66135" w:rsidRPr="00E44E0B" w:rsidRDefault="00AA3219" w:rsidP="00AA3219">
      <w:pPr>
        <w:pStyle w:val="SingleTxtGA"/>
        <w:rPr>
          <w:rFonts w:eastAsia="SimSun" w:cs="Times New Roman"/>
          <w:b/>
          <w:bCs/>
          <w:szCs w:val="20"/>
          <w:rtl/>
          <w:lang w:val="ar-SA" w:eastAsia="zh-TW"/>
        </w:rPr>
      </w:pPr>
      <w:r>
        <w:rPr>
          <w:rtl/>
        </w:rPr>
        <w:tab/>
      </w:r>
      <w:r w:rsidR="00D66135">
        <w:rPr>
          <w:rtl/>
        </w:rPr>
        <w:t>(ب</w:t>
      </w:r>
      <w:r w:rsidR="00D66135" w:rsidRPr="00947D84">
        <w:rPr>
          <w:rtl/>
        </w:rPr>
        <w:t>)</w:t>
      </w:r>
      <w:r w:rsidR="00D66135" w:rsidRPr="00E44E0B">
        <w:rPr>
          <w:b/>
          <w:bCs/>
          <w:rtl/>
        </w:rPr>
        <w:tab/>
        <w:t xml:space="preserve">ضمان حصول جميع ضحايا العنف الجنسي على خدمات المساعدة القانونية والطبية والمالية والنفسية بشكل فعال، وعلى سبل انتصاف فعالة، وجبر الأضرار والحماية، بما في ذلك من الأعمال الانتقامية؛ </w:t>
      </w:r>
    </w:p>
    <w:p w14:paraId="5E9FAF56" w14:textId="7EBEEF0A" w:rsidR="00D66135" w:rsidRPr="00E44E0B" w:rsidRDefault="00AA3219" w:rsidP="00AA3219">
      <w:pPr>
        <w:pStyle w:val="SingleTxtGA"/>
        <w:rPr>
          <w:rFonts w:eastAsia="SimSun" w:cs="Times New Roman"/>
          <w:b/>
          <w:bCs/>
          <w:szCs w:val="20"/>
          <w:rtl/>
          <w:lang w:val="ar-SA" w:eastAsia="zh-TW"/>
        </w:rPr>
      </w:pPr>
      <w:r>
        <w:rPr>
          <w:rtl/>
        </w:rPr>
        <w:tab/>
      </w:r>
      <w:r w:rsidR="00D66135">
        <w:rPr>
          <w:rtl/>
        </w:rPr>
        <w:t>(ج</w:t>
      </w:r>
      <w:r w:rsidR="00D66135" w:rsidRPr="00947D84">
        <w:rPr>
          <w:rtl/>
        </w:rPr>
        <w:t>)</w:t>
      </w:r>
      <w:r w:rsidR="00D66135" w:rsidRPr="00E44E0B">
        <w:rPr>
          <w:b/>
          <w:bCs/>
          <w:rtl/>
        </w:rPr>
        <w:tab/>
        <w:t>منع العنف الجنسي ضد النساء والفتيات، بما في ذلك العنف المرتكب كوسيلة للترهيب والقمع السياسي، وتوعية الموظفين الحكوميين والقضاة والمدعين العامين بحظر جميع أشكال العنف ضد النساء والفتيات.</w:t>
      </w:r>
    </w:p>
    <w:p w14:paraId="2F165EB2" w14:textId="77777777" w:rsidR="00D66135" w:rsidRPr="00E44E0B" w:rsidRDefault="00D66135" w:rsidP="00AA3219">
      <w:pPr>
        <w:pStyle w:val="H23GA"/>
        <w:rPr>
          <w:rFonts w:cs="Times New Roman"/>
          <w:szCs w:val="20"/>
          <w:rtl/>
          <w:lang w:val="ar-SA" w:eastAsia="zh-TW"/>
        </w:rPr>
      </w:pPr>
      <w:r w:rsidRPr="00E44E0B">
        <w:rPr>
          <w:rtl/>
        </w:rPr>
        <w:tab/>
      </w:r>
      <w:r w:rsidRPr="00E44E0B">
        <w:rPr>
          <w:rtl/>
        </w:rPr>
        <w:tab/>
        <w:t>الإجهاض المقصود والصحة الجنسية والإنجابية للمرأة</w:t>
      </w:r>
    </w:p>
    <w:p w14:paraId="083B998D" w14:textId="5943EBAB" w:rsidR="00D66135" w:rsidRPr="00A96116" w:rsidRDefault="00D66135" w:rsidP="00AA3219">
      <w:pPr>
        <w:pStyle w:val="SingleTxtGA"/>
        <w:rPr>
          <w:rtl/>
        </w:rPr>
      </w:pPr>
      <w:r w:rsidRPr="00E44E0B">
        <w:rPr>
          <w:rtl/>
        </w:rPr>
        <w:t>18</w:t>
      </w:r>
      <w:r w:rsidRPr="00A96116">
        <w:rPr>
          <w:rtl/>
        </w:rPr>
        <w:t>-</w:t>
      </w:r>
      <w:r w:rsidRPr="00A96116">
        <w:rPr>
          <w:rtl/>
        </w:rPr>
        <w:tab/>
        <w:t xml:space="preserve">يساور اللجنة القلق إزاء المادة </w:t>
      </w:r>
      <w:r w:rsidRPr="00E44E0B">
        <w:rPr>
          <w:rtl/>
        </w:rPr>
        <w:t>533</w:t>
      </w:r>
      <w:r w:rsidRPr="00A96116">
        <w:rPr>
          <w:rtl/>
        </w:rPr>
        <w:t xml:space="preserve"> من القانون الجنائي، التي تجرّم الإجهاض، وإزاء الشروط التقييدية للغاية، المبينة في المادة </w:t>
      </w:r>
      <w:r w:rsidRPr="00E44E0B">
        <w:rPr>
          <w:rtl/>
        </w:rPr>
        <w:t>534</w:t>
      </w:r>
      <w:r w:rsidRPr="00A96116">
        <w:rPr>
          <w:rtl/>
        </w:rPr>
        <w:t xml:space="preserve"> من القانون نفسه، والتي بموجبها يجوز للمرأة قانوناً وقف الحمل طوعياً في حال كان يشكل تهديداً لحياتها أو يلحق ضرراً جسيماً ودائماً بصحتها، مما يدفع النساء إلى </w:t>
      </w:r>
      <w:r w:rsidRPr="00A96116">
        <w:rPr>
          <w:rtl/>
        </w:rPr>
        <w:lastRenderedPageBreak/>
        <w:t xml:space="preserve">اللجوء إلى عمليات إجهاض سرية وغير مأمونة، في ظروف تعرض حياتهن وصحتهن للخطر. ويساور اللجنة القلق أيضاً إزاء معلومات مفادها أن العديد من النساء اللواتي يلجأن إلى الإجهاض يحاكمن جنائياً ويقضين عقوبة بالسجن (المواد </w:t>
      </w:r>
      <w:r w:rsidRPr="00E44E0B">
        <w:rPr>
          <w:rtl/>
        </w:rPr>
        <w:t>3</w:t>
      </w:r>
      <w:r w:rsidRPr="00A96116">
        <w:rPr>
          <w:rtl/>
        </w:rPr>
        <w:t xml:space="preserve"> و</w:t>
      </w:r>
      <w:r w:rsidRPr="00E44E0B">
        <w:rPr>
          <w:rtl/>
        </w:rPr>
        <w:t>6</w:t>
      </w:r>
      <w:r w:rsidRPr="00A96116">
        <w:rPr>
          <w:rtl/>
        </w:rPr>
        <w:t xml:space="preserve"> و</w:t>
      </w:r>
      <w:r w:rsidRPr="00E44E0B">
        <w:rPr>
          <w:rtl/>
        </w:rPr>
        <w:t>7</w:t>
      </w:r>
      <w:r w:rsidRPr="00A96116">
        <w:rPr>
          <w:rtl/>
        </w:rPr>
        <w:t xml:space="preserve"> و</w:t>
      </w:r>
      <w:r w:rsidRPr="00E44E0B">
        <w:rPr>
          <w:rtl/>
        </w:rPr>
        <w:t>17</w:t>
      </w:r>
      <w:r w:rsidRPr="00A96116">
        <w:rPr>
          <w:rtl/>
        </w:rPr>
        <w:t xml:space="preserve"> و</w:t>
      </w:r>
      <w:r w:rsidRPr="00E44E0B">
        <w:rPr>
          <w:rtl/>
        </w:rPr>
        <w:t>2</w:t>
      </w:r>
      <w:r w:rsidR="00306EEC" w:rsidRPr="00E44E0B">
        <w:rPr>
          <w:rtl/>
        </w:rPr>
        <w:t>6</w:t>
      </w:r>
      <w:r w:rsidR="00306EEC" w:rsidRPr="00947D84">
        <w:rPr>
          <w:rtl/>
        </w:rPr>
        <w:t>)</w:t>
      </w:r>
      <w:r w:rsidR="00306EEC" w:rsidRPr="00A96116">
        <w:rPr>
          <w:rtl/>
        </w:rPr>
        <w:t xml:space="preserve">. </w:t>
      </w:r>
    </w:p>
    <w:p w14:paraId="717E6340" w14:textId="37404471" w:rsidR="00D66135" w:rsidRPr="00E44E0B" w:rsidRDefault="00D66135" w:rsidP="00AA3219">
      <w:pPr>
        <w:pStyle w:val="SingleTxtGA"/>
        <w:rPr>
          <w:rFonts w:eastAsia="SimSun" w:cs="Times New Roman"/>
          <w:b/>
          <w:bCs/>
          <w:szCs w:val="20"/>
          <w:rtl/>
          <w:lang w:val="ar-SA" w:eastAsia="zh-TW"/>
        </w:rPr>
      </w:pPr>
      <w:r w:rsidRPr="00E44E0B">
        <w:rPr>
          <w:rtl/>
        </w:rPr>
        <w:t>19</w:t>
      </w:r>
      <w:r w:rsidRPr="003E2B57">
        <w:rPr>
          <w:rtl/>
        </w:rPr>
        <w:t>-</w:t>
      </w:r>
      <w:r>
        <w:rPr>
          <w:rtl/>
        </w:rPr>
        <w:tab/>
      </w:r>
      <w:r w:rsidRPr="00E44E0B">
        <w:rPr>
          <w:b/>
          <w:bCs/>
          <w:rtl/>
        </w:rPr>
        <w:t>في ضوء الفقرة 8 من تعليق اللجنة العام رقم 36</w:t>
      </w:r>
      <w:r w:rsidRPr="00E44E0B">
        <w:rPr>
          <w:rFonts w:ascii="Simplified Arabic"/>
          <w:b/>
          <w:bCs/>
          <w:szCs w:val="20"/>
          <w:rtl/>
        </w:rPr>
        <w:t>(</w:t>
      </w:r>
      <w:r w:rsidRPr="00E44E0B">
        <w:rPr>
          <w:b/>
          <w:bCs/>
          <w:rtl/>
        </w:rPr>
        <w:t>201</w:t>
      </w:r>
      <w:r w:rsidR="00306EEC" w:rsidRPr="00E44E0B">
        <w:rPr>
          <w:b/>
          <w:bCs/>
          <w:rtl/>
        </w:rPr>
        <w:t>8</w:t>
      </w:r>
      <w:r w:rsidR="00306EEC" w:rsidRPr="00947D84">
        <w:rPr>
          <w:rtl/>
        </w:rPr>
        <w:t>)</w:t>
      </w:r>
      <w:r w:rsidR="00306EEC" w:rsidRPr="00E44E0B">
        <w:rPr>
          <w:b/>
          <w:bCs/>
          <w:rtl/>
        </w:rPr>
        <w:t xml:space="preserve"> </w:t>
      </w:r>
      <w:r w:rsidRPr="00E44E0B">
        <w:rPr>
          <w:b/>
          <w:bCs/>
          <w:rtl/>
        </w:rPr>
        <w:t>بشأن الحق في الحياة، ينبغي للدولة الطرف القيام بما يلي:</w:t>
      </w:r>
    </w:p>
    <w:p w14:paraId="18B294D3" w14:textId="4FEAD374" w:rsidR="00D66135" w:rsidRPr="00E44E0B" w:rsidRDefault="00AA3219" w:rsidP="00AA3219">
      <w:pPr>
        <w:pStyle w:val="SingleTxtGA"/>
        <w:rPr>
          <w:b/>
          <w:bCs/>
          <w:rtl/>
        </w:rPr>
      </w:pPr>
      <w:r w:rsidRPr="00A96116">
        <w:rPr>
          <w:rtl/>
        </w:rPr>
        <w:tab/>
      </w:r>
      <w:r w:rsidR="00D66135" w:rsidRPr="00A96116">
        <w:rPr>
          <w:rtl/>
        </w:rPr>
        <w:t>(أ</w:t>
      </w:r>
      <w:r w:rsidR="00D66135" w:rsidRPr="00947D84">
        <w:rPr>
          <w:rtl/>
        </w:rPr>
        <w:t>)</w:t>
      </w:r>
      <w:r w:rsidR="00D66135" w:rsidRPr="00E44E0B">
        <w:rPr>
          <w:b/>
          <w:bCs/>
          <w:rtl/>
        </w:rPr>
        <w:tab/>
        <w:t>تعديل تشريعاتها من أجل ضمان الاستفادة من خدمات الإجهاض بشكل آمن وقانوني وفعلي متى تبيّن أن استمرار الحمل حتى الولادة قد يسبب للمرأة أو الفتاة الحامل ألماً أو معاناة شديديْن، ولا سيما عندما يكون الحمل ناجماً عن اغتصاب أو سفاح محارم أو لا يحتمل بقاء الجنين على قيد الحياة؛</w:t>
      </w:r>
    </w:p>
    <w:p w14:paraId="16041ED3" w14:textId="1925884E" w:rsidR="00D66135" w:rsidRPr="00E44E0B" w:rsidRDefault="00AA3219" w:rsidP="00AA3219">
      <w:pPr>
        <w:pStyle w:val="SingleTxtGA"/>
        <w:rPr>
          <w:rFonts w:eastAsia="SimSun" w:cs="Times New Roman"/>
          <w:b/>
          <w:bCs/>
          <w:szCs w:val="20"/>
          <w:rtl/>
          <w:lang w:val="ar-SA" w:eastAsia="zh-TW"/>
        </w:rPr>
      </w:pPr>
      <w:r>
        <w:rPr>
          <w:rtl/>
        </w:rPr>
        <w:tab/>
      </w:r>
      <w:r w:rsidR="00D66135">
        <w:rPr>
          <w:rtl/>
        </w:rPr>
        <w:t>(ب</w:t>
      </w:r>
      <w:r w:rsidR="00D66135" w:rsidRPr="00947D84">
        <w:rPr>
          <w:rtl/>
        </w:rPr>
        <w:t>)</w:t>
      </w:r>
      <w:r w:rsidR="00D66135" w:rsidRPr="00E44E0B">
        <w:rPr>
          <w:b/>
          <w:bCs/>
          <w:rtl/>
        </w:rPr>
        <w:tab/>
        <w:t xml:space="preserve">تعديل الشروط التقييدية للاستفادة من خدمات الإجهاض عندما تكون حياة وصحة المرأة أو الفتاة الحامل في خطر؛ </w:t>
      </w:r>
    </w:p>
    <w:p w14:paraId="371F32A9" w14:textId="6C5878F7" w:rsidR="00D66135" w:rsidRPr="00E44E0B" w:rsidRDefault="00AA3219" w:rsidP="00AA3219">
      <w:pPr>
        <w:pStyle w:val="SingleTxtGA"/>
        <w:rPr>
          <w:rFonts w:eastAsia="SimSun" w:cs="Times New Roman"/>
          <w:b/>
          <w:bCs/>
          <w:szCs w:val="20"/>
          <w:rtl/>
          <w:lang w:val="ar-SA" w:eastAsia="zh-TW"/>
        </w:rPr>
      </w:pPr>
      <w:r>
        <w:rPr>
          <w:rtl/>
        </w:rPr>
        <w:tab/>
      </w:r>
      <w:r w:rsidR="00D66135">
        <w:rPr>
          <w:rtl/>
        </w:rPr>
        <w:t>(ج</w:t>
      </w:r>
      <w:r w:rsidR="00D66135" w:rsidRPr="00947D84">
        <w:rPr>
          <w:rtl/>
        </w:rPr>
        <w:t>)</w:t>
      </w:r>
      <w:r w:rsidR="00D66135" w:rsidRPr="00E44E0B">
        <w:rPr>
          <w:b/>
          <w:bCs/>
          <w:rtl/>
        </w:rPr>
        <w:tab/>
        <w:t xml:space="preserve">ضمان عدم تعرّض النساء والفتيات اللواتي تلجأن إلى الإجهاض، وكذلك الأطباء الذين يساعدونهن، لعقوبات جنائية لأن هذه العقوبات ترغم النساء والفتيات على اللجوء إلى الاجهاض غير المأمون؛ </w:t>
      </w:r>
    </w:p>
    <w:p w14:paraId="42E7451A" w14:textId="1DF60C1B" w:rsidR="00D66135" w:rsidRPr="00E44E0B" w:rsidRDefault="00AA3219" w:rsidP="00AA3219">
      <w:pPr>
        <w:pStyle w:val="SingleTxtGA"/>
        <w:rPr>
          <w:rFonts w:eastAsia="SimSun" w:cs="Times New Roman"/>
          <w:b/>
          <w:bCs/>
          <w:szCs w:val="20"/>
          <w:rtl/>
          <w:lang w:val="ar-SA" w:eastAsia="zh-TW"/>
        </w:rPr>
      </w:pPr>
      <w:r>
        <w:rPr>
          <w:rtl/>
        </w:rPr>
        <w:tab/>
      </w:r>
      <w:r w:rsidR="00D66135">
        <w:rPr>
          <w:rtl/>
        </w:rPr>
        <w:t>(د</w:t>
      </w:r>
      <w:r w:rsidR="00D66135" w:rsidRPr="00947D84">
        <w:rPr>
          <w:rtl/>
        </w:rPr>
        <w:t>)</w:t>
      </w:r>
      <w:r w:rsidR="00D66135" w:rsidRPr="00E44E0B">
        <w:rPr>
          <w:b/>
          <w:bCs/>
          <w:rtl/>
        </w:rPr>
        <w:tab/>
        <w:t>تنفيذ سياسات توعوية لمكافحة وصم النساء والفتيات اللواتي تلجأن إلى الإجهاض؛</w:t>
      </w:r>
      <w:r w:rsidR="003E2B57" w:rsidRPr="00E44E0B">
        <w:rPr>
          <w:b/>
          <w:bCs/>
          <w:rtl/>
        </w:rPr>
        <w:t xml:space="preserve"> </w:t>
      </w:r>
    </w:p>
    <w:p w14:paraId="3D52C9C4" w14:textId="7D84D7D1" w:rsidR="00D66135" w:rsidRPr="00E44E0B" w:rsidRDefault="00AA3219" w:rsidP="00AA3219">
      <w:pPr>
        <w:pStyle w:val="SingleTxtGA"/>
        <w:rPr>
          <w:rFonts w:eastAsia="SimSun" w:cs="Times New Roman"/>
          <w:b/>
          <w:bCs/>
          <w:szCs w:val="20"/>
          <w:rtl/>
          <w:lang w:val="ar-SA" w:eastAsia="zh-TW"/>
        </w:rPr>
      </w:pPr>
      <w:r>
        <w:rPr>
          <w:rtl/>
        </w:rPr>
        <w:tab/>
      </w:r>
      <w:r w:rsidR="00D66135">
        <w:rPr>
          <w:rtl/>
        </w:rPr>
        <w:t>(ه</w:t>
      </w:r>
      <w:r w:rsidR="00D66135" w:rsidRPr="00947D84">
        <w:rPr>
          <w:rtl/>
        </w:rPr>
        <w:t>)</w:t>
      </w:r>
      <w:r w:rsidR="00D66135">
        <w:rPr>
          <w:rtl/>
        </w:rPr>
        <w:tab/>
      </w:r>
      <w:r w:rsidR="00D66135" w:rsidRPr="00E44E0B">
        <w:rPr>
          <w:b/>
          <w:bCs/>
          <w:rtl/>
        </w:rPr>
        <w:t xml:space="preserve">ضمان تثقيف النساء والرجال، ولا سيما الفتيات والفتيان، بشأن الصحة الجنسية والإنجابية والحقوق ذات الصلة وبشأن شريحة واسعة من وسائل منع الحمل المتوفرة بأسعار معقولة. </w:t>
      </w:r>
    </w:p>
    <w:p w14:paraId="2C133D72" w14:textId="77777777" w:rsidR="00D66135" w:rsidRPr="00E44E0B" w:rsidRDefault="00D66135" w:rsidP="00AA3219">
      <w:pPr>
        <w:pStyle w:val="H23GA"/>
        <w:rPr>
          <w:rFonts w:cs="Times New Roman"/>
          <w:szCs w:val="20"/>
          <w:rtl/>
          <w:lang w:val="ar-SA" w:eastAsia="zh-TW"/>
        </w:rPr>
      </w:pPr>
      <w:r w:rsidRPr="00E44E0B">
        <w:rPr>
          <w:rtl/>
        </w:rPr>
        <w:tab/>
      </w:r>
      <w:r w:rsidRPr="00E44E0B">
        <w:rPr>
          <w:rtl/>
        </w:rPr>
        <w:tab/>
        <w:t>الحق في الحياة، وحظر التعذيب وغيره من ضروب المعاملة القاسية واللاإنسانية والمهينة ومكافحة الإفلات من العقاب</w:t>
      </w:r>
    </w:p>
    <w:p w14:paraId="7928FEB3" w14:textId="6BE57CC1" w:rsidR="00D66135" w:rsidRPr="002023B7" w:rsidRDefault="00D66135" w:rsidP="00AA3219">
      <w:pPr>
        <w:pStyle w:val="SingleTxtGA"/>
        <w:rPr>
          <w:rFonts w:eastAsia="SimSun" w:cs="Times New Roman"/>
          <w:szCs w:val="20"/>
          <w:rtl/>
          <w:lang w:val="ar-SA" w:eastAsia="zh-TW"/>
        </w:rPr>
      </w:pPr>
      <w:r w:rsidRPr="00E44E0B">
        <w:rPr>
          <w:rtl/>
        </w:rPr>
        <w:t>20</w:t>
      </w:r>
      <w:r w:rsidRPr="003E2B57">
        <w:rPr>
          <w:rtl/>
        </w:rPr>
        <w:t>-</w:t>
      </w:r>
      <w:r>
        <w:rPr>
          <w:rtl/>
        </w:rPr>
        <w:tab/>
        <w:t xml:space="preserve">تحيط اللجنة علماً بالتدابير المعتمدة لتعزيز الإطار التشريعي لحماية الحق في الحياة ومنع التعذيب وقمعه، مثل القانون رقم </w:t>
      </w:r>
      <w:r w:rsidRPr="00E44E0B">
        <w:rPr>
          <w:rtl/>
        </w:rPr>
        <w:t>1</w:t>
      </w:r>
      <w:r>
        <w:rPr>
          <w:rFonts w:ascii="Simplified Arabic"/>
          <w:szCs w:val="20"/>
          <w:rtl/>
        </w:rPr>
        <w:t>/</w:t>
      </w:r>
      <w:r w:rsidRPr="00E44E0B">
        <w:rPr>
          <w:rtl/>
        </w:rPr>
        <w:t>27</w:t>
      </w:r>
      <w:r>
        <w:rPr>
          <w:rtl/>
        </w:rPr>
        <w:t xml:space="preserve"> المؤرخ </w:t>
      </w:r>
      <w:r w:rsidRPr="00E44E0B">
        <w:rPr>
          <w:rtl/>
        </w:rPr>
        <w:t>29</w:t>
      </w:r>
      <w:r>
        <w:rPr>
          <w:rtl/>
        </w:rPr>
        <w:t xml:space="preserve"> كانون الأول/ديسمبر </w:t>
      </w:r>
      <w:r w:rsidRPr="00E44E0B">
        <w:rPr>
          <w:rtl/>
        </w:rPr>
        <w:t>2017</w:t>
      </w:r>
      <w:r>
        <w:rPr>
          <w:rtl/>
        </w:rPr>
        <w:t xml:space="preserve"> المعدّل للقانون الجنائي والقانون رقم </w:t>
      </w:r>
      <w:r w:rsidRPr="00E44E0B">
        <w:rPr>
          <w:rtl/>
        </w:rPr>
        <w:t>1</w:t>
      </w:r>
      <w:r>
        <w:rPr>
          <w:rFonts w:ascii="Simplified Arabic"/>
          <w:szCs w:val="20"/>
          <w:rtl/>
        </w:rPr>
        <w:t>/</w:t>
      </w:r>
      <w:r w:rsidRPr="00E44E0B">
        <w:rPr>
          <w:rtl/>
        </w:rPr>
        <w:t>09</w:t>
      </w:r>
      <w:r>
        <w:rPr>
          <w:rtl/>
        </w:rPr>
        <w:t xml:space="preserve"> المؤرخ </w:t>
      </w:r>
      <w:r w:rsidRPr="00E44E0B">
        <w:rPr>
          <w:rtl/>
        </w:rPr>
        <w:t>11</w:t>
      </w:r>
      <w:r>
        <w:rPr>
          <w:rtl/>
        </w:rPr>
        <w:t xml:space="preserve"> أيار/مايو </w:t>
      </w:r>
      <w:r w:rsidRPr="00E44E0B">
        <w:rPr>
          <w:rtl/>
        </w:rPr>
        <w:t>2018</w:t>
      </w:r>
      <w:r>
        <w:rPr>
          <w:rtl/>
        </w:rPr>
        <w:t xml:space="preserve"> المعدّل لقانون الإجراءات الجنائية. بيد أنها تلاحظ بجزع المعلومات العديدة والمتسقة عن ارتفاع حالات الاخ</w:t>
      </w:r>
      <w:r>
        <w:rPr>
          <w:rtl/>
          <w:lang w:bidi="ar-LB"/>
        </w:rPr>
        <w:t>ت</w:t>
      </w:r>
      <w:r>
        <w:rPr>
          <w:rtl/>
        </w:rPr>
        <w:t xml:space="preserve">فاء القسري والقتل خارج نطاق القضاء والتعذيب، التي ارتكبها عناصر من الإمبونيراكور ووكالة الاستخبارات الوطنية والشرطة وقوات الأمن، ووقع ضحاياها أساساً المعارضون السياسيون أو المعارضون المفترضون، وقد اشتدت هذه الانتهاكات خلال المظاهرات عام </w:t>
      </w:r>
      <w:r w:rsidRPr="00E44E0B">
        <w:rPr>
          <w:rtl/>
        </w:rPr>
        <w:t>2015</w:t>
      </w:r>
      <w:r>
        <w:rPr>
          <w:rtl/>
        </w:rPr>
        <w:t xml:space="preserve">، والاستفتاء الدستوري عام </w:t>
      </w:r>
      <w:r w:rsidRPr="00E44E0B">
        <w:rPr>
          <w:rtl/>
        </w:rPr>
        <w:t>2018</w:t>
      </w:r>
      <w:r>
        <w:rPr>
          <w:rtl/>
        </w:rPr>
        <w:t xml:space="preserve">، والانتخابات عام </w:t>
      </w:r>
      <w:r w:rsidRPr="00E44E0B">
        <w:rPr>
          <w:rtl/>
        </w:rPr>
        <w:t>202</w:t>
      </w:r>
      <w:r w:rsidR="00306EEC" w:rsidRPr="00E44E0B">
        <w:rPr>
          <w:rtl/>
        </w:rPr>
        <w:t>0</w:t>
      </w:r>
      <w:r w:rsidR="00306EEC" w:rsidRPr="00306EEC">
        <w:rPr>
          <w:rFonts w:ascii="Simplified Arabic"/>
          <w:szCs w:val="20"/>
          <w:rtl/>
        </w:rPr>
        <w:t>.</w:t>
      </w:r>
      <w:r w:rsidR="00306EEC" w:rsidRPr="00306EEC">
        <w:rPr>
          <w:rtl/>
        </w:rPr>
        <w:t xml:space="preserve"> </w:t>
      </w:r>
      <w:r>
        <w:rPr>
          <w:rtl/>
        </w:rPr>
        <w:t xml:space="preserve">كما تلاحظ بقلق المعلومات العديدة التي تفيد بممارسة السلطات دفن الجثث التي يعثر عليها في الأماكن العامة وعليها آثار وفاة عنيفة، بشكل فوري، دون تحديد هويتها أو إخطار الأسر أو الشروع في إجراء تحقيقات في ظروف الوفيات والجناة المحتملين. </w:t>
      </w:r>
    </w:p>
    <w:p w14:paraId="28B5F897" w14:textId="1C048187" w:rsidR="00306EEC" w:rsidRPr="00C25098" w:rsidRDefault="00D66135" w:rsidP="00AA3219">
      <w:pPr>
        <w:pStyle w:val="SingleTxtGA"/>
        <w:rPr>
          <w:rFonts w:eastAsia="SimSun" w:cs="Times New Roman"/>
          <w:spacing w:val="-2"/>
          <w:szCs w:val="20"/>
          <w:rtl/>
          <w:lang w:val="ar-SA" w:eastAsia="zh-TW"/>
        </w:rPr>
      </w:pPr>
      <w:r w:rsidRPr="00E44E0B">
        <w:rPr>
          <w:spacing w:val="-2"/>
          <w:rtl/>
        </w:rPr>
        <w:t>21</w:t>
      </w:r>
      <w:r w:rsidRPr="00C25098">
        <w:rPr>
          <w:spacing w:val="-2"/>
          <w:rtl/>
        </w:rPr>
        <w:t>-</w:t>
      </w:r>
      <w:r w:rsidRPr="00C25098">
        <w:rPr>
          <w:spacing w:val="-2"/>
          <w:rtl/>
        </w:rPr>
        <w:tab/>
        <w:t>وفي هذا السياق، لا تزال اللجنة تشعر بالقلق إزاء الإفلات من العقاب المثير للجزع الذي ساد ولا يزال سائداً بالنسبة لمرتكبي هذه الانتهاكات، مما أدى إلى ارتكاب انتهاكات جديدة، سواء من جانب الموظفين الحكوميين أو أعضاء الإمبونيراكور. وفي هذا الصدد، تعرب اللجنة عن أسفها العميق لعدم تلقيها معلومات كافية بشأن ما يلي: (أ</w:t>
      </w:r>
      <w:r w:rsidRPr="00947D84">
        <w:rPr>
          <w:rtl/>
        </w:rPr>
        <w:t>)</w:t>
      </w:r>
      <w:r w:rsidRPr="00C25098">
        <w:rPr>
          <w:spacing w:val="-2"/>
          <w:rtl/>
        </w:rPr>
        <w:t xml:space="preserve"> التدابير المتخذة لمعرفة مصير المفقودين وتحديد أماكن وجودهم؛ (ب) التحقيقات والمحاكمات التي أجريت بشأن هذه الانتهاكات، وأحكام الإدانة التي أصدرتها المحاكم المحلية والعقوبات التي فرضتها على المسؤولين؛ (ج) التدابير المعتمدة لضمان لجوء الضحايا وأسرهم إلى العدالة وجبر الأضرار جبراً مناسباً؛ (د) التحقيقات التي أُجريت في، أولاً، الحالات المزعومة للإعدام بإجراءات موجزة في أحياء </w:t>
      </w:r>
      <w:r w:rsidRPr="00C25098">
        <w:rPr>
          <w:spacing w:val="-2"/>
          <w:rtl/>
        </w:rPr>
        <w:lastRenderedPageBreak/>
        <w:t xml:space="preserve">نياكابيغا وموساغا وموتاكورا وسيبيتوكي وجابي ونغاغارا خلال أحداث </w:t>
      </w:r>
      <w:r w:rsidRPr="00E44E0B">
        <w:rPr>
          <w:spacing w:val="-2"/>
          <w:rtl/>
        </w:rPr>
        <w:t>11</w:t>
      </w:r>
      <w:r w:rsidRPr="00C25098">
        <w:rPr>
          <w:spacing w:val="-2"/>
          <w:rtl/>
        </w:rPr>
        <w:t xml:space="preserve"> كانون الأول/ديسمبر </w:t>
      </w:r>
      <w:r w:rsidRPr="00E44E0B">
        <w:rPr>
          <w:spacing w:val="-2"/>
          <w:rtl/>
        </w:rPr>
        <w:t>2015</w:t>
      </w:r>
      <w:r w:rsidRPr="00C25098">
        <w:rPr>
          <w:spacing w:val="-2"/>
          <w:rtl/>
        </w:rPr>
        <w:t xml:space="preserve"> ودفن جثث الضحايا في مقابر جماعية؛ وثانياً، حالات الإعدام بإجراءات موجزة في ثلاث بلديات في مقاطعة بوجومبورا (إيسالي وكانيوشا ونيابيرابا) بين </w:t>
      </w:r>
      <w:r w:rsidRPr="00E44E0B">
        <w:rPr>
          <w:spacing w:val="-2"/>
          <w:rtl/>
        </w:rPr>
        <w:t>19</w:t>
      </w:r>
      <w:r w:rsidRPr="00C25098">
        <w:rPr>
          <w:spacing w:val="-2"/>
          <w:rtl/>
        </w:rPr>
        <w:t xml:space="preserve"> و</w:t>
      </w:r>
      <w:r w:rsidRPr="00E44E0B">
        <w:rPr>
          <w:spacing w:val="-2"/>
          <w:rtl/>
        </w:rPr>
        <w:t>23</w:t>
      </w:r>
      <w:r w:rsidRPr="00C25098">
        <w:rPr>
          <w:spacing w:val="-2"/>
          <w:rtl/>
        </w:rPr>
        <w:t xml:space="preserve"> شباط/</w:t>
      </w:r>
      <w:r w:rsidR="00C25098" w:rsidRPr="00C25098">
        <w:rPr>
          <w:rFonts w:hint="cs"/>
          <w:spacing w:val="-2"/>
          <w:rtl/>
        </w:rPr>
        <w:t xml:space="preserve"> </w:t>
      </w:r>
      <w:r w:rsidRPr="00C25098">
        <w:rPr>
          <w:spacing w:val="-2"/>
          <w:rtl/>
        </w:rPr>
        <w:t>فبراير</w:t>
      </w:r>
      <w:r w:rsidR="00C25098" w:rsidRPr="00C25098">
        <w:rPr>
          <w:rFonts w:hint="cs"/>
          <w:spacing w:val="-2"/>
          <w:rtl/>
        </w:rPr>
        <w:t> </w:t>
      </w:r>
      <w:r w:rsidRPr="00E44E0B">
        <w:rPr>
          <w:spacing w:val="-2"/>
          <w:rtl/>
        </w:rPr>
        <w:t>2020</w:t>
      </w:r>
      <w:r w:rsidRPr="00C25098">
        <w:rPr>
          <w:spacing w:val="-2"/>
          <w:rtl/>
        </w:rPr>
        <w:t xml:space="preserve">؛ وثالثاً، قضيتي باسكال نينغانزا واثنين آخرين، يزعم أنهم سقطوا على أيدي رجال الشرطة في </w:t>
      </w:r>
      <w:r w:rsidRPr="00E44E0B">
        <w:rPr>
          <w:spacing w:val="-2"/>
          <w:rtl/>
        </w:rPr>
        <w:t>15</w:t>
      </w:r>
      <w:r w:rsidRPr="00C25098">
        <w:rPr>
          <w:spacing w:val="-2"/>
          <w:rtl/>
        </w:rPr>
        <w:t xml:space="preserve"> نيسان/أبريل </w:t>
      </w:r>
      <w:r w:rsidRPr="00E44E0B">
        <w:rPr>
          <w:spacing w:val="-2"/>
          <w:rtl/>
        </w:rPr>
        <w:t>2020</w:t>
      </w:r>
      <w:r w:rsidRPr="00C25098">
        <w:rPr>
          <w:spacing w:val="-2"/>
          <w:rtl/>
        </w:rPr>
        <w:t xml:space="preserve">؛ ورابعاً، قضية كلود نديمونزيغو، الذي يزعم أنه أعدم خارج نطاق القضاء على أيدي عسكريين في </w:t>
      </w:r>
      <w:r w:rsidRPr="00E44E0B">
        <w:rPr>
          <w:spacing w:val="-2"/>
          <w:rtl/>
        </w:rPr>
        <w:t>8</w:t>
      </w:r>
      <w:r w:rsidRPr="00C25098">
        <w:rPr>
          <w:spacing w:val="-2"/>
          <w:rtl/>
        </w:rPr>
        <w:t xml:space="preserve"> أو </w:t>
      </w:r>
      <w:r w:rsidRPr="00E44E0B">
        <w:rPr>
          <w:spacing w:val="-2"/>
          <w:rtl/>
        </w:rPr>
        <w:t>9</w:t>
      </w:r>
      <w:r w:rsidRPr="00C25098">
        <w:rPr>
          <w:spacing w:val="-2"/>
          <w:rtl/>
        </w:rPr>
        <w:t xml:space="preserve"> نيسان/أبريل </w:t>
      </w:r>
      <w:r w:rsidRPr="00E44E0B">
        <w:rPr>
          <w:spacing w:val="-2"/>
          <w:rtl/>
        </w:rPr>
        <w:t>2023</w:t>
      </w:r>
      <w:r w:rsidRPr="00C25098">
        <w:rPr>
          <w:spacing w:val="-2"/>
          <w:rtl/>
        </w:rPr>
        <w:t xml:space="preserve"> في محمية كيبيرا الطبيعية (المواد </w:t>
      </w:r>
      <w:r w:rsidRPr="00E44E0B">
        <w:rPr>
          <w:spacing w:val="-2"/>
          <w:rtl/>
        </w:rPr>
        <w:t>2</w:t>
      </w:r>
      <w:r w:rsidRPr="00C25098">
        <w:rPr>
          <w:spacing w:val="-2"/>
          <w:rtl/>
        </w:rPr>
        <w:t xml:space="preserve"> و</w:t>
      </w:r>
      <w:r w:rsidRPr="00E44E0B">
        <w:rPr>
          <w:spacing w:val="-2"/>
          <w:rtl/>
        </w:rPr>
        <w:t>6</w:t>
      </w:r>
      <w:r w:rsidRPr="00C25098">
        <w:rPr>
          <w:spacing w:val="-2"/>
          <w:rtl/>
        </w:rPr>
        <w:t xml:space="preserve"> و</w:t>
      </w:r>
      <w:r w:rsidRPr="00E44E0B">
        <w:rPr>
          <w:spacing w:val="-2"/>
          <w:rtl/>
        </w:rPr>
        <w:t>7</w:t>
      </w:r>
      <w:r w:rsidRPr="00C25098">
        <w:rPr>
          <w:spacing w:val="-2"/>
          <w:rtl/>
        </w:rPr>
        <w:t xml:space="preserve"> و</w:t>
      </w:r>
      <w:r w:rsidRPr="00E44E0B">
        <w:rPr>
          <w:spacing w:val="-2"/>
          <w:rtl/>
        </w:rPr>
        <w:t>14</w:t>
      </w:r>
      <w:r w:rsidRPr="00C25098">
        <w:rPr>
          <w:spacing w:val="-2"/>
          <w:rtl/>
        </w:rPr>
        <w:t xml:space="preserve"> و</w:t>
      </w:r>
      <w:r w:rsidRPr="00E44E0B">
        <w:rPr>
          <w:spacing w:val="-2"/>
          <w:rtl/>
        </w:rPr>
        <w:t>2</w:t>
      </w:r>
      <w:r w:rsidR="00306EEC" w:rsidRPr="00E44E0B">
        <w:rPr>
          <w:spacing w:val="-2"/>
          <w:rtl/>
        </w:rPr>
        <w:t>6</w:t>
      </w:r>
      <w:r w:rsidR="00306EEC" w:rsidRPr="00C25098">
        <w:rPr>
          <w:spacing w:val="-2"/>
          <w:rtl/>
        </w:rPr>
        <w:t>).</w:t>
      </w:r>
    </w:p>
    <w:p w14:paraId="47B48845" w14:textId="257A350F" w:rsidR="00D66135" w:rsidRPr="00E44E0B" w:rsidRDefault="00D66135" w:rsidP="00AA3219">
      <w:pPr>
        <w:pStyle w:val="SingleTxtGA"/>
        <w:rPr>
          <w:rFonts w:eastAsia="SimSun" w:cs="Times New Roman"/>
          <w:b/>
          <w:bCs/>
          <w:szCs w:val="20"/>
          <w:rtl/>
          <w:lang w:val="ar-SA" w:eastAsia="zh-TW"/>
        </w:rPr>
      </w:pPr>
      <w:r w:rsidRPr="00E44E0B">
        <w:rPr>
          <w:rtl/>
        </w:rPr>
        <w:t>22</w:t>
      </w:r>
      <w:r w:rsidRPr="003E2B57">
        <w:rPr>
          <w:rtl/>
        </w:rPr>
        <w:t>-</w:t>
      </w:r>
      <w:r>
        <w:rPr>
          <w:rtl/>
        </w:rPr>
        <w:tab/>
      </w:r>
      <w:r w:rsidRPr="00E44E0B">
        <w:rPr>
          <w:b/>
          <w:bCs/>
          <w:rtl/>
        </w:rPr>
        <w:t xml:space="preserve">متابعةً للملاحظات الختامية السابقة </w:t>
      </w:r>
      <w:proofErr w:type="gramStart"/>
      <w:r w:rsidRPr="00E44E0B">
        <w:rPr>
          <w:b/>
          <w:bCs/>
          <w:rtl/>
        </w:rPr>
        <w:t>للجنة</w:t>
      </w:r>
      <w:r w:rsidR="00306EEC" w:rsidRPr="00E44E0B">
        <w:rPr>
          <w:vertAlign w:val="superscript"/>
          <w:rtl/>
        </w:rPr>
        <w:t>(</w:t>
      </w:r>
      <w:proofErr w:type="gramEnd"/>
      <w:r w:rsidR="00306EEC" w:rsidRPr="00E44E0B">
        <w:rPr>
          <w:vertAlign w:val="superscript"/>
          <w:lang w:val="en-AU"/>
        </w:rPr>
        <w:footnoteReference w:id="16"/>
      </w:r>
      <w:r w:rsidR="00306EEC" w:rsidRPr="00E44E0B">
        <w:rPr>
          <w:vertAlign w:val="superscript"/>
          <w:rtl/>
        </w:rPr>
        <w:t>)</w:t>
      </w:r>
      <w:r w:rsidR="00306EEC" w:rsidRPr="00E44E0B">
        <w:rPr>
          <w:b/>
          <w:bCs/>
          <w:rtl/>
        </w:rPr>
        <w:t xml:space="preserve">، </w:t>
      </w:r>
      <w:r w:rsidRPr="00E44E0B">
        <w:rPr>
          <w:b/>
          <w:bCs/>
          <w:rtl/>
        </w:rPr>
        <w:t>ومع مراعاة توصيات لجنة مناهضة التعذيب</w:t>
      </w:r>
      <w:r w:rsidR="00306EEC" w:rsidRPr="00E44E0B">
        <w:rPr>
          <w:vertAlign w:val="superscript"/>
          <w:rtl/>
        </w:rPr>
        <w:t>(</w:t>
      </w:r>
      <w:r w:rsidR="00306EEC" w:rsidRPr="00E44E0B">
        <w:rPr>
          <w:vertAlign w:val="superscript"/>
          <w:lang w:val="en-AU"/>
        </w:rPr>
        <w:footnoteReference w:id="17"/>
      </w:r>
      <w:r w:rsidR="00FF61C7" w:rsidRPr="00E44E0B">
        <w:rPr>
          <w:vertAlign w:val="superscript"/>
          <w:rtl/>
        </w:rPr>
        <w:t>)</w:t>
      </w:r>
      <w:r w:rsidRPr="00E44E0B">
        <w:rPr>
          <w:b/>
          <w:bCs/>
          <w:rtl/>
        </w:rPr>
        <w:t> واللجنة المعنية بالقضاء على التمييز ضد المرأة</w:t>
      </w:r>
      <w:r w:rsidR="00306EEC" w:rsidRPr="00E44E0B">
        <w:rPr>
          <w:vertAlign w:val="superscript"/>
          <w:rtl/>
        </w:rPr>
        <w:t>(</w:t>
      </w:r>
      <w:r w:rsidR="00306EEC" w:rsidRPr="00E44E0B">
        <w:rPr>
          <w:vertAlign w:val="superscript"/>
          <w:lang w:val="en-AU"/>
        </w:rPr>
        <w:footnoteReference w:id="18"/>
      </w:r>
      <w:r w:rsidR="00306EEC" w:rsidRPr="00E44E0B">
        <w:rPr>
          <w:vertAlign w:val="superscript"/>
          <w:rtl/>
        </w:rPr>
        <w:t>)</w:t>
      </w:r>
      <w:r w:rsidR="00306EEC" w:rsidRPr="00E44E0B">
        <w:rPr>
          <w:b/>
          <w:bCs/>
          <w:rtl/>
        </w:rPr>
        <w:t xml:space="preserve">، </w:t>
      </w:r>
      <w:r w:rsidRPr="00E44E0B">
        <w:rPr>
          <w:b/>
          <w:bCs/>
          <w:rtl/>
        </w:rPr>
        <w:t>ينبغي للدولة الطرف القيام بما يلي:</w:t>
      </w:r>
    </w:p>
    <w:p w14:paraId="73DC8798" w14:textId="288BFEC6" w:rsidR="00D66135" w:rsidRPr="00E44E0B" w:rsidRDefault="00AA3219" w:rsidP="00AA3219">
      <w:pPr>
        <w:pStyle w:val="SingleTxtGA"/>
        <w:rPr>
          <w:rFonts w:eastAsia="SimSun" w:cs="Times New Roman"/>
          <w:b/>
          <w:bCs/>
          <w:szCs w:val="20"/>
          <w:rtl/>
          <w:lang w:val="ar-SA" w:eastAsia="zh-TW"/>
        </w:rPr>
      </w:pPr>
      <w:r>
        <w:rPr>
          <w:rtl/>
        </w:rPr>
        <w:tab/>
      </w:r>
      <w:r w:rsidR="00D66135">
        <w:rPr>
          <w:rtl/>
        </w:rPr>
        <w:t>(</w:t>
      </w:r>
      <w:r w:rsidR="00D66135" w:rsidRPr="00C25098">
        <w:rPr>
          <w:rtl/>
        </w:rPr>
        <w:t>أ</w:t>
      </w:r>
      <w:r w:rsidR="00D66135" w:rsidRPr="00947D84">
        <w:rPr>
          <w:rtl/>
        </w:rPr>
        <w:t>)</w:t>
      </w:r>
      <w:r w:rsidR="00D66135" w:rsidRPr="00E44E0B">
        <w:rPr>
          <w:b/>
          <w:bCs/>
          <w:rtl/>
        </w:rPr>
        <w:tab/>
        <w:t>اتخاذ جميع التدابير اللازمة لمكافحة الإفلات من العقاب وضمان إجراء تحقيقات فورية نزيهة وشاملة في جميع ادعاءات ال</w:t>
      </w:r>
      <w:r w:rsidR="00947D84" w:rsidRPr="00E44E0B">
        <w:rPr>
          <w:rFonts w:hint="cs"/>
          <w:b/>
          <w:bCs/>
          <w:rtl/>
        </w:rPr>
        <w:t>ا</w:t>
      </w:r>
      <w:r w:rsidR="00D66135" w:rsidRPr="00E44E0B">
        <w:rPr>
          <w:b/>
          <w:bCs/>
          <w:rtl/>
        </w:rPr>
        <w:t xml:space="preserve">ختفاء القسري والإعدام خارج نطاق القضاء والتعذيب، لاسيما الانتهاكات التي ارتكبها الموظفون الحكوميون والإمبونيراكور، ومحاكمة المسؤولين عن هذه الأفعال، وفرض عقوبات تتناسب مع خطورة الجرائم إذا ثبتت إدانتهم؛ </w:t>
      </w:r>
    </w:p>
    <w:p w14:paraId="6E4ACBD3" w14:textId="712AA8A3" w:rsidR="00D66135" w:rsidRPr="00E44E0B" w:rsidRDefault="00AA3219" w:rsidP="00AA3219">
      <w:pPr>
        <w:pStyle w:val="SingleTxtGA"/>
        <w:rPr>
          <w:rFonts w:eastAsia="SimSun" w:cs="Times New Roman"/>
          <w:b/>
          <w:bCs/>
          <w:szCs w:val="20"/>
          <w:rtl/>
          <w:lang w:val="ar-SA" w:eastAsia="zh-TW"/>
        </w:rPr>
      </w:pPr>
      <w:r>
        <w:rPr>
          <w:rtl/>
        </w:rPr>
        <w:tab/>
      </w:r>
      <w:r w:rsidR="00D66135" w:rsidRPr="00C25098">
        <w:rPr>
          <w:rtl/>
        </w:rPr>
        <w:t>(ب)</w:t>
      </w:r>
      <w:r w:rsidR="00D66135">
        <w:rPr>
          <w:rtl/>
        </w:rPr>
        <w:tab/>
      </w:r>
      <w:r w:rsidR="00D66135" w:rsidRPr="00E44E0B">
        <w:rPr>
          <w:b/>
          <w:bCs/>
          <w:rtl/>
        </w:rPr>
        <w:t xml:space="preserve">ضمان حصول الضحايا وأسرهم على سبل انتصاف فعالة، وحمايتهم بشكل فعال من التهديدات والهجمات والأعمال الانتقامية، وحصولهم على الجبر الكامل لأضرارهم؛ </w:t>
      </w:r>
    </w:p>
    <w:p w14:paraId="467A565D" w14:textId="4068023D" w:rsidR="00D66135" w:rsidRPr="00E44E0B" w:rsidRDefault="00AA3219" w:rsidP="00AA3219">
      <w:pPr>
        <w:pStyle w:val="SingleTxtGA"/>
        <w:rPr>
          <w:rFonts w:eastAsia="SimSun" w:cs="Times New Roman"/>
          <w:b/>
          <w:bCs/>
          <w:szCs w:val="20"/>
          <w:rtl/>
          <w:lang w:val="ar-SA" w:eastAsia="zh-TW"/>
        </w:rPr>
      </w:pPr>
      <w:r>
        <w:rPr>
          <w:rtl/>
        </w:rPr>
        <w:tab/>
      </w:r>
      <w:r w:rsidR="00D66135" w:rsidRPr="00C25098">
        <w:rPr>
          <w:rtl/>
        </w:rPr>
        <w:t>(ج</w:t>
      </w:r>
      <w:r w:rsidR="00D66135" w:rsidRPr="00B82335">
        <w:rPr>
          <w:rtl/>
        </w:rPr>
        <w:t>)</w:t>
      </w:r>
      <w:r w:rsidR="00D66135" w:rsidRPr="00E44E0B">
        <w:rPr>
          <w:b/>
          <w:bCs/>
          <w:rtl/>
        </w:rPr>
        <w:tab/>
        <w:t xml:space="preserve">توضيح مصير الأشخاص المفقودين وأماكن وجودهم وضمان إبلاغ أفراد أسرهم بالتقدم المحرز ونتائج التحقيقات؛ </w:t>
      </w:r>
    </w:p>
    <w:p w14:paraId="5E4FF93D" w14:textId="56095E00" w:rsidR="00D66135" w:rsidRPr="00E44E0B" w:rsidRDefault="00AA3219" w:rsidP="00AA3219">
      <w:pPr>
        <w:pStyle w:val="SingleTxtGA"/>
        <w:rPr>
          <w:rFonts w:eastAsia="SimSun" w:cs="Times New Roman"/>
          <w:b/>
          <w:bCs/>
          <w:szCs w:val="20"/>
          <w:rtl/>
          <w:lang w:val="ar-SA" w:eastAsia="zh-TW"/>
        </w:rPr>
      </w:pPr>
      <w:r>
        <w:rPr>
          <w:rtl/>
        </w:rPr>
        <w:tab/>
      </w:r>
      <w:r w:rsidR="00D66135">
        <w:rPr>
          <w:rtl/>
        </w:rPr>
        <w:t>(د</w:t>
      </w:r>
      <w:r w:rsidR="00D66135">
        <w:rPr>
          <w:rFonts w:ascii="Simplified Arabic"/>
          <w:szCs w:val="20"/>
          <w:rtl/>
        </w:rPr>
        <w:t>)</w:t>
      </w:r>
      <w:r w:rsidR="00D66135" w:rsidRPr="00E44E0B">
        <w:rPr>
          <w:b/>
          <w:bCs/>
          <w:rtl/>
        </w:rPr>
        <w:tab/>
        <w:t xml:space="preserve">الامتناع عن تسمية أو ترقية الجناة المزعومين لانتهاكات حقوق الإنسان إلى مناصب المسؤولية؛ </w:t>
      </w:r>
    </w:p>
    <w:p w14:paraId="3D196FA1" w14:textId="7C90B1FE" w:rsidR="00D66135" w:rsidRPr="00E44E0B" w:rsidRDefault="00AA3219" w:rsidP="00AA3219">
      <w:pPr>
        <w:pStyle w:val="SingleTxtGA"/>
        <w:rPr>
          <w:rFonts w:eastAsia="SimSun" w:cs="Times New Roman"/>
          <w:b/>
          <w:bCs/>
          <w:szCs w:val="20"/>
          <w:rtl/>
          <w:lang w:val="ar-SA" w:eastAsia="zh-TW"/>
        </w:rPr>
      </w:pPr>
      <w:r>
        <w:rPr>
          <w:rtl/>
        </w:rPr>
        <w:tab/>
      </w:r>
      <w:r w:rsidR="00D66135" w:rsidRPr="00C25098">
        <w:rPr>
          <w:rtl/>
        </w:rPr>
        <w:t>(ه)</w:t>
      </w:r>
      <w:r w:rsidR="00D66135">
        <w:rPr>
          <w:rtl/>
        </w:rPr>
        <w:tab/>
      </w:r>
      <w:r w:rsidR="00D66135" w:rsidRPr="00E44E0B">
        <w:rPr>
          <w:b/>
          <w:bCs/>
          <w:rtl/>
        </w:rPr>
        <w:t>اتخاذ تدابير ملموسة لمنع المزيد من الانتهاكات، لا سيما خلال الانتخابات المقبلة؛</w:t>
      </w:r>
    </w:p>
    <w:p w14:paraId="13DC3E7F" w14:textId="6B21B38A" w:rsidR="00D66135" w:rsidRPr="00E44E0B" w:rsidRDefault="00AA3219" w:rsidP="00AA3219">
      <w:pPr>
        <w:pStyle w:val="SingleTxtGA"/>
        <w:rPr>
          <w:rFonts w:eastAsia="SimSun" w:cs="Times New Roman"/>
          <w:b/>
          <w:bCs/>
          <w:szCs w:val="20"/>
          <w:rtl/>
          <w:lang w:val="ar-SA" w:eastAsia="zh-TW"/>
        </w:rPr>
      </w:pPr>
      <w:r>
        <w:rPr>
          <w:rtl/>
        </w:rPr>
        <w:tab/>
      </w:r>
      <w:r w:rsidR="00D66135" w:rsidRPr="00C25098">
        <w:rPr>
          <w:rtl/>
        </w:rPr>
        <w:t>(و)</w:t>
      </w:r>
      <w:r w:rsidR="00D66135" w:rsidRPr="00E44E0B">
        <w:rPr>
          <w:b/>
          <w:bCs/>
          <w:rtl/>
        </w:rPr>
        <w:tab/>
        <w:t xml:space="preserve">تفعيل صندوق تعويض ضحايا التعذيب؛ </w:t>
      </w:r>
    </w:p>
    <w:p w14:paraId="0165A664" w14:textId="2666C5C0" w:rsidR="00306EEC" w:rsidRPr="00E44E0B" w:rsidRDefault="00AA3219" w:rsidP="00AA3219">
      <w:pPr>
        <w:pStyle w:val="SingleTxtGA"/>
        <w:rPr>
          <w:rFonts w:eastAsia="SimSun" w:cs="Times New Roman"/>
          <w:b/>
          <w:bCs/>
          <w:szCs w:val="20"/>
          <w:rtl/>
          <w:lang w:val="ar-SA" w:eastAsia="zh-TW"/>
        </w:rPr>
      </w:pPr>
      <w:r>
        <w:rPr>
          <w:rtl/>
        </w:rPr>
        <w:tab/>
      </w:r>
      <w:r w:rsidR="00D66135" w:rsidRPr="00C25098">
        <w:rPr>
          <w:rtl/>
        </w:rPr>
        <w:t>(ز)</w:t>
      </w:r>
      <w:r w:rsidR="00D66135" w:rsidRPr="00C25098">
        <w:rPr>
          <w:rtl/>
        </w:rPr>
        <w:tab/>
      </w:r>
      <w:r w:rsidR="00D66135" w:rsidRPr="00E44E0B">
        <w:rPr>
          <w:b/>
          <w:bCs/>
          <w:rtl/>
        </w:rPr>
        <w:t>توفير تدريب فعال للقضاة والمدعين العامين والمحامين وموظفي</w:t>
      </w:r>
      <w:r w:rsidR="003E2B57" w:rsidRPr="00E44E0B">
        <w:rPr>
          <w:b/>
          <w:bCs/>
          <w:rtl/>
        </w:rPr>
        <w:t xml:space="preserve"> </w:t>
      </w:r>
      <w:r w:rsidR="00D66135" w:rsidRPr="00E44E0B">
        <w:rPr>
          <w:b/>
          <w:bCs/>
          <w:rtl/>
        </w:rPr>
        <w:t>إنفاذ القانون يتضمن المعايير الدولية لمنع التعذيب، بما في ذلك مبادئ المقابلة الفعالة في سياق التحقيقات وجمع المعلومات (مبادئ منديز</w:t>
      </w:r>
      <w:r w:rsidR="00306EEC" w:rsidRPr="00E44E0B">
        <w:rPr>
          <w:b/>
          <w:bCs/>
          <w:rtl/>
        </w:rPr>
        <w:t>)؛</w:t>
      </w:r>
    </w:p>
    <w:p w14:paraId="1E1A617A" w14:textId="33ACE9CD" w:rsidR="00D66135" w:rsidRPr="00E44E0B" w:rsidRDefault="00AA3219" w:rsidP="00AA3219">
      <w:pPr>
        <w:pStyle w:val="SingleTxtGA"/>
        <w:rPr>
          <w:rFonts w:eastAsia="SimSun" w:cs="Times New Roman"/>
          <w:b/>
          <w:bCs/>
          <w:szCs w:val="20"/>
          <w:rtl/>
          <w:lang w:val="ar-SA" w:eastAsia="zh-TW"/>
        </w:rPr>
      </w:pPr>
      <w:r>
        <w:rPr>
          <w:rtl/>
        </w:rPr>
        <w:tab/>
      </w:r>
      <w:r w:rsidR="00D66135" w:rsidRPr="008F18CC">
        <w:rPr>
          <w:rtl/>
        </w:rPr>
        <w:t>(ح)</w:t>
      </w:r>
      <w:r w:rsidR="00D66135">
        <w:rPr>
          <w:rtl/>
        </w:rPr>
        <w:tab/>
      </w:r>
      <w:r w:rsidR="00D66135" w:rsidRPr="00E44E0B">
        <w:rPr>
          <w:b/>
          <w:bCs/>
          <w:rtl/>
        </w:rPr>
        <w:t>إنشاء آلية وطنية لمنع التعذيب في الحال وفقاً للبروتوكول الاختياري لاتفاقية مناهضة التعذيب وغيره من ضروب المعاملة أو العقوبة القاسية أو اللاإنسانية أو المهينة؛</w:t>
      </w:r>
    </w:p>
    <w:p w14:paraId="751A5617" w14:textId="3E5DA747" w:rsidR="00D66135" w:rsidRPr="00E44E0B" w:rsidRDefault="00AA3219" w:rsidP="00AA3219">
      <w:pPr>
        <w:pStyle w:val="SingleTxtGA"/>
        <w:rPr>
          <w:rFonts w:eastAsia="SimSun" w:cs="Times New Roman"/>
          <w:b/>
          <w:bCs/>
          <w:szCs w:val="20"/>
          <w:rtl/>
          <w:lang w:val="ar-SA" w:eastAsia="zh-TW"/>
        </w:rPr>
      </w:pPr>
      <w:r>
        <w:rPr>
          <w:rFonts w:ascii="Simplified Arabic"/>
          <w:szCs w:val="20"/>
          <w:rtl/>
        </w:rPr>
        <w:tab/>
      </w:r>
      <w:r w:rsidR="00D66135" w:rsidRPr="008F18CC">
        <w:rPr>
          <w:rtl/>
        </w:rPr>
        <w:t>(ط)</w:t>
      </w:r>
      <w:r w:rsidR="00D66135">
        <w:rPr>
          <w:rtl/>
        </w:rPr>
        <w:tab/>
      </w:r>
      <w:r w:rsidR="00D66135" w:rsidRPr="00E44E0B">
        <w:rPr>
          <w:b/>
          <w:bCs/>
          <w:rtl/>
        </w:rPr>
        <w:t>التصديق على الاتفاقية الدولية لحماية جميع الأشخاص من الاختفاء القسري؛</w:t>
      </w:r>
    </w:p>
    <w:p w14:paraId="0E65A938" w14:textId="2DC01E78" w:rsidR="00D66135" w:rsidRPr="00E44E0B" w:rsidRDefault="00AA3219" w:rsidP="00AA3219">
      <w:pPr>
        <w:pStyle w:val="SingleTxtGA"/>
        <w:rPr>
          <w:rFonts w:eastAsia="SimSun" w:cs="Times New Roman"/>
          <w:b/>
          <w:bCs/>
          <w:szCs w:val="20"/>
          <w:rtl/>
          <w:lang w:val="ar-SA" w:eastAsia="zh-TW"/>
        </w:rPr>
      </w:pPr>
      <w:r>
        <w:rPr>
          <w:rtl/>
        </w:rPr>
        <w:tab/>
      </w:r>
      <w:r w:rsidR="00D66135" w:rsidRPr="008F18CC">
        <w:rPr>
          <w:rtl/>
        </w:rPr>
        <w:t>(ي)</w:t>
      </w:r>
      <w:r w:rsidR="00D66135">
        <w:rPr>
          <w:rtl/>
        </w:rPr>
        <w:tab/>
      </w:r>
      <w:r w:rsidR="00D66135" w:rsidRPr="00E44E0B">
        <w:rPr>
          <w:b/>
          <w:bCs/>
          <w:rtl/>
        </w:rPr>
        <w:t>التعاون الكامل مع المحكمة الجنائية الدولية في التحقيقات التي بدأت قبل انسحاب الدولة الطرف، والانضمام من جديد إلى نظام روما الأساسي للمحكمة الجنائية الدولية.</w:t>
      </w:r>
    </w:p>
    <w:p w14:paraId="6D197C5E" w14:textId="77777777" w:rsidR="00D66135" w:rsidRPr="00E44E0B" w:rsidRDefault="00D66135" w:rsidP="00AA3219">
      <w:pPr>
        <w:pStyle w:val="H23GA"/>
        <w:rPr>
          <w:rFonts w:cs="Times New Roman"/>
          <w:szCs w:val="20"/>
          <w:rtl/>
          <w:lang w:val="ar-SA" w:eastAsia="zh-TW"/>
        </w:rPr>
      </w:pPr>
      <w:r w:rsidRPr="00E44E0B">
        <w:rPr>
          <w:rtl/>
        </w:rPr>
        <w:tab/>
      </w:r>
      <w:r w:rsidRPr="00E44E0B">
        <w:rPr>
          <w:rtl/>
        </w:rPr>
        <w:tab/>
        <w:t xml:space="preserve">لجنة الحقيقة والمصالحة </w:t>
      </w:r>
    </w:p>
    <w:p w14:paraId="05C516BE" w14:textId="1F4B577E" w:rsidR="00D66135" w:rsidRPr="002023B7" w:rsidRDefault="00D66135" w:rsidP="00AA3219">
      <w:pPr>
        <w:pStyle w:val="SingleTxtGA"/>
        <w:rPr>
          <w:rFonts w:eastAsia="SimSun" w:cs="Times New Roman"/>
          <w:szCs w:val="20"/>
          <w:rtl/>
          <w:lang w:val="ar-SA" w:eastAsia="zh-TW"/>
        </w:rPr>
      </w:pPr>
      <w:r w:rsidRPr="00E44E0B">
        <w:rPr>
          <w:rtl/>
        </w:rPr>
        <w:t>23</w:t>
      </w:r>
      <w:r w:rsidRPr="003E2B57">
        <w:rPr>
          <w:rtl/>
        </w:rPr>
        <w:t>-</w:t>
      </w:r>
      <w:r>
        <w:rPr>
          <w:rtl/>
        </w:rPr>
        <w:tab/>
        <w:t xml:space="preserve">تحيط اللجنة علماً باعتماد القانون رقم </w:t>
      </w:r>
      <w:r w:rsidRPr="00E44E0B">
        <w:rPr>
          <w:rtl/>
        </w:rPr>
        <w:t>1</w:t>
      </w:r>
      <w:r>
        <w:rPr>
          <w:rFonts w:ascii="Simplified Arabic"/>
          <w:szCs w:val="20"/>
          <w:rtl/>
        </w:rPr>
        <w:t>/</w:t>
      </w:r>
      <w:r w:rsidRPr="00E44E0B">
        <w:rPr>
          <w:rtl/>
        </w:rPr>
        <w:t>18</w:t>
      </w:r>
      <w:r>
        <w:rPr>
          <w:rtl/>
        </w:rPr>
        <w:t xml:space="preserve"> المؤرخ </w:t>
      </w:r>
      <w:r w:rsidRPr="00E44E0B">
        <w:rPr>
          <w:rtl/>
        </w:rPr>
        <w:t>15</w:t>
      </w:r>
      <w:r>
        <w:rPr>
          <w:rtl/>
        </w:rPr>
        <w:t xml:space="preserve"> أيار/مايو </w:t>
      </w:r>
      <w:r w:rsidRPr="00E44E0B">
        <w:rPr>
          <w:rtl/>
        </w:rPr>
        <w:t>2014</w:t>
      </w:r>
      <w:r>
        <w:rPr>
          <w:rtl/>
        </w:rPr>
        <w:t xml:space="preserve"> بشأن إنشاء لجنة الحقيقة والمصالحة وولايتها وتكوينها وتنظيمها وسير عملها، وتغطي ولايتها الفترة من عام </w:t>
      </w:r>
      <w:r w:rsidRPr="00E44E0B">
        <w:rPr>
          <w:rtl/>
        </w:rPr>
        <w:t>1885</w:t>
      </w:r>
      <w:r>
        <w:rPr>
          <w:rtl/>
        </w:rPr>
        <w:t xml:space="preserve"> إلى </w:t>
      </w:r>
      <w:r>
        <w:rPr>
          <w:rtl/>
        </w:rPr>
        <w:lastRenderedPageBreak/>
        <w:t>عام</w:t>
      </w:r>
      <w:r w:rsidR="009169D0">
        <w:rPr>
          <w:rFonts w:hint="cs"/>
          <w:rtl/>
        </w:rPr>
        <w:t> </w:t>
      </w:r>
      <w:r w:rsidRPr="00E44E0B">
        <w:rPr>
          <w:rtl/>
        </w:rPr>
        <w:t>200</w:t>
      </w:r>
      <w:r w:rsidR="00306EEC" w:rsidRPr="00E44E0B">
        <w:rPr>
          <w:rtl/>
        </w:rPr>
        <w:t>8</w:t>
      </w:r>
      <w:r w:rsidR="00306EEC" w:rsidRPr="00306EEC">
        <w:rPr>
          <w:rFonts w:ascii="Simplified Arabic"/>
          <w:szCs w:val="20"/>
          <w:rtl/>
        </w:rPr>
        <w:t>.</w:t>
      </w:r>
      <w:r w:rsidR="00306EEC" w:rsidRPr="00306EEC">
        <w:rPr>
          <w:rtl/>
        </w:rPr>
        <w:t xml:space="preserve"> </w:t>
      </w:r>
      <w:r>
        <w:rPr>
          <w:rtl/>
        </w:rPr>
        <w:t xml:space="preserve">ويساور اللجنة القلق إزاء الادعاءات المتعلقة بافتقار اللجنة إلى الكفاءة والنزاهة والاستقلالية، وتأسف لأنها لم تتلق معلومات في هذا الصدد أو عن الإصلاحات اللازمة لتعزيز هذه المؤسسة (المواد </w:t>
      </w:r>
      <w:r w:rsidRPr="00E44E0B">
        <w:rPr>
          <w:rtl/>
        </w:rPr>
        <w:t>2</w:t>
      </w:r>
      <w:r>
        <w:rPr>
          <w:rtl/>
        </w:rPr>
        <w:t xml:space="preserve"> و</w:t>
      </w:r>
      <w:r w:rsidRPr="00E44E0B">
        <w:rPr>
          <w:rtl/>
        </w:rPr>
        <w:t>6</w:t>
      </w:r>
      <w:r>
        <w:rPr>
          <w:rtl/>
        </w:rPr>
        <w:t xml:space="preserve"> و</w:t>
      </w:r>
      <w:r w:rsidRPr="00E44E0B">
        <w:rPr>
          <w:rtl/>
        </w:rPr>
        <w:t>7</w:t>
      </w:r>
      <w:r>
        <w:rPr>
          <w:rtl/>
        </w:rPr>
        <w:t xml:space="preserve"> و</w:t>
      </w:r>
      <w:r w:rsidRPr="00E44E0B">
        <w:rPr>
          <w:rtl/>
        </w:rPr>
        <w:t>14</w:t>
      </w:r>
      <w:r>
        <w:rPr>
          <w:rtl/>
        </w:rPr>
        <w:t xml:space="preserve"> و</w:t>
      </w:r>
      <w:r w:rsidRPr="00E44E0B">
        <w:rPr>
          <w:rtl/>
        </w:rPr>
        <w:t>2</w:t>
      </w:r>
      <w:r w:rsidR="00306EEC" w:rsidRPr="00E44E0B">
        <w:rPr>
          <w:rtl/>
        </w:rPr>
        <w:t>6</w:t>
      </w:r>
      <w:r w:rsidR="00306EEC" w:rsidRPr="00B82335">
        <w:rPr>
          <w:rtl/>
        </w:rPr>
        <w:t>)</w:t>
      </w:r>
      <w:r w:rsidR="00306EEC" w:rsidRPr="00306EEC">
        <w:rPr>
          <w:rtl/>
        </w:rPr>
        <w:t xml:space="preserve">. </w:t>
      </w:r>
    </w:p>
    <w:p w14:paraId="75061C69" w14:textId="1671BC4F" w:rsidR="00D66135" w:rsidRPr="00E44E0B" w:rsidRDefault="00D66135" w:rsidP="00AA3219">
      <w:pPr>
        <w:pStyle w:val="SingleTxtGA"/>
        <w:rPr>
          <w:rFonts w:eastAsia="SimSun" w:cs="Times New Roman"/>
          <w:b/>
          <w:bCs/>
          <w:szCs w:val="20"/>
          <w:rtl/>
          <w:lang w:val="ar-SA" w:eastAsia="zh-TW"/>
        </w:rPr>
      </w:pPr>
      <w:r w:rsidRPr="00E44E0B">
        <w:rPr>
          <w:rtl/>
        </w:rPr>
        <w:t>24</w:t>
      </w:r>
      <w:r w:rsidRPr="003E2B57">
        <w:rPr>
          <w:rtl/>
        </w:rPr>
        <w:t>-</w:t>
      </w:r>
      <w:r>
        <w:rPr>
          <w:rtl/>
        </w:rPr>
        <w:tab/>
      </w:r>
      <w:r w:rsidRPr="00E44E0B">
        <w:rPr>
          <w:b/>
          <w:bCs/>
          <w:rtl/>
        </w:rPr>
        <w:t>ينبغي للدولة الطرف أن تتخذ جميع التدابير اللازمة للتحقق من أن</w:t>
      </w:r>
      <w:r w:rsidR="003E2B57" w:rsidRPr="00E44E0B">
        <w:rPr>
          <w:b/>
          <w:bCs/>
          <w:rtl/>
        </w:rPr>
        <w:t xml:space="preserve"> </w:t>
      </w:r>
      <w:r w:rsidRPr="00E44E0B">
        <w:rPr>
          <w:b/>
          <w:bCs/>
          <w:rtl/>
        </w:rPr>
        <w:t xml:space="preserve">لجنة الحقيقة والمصالحة تؤدي وظيفتها بشكل مستقل ونزيه وشامل وشفاف ومتوازن. وينبغي أيضاً أن تكفل محاكمة مرتكبي انتهاكات حقوق الإنسان في الماضي، بغض النظر عن أصلهم العرقي أو انتمائهم السياسي، ومعاقبتهم بما يتناسب مع خطورة الوقائع المزعومة، وحصول جميع الضحايا أو أفراد أسرهم على جبر كامل لما لحقهم من ضرر. وفي هذا الصدد، ينبغي للدولة الطرف أن تراعي التوصيات الصادرة عن المقرر الخاص المعني بتعزيز الحقيقة والعدالة وجبر الأضرار وضمانات عدم </w:t>
      </w:r>
      <w:proofErr w:type="gramStart"/>
      <w:r w:rsidRPr="00E44E0B">
        <w:rPr>
          <w:b/>
          <w:bCs/>
          <w:rtl/>
        </w:rPr>
        <w:t>التكرار</w:t>
      </w:r>
      <w:r w:rsidR="00306EEC" w:rsidRPr="00E44E0B">
        <w:rPr>
          <w:vertAlign w:val="superscript"/>
          <w:rtl/>
        </w:rPr>
        <w:t>(</w:t>
      </w:r>
      <w:proofErr w:type="gramEnd"/>
      <w:r w:rsidR="00306EEC" w:rsidRPr="00E44E0B">
        <w:rPr>
          <w:vertAlign w:val="superscript"/>
          <w:lang w:val="en-AU"/>
        </w:rPr>
        <w:footnoteReference w:id="19"/>
      </w:r>
      <w:r w:rsidR="00306EEC" w:rsidRPr="00E44E0B">
        <w:rPr>
          <w:vertAlign w:val="superscript"/>
          <w:rtl/>
        </w:rPr>
        <w:t>)</w:t>
      </w:r>
      <w:r w:rsidR="00306EEC" w:rsidRPr="00E44E0B">
        <w:rPr>
          <w:b/>
          <w:bCs/>
          <w:rtl/>
        </w:rPr>
        <w:t xml:space="preserve">. </w:t>
      </w:r>
    </w:p>
    <w:p w14:paraId="067CDA7D" w14:textId="77777777" w:rsidR="00D66135" w:rsidRPr="00E44E0B" w:rsidRDefault="00D66135" w:rsidP="00AA3219">
      <w:pPr>
        <w:pStyle w:val="H23GA"/>
        <w:rPr>
          <w:rFonts w:cs="Times New Roman"/>
          <w:szCs w:val="20"/>
          <w:rtl/>
          <w:lang w:val="ar-SA" w:eastAsia="zh-TW"/>
        </w:rPr>
      </w:pPr>
      <w:r w:rsidRPr="00E44E0B">
        <w:rPr>
          <w:rtl/>
        </w:rPr>
        <w:tab/>
      </w:r>
      <w:r w:rsidRPr="00E44E0B">
        <w:rPr>
          <w:rtl/>
        </w:rPr>
        <w:tab/>
      </w:r>
      <w:r w:rsidRPr="00E44E0B">
        <w:rPr>
          <w:rFonts w:hint="eastAsia"/>
          <w:rtl/>
        </w:rPr>
        <w:t>الأشخاص</w:t>
      </w:r>
      <w:r w:rsidRPr="00E44E0B">
        <w:rPr>
          <w:rtl/>
        </w:rPr>
        <w:t xml:space="preserve"> </w:t>
      </w:r>
      <w:r w:rsidRPr="00E44E0B">
        <w:rPr>
          <w:rFonts w:hint="eastAsia"/>
          <w:rtl/>
        </w:rPr>
        <w:t>المسلوبة</w:t>
      </w:r>
      <w:r w:rsidRPr="00E44E0B">
        <w:rPr>
          <w:rtl/>
        </w:rPr>
        <w:t xml:space="preserve"> </w:t>
      </w:r>
      <w:r w:rsidRPr="00E44E0B">
        <w:rPr>
          <w:rFonts w:hint="eastAsia"/>
          <w:rtl/>
        </w:rPr>
        <w:t>حريتهم</w:t>
      </w:r>
      <w:r w:rsidRPr="00E44E0B">
        <w:rPr>
          <w:rtl/>
        </w:rPr>
        <w:t xml:space="preserve"> </w:t>
      </w:r>
      <w:r w:rsidRPr="00E44E0B">
        <w:rPr>
          <w:rFonts w:hint="eastAsia"/>
          <w:rtl/>
        </w:rPr>
        <w:t>وظروف</w:t>
      </w:r>
      <w:r w:rsidRPr="00E44E0B">
        <w:rPr>
          <w:rtl/>
        </w:rPr>
        <w:t xml:space="preserve"> </w:t>
      </w:r>
      <w:r w:rsidRPr="00E44E0B">
        <w:rPr>
          <w:rFonts w:hint="eastAsia"/>
          <w:rtl/>
        </w:rPr>
        <w:t>الاحتجاز</w:t>
      </w:r>
      <w:r w:rsidRPr="00E44E0B">
        <w:rPr>
          <w:rtl/>
        </w:rPr>
        <w:t xml:space="preserve"> </w:t>
      </w:r>
    </w:p>
    <w:p w14:paraId="5C82EDCF" w14:textId="2638E848" w:rsidR="00306EEC" w:rsidRPr="00306EEC" w:rsidRDefault="00D66135" w:rsidP="00AA3219">
      <w:pPr>
        <w:pStyle w:val="SingleTxtGA"/>
        <w:rPr>
          <w:rFonts w:eastAsia="SimSun" w:cs="Times New Roman"/>
          <w:szCs w:val="20"/>
          <w:rtl/>
          <w:lang w:val="ar-SA" w:eastAsia="zh-TW"/>
        </w:rPr>
      </w:pPr>
      <w:r w:rsidRPr="00E44E0B">
        <w:rPr>
          <w:rtl/>
        </w:rPr>
        <w:t>25</w:t>
      </w:r>
      <w:r w:rsidRPr="003E2B57">
        <w:rPr>
          <w:rtl/>
        </w:rPr>
        <w:t>-</w:t>
      </w:r>
      <w:r>
        <w:rPr>
          <w:rtl/>
        </w:rPr>
        <w:tab/>
        <w:t>لا تزال اللجنة تشعر بالقلق إزاء الارتفاع الشديد في معدل اكتظاظ السجون وإزاء المعلومات التي تفيد بظروف احتجاز بالغة القسوة، ولا سيما فيما يتعلق بالافتقار إلى خدمات النظافة الصحية والخدمات الغذائية الكافية، وعدم الحصول على الرعاية الطبية ومياه الشرب. ولا تزال اللجنة تشعر بالقلق أيضاً إزاء فرط طول فترة الاحتجاز لدى الشرطة والاحتجاز السابق للمحاكمة والاستخدام غير المتناسب للاحتجاز السابق للمحاكمة، مما يؤدي إلى اكتظاظ أماكن سلب الحرية بالأشخاص الذين ينتظرون المحاكمة (المواد</w:t>
      </w:r>
      <w:r w:rsidR="00FF658A">
        <w:rPr>
          <w:rFonts w:hint="cs"/>
          <w:rtl/>
        </w:rPr>
        <w:t> </w:t>
      </w:r>
      <w:r w:rsidRPr="00E44E0B">
        <w:rPr>
          <w:rtl/>
        </w:rPr>
        <w:t>7</w:t>
      </w:r>
      <w:r>
        <w:rPr>
          <w:rtl/>
        </w:rPr>
        <w:t xml:space="preserve"> و</w:t>
      </w:r>
      <w:r w:rsidRPr="00E44E0B">
        <w:rPr>
          <w:rtl/>
        </w:rPr>
        <w:t>9</w:t>
      </w:r>
      <w:r>
        <w:rPr>
          <w:rtl/>
        </w:rPr>
        <w:t xml:space="preserve"> و</w:t>
      </w:r>
      <w:r w:rsidRPr="00E44E0B">
        <w:rPr>
          <w:rtl/>
        </w:rPr>
        <w:t>1</w:t>
      </w:r>
      <w:r w:rsidR="00306EEC" w:rsidRPr="00E44E0B">
        <w:rPr>
          <w:rtl/>
        </w:rPr>
        <w:t>0</w:t>
      </w:r>
      <w:r w:rsidR="00306EEC" w:rsidRPr="00B82335">
        <w:rPr>
          <w:rtl/>
        </w:rPr>
        <w:t>)</w:t>
      </w:r>
      <w:r w:rsidR="00306EEC" w:rsidRPr="00306EEC">
        <w:rPr>
          <w:rtl/>
        </w:rPr>
        <w:t>.</w:t>
      </w:r>
    </w:p>
    <w:p w14:paraId="0BFAE9BA" w14:textId="5C91C021" w:rsidR="00D66135" w:rsidRPr="00E44E0B" w:rsidRDefault="00D66135" w:rsidP="00D66135">
      <w:pPr>
        <w:pStyle w:val="SingleTxtGA"/>
        <w:rPr>
          <w:rFonts w:eastAsia="SimSun" w:cs="Times New Roman"/>
          <w:b/>
          <w:bCs/>
          <w:szCs w:val="20"/>
          <w:rtl/>
          <w:lang w:val="ar-SA" w:eastAsia="zh-TW"/>
        </w:rPr>
      </w:pPr>
      <w:r w:rsidRPr="00E44E0B">
        <w:rPr>
          <w:rtl/>
        </w:rPr>
        <w:t>26</w:t>
      </w:r>
      <w:r w:rsidRPr="003E2B57">
        <w:rPr>
          <w:rtl/>
        </w:rPr>
        <w:t>-</w:t>
      </w:r>
      <w:r>
        <w:rPr>
          <w:rtl/>
        </w:rPr>
        <w:tab/>
      </w:r>
      <w:r w:rsidRPr="00E44E0B">
        <w:rPr>
          <w:b/>
          <w:bCs/>
          <w:rtl/>
        </w:rPr>
        <w:t xml:space="preserve">متابعةً للملاحظات الختامية السابقة </w:t>
      </w:r>
      <w:proofErr w:type="gramStart"/>
      <w:r w:rsidRPr="00E44E0B">
        <w:rPr>
          <w:b/>
          <w:bCs/>
          <w:rtl/>
        </w:rPr>
        <w:t>للجنة</w:t>
      </w:r>
      <w:r w:rsidR="00306EEC" w:rsidRPr="00E44E0B">
        <w:rPr>
          <w:vertAlign w:val="superscript"/>
          <w:rtl/>
        </w:rPr>
        <w:t>(</w:t>
      </w:r>
      <w:proofErr w:type="gramEnd"/>
      <w:r w:rsidR="00306EEC" w:rsidRPr="00E44E0B">
        <w:rPr>
          <w:vertAlign w:val="superscript"/>
          <w:lang w:val="en-AU"/>
        </w:rPr>
        <w:footnoteReference w:id="20"/>
      </w:r>
      <w:r w:rsidR="00306EEC" w:rsidRPr="00E44E0B">
        <w:rPr>
          <w:vertAlign w:val="superscript"/>
          <w:rtl/>
        </w:rPr>
        <w:t>)</w:t>
      </w:r>
      <w:r w:rsidR="00306EEC" w:rsidRPr="00E44E0B">
        <w:rPr>
          <w:b/>
          <w:bCs/>
          <w:rtl/>
        </w:rPr>
        <w:t xml:space="preserve">، </w:t>
      </w:r>
      <w:r w:rsidRPr="00E44E0B">
        <w:rPr>
          <w:b/>
          <w:bCs/>
          <w:rtl/>
        </w:rPr>
        <w:t>ينبغي للدولة الطرف القيام بما يلي</w:t>
      </w:r>
      <w:r w:rsidRPr="00E44E0B">
        <w:rPr>
          <w:rFonts w:ascii="Simplified Arabic"/>
          <w:b/>
          <w:bCs/>
          <w:szCs w:val="20"/>
          <w:rtl/>
        </w:rPr>
        <w:t>:</w:t>
      </w:r>
      <w:r w:rsidRPr="00E44E0B">
        <w:rPr>
          <w:b/>
          <w:bCs/>
          <w:rtl/>
        </w:rPr>
        <w:t xml:space="preserve"> </w:t>
      </w:r>
    </w:p>
    <w:p w14:paraId="33E52BC2" w14:textId="5E1D0678" w:rsidR="00D66135" w:rsidRPr="00E44E0B" w:rsidRDefault="00D66135" w:rsidP="00D66135">
      <w:pPr>
        <w:pStyle w:val="SingleTxtGA"/>
        <w:rPr>
          <w:rFonts w:eastAsia="SimSun" w:cs="Times New Roman"/>
          <w:b/>
          <w:bCs/>
          <w:szCs w:val="20"/>
          <w:rtl/>
          <w:lang w:val="ar-SA" w:eastAsia="zh-TW"/>
        </w:rPr>
      </w:pPr>
      <w:r>
        <w:rPr>
          <w:rtl/>
        </w:rPr>
        <w:tab/>
      </w:r>
      <w:r w:rsidRPr="009169D0">
        <w:rPr>
          <w:rtl/>
        </w:rPr>
        <w:t>(أ)</w:t>
      </w:r>
      <w:r>
        <w:rPr>
          <w:rtl/>
        </w:rPr>
        <w:tab/>
      </w:r>
      <w:r w:rsidRPr="00E44E0B">
        <w:rPr>
          <w:b/>
          <w:bCs/>
          <w:rtl/>
        </w:rPr>
        <w:t>تكثيف جهودها لتحسين الظروف المعيشية للسجناء ومعاملتهم ومعالجة مشكلة اكتظاظ السجون، وفقاً لقواعد الأمم المتحدة النموذجية الدنيا لمعاملة السجناء (قواعد نيلسون مانديلا</w:t>
      </w:r>
      <w:r w:rsidR="00306EEC" w:rsidRPr="00E44E0B">
        <w:rPr>
          <w:b/>
          <w:bCs/>
          <w:rtl/>
        </w:rPr>
        <w:t xml:space="preserve">)؛ </w:t>
      </w:r>
    </w:p>
    <w:p w14:paraId="79CC8B3D" w14:textId="69867EA9" w:rsidR="00D66135" w:rsidRPr="00E44E0B" w:rsidRDefault="00D66135" w:rsidP="00D66135">
      <w:pPr>
        <w:pStyle w:val="SingleTxtGA"/>
        <w:rPr>
          <w:rFonts w:eastAsia="SimSun" w:cs="Times New Roman"/>
          <w:b/>
          <w:bCs/>
          <w:szCs w:val="20"/>
          <w:rtl/>
          <w:lang w:val="ar-SA" w:eastAsia="zh-TW"/>
        </w:rPr>
      </w:pPr>
      <w:r>
        <w:rPr>
          <w:rtl/>
        </w:rPr>
        <w:tab/>
      </w:r>
      <w:r w:rsidRPr="009169D0">
        <w:rPr>
          <w:rtl/>
        </w:rPr>
        <w:t>(ب)</w:t>
      </w:r>
      <w:r w:rsidRPr="00E44E0B">
        <w:rPr>
          <w:b/>
          <w:bCs/>
          <w:rtl/>
        </w:rPr>
        <w:tab/>
        <w:t xml:space="preserve">تنقيح قانون الإجراءات الجنائية بغية تقليص الحدود الزمنية القصوى للاحتجاز لدى الشرطة والاحتجاز السابق للمحاكمة، لجعلها متوافقة مع أحكام العهد؛ </w:t>
      </w:r>
    </w:p>
    <w:p w14:paraId="3706943A" w14:textId="2A738190" w:rsidR="00D66135" w:rsidRPr="00E44E0B" w:rsidRDefault="00D66135" w:rsidP="00D66135">
      <w:pPr>
        <w:pStyle w:val="SingleTxtGA"/>
        <w:rPr>
          <w:rFonts w:eastAsia="SimSun" w:cs="Times New Roman"/>
          <w:b/>
          <w:bCs/>
          <w:szCs w:val="20"/>
          <w:rtl/>
          <w:lang w:val="ar-SA" w:eastAsia="zh-TW"/>
        </w:rPr>
      </w:pPr>
      <w:r>
        <w:rPr>
          <w:rtl/>
        </w:rPr>
        <w:tab/>
      </w:r>
      <w:r w:rsidRPr="009169D0">
        <w:rPr>
          <w:rtl/>
        </w:rPr>
        <w:t>(ج)</w:t>
      </w:r>
      <w:r>
        <w:rPr>
          <w:rtl/>
        </w:rPr>
        <w:tab/>
      </w:r>
      <w:r w:rsidRPr="00E44E0B">
        <w:rPr>
          <w:b/>
          <w:bCs/>
          <w:rtl/>
        </w:rPr>
        <w:t>تقليص استخدام الاحتجاز السابق للمحاكمة، والاستعاضة عن ذلك بتدابير غير احتجازية، وفقاً لقواعد الأمم المتحدة الدنيا النموذجية للتدابير غير الاحتجازية (قواعد طوكيو</w:t>
      </w:r>
      <w:r w:rsidR="00306EEC" w:rsidRPr="00E44E0B">
        <w:rPr>
          <w:b/>
          <w:bCs/>
          <w:rtl/>
        </w:rPr>
        <w:t xml:space="preserve">). </w:t>
      </w:r>
    </w:p>
    <w:p w14:paraId="127152A9" w14:textId="77777777" w:rsidR="00D66135" w:rsidRPr="00E44E0B" w:rsidRDefault="00D66135" w:rsidP="00D66135">
      <w:pPr>
        <w:pStyle w:val="H23GA"/>
        <w:rPr>
          <w:rFonts w:cs="Times New Roman"/>
          <w:szCs w:val="20"/>
          <w:rtl/>
          <w:lang w:val="ar-SA" w:eastAsia="zh-TW"/>
        </w:rPr>
      </w:pPr>
      <w:r w:rsidRPr="00E44E0B">
        <w:rPr>
          <w:rtl/>
        </w:rPr>
        <w:tab/>
      </w:r>
      <w:r w:rsidRPr="00E44E0B">
        <w:rPr>
          <w:rtl/>
        </w:rPr>
        <w:tab/>
        <w:t>الاحتجاز التعسفي</w:t>
      </w:r>
    </w:p>
    <w:p w14:paraId="7D2F4ECA" w14:textId="774C5E44" w:rsidR="00306EEC" w:rsidRPr="00332D3C" w:rsidRDefault="00D66135" w:rsidP="00D66135">
      <w:pPr>
        <w:pStyle w:val="SingleTxtGA"/>
        <w:rPr>
          <w:rtl/>
        </w:rPr>
      </w:pPr>
      <w:r w:rsidRPr="00E44E0B">
        <w:rPr>
          <w:rtl/>
        </w:rPr>
        <w:t>27</w:t>
      </w:r>
      <w:r w:rsidRPr="00332D3C">
        <w:rPr>
          <w:rtl/>
        </w:rPr>
        <w:t>-</w:t>
      </w:r>
      <w:r w:rsidRPr="00332D3C">
        <w:rPr>
          <w:rtl/>
        </w:rPr>
        <w:tab/>
        <w:t xml:space="preserve">تشعر اللجنة بالجزع إزاء المعلومات التي تفيد بوقوع حالات عديدة من الاحتجاز التعسفي، بما في ذلك احتجاز الأطفال، على أيدي الشرطة ووكالة الاستخبارات الوطنية والإمبونيراكور، استهدفت أساساً المعارضين السياسيين، مما أسفر عن عدة انتهاكات أخرى، مثل حالات الإعدام خارج نطاق القضاء، والاختفاء القسري، والتعذيب، والعنف الجنسي، خاصة خلال مظاهرات عام </w:t>
      </w:r>
      <w:r w:rsidRPr="00E44E0B">
        <w:rPr>
          <w:rtl/>
        </w:rPr>
        <w:t>2015</w:t>
      </w:r>
      <w:r w:rsidRPr="00332D3C">
        <w:rPr>
          <w:rtl/>
        </w:rPr>
        <w:t xml:space="preserve"> والعمليات الانتخابية والاستفتائية الأخيرة. وبينما تحيط اللجنة علما بتدابير العفو الرئاسي التي أفضت إلى الإفراج عن عدة محتجزين، فإنها تشعر بالقلق إزاء المعلومات التي تفيد بحالات عديدة لأشخاص استفادوا من هذا العفو ولم يفرج عنهم بعد (المادة </w:t>
      </w:r>
      <w:r w:rsidR="00306EEC" w:rsidRPr="00E44E0B">
        <w:rPr>
          <w:rtl/>
        </w:rPr>
        <w:t>9</w:t>
      </w:r>
      <w:r w:rsidR="00306EEC" w:rsidRPr="00332D3C">
        <w:rPr>
          <w:rtl/>
        </w:rPr>
        <w:t>).</w:t>
      </w:r>
    </w:p>
    <w:p w14:paraId="6EA53559" w14:textId="2171CE4B" w:rsidR="00D66135" w:rsidRPr="00E44E0B" w:rsidRDefault="00D66135" w:rsidP="00D66135">
      <w:pPr>
        <w:pStyle w:val="SingleTxtGA"/>
        <w:rPr>
          <w:rFonts w:eastAsia="SimSun" w:cs="Times New Roman"/>
          <w:b/>
          <w:bCs/>
          <w:szCs w:val="20"/>
          <w:rtl/>
          <w:lang w:val="ar-SA" w:eastAsia="zh-TW"/>
        </w:rPr>
      </w:pPr>
      <w:r w:rsidRPr="00E44E0B">
        <w:rPr>
          <w:rtl/>
        </w:rPr>
        <w:lastRenderedPageBreak/>
        <w:t>28</w:t>
      </w:r>
      <w:r w:rsidRPr="003E2B57">
        <w:rPr>
          <w:rtl/>
        </w:rPr>
        <w:t>-</w:t>
      </w:r>
      <w:r>
        <w:rPr>
          <w:rtl/>
        </w:rPr>
        <w:tab/>
      </w:r>
      <w:r w:rsidRPr="00E44E0B">
        <w:rPr>
          <w:b/>
          <w:bCs/>
          <w:rtl/>
        </w:rPr>
        <w:t>ينبغي للدولة الطرف أن تتخذ جميع التدابير اللازمة لمنع الاحتجاز التعسفي للأشخاص الذين يعتقد أنهم معارضون سياسيون، ولا سيما الأطفال، ووضع حد له. كما ينبغي أن تفرج فوراً عن الأشخاص الذين ما زالوا رهن الاحتجاز، وأن تجري تحقيقات فورية وشاملة ومستقلة في هذه الحالات، وأن تقدم الجناة إلى العدالة، وأن تتيح للضحايا سبل انتصاف فعالة. وينبغي أيضاً أن تكفل تمتع جميع المحتجزين بجميع الضمانات القانونية والإجرائية، وفقاً لأحكام العهد والتعليق العام للجنة رقم</w:t>
      </w:r>
      <w:r w:rsidR="00D043E3" w:rsidRPr="00E44E0B">
        <w:rPr>
          <w:rFonts w:hint="cs"/>
          <w:b/>
          <w:bCs/>
          <w:rtl/>
        </w:rPr>
        <w:t> </w:t>
      </w:r>
      <w:r w:rsidRPr="00E44E0B">
        <w:rPr>
          <w:b/>
          <w:bCs/>
          <w:rtl/>
        </w:rPr>
        <w:t>35</w:t>
      </w:r>
      <w:r w:rsidRPr="00E44E0B">
        <w:rPr>
          <w:rFonts w:ascii="Simplified Arabic"/>
          <w:b/>
          <w:bCs/>
          <w:szCs w:val="20"/>
          <w:rtl/>
        </w:rPr>
        <w:t>(</w:t>
      </w:r>
      <w:r w:rsidRPr="00E44E0B">
        <w:rPr>
          <w:b/>
          <w:bCs/>
          <w:rtl/>
        </w:rPr>
        <w:t>201</w:t>
      </w:r>
      <w:r w:rsidR="00306EEC" w:rsidRPr="00E44E0B">
        <w:rPr>
          <w:b/>
          <w:bCs/>
          <w:rtl/>
        </w:rPr>
        <w:t>4</w:t>
      </w:r>
      <w:r w:rsidR="00306EEC" w:rsidRPr="00E44E0B">
        <w:rPr>
          <w:rFonts w:ascii="Simplified Arabic"/>
          <w:b/>
          <w:bCs/>
          <w:szCs w:val="20"/>
          <w:rtl/>
        </w:rPr>
        <w:t>)</w:t>
      </w:r>
      <w:r w:rsidR="00306EEC" w:rsidRPr="00E44E0B">
        <w:rPr>
          <w:b/>
          <w:bCs/>
          <w:rtl/>
        </w:rPr>
        <w:t xml:space="preserve"> </w:t>
      </w:r>
      <w:r w:rsidRPr="00E44E0B">
        <w:rPr>
          <w:b/>
          <w:bCs/>
          <w:rtl/>
        </w:rPr>
        <w:t xml:space="preserve">بشأن حق الفرد في الحرية وفي الأمان على شخصه. </w:t>
      </w:r>
    </w:p>
    <w:p w14:paraId="52FC784A" w14:textId="77777777" w:rsidR="00D66135" w:rsidRPr="00E44E0B" w:rsidRDefault="00D66135" w:rsidP="00D66135">
      <w:pPr>
        <w:pStyle w:val="H23GA"/>
        <w:rPr>
          <w:rFonts w:cs="Times New Roman"/>
          <w:szCs w:val="20"/>
          <w:rtl/>
          <w:lang w:val="ar-SA" w:eastAsia="zh-TW"/>
        </w:rPr>
      </w:pPr>
      <w:r w:rsidRPr="00E44E0B">
        <w:rPr>
          <w:rtl/>
        </w:rPr>
        <w:tab/>
      </w:r>
      <w:r w:rsidRPr="00E44E0B">
        <w:rPr>
          <w:rtl/>
        </w:rPr>
        <w:tab/>
        <w:t>الإتجار بالأشخاص</w:t>
      </w:r>
    </w:p>
    <w:p w14:paraId="15694E98" w14:textId="1F028E07" w:rsidR="00306EEC" w:rsidRPr="003F0236" w:rsidRDefault="00D66135" w:rsidP="00D66135">
      <w:pPr>
        <w:pStyle w:val="SingleTxtGA"/>
        <w:rPr>
          <w:rtl/>
        </w:rPr>
      </w:pPr>
      <w:r w:rsidRPr="00E44E0B">
        <w:rPr>
          <w:rtl/>
        </w:rPr>
        <w:t>29</w:t>
      </w:r>
      <w:r w:rsidRPr="003F0236">
        <w:rPr>
          <w:rtl/>
        </w:rPr>
        <w:t>-</w:t>
      </w:r>
      <w:r w:rsidRPr="003F0236">
        <w:rPr>
          <w:rtl/>
        </w:rPr>
        <w:tab/>
        <w:t xml:space="preserve">ترحب اللجنة باعتماد القانون رقم </w:t>
      </w:r>
      <w:r w:rsidRPr="00E44E0B">
        <w:t>1</w:t>
      </w:r>
      <w:r w:rsidRPr="003F0236">
        <w:rPr>
          <w:rtl/>
        </w:rPr>
        <w:t>/</w:t>
      </w:r>
      <w:r w:rsidRPr="00E44E0B">
        <w:t>28</w:t>
      </w:r>
      <w:r w:rsidRPr="003F0236">
        <w:rPr>
          <w:rtl/>
        </w:rPr>
        <w:t xml:space="preserve"> المؤرخ </w:t>
      </w:r>
      <w:r w:rsidRPr="00E44E0B">
        <w:rPr>
          <w:rtl/>
        </w:rPr>
        <w:t>29</w:t>
      </w:r>
      <w:r w:rsidRPr="003F0236">
        <w:rPr>
          <w:rtl/>
        </w:rPr>
        <w:t xml:space="preserve"> تشرين الأول/أكتوبر </w:t>
      </w:r>
      <w:r w:rsidRPr="00E44E0B">
        <w:rPr>
          <w:rtl/>
        </w:rPr>
        <w:t>2014</w:t>
      </w:r>
      <w:r w:rsidRPr="003F0236">
        <w:rPr>
          <w:rtl/>
        </w:rPr>
        <w:t xml:space="preserve"> بشأن منع وقمع الاتجار بالأشخاص وحماية ضحاياه. بيد أن اللجنة تأسف لأنها لم تتلق معلومات مفصلة عن حالات الاتجار بالأشخاص، ولا سيما لأغراض الاستغلال الجنسي والاسترقاق المنزلي والتسول، أو عن التحقيقات والمحاكمات والإدانات في قضايا الاتجار (المواد </w:t>
      </w:r>
      <w:r w:rsidRPr="00E44E0B">
        <w:rPr>
          <w:rtl/>
        </w:rPr>
        <w:t>6</w:t>
      </w:r>
      <w:r w:rsidRPr="003F0236">
        <w:rPr>
          <w:rtl/>
        </w:rPr>
        <w:t xml:space="preserve"> و</w:t>
      </w:r>
      <w:r w:rsidRPr="00E44E0B">
        <w:rPr>
          <w:rtl/>
        </w:rPr>
        <w:t>7</w:t>
      </w:r>
      <w:r w:rsidRPr="003F0236">
        <w:rPr>
          <w:rtl/>
        </w:rPr>
        <w:t xml:space="preserve"> و</w:t>
      </w:r>
      <w:r w:rsidRPr="00E44E0B">
        <w:rPr>
          <w:rtl/>
        </w:rPr>
        <w:t>8</w:t>
      </w:r>
      <w:r w:rsidRPr="003F0236">
        <w:rPr>
          <w:rtl/>
        </w:rPr>
        <w:t xml:space="preserve"> و</w:t>
      </w:r>
      <w:r w:rsidRPr="00E44E0B">
        <w:rPr>
          <w:rtl/>
        </w:rPr>
        <w:t>2</w:t>
      </w:r>
      <w:r w:rsidR="00306EEC" w:rsidRPr="00E44E0B">
        <w:rPr>
          <w:rtl/>
        </w:rPr>
        <w:t>4</w:t>
      </w:r>
      <w:r w:rsidR="00306EEC" w:rsidRPr="003F0236">
        <w:rPr>
          <w:rtl/>
        </w:rPr>
        <w:t>).</w:t>
      </w:r>
    </w:p>
    <w:p w14:paraId="1591EFC7" w14:textId="4C4A6522" w:rsidR="00D66135" w:rsidRPr="00E44E0B" w:rsidRDefault="00D66135" w:rsidP="00D66135">
      <w:pPr>
        <w:pStyle w:val="SingleTxtGA"/>
        <w:rPr>
          <w:rFonts w:eastAsia="SimSun" w:cs="Times New Roman"/>
          <w:b/>
          <w:bCs/>
          <w:szCs w:val="20"/>
          <w:rtl/>
          <w:lang w:val="ar-SA" w:eastAsia="zh-TW"/>
        </w:rPr>
      </w:pPr>
      <w:r w:rsidRPr="00E44E0B">
        <w:rPr>
          <w:rtl/>
        </w:rPr>
        <w:t>30</w:t>
      </w:r>
      <w:r w:rsidRPr="003E2B57">
        <w:rPr>
          <w:rtl/>
        </w:rPr>
        <w:t>-</w:t>
      </w:r>
      <w:r>
        <w:rPr>
          <w:rtl/>
        </w:rPr>
        <w:tab/>
      </w:r>
      <w:r w:rsidRPr="00E44E0B">
        <w:rPr>
          <w:b/>
          <w:bCs/>
          <w:rtl/>
        </w:rPr>
        <w:t>متابعةً للملاحظات الختامية السابقة للجنة، ينبغي للدولة الطرف أن تضاعف جهودها لتنفيذ القانون رقم 1</w:t>
      </w:r>
      <w:r w:rsidRPr="00E44E0B">
        <w:rPr>
          <w:rFonts w:ascii="Simplified Arabic"/>
          <w:b/>
          <w:bCs/>
          <w:szCs w:val="20"/>
          <w:rtl/>
        </w:rPr>
        <w:t>/</w:t>
      </w:r>
      <w:r w:rsidRPr="00E44E0B">
        <w:rPr>
          <w:b/>
          <w:bCs/>
          <w:rtl/>
        </w:rPr>
        <w:t xml:space="preserve">28 لعام 2014 تنفيذاً كاملاً، وأن تضع وتعتمد خطة وطنية جديدة لمكافحة الاتجار </w:t>
      </w:r>
      <w:proofErr w:type="gramStart"/>
      <w:r w:rsidRPr="00E44E0B">
        <w:rPr>
          <w:b/>
          <w:bCs/>
          <w:rtl/>
        </w:rPr>
        <w:t>بالأشخاص</w:t>
      </w:r>
      <w:r w:rsidR="00306EEC" w:rsidRPr="00E44E0B">
        <w:rPr>
          <w:vertAlign w:val="superscript"/>
          <w:rtl/>
        </w:rPr>
        <w:t>(</w:t>
      </w:r>
      <w:proofErr w:type="gramEnd"/>
      <w:r w:rsidR="00306EEC" w:rsidRPr="00E44E0B">
        <w:rPr>
          <w:vertAlign w:val="superscript"/>
          <w:lang w:val="en-AU"/>
        </w:rPr>
        <w:footnoteReference w:id="21"/>
      </w:r>
      <w:r w:rsidR="00FF61C7" w:rsidRPr="00E44E0B">
        <w:rPr>
          <w:vertAlign w:val="superscript"/>
          <w:rtl/>
        </w:rPr>
        <w:t>)</w:t>
      </w:r>
      <w:r w:rsidR="003F0236" w:rsidRPr="00E44E0B">
        <w:rPr>
          <w:rFonts w:hint="cs"/>
          <w:b/>
          <w:bCs/>
          <w:rtl/>
        </w:rPr>
        <w:t>.</w:t>
      </w:r>
      <w:r w:rsidRPr="00E44E0B">
        <w:rPr>
          <w:b/>
          <w:bCs/>
          <w:rtl/>
        </w:rPr>
        <w:t xml:space="preserve"> وينبغي أيضاً أن تحقق بشكل منهجي في جميع حالات الاتجار بالأشخاص وأن تضمن محاكمة الجناة ومعاقبتهم بعقوبات مناسبة. وينبغي أيضاً أن تكفل تحديد هوية الضحايا وتوفر لهم مراكز ايواء وخدمات قانونية وطبية ونفسية ملائمة. </w:t>
      </w:r>
    </w:p>
    <w:p w14:paraId="1AA86882" w14:textId="77777777" w:rsidR="00D66135" w:rsidRPr="00E44E0B" w:rsidRDefault="00D66135" w:rsidP="00D66135">
      <w:pPr>
        <w:pStyle w:val="H23GA"/>
        <w:rPr>
          <w:rFonts w:cs="Times New Roman"/>
          <w:szCs w:val="20"/>
          <w:rtl/>
          <w:lang w:val="ar-SA" w:eastAsia="zh-TW"/>
        </w:rPr>
      </w:pPr>
      <w:r w:rsidRPr="00E44E0B">
        <w:rPr>
          <w:rtl/>
        </w:rPr>
        <w:tab/>
      </w:r>
      <w:r w:rsidRPr="00E44E0B">
        <w:rPr>
          <w:rtl/>
        </w:rPr>
        <w:tab/>
        <w:t xml:space="preserve">النازحون داخلياً واللاجئون </w:t>
      </w:r>
    </w:p>
    <w:p w14:paraId="49BDF414" w14:textId="0EE52790" w:rsidR="00D66135" w:rsidRPr="00B82335" w:rsidRDefault="00D66135" w:rsidP="00D66135">
      <w:pPr>
        <w:pStyle w:val="SingleTxtGA"/>
        <w:rPr>
          <w:spacing w:val="-2"/>
          <w:rtl/>
        </w:rPr>
      </w:pPr>
      <w:r w:rsidRPr="00E44E0B">
        <w:rPr>
          <w:spacing w:val="-2"/>
          <w:rtl/>
        </w:rPr>
        <w:t>31</w:t>
      </w:r>
      <w:r w:rsidRPr="00B82335">
        <w:rPr>
          <w:spacing w:val="-2"/>
          <w:rtl/>
        </w:rPr>
        <w:t>-</w:t>
      </w:r>
      <w:r w:rsidRPr="00B82335">
        <w:rPr>
          <w:spacing w:val="-2"/>
          <w:rtl/>
        </w:rPr>
        <w:tab/>
        <w:t xml:space="preserve">يساور اللجنة القلق إزاء معلومات مفادها أن عدداً كبيراً من النازحين داخلياً، بمن فيهم النازحون بسبب الأزمات المحلية والكوارث الطبيعية، يعيشون في مخيمات في ظروف يرثى لها، وأن النساء والفتيات النازحات والعائدات يتعرضن بشكل متزايد لخطر العنف الجنسي أو يقعن ضحايا له (المادتان </w:t>
      </w:r>
      <w:r w:rsidRPr="00E44E0B">
        <w:rPr>
          <w:spacing w:val="-2"/>
          <w:rtl/>
        </w:rPr>
        <w:t>12</w:t>
      </w:r>
      <w:r w:rsidRPr="00B82335">
        <w:rPr>
          <w:spacing w:val="-2"/>
          <w:rtl/>
        </w:rPr>
        <w:t xml:space="preserve"> و</w:t>
      </w:r>
      <w:r w:rsidRPr="00E44E0B">
        <w:rPr>
          <w:spacing w:val="-2"/>
          <w:rtl/>
        </w:rPr>
        <w:t>2</w:t>
      </w:r>
      <w:r w:rsidR="00306EEC" w:rsidRPr="00E44E0B">
        <w:rPr>
          <w:spacing w:val="-2"/>
          <w:rtl/>
        </w:rPr>
        <w:t>6</w:t>
      </w:r>
      <w:r w:rsidR="00306EEC" w:rsidRPr="00B82335">
        <w:rPr>
          <w:spacing w:val="-2"/>
          <w:rtl/>
        </w:rPr>
        <w:t xml:space="preserve">). </w:t>
      </w:r>
    </w:p>
    <w:p w14:paraId="17498D97" w14:textId="77777777" w:rsidR="00D66135" w:rsidRPr="00E44E0B" w:rsidRDefault="00D66135" w:rsidP="00D66135">
      <w:pPr>
        <w:pStyle w:val="SingleTxtGA"/>
        <w:rPr>
          <w:rFonts w:eastAsia="SimSun" w:cs="Times New Roman"/>
          <w:b/>
          <w:bCs/>
          <w:szCs w:val="20"/>
          <w:rtl/>
          <w:lang w:val="ar-SA" w:eastAsia="zh-TW"/>
        </w:rPr>
      </w:pPr>
      <w:r w:rsidRPr="00E44E0B">
        <w:rPr>
          <w:rtl/>
        </w:rPr>
        <w:t>32</w:t>
      </w:r>
      <w:r w:rsidRPr="003E2B57">
        <w:rPr>
          <w:rtl/>
        </w:rPr>
        <w:t>-</w:t>
      </w:r>
      <w:r>
        <w:rPr>
          <w:rtl/>
        </w:rPr>
        <w:tab/>
      </w:r>
      <w:r w:rsidRPr="00E44E0B">
        <w:rPr>
          <w:b/>
          <w:bCs/>
          <w:rtl/>
        </w:rPr>
        <w:t xml:space="preserve">ينبغي للدولة الطرف أن تكثف جهودها للتعجيل بالتوصل إلى حلول دائمة للنازحين داخلياً، بالتشاور معهم، وفقاً للمعايير الدولية ذات الصلة، بما في ذلك العهد والمبادئ التوجيهية بشأن النزوح الداخلي. وينبغي أن تتخذ تدابير ملموسة لمنع جميع أشكال العنف ضد النساء والفتيات النازحات والعائدات، بما في ذلك العنف الجنسي. وينبغي أيضاً أن تكفل حماية الضحايا وحصولهم الفوري على الخدمات الطبية، ولا سيما خدمات الصحة الجنسية والإنجابية. </w:t>
      </w:r>
    </w:p>
    <w:p w14:paraId="443BFB3D" w14:textId="7D2E00A8" w:rsidR="00306EEC" w:rsidRPr="003F0236" w:rsidRDefault="00D66135" w:rsidP="00D66135">
      <w:pPr>
        <w:pStyle w:val="SingleTxtGA"/>
        <w:rPr>
          <w:rtl/>
        </w:rPr>
      </w:pPr>
      <w:r w:rsidRPr="00E44E0B">
        <w:rPr>
          <w:rtl/>
        </w:rPr>
        <w:t>33</w:t>
      </w:r>
      <w:r w:rsidRPr="003F0236">
        <w:rPr>
          <w:rtl/>
        </w:rPr>
        <w:t>-</w:t>
      </w:r>
      <w:r w:rsidRPr="003F0236">
        <w:rPr>
          <w:rtl/>
        </w:rPr>
        <w:tab/>
        <w:t xml:space="preserve">يساور اللجنة القلق إزاء معلومات مفادها أن المواطنين البورونديين الذين لجأوا إلى الخارج تعرضوا للترهيب والابتزاز والاحتجاز التعسفي لدى عودتهم الطوعية إلى البلد، بما في ذلك من قبل الموظفين الإداريين المحليين والإمبونيراكور. وتعرب اللجنة عن قلقها أيضاً إزاء الادعاءات التي تفيد بأن المعارضين السياسيين البورونديين، الذين كانوا في جمهورية تنزانيا المتحدة كلاجئين أو ملتمسي لجوء، طاردهم عملاء وكالة الاستخبارات الوطنية وتعرضوا للإعادة القسرية والترهيب والاحتجاز التعسفي والاختفاء القسري (المواد </w:t>
      </w:r>
      <w:r w:rsidRPr="00E44E0B">
        <w:rPr>
          <w:rtl/>
        </w:rPr>
        <w:t>6</w:t>
      </w:r>
      <w:r w:rsidRPr="003F0236">
        <w:rPr>
          <w:rtl/>
        </w:rPr>
        <w:t xml:space="preserve"> و</w:t>
      </w:r>
      <w:r w:rsidRPr="00E44E0B">
        <w:rPr>
          <w:rtl/>
        </w:rPr>
        <w:t>9</w:t>
      </w:r>
      <w:r w:rsidRPr="003F0236">
        <w:rPr>
          <w:rtl/>
        </w:rPr>
        <w:t xml:space="preserve"> و</w:t>
      </w:r>
      <w:r w:rsidRPr="00E44E0B">
        <w:rPr>
          <w:rtl/>
        </w:rPr>
        <w:t>12</w:t>
      </w:r>
      <w:r w:rsidRPr="003F0236">
        <w:rPr>
          <w:rtl/>
        </w:rPr>
        <w:t xml:space="preserve"> و</w:t>
      </w:r>
      <w:r w:rsidRPr="00E44E0B">
        <w:rPr>
          <w:rtl/>
        </w:rPr>
        <w:t>2</w:t>
      </w:r>
      <w:r w:rsidR="00306EEC" w:rsidRPr="00E44E0B">
        <w:rPr>
          <w:rtl/>
        </w:rPr>
        <w:t>6</w:t>
      </w:r>
      <w:r w:rsidR="00306EEC" w:rsidRPr="003F0236">
        <w:rPr>
          <w:rtl/>
        </w:rPr>
        <w:t>).</w:t>
      </w:r>
    </w:p>
    <w:p w14:paraId="028CB606" w14:textId="4C2226B4" w:rsidR="00D66135" w:rsidRPr="00E44E0B" w:rsidRDefault="00D66135" w:rsidP="00D66135">
      <w:pPr>
        <w:pStyle w:val="SingleTxtGA"/>
        <w:rPr>
          <w:rFonts w:eastAsia="SimSun" w:cs="Times New Roman"/>
          <w:b/>
          <w:bCs/>
          <w:szCs w:val="20"/>
          <w:rtl/>
          <w:lang w:val="ar-SA" w:eastAsia="zh-TW"/>
        </w:rPr>
      </w:pPr>
      <w:r w:rsidRPr="00E44E0B">
        <w:rPr>
          <w:rtl/>
        </w:rPr>
        <w:t>34</w:t>
      </w:r>
      <w:r w:rsidRPr="003E2B57">
        <w:rPr>
          <w:rtl/>
        </w:rPr>
        <w:t>-</w:t>
      </w:r>
      <w:r>
        <w:rPr>
          <w:rtl/>
        </w:rPr>
        <w:tab/>
      </w:r>
      <w:r w:rsidRPr="00E44E0B">
        <w:rPr>
          <w:b/>
          <w:bCs/>
          <w:rtl/>
        </w:rPr>
        <w:t xml:space="preserve">ينبغي للدولة الطرف أن تتخذ جميع التدابير اللازمة لضمان إدماج العائدين البورونديين على المستوى المحلي في ظروف تكفل سلامتهم وتحفظ كرامتهم. كما ينبغي أن تحقق في جميع حالات الترهيب والابتزاز والإعادة القسرية والاحتجاز التعسفي التي طالت العائدين البورونديين، وتضمن </w:t>
      </w:r>
      <w:r w:rsidRPr="00E44E0B">
        <w:rPr>
          <w:b/>
          <w:bCs/>
          <w:rtl/>
        </w:rPr>
        <w:lastRenderedPageBreak/>
        <w:t>محاكمة الجناة والحكم عليهم بعقوبات مناسبة وحصول الضحايا وأفراد أسرهم على جبر كامل لما لحقهم من ضرر.</w:t>
      </w:r>
    </w:p>
    <w:p w14:paraId="6B2FB1CF" w14:textId="77777777" w:rsidR="00D66135" w:rsidRPr="00E44E0B" w:rsidRDefault="00D66135" w:rsidP="00D66135">
      <w:pPr>
        <w:pStyle w:val="H23GA"/>
        <w:rPr>
          <w:rFonts w:cs="Times New Roman"/>
          <w:szCs w:val="20"/>
          <w:rtl/>
          <w:lang w:val="ar-SA" w:eastAsia="zh-TW"/>
        </w:rPr>
      </w:pPr>
      <w:r w:rsidRPr="00E44E0B">
        <w:rPr>
          <w:rtl/>
        </w:rPr>
        <w:tab/>
      </w:r>
      <w:r w:rsidRPr="00E44E0B">
        <w:rPr>
          <w:rtl/>
        </w:rPr>
        <w:tab/>
        <w:t>استقلال النظام القضائي</w:t>
      </w:r>
    </w:p>
    <w:p w14:paraId="779E2963" w14:textId="14077F9A" w:rsidR="00306EEC" w:rsidRPr="00AF5262" w:rsidRDefault="00D66135" w:rsidP="00D66135">
      <w:pPr>
        <w:pStyle w:val="SingleTxtGA"/>
        <w:rPr>
          <w:spacing w:val="-4"/>
          <w:rtl/>
        </w:rPr>
      </w:pPr>
      <w:r w:rsidRPr="00E44E0B">
        <w:rPr>
          <w:rtl/>
        </w:rPr>
        <w:t>35</w:t>
      </w:r>
      <w:r w:rsidRPr="003E2B57">
        <w:rPr>
          <w:rtl/>
        </w:rPr>
        <w:t>-</w:t>
      </w:r>
      <w:r>
        <w:rPr>
          <w:rtl/>
        </w:rPr>
        <w:tab/>
        <w:t xml:space="preserve">على الرغم من المعلومات التي قدمتها الدولة الطرف، لا تزال اللجنة تشعر بالقلق إزاء استمرار غياب سلطة قضائية مستقلة. وفي هذا الصدد، يساور اللجنة القلق أيضاً لأن رئيس الجمهورية يرأس المجلس الأعلى للقضاء، الذي يشارك فيه وزير العدل أيضاً، وتلاحظ بقلق خاص أن القانون الأساسي رقم </w:t>
      </w:r>
      <w:r w:rsidRPr="00E44E0B">
        <w:rPr>
          <w:rtl/>
        </w:rPr>
        <w:t>1</w:t>
      </w:r>
      <w:r>
        <w:rPr>
          <w:rFonts w:ascii="Simplified Arabic"/>
          <w:szCs w:val="20"/>
          <w:rtl/>
        </w:rPr>
        <w:t>/</w:t>
      </w:r>
      <w:r w:rsidRPr="00E44E0B">
        <w:rPr>
          <w:rtl/>
        </w:rPr>
        <w:t>02</w:t>
      </w:r>
      <w:r>
        <w:rPr>
          <w:rtl/>
        </w:rPr>
        <w:t xml:space="preserve"> المؤرخ </w:t>
      </w:r>
      <w:r w:rsidRPr="00E44E0B">
        <w:rPr>
          <w:rtl/>
        </w:rPr>
        <w:t>23</w:t>
      </w:r>
      <w:r>
        <w:rPr>
          <w:rtl/>
        </w:rPr>
        <w:t xml:space="preserve"> كانون الثاني/يناير </w:t>
      </w:r>
      <w:r w:rsidRPr="00E44E0B">
        <w:rPr>
          <w:rtl/>
        </w:rPr>
        <w:t>2021</w:t>
      </w:r>
      <w:r>
        <w:rPr>
          <w:rtl/>
        </w:rPr>
        <w:t xml:space="preserve"> يمنح المجلس سلطة مراقبة نوعية الأحكام والقرارات القضائية الأخرى والتدابير المنفذة لها</w:t>
      </w:r>
      <w:r w:rsidR="00306EEC">
        <w:rPr>
          <w:vertAlign w:val="superscript"/>
          <w:rtl/>
        </w:rPr>
        <w:t>(</w:t>
      </w:r>
      <w:r w:rsidR="00306EEC" w:rsidRPr="00E44E0B">
        <w:rPr>
          <w:vertAlign w:val="superscript"/>
          <w:lang w:val="en-AU"/>
        </w:rPr>
        <w:footnoteReference w:id="22"/>
      </w:r>
      <w:r w:rsidR="00306EEC" w:rsidRPr="00306EEC">
        <w:rPr>
          <w:vertAlign w:val="superscript"/>
          <w:rtl/>
        </w:rPr>
        <w:t>)</w:t>
      </w:r>
      <w:r w:rsidR="00306EEC" w:rsidRPr="00306EEC">
        <w:rPr>
          <w:rtl/>
        </w:rPr>
        <w:t xml:space="preserve">. </w:t>
      </w:r>
      <w:r>
        <w:rPr>
          <w:rtl/>
        </w:rPr>
        <w:t xml:space="preserve">ويساور اللجنة القلق كذلك إزاء المعلومات التي تفيد بوجود </w:t>
      </w:r>
      <w:r w:rsidRPr="00AF5262">
        <w:rPr>
          <w:spacing w:val="-4"/>
          <w:rtl/>
        </w:rPr>
        <w:t xml:space="preserve">اختلالات وأوجه قصور أخرى في النظام القضائي، بما في ذلك عدم وجود تدابير لضمان عدم جواز عزل القضاة، والفساد، والتأخير الطويل في إقامة العدل، وعدم كفاية الموارد البشرية والمالية المرصودة (المادة </w:t>
      </w:r>
      <w:r w:rsidRPr="00E44E0B">
        <w:rPr>
          <w:spacing w:val="-4"/>
          <w:rtl/>
        </w:rPr>
        <w:t>1</w:t>
      </w:r>
      <w:r w:rsidR="00306EEC" w:rsidRPr="00E44E0B">
        <w:rPr>
          <w:spacing w:val="-4"/>
          <w:rtl/>
        </w:rPr>
        <w:t>4</w:t>
      </w:r>
      <w:r w:rsidR="00306EEC" w:rsidRPr="00AF5262">
        <w:rPr>
          <w:spacing w:val="-4"/>
          <w:rtl/>
        </w:rPr>
        <w:t>).</w:t>
      </w:r>
    </w:p>
    <w:p w14:paraId="6DC69B62" w14:textId="09A6A870" w:rsidR="00D66135" w:rsidRPr="00E44E0B" w:rsidRDefault="00D66135" w:rsidP="00D66135">
      <w:pPr>
        <w:pStyle w:val="SingleTxtGA"/>
        <w:rPr>
          <w:rFonts w:eastAsia="SimSun" w:cs="Times New Roman"/>
          <w:b/>
          <w:bCs/>
          <w:szCs w:val="20"/>
          <w:rtl/>
          <w:lang w:val="ar-SA" w:eastAsia="zh-TW"/>
        </w:rPr>
      </w:pPr>
      <w:r w:rsidRPr="00E44E0B">
        <w:rPr>
          <w:rtl/>
        </w:rPr>
        <w:t>36</w:t>
      </w:r>
      <w:r w:rsidRPr="003E2B57">
        <w:rPr>
          <w:rtl/>
        </w:rPr>
        <w:t>-</w:t>
      </w:r>
      <w:r>
        <w:rPr>
          <w:rtl/>
        </w:rPr>
        <w:tab/>
      </w:r>
      <w:r w:rsidRPr="00E44E0B">
        <w:rPr>
          <w:b/>
          <w:bCs/>
          <w:rtl/>
        </w:rPr>
        <w:t xml:space="preserve">ينبغي للدولة الطرف أن تتخذ جميع التدابير اللازمة لإصلاح نظامها القضائي إصلاحاً شاملاً، ولا سيما: (أ) صون الاستقلال التام للقضاة والمدعين العامين ونزاهتهم وسلامتهم، في القانون والممارسة؛ و(ب) ضمان عدم تعرضهم لأي نوع من أنواع الضغط والتدخل غير المبرر من هيئات أخرى، بما في ذلك السلطة التنفيذية والمجلس الأعلى للقضاء؛ و(ج) تعزيز مكافحة الفساد في النظام القضائي؛ و(د) الحد من التأخير المفرط في معالجة القضايا المعروضة على المحاكم؛ و(ه) تزويد القضاء بالموارد البشرية والمالية اللازمة لسير عمله. </w:t>
      </w:r>
    </w:p>
    <w:p w14:paraId="7743FA3B" w14:textId="77777777" w:rsidR="00D66135" w:rsidRPr="00E44E0B" w:rsidRDefault="00D66135" w:rsidP="00D66135">
      <w:pPr>
        <w:pStyle w:val="H23GA"/>
        <w:rPr>
          <w:rFonts w:cs="Times New Roman"/>
          <w:szCs w:val="20"/>
          <w:rtl/>
          <w:lang w:val="ar-SA" w:eastAsia="zh-TW"/>
        </w:rPr>
      </w:pPr>
      <w:r w:rsidRPr="00E44E0B">
        <w:rPr>
          <w:rtl/>
        </w:rPr>
        <w:tab/>
      </w:r>
      <w:r w:rsidRPr="00E44E0B">
        <w:rPr>
          <w:rtl/>
        </w:rPr>
        <w:tab/>
        <w:t xml:space="preserve">حرية التعبير </w:t>
      </w:r>
    </w:p>
    <w:p w14:paraId="05E39E8D" w14:textId="52511ED0" w:rsidR="00D66135" w:rsidRPr="007E1296" w:rsidRDefault="00D66135" w:rsidP="00D66135">
      <w:pPr>
        <w:pStyle w:val="SingleTxtGA"/>
        <w:rPr>
          <w:rFonts w:eastAsia="SimSun" w:cs="Times New Roman"/>
          <w:szCs w:val="20"/>
          <w:rtl/>
          <w:lang w:val="ar-SA" w:eastAsia="zh-TW"/>
        </w:rPr>
      </w:pPr>
      <w:r w:rsidRPr="00E44E0B">
        <w:rPr>
          <w:rtl/>
        </w:rPr>
        <w:t>37</w:t>
      </w:r>
      <w:r w:rsidRPr="003E2B57">
        <w:rPr>
          <w:rtl/>
        </w:rPr>
        <w:t>-</w:t>
      </w:r>
      <w:r>
        <w:rPr>
          <w:rtl/>
        </w:rPr>
        <w:tab/>
        <w:t xml:space="preserve">تحيط اللجنة علماً باعتماد القانون رقم </w:t>
      </w:r>
      <w:r w:rsidRPr="00E44E0B">
        <w:rPr>
          <w:rtl/>
        </w:rPr>
        <w:t>1</w:t>
      </w:r>
      <w:r>
        <w:rPr>
          <w:rFonts w:ascii="Simplified Arabic"/>
          <w:szCs w:val="20"/>
          <w:rtl/>
        </w:rPr>
        <w:t>/</w:t>
      </w:r>
      <w:r w:rsidRPr="00E44E0B">
        <w:rPr>
          <w:rtl/>
        </w:rPr>
        <w:t>19</w:t>
      </w:r>
      <w:r>
        <w:rPr>
          <w:rtl/>
        </w:rPr>
        <w:t xml:space="preserve"> المؤرخ </w:t>
      </w:r>
      <w:r w:rsidRPr="00E44E0B">
        <w:rPr>
          <w:rtl/>
        </w:rPr>
        <w:t>14</w:t>
      </w:r>
      <w:r>
        <w:rPr>
          <w:rtl/>
        </w:rPr>
        <w:t xml:space="preserve"> أيلول/سبتمبر </w:t>
      </w:r>
      <w:r w:rsidRPr="00E44E0B">
        <w:rPr>
          <w:rtl/>
        </w:rPr>
        <w:t>2018</w:t>
      </w:r>
      <w:r>
        <w:rPr>
          <w:rtl/>
        </w:rPr>
        <w:t xml:space="preserve"> الذي ينظم قطاع الصحافة، وتلاحظ أن المجلس الوطني للاتصالات رفع، في الفترة بين عامي </w:t>
      </w:r>
      <w:r w:rsidRPr="00E44E0B">
        <w:rPr>
          <w:rtl/>
        </w:rPr>
        <w:t>2021</w:t>
      </w:r>
      <w:r>
        <w:rPr>
          <w:rtl/>
        </w:rPr>
        <w:t xml:space="preserve"> و</w:t>
      </w:r>
      <w:r w:rsidRPr="00E44E0B">
        <w:rPr>
          <w:rtl/>
        </w:rPr>
        <w:t>2022</w:t>
      </w:r>
      <w:r>
        <w:rPr>
          <w:rFonts w:ascii="Simplified Arabic"/>
          <w:szCs w:val="20"/>
          <w:rtl/>
        </w:rPr>
        <w:t>،</w:t>
      </w:r>
      <w:r>
        <w:rPr>
          <w:rtl/>
        </w:rPr>
        <w:t xml:space="preserve"> العقوبات المفروضة في عام </w:t>
      </w:r>
      <w:r w:rsidRPr="00E44E0B">
        <w:rPr>
          <w:rtl/>
        </w:rPr>
        <w:t>2015</w:t>
      </w:r>
      <w:r>
        <w:rPr>
          <w:rtl/>
        </w:rPr>
        <w:t xml:space="preserve"> على إذاعة بونيشا إف إم وإذاعة بي بي سي وصحيفة إيكيريهو. وعلى الرغم من هذه التطورات، يساور اللجنة القلق إزاء ما يلي: (أ) إغلاق الحيز المدني في بوروندي، وما يقترن بذلك من تعليق لعمل وسائل الإعلام الخاصة والمستقلة ومعاقبتها؛ و(ب) تعيين أعضاء المجلس الوطني للاتصالات من قبل رئيس الجمهورية، ومعلومات عن عدم استقلالية المجلس ونزاهته؛ و(ج) الادعاءات العديدة المتعلقة بمضايقة الصحفيين والمدافعين عن حقوق الإنسان والمعارضين السياسيين وتهديدهم وترهيبهم؛ و(د) قضية الصحفية فلوريان إيرانغابي من إذاعة إيغيكانيرو، التي ألقى عناصر في وكالة الاستخبارات الوطنية القبض عليها في آب/أغسطس </w:t>
      </w:r>
      <w:r w:rsidRPr="00E44E0B">
        <w:rPr>
          <w:rtl/>
        </w:rPr>
        <w:t>2022</w:t>
      </w:r>
      <w:r>
        <w:rPr>
          <w:rtl/>
        </w:rPr>
        <w:t xml:space="preserve"> بعد انتقادها الحكومة خلال بث إذاعي، وحكم عليها في </w:t>
      </w:r>
      <w:r w:rsidRPr="00E44E0B">
        <w:rPr>
          <w:rtl/>
        </w:rPr>
        <w:t>2</w:t>
      </w:r>
      <w:r>
        <w:rPr>
          <w:rtl/>
        </w:rPr>
        <w:t xml:space="preserve"> كانون الثاني/يناير </w:t>
      </w:r>
      <w:r w:rsidRPr="00E44E0B">
        <w:rPr>
          <w:rtl/>
        </w:rPr>
        <w:t>2023</w:t>
      </w:r>
      <w:r>
        <w:rPr>
          <w:rtl/>
        </w:rPr>
        <w:t xml:space="preserve"> بتهمة «المساس بسلامة إقليم الدولة» على أساس المادة </w:t>
      </w:r>
      <w:r w:rsidRPr="00E44E0B">
        <w:rPr>
          <w:rtl/>
        </w:rPr>
        <w:t>611</w:t>
      </w:r>
      <w:r>
        <w:rPr>
          <w:rtl/>
        </w:rPr>
        <w:t xml:space="preserve"> من القانون الجنائي (المادة </w:t>
      </w:r>
      <w:r w:rsidRPr="00E44E0B">
        <w:rPr>
          <w:rtl/>
        </w:rPr>
        <w:t>1</w:t>
      </w:r>
      <w:r w:rsidR="00306EEC" w:rsidRPr="00E44E0B">
        <w:rPr>
          <w:rtl/>
        </w:rPr>
        <w:t>9</w:t>
      </w:r>
      <w:r w:rsidR="00306EEC" w:rsidRPr="00B82335">
        <w:rPr>
          <w:rtl/>
        </w:rPr>
        <w:t>)</w:t>
      </w:r>
      <w:r w:rsidR="00306EEC" w:rsidRPr="00306EEC">
        <w:rPr>
          <w:rtl/>
        </w:rPr>
        <w:t xml:space="preserve">. </w:t>
      </w:r>
    </w:p>
    <w:p w14:paraId="0846371B" w14:textId="3B929AFC" w:rsidR="00D66135" w:rsidRPr="00E44E0B" w:rsidRDefault="00D66135" w:rsidP="00D66135">
      <w:pPr>
        <w:pStyle w:val="SingleTxtGA"/>
        <w:rPr>
          <w:rFonts w:eastAsia="SimSun" w:cs="Times New Roman"/>
          <w:b/>
          <w:bCs/>
          <w:szCs w:val="20"/>
          <w:rtl/>
          <w:lang w:val="ar-SA" w:eastAsia="zh-TW"/>
        </w:rPr>
      </w:pPr>
      <w:r w:rsidRPr="00E44E0B">
        <w:rPr>
          <w:rtl/>
        </w:rPr>
        <w:t>38</w:t>
      </w:r>
      <w:r w:rsidRPr="003E2B57">
        <w:rPr>
          <w:rtl/>
        </w:rPr>
        <w:t>-</w:t>
      </w:r>
      <w:r>
        <w:rPr>
          <w:rtl/>
        </w:rPr>
        <w:tab/>
      </w:r>
      <w:r w:rsidRPr="00E44E0B">
        <w:rPr>
          <w:b/>
          <w:bCs/>
          <w:rtl/>
        </w:rPr>
        <w:t>وفقاً لتعليق اللجنة العام رقم 34</w:t>
      </w:r>
      <w:r w:rsidRPr="00E44E0B">
        <w:rPr>
          <w:rFonts w:ascii="Simplified Arabic"/>
          <w:b/>
          <w:bCs/>
          <w:szCs w:val="20"/>
          <w:rtl/>
        </w:rPr>
        <w:t>(</w:t>
      </w:r>
      <w:r w:rsidRPr="00E44E0B">
        <w:rPr>
          <w:b/>
          <w:bCs/>
          <w:rtl/>
        </w:rPr>
        <w:t>201</w:t>
      </w:r>
      <w:r w:rsidR="00306EEC" w:rsidRPr="00E44E0B">
        <w:rPr>
          <w:b/>
          <w:bCs/>
          <w:rtl/>
        </w:rPr>
        <w:t>1</w:t>
      </w:r>
      <w:r w:rsidR="00306EEC" w:rsidRPr="00B82335">
        <w:rPr>
          <w:rtl/>
        </w:rPr>
        <w:t>)</w:t>
      </w:r>
      <w:r w:rsidR="00306EEC" w:rsidRPr="00E44E0B">
        <w:rPr>
          <w:b/>
          <w:bCs/>
          <w:rtl/>
        </w:rPr>
        <w:t xml:space="preserve"> </w:t>
      </w:r>
      <w:r w:rsidRPr="00E44E0B">
        <w:rPr>
          <w:b/>
          <w:bCs/>
          <w:rtl/>
        </w:rPr>
        <w:t>بشأن حرية الرأي والتعبير، ينبغي للدولة الطرف القيام بما يلي</w:t>
      </w:r>
      <w:r w:rsidRPr="00E44E0B">
        <w:rPr>
          <w:rFonts w:ascii="Simplified Arabic"/>
          <w:b/>
          <w:bCs/>
          <w:szCs w:val="20"/>
          <w:rtl/>
        </w:rPr>
        <w:t>:</w:t>
      </w:r>
      <w:r w:rsidRPr="00E44E0B">
        <w:rPr>
          <w:b/>
          <w:bCs/>
          <w:rtl/>
        </w:rPr>
        <w:t xml:space="preserve"> </w:t>
      </w:r>
    </w:p>
    <w:p w14:paraId="08BCBCE9" w14:textId="227C4CF6" w:rsidR="00D66135" w:rsidRPr="00E44E0B" w:rsidRDefault="00D66135" w:rsidP="00D66135">
      <w:pPr>
        <w:pStyle w:val="SingleTxtGA"/>
        <w:rPr>
          <w:rFonts w:eastAsia="SimSun" w:cs="Times New Roman"/>
          <w:b/>
          <w:bCs/>
          <w:szCs w:val="20"/>
          <w:rtl/>
          <w:lang w:val="ar-SA" w:eastAsia="zh-TW"/>
        </w:rPr>
      </w:pPr>
      <w:r>
        <w:rPr>
          <w:rtl/>
        </w:rPr>
        <w:tab/>
      </w:r>
      <w:r w:rsidRPr="00AF5262">
        <w:rPr>
          <w:rtl/>
        </w:rPr>
        <w:t>(أ</w:t>
      </w:r>
      <w:r w:rsidRPr="00B82335">
        <w:rPr>
          <w:rtl/>
        </w:rPr>
        <w:t>)</w:t>
      </w:r>
      <w:r w:rsidRPr="00E44E0B">
        <w:rPr>
          <w:b/>
          <w:bCs/>
          <w:rtl/>
        </w:rPr>
        <w:tab/>
        <w:t xml:space="preserve">اتخاذ التدابير التشريعية الإضافية اللازمة للتحقق من أن أي تقييد لممارسة حرية التعبير هو إجراء يتفق مع الشروط الصارمة المنصوص عليها في العهد؛ </w:t>
      </w:r>
    </w:p>
    <w:p w14:paraId="4BA7EFAA" w14:textId="1C090E75" w:rsidR="00D66135" w:rsidRPr="00E44E0B" w:rsidRDefault="00D66135" w:rsidP="00D66135">
      <w:pPr>
        <w:pStyle w:val="SingleTxtGA"/>
        <w:rPr>
          <w:rFonts w:eastAsia="SimSun" w:cs="Times New Roman"/>
          <w:b/>
          <w:bCs/>
          <w:szCs w:val="20"/>
          <w:rtl/>
          <w:lang w:val="ar-SA" w:eastAsia="zh-TW"/>
        </w:rPr>
      </w:pPr>
      <w:r w:rsidRPr="00E44E0B">
        <w:rPr>
          <w:b/>
          <w:rtl/>
        </w:rPr>
        <w:lastRenderedPageBreak/>
        <w:tab/>
      </w:r>
      <w:r w:rsidRPr="00AF5262">
        <w:rPr>
          <w:rtl/>
        </w:rPr>
        <w:t>(ب)</w:t>
      </w:r>
      <w:r>
        <w:rPr>
          <w:rtl/>
        </w:rPr>
        <w:tab/>
      </w:r>
      <w:r w:rsidRPr="00E44E0B">
        <w:rPr>
          <w:b/>
          <w:bCs/>
          <w:rtl/>
        </w:rPr>
        <w:t xml:space="preserve">رفع التعليق والعقوبات المفروضة على وسائل الإعلام الخاصة التي لا تزال خاضعة لهذه التدابير، ومنحها ترخيصاً للعمل؛ </w:t>
      </w:r>
    </w:p>
    <w:p w14:paraId="04A22F5E" w14:textId="14A86A77" w:rsidR="00D66135" w:rsidRPr="00E44E0B" w:rsidRDefault="00D66135" w:rsidP="00D66135">
      <w:pPr>
        <w:pStyle w:val="SingleTxtGA"/>
        <w:rPr>
          <w:rFonts w:eastAsia="SimSun" w:cs="Times New Roman"/>
          <w:b/>
          <w:bCs/>
          <w:szCs w:val="20"/>
          <w:rtl/>
          <w:lang w:val="ar-SA" w:eastAsia="zh-TW"/>
        </w:rPr>
      </w:pPr>
      <w:r>
        <w:rPr>
          <w:rtl/>
        </w:rPr>
        <w:tab/>
      </w:r>
      <w:r w:rsidRPr="00AF5262">
        <w:rPr>
          <w:rtl/>
        </w:rPr>
        <w:t>(ج)</w:t>
      </w:r>
      <w:r>
        <w:rPr>
          <w:rtl/>
        </w:rPr>
        <w:tab/>
      </w:r>
      <w:r w:rsidRPr="00E44E0B">
        <w:rPr>
          <w:b/>
          <w:bCs/>
          <w:rtl/>
        </w:rPr>
        <w:t xml:space="preserve">التأكد من أن المجلس الوطني للاتصالات يمارس دوره بطريقة مستقلة ونزيهة؛ </w:t>
      </w:r>
    </w:p>
    <w:p w14:paraId="5CFFDE1F" w14:textId="2D864F99" w:rsidR="00D66135" w:rsidRPr="00E44E0B" w:rsidRDefault="00D66135" w:rsidP="00D66135">
      <w:pPr>
        <w:pStyle w:val="SingleTxtGA"/>
        <w:rPr>
          <w:rFonts w:eastAsia="SimSun" w:cs="Times New Roman"/>
          <w:b/>
          <w:bCs/>
          <w:szCs w:val="20"/>
          <w:rtl/>
          <w:lang w:val="ar-SA" w:eastAsia="zh-TW"/>
        </w:rPr>
      </w:pPr>
      <w:r>
        <w:rPr>
          <w:rtl/>
        </w:rPr>
        <w:tab/>
      </w:r>
      <w:r w:rsidRPr="00E44E0B">
        <w:rPr>
          <w:b/>
          <w:bCs/>
          <w:rtl/>
        </w:rPr>
        <w:t>(د</w:t>
      </w:r>
      <w:r w:rsidRPr="00E44E0B">
        <w:rPr>
          <w:rFonts w:ascii="Simplified Arabic"/>
          <w:b/>
          <w:bCs/>
          <w:szCs w:val="20"/>
          <w:rtl/>
        </w:rPr>
        <w:t>)</w:t>
      </w:r>
      <w:r>
        <w:rPr>
          <w:rtl/>
        </w:rPr>
        <w:tab/>
      </w:r>
      <w:r w:rsidRPr="00E44E0B">
        <w:rPr>
          <w:b/>
          <w:bCs/>
          <w:rtl/>
        </w:rPr>
        <w:t xml:space="preserve">التحقيق في أعمال المضايقة والتهديد والترهيب ضد الصحفيين والمدافعين عن حقوق الإنسان والمعارضين السياسيين ومحاكمة مرتكبيها وإدانتهم؛ </w:t>
      </w:r>
    </w:p>
    <w:p w14:paraId="5EF93535" w14:textId="5B1FC6F6" w:rsidR="00D66135" w:rsidRPr="00E44E0B" w:rsidRDefault="00D66135" w:rsidP="00D66135">
      <w:pPr>
        <w:pStyle w:val="SingleTxtGA"/>
        <w:rPr>
          <w:rFonts w:eastAsia="SimSun" w:cs="Times New Roman"/>
          <w:b/>
          <w:bCs/>
          <w:szCs w:val="20"/>
          <w:rtl/>
          <w:lang w:val="ar-SA" w:eastAsia="zh-TW"/>
        </w:rPr>
      </w:pPr>
      <w:r>
        <w:rPr>
          <w:rtl/>
        </w:rPr>
        <w:tab/>
      </w:r>
      <w:r w:rsidRPr="00AF5262">
        <w:rPr>
          <w:rtl/>
        </w:rPr>
        <w:t>(ه)</w:t>
      </w:r>
      <w:r>
        <w:rPr>
          <w:rtl/>
        </w:rPr>
        <w:tab/>
      </w:r>
      <w:r w:rsidRPr="00E44E0B">
        <w:rPr>
          <w:b/>
          <w:bCs/>
          <w:rtl/>
        </w:rPr>
        <w:t>وضع حد لسوء استخدام المادة 611 من القانون الجنائي بهدف تجريم ممارسة حرية التعبير.</w:t>
      </w:r>
    </w:p>
    <w:p w14:paraId="197B2C51" w14:textId="77777777" w:rsidR="00D66135" w:rsidRPr="00E44E0B" w:rsidRDefault="00D66135" w:rsidP="00D66135">
      <w:pPr>
        <w:pStyle w:val="H23GA"/>
        <w:rPr>
          <w:rFonts w:eastAsia="SimSun" w:cs="Times New Roman"/>
          <w:szCs w:val="20"/>
          <w:rtl/>
          <w:lang w:val="ar-SA" w:eastAsia="zh-TW"/>
        </w:rPr>
      </w:pPr>
      <w:r w:rsidRPr="00E44E0B">
        <w:rPr>
          <w:rtl/>
        </w:rPr>
        <w:tab/>
      </w:r>
      <w:r w:rsidRPr="00E44E0B">
        <w:rPr>
          <w:rtl/>
        </w:rPr>
        <w:tab/>
        <w:t xml:space="preserve">حرية التجمع السلمي </w:t>
      </w:r>
    </w:p>
    <w:p w14:paraId="41499929" w14:textId="760C8F6A" w:rsidR="00306EEC" w:rsidRPr="00B67169" w:rsidRDefault="00D66135" w:rsidP="00D66135">
      <w:pPr>
        <w:pStyle w:val="SingleTxtGA"/>
        <w:rPr>
          <w:rtl/>
        </w:rPr>
      </w:pPr>
      <w:r w:rsidRPr="00E44E0B">
        <w:rPr>
          <w:rtl/>
        </w:rPr>
        <w:t>39</w:t>
      </w:r>
      <w:r w:rsidRPr="003E2B57">
        <w:rPr>
          <w:rtl/>
        </w:rPr>
        <w:t>-</w:t>
      </w:r>
      <w:r>
        <w:rPr>
          <w:rtl/>
        </w:rPr>
        <w:tab/>
        <w:t xml:space="preserve">يساور اللجنة القلق لأن المعلومات التي قدمتها الدولة الطرف تشير إلى أن الحصول على إذن مسبق للتجمع ما زال شرطاً قانونياً، وهو ما يتنافى مع أحكام المادة </w:t>
      </w:r>
      <w:r w:rsidRPr="00E44E0B">
        <w:rPr>
          <w:rtl/>
        </w:rPr>
        <w:t>21</w:t>
      </w:r>
      <w:r>
        <w:rPr>
          <w:rtl/>
        </w:rPr>
        <w:t xml:space="preserve"> من العهد وتعليق اللجنة العام رقم</w:t>
      </w:r>
      <w:r w:rsidR="00B67169">
        <w:rPr>
          <w:rFonts w:hint="cs"/>
          <w:rtl/>
        </w:rPr>
        <w:t> </w:t>
      </w:r>
      <w:r w:rsidRPr="00E44E0B">
        <w:rPr>
          <w:rtl/>
        </w:rPr>
        <w:t>37</w:t>
      </w:r>
      <w:r>
        <w:rPr>
          <w:rFonts w:ascii="Simplified Arabic"/>
          <w:szCs w:val="20"/>
          <w:rtl/>
        </w:rPr>
        <w:t>(</w:t>
      </w:r>
      <w:r w:rsidRPr="00E44E0B">
        <w:rPr>
          <w:rtl/>
        </w:rPr>
        <w:t>202</w:t>
      </w:r>
      <w:r w:rsidR="00306EEC" w:rsidRPr="00E44E0B">
        <w:rPr>
          <w:rtl/>
        </w:rPr>
        <w:t>0</w:t>
      </w:r>
      <w:r w:rsidR="00306EEC" w:rsidRPr="00B82335">
        <w:rPr>
          <w:rtl/>
        </w:rPr>
        <w:t>)</w:t>
      </w:r>
      <w:r w:rsidR="00306EEC" w:rsidRPr="00306EEC">
        <w:rPr>
          <w:rFonts w:ascii="Simplified Arabic"/>
          <w:szCs w:val="20"/>
          <w:rtl/>
        </w:rPr>
        <w:t>.</w:t>
      </w:r>
      <w:r w:rsidR="00306EEC" w:rsidRPr="00306EEC">
        <w:rPr>
          <w:rtl/>
        </w:rPr>
        <w:t xml:space="preserve"> </w:t>
      </w:r>
      <w:r>
        <w:rPr>
          <w:rtl/>
        </w:rPr>
        <w:t>ويساور اللجنة القلق أيضاً إزاء المعلومات العديدة والمتسقة التي تفيد بما يلي: (أ)</w:t>
      </w:r>
      <w:r w:rsidR="0054368B">
        <w:rPr>
          <w:rFonts w:hint="cs"/>
          <w:rtl/>
        </w:rPr>
        <w:t> </w:t>
      </w:r>
      <w:r>
        <w:rPr>
          <w:rtl/>
        </w:rPr>
        <w:t xml:space="preserve">استخدام الشرطة للقوة استخدامًا مفرطاً، بما في ذلك القوة المميتة، لقمع المظاهرات السلمية، كما كان الحال بشكل خاص خلال مظاهرات عام </w:t>
      </w:r>
      <w:r w:rsidRPr="00E44E0B">
        <w:rPr>
          <w:rtl/>
        </w:rPr>
        <w:t>2015</w:t>
      </w:r>
      <w:r>
        <w:rPr>
          <w:rtl/>
        </w:rPr>
        <w:t xml:space="preserve">؛ و(ب) احتجاز عناصر الشرطة ووكالة الاستخبارات الوطنية والإمبونيراكور والسلطات المحلية للمحتجين احتجازاً تعسفياً أو منعهم للمظاهرات، بما في ذلك المظاهرات التي تنظمها أحزاب المعارضة السياسية أو النقابات؛ (ج) إجبار الناس </w:t>
      </w:r>
      <w:r w:rsidRPr="00B67169">
        <w:rPr>
          <w:rtl/>
        </w:rPr>
        <w:t xml:space="preserve">على المشاركة في الاجتماعات التي ينظمها الحزب الحاكم أو الإمبونيراكور على المستوى المحلي (المواد </w:t>
      </w:r>
      <w:r w:rsidRPr="00E44E0B">
        <w:rPr>
          <w:rtl/>
        </w:rPr>
        <w:t>6</w:t>
      </w:r>
      <w:r w:rsidRPr="00B67169">
        <w:rPr>
          <w:rtl/>
        </w:rPr>
        <w:t xml:space="preserve"> و</w:t>
      </w:r>
      <w:r w:rsidRPr="00E44E0B">
        <w:rPr>
          <w:rtl/>
        </w:rPr>
        <w:t>21</w:t>
      </w:r>
      <w:r w:rsidRPr="00B67169">
        <w:rPr>
          <w:rtl/>
        </w:rPr>
        <w:t xml:space="preserve"> و</w:t>
      </w:r>
      <w:r w:rsidRPr="00E44E0B">
        <w:rPr>
          <w:rtl/>
        </w:rPr>
        <w:t>2</w:t>
      </w:r>
      <w:r w:rsidR="00306EEC" w:rsidRPr="00E44E0B">
        <w:rPr>
          <w:rtl/>
        </w:rPr>
        <w:t>5</w:t>
      </w:r>
      <w:r w:rsidR="00306EEC" w:rsidRPr="00B67169">
        <w:rPr>
          <w:rtl/>
        </w:rPr>
        <w:t>).</w:t>
      </w:r>
    </w:p>
    <w:p w14:paraId="678CA0B3" w14:textId="4A172077" w:rsidR="00D66135" w:rsidRPr="00E44E0B" w:rsidRDefault="00D66135" w:rsidP="00D66135">
      <w:pPr>
        <w:pStyle w:val="SingleTxtGA"/>
        <w:rPr>
          <w:rFonts w:eastAsia="SimSun" w:cs="Times New Roman"/>
          <w:b/>
          <w:bCs/>
          <w:szCs w:val="20"/>
          <w:rtl/>
          <w:lang w:val="ar-SA" w:eastAsia="zh-TW"/>
        </w:rPr>
      </w:pPr>
      <w:r w:rsidRPr="00E44E0B">
        <w:rPr>
          <w:rtl/>
        </w:rPr>
        <w:t>40</w:t>
      </w:r>
      <w:r w:rsidRPr="003E2B57">
        <w:rPr>
          <w:rtl/>
        </w:rPr>
        <w:t>-</w:t>
      </w:r>
      <w:r>
        <w:rPr>
          <w:rtl/>
        </w:rPr>
        <w:tab/>
      </w:r>
      <w:r w:rsidRPr="00E44E0B">
        <w:rPr>
          <w:rFonts w:hint="eastAsia"/>
          <w:b/>
          <w:bCs/>
          <w:rtl/>
        </w:rPr>
        <w:t>في</w:t>
      </w:r>
      <w:r w:rsidRPr="00E44E0B">
        <w:rPr>
          <w:b/>
          <w:bCs/>
          <w:rtl/>
        </w:rPr>
        <w:t xml:space="preserve"> ضوء تعليق اللجنة العام رقم 37</w:t>
      </w:r>
      <w:r w:rsidRPr="00E44E0B">
        <w:rPr>
          <w:rFonts w:ascii="Simplified Arabic"/>
          <w:b/>
          <w:bCs/>
          <w:szCs w:val="20"/>
          <w:rtl/>
        </w:rPr>
        <w:t>(</w:t>
      </w:r>
      <w:r w:rsidRPr="00E44E0B">
        <w:rPr>
          <w:b/>
          <w:bCs/>
          <w:rtl/>
        </w:rPr>
        <w:t>202</w:t>
      </w:r>
      <w:r w:rsidR="00306EEC" w:rsidRPr="00E44E0B">
        <w:rPr>
          <w:b/>
          <w:bCs/>
          <w:rtl/>
        </w:rPr>
        <w:t>0</w:t>
      </w:r>
      <w:r w:rsidR="00306EEC" w:rsidRPr="00E44E0B">
        <w:rPr>
          <w:rFonts w:ascii="Simplified Arabic"/>
          <w:b/>
          <w:bCs/>
          <w:szCs w:val="20"/>
          <w:rtl/>
        </w:rPr>
        <w:t>)</w:t>
      </w:r>
      <w:r w:rsidR="00306EEC" w:rsidRPr="00E44E0B">
        <w:rPr>
          <w:b/>
          <w:bCs/>
          <w:rtl/>
        </w:rPr>
        <w:t xml:space="preserve"> </w:t>
      </w:r>
      <w:r w:rsidRPr="00E44E0B">
        <w:rPr>
          <w:b/>
          <w:bCs/>
          <w:rtl/>
        </w:rPr>
        <w:t xml:space="preserve">بشأن الحق في التجمع السلمي، ينبغي للدولة الطرف </w:t>
      </w:r>
      <w:r w:rsidRPr="00E44E0B">
        <w:rPr>
          <w:rFonts w:hint="eastAsia"/>
          <w:b/>
          <w:bCs/>
          <w:rtl/>
        </w:rPr>
        <w:t>أن</w:t>
      </w:r>
      <w:r w:rsidRPr="00E44E0B">
        <w:rPr>
          <w:b/>
          <w:bCs/>
          <w:rtl/>
        </w:rPr>
        <w:t xml:space="preserve"> </w:t>
      </w:r>
      <w:r w:rsidRPr="00E44E0B">
        <w:rPr>
          <w:rFonts w:hint="eastAsia"/>
          <w:b/>
          <w:bCs/>
          <w:rtl/>
        </w:rPr>
        <w:t>تقوم</w:t>
      </w:r>
      <w:r w:rsidRPr="00E44E0B">
        <w:rPr>
          <w:b/>
          <w:bCs/>
          <w:rtl/>
        </w:rPr>
        <w:t xml:space="preserve"> </w:t>
      </w:r>
      <w:r w:rsidRPr="00E44E0B">
        <w:rPr>
          <w:rFonts w:hint="eastAsia"/>
          <w:b/>
          <w:bCs/>
          <w:rtl/>
        </w:rPr>
        <w:t>بما</w:t>
      </w:r>
      <w:r w:rsidRPr="00E44E0B">
        <w:rPr>
          <w:b/>
          <w:bCs/>
          <w:rtl/>
        </w:rPr>
        <w:t xml:space="preserve"> </w:t>
      </w:r>
      <w:r w:rsidRPr="00E44E0B">
        <w:rPr>
          <w:rFonts w:hint="eastAsia"/>
          <w:b/>
          <w:bCs/>
          <w:rtl/>
        </w:rPr>
        <w:t>يلي</w:t>
      </w:r>
      <w:r w:rsidRPr="00E44E0B">
        <w:rPr>
          <w:rFonts w:ascii="Simplified Arabic"/>
          <w:b/>
          <w:bCs/>
          <w:szCs w:val="20"/>
          <w:rtl/>
        </w:rPr>
        <w:t>:</w:t>
      </w:r>
      <w:r w:rsidRPr="00E44E0B">
        <w:rPr>
          <w:b/>
          <w:bCs/>
          <w:rtl/>
        </w:rPr>
        <w:t xml:space="preserve"> </w:t>
      </w:r>
    </w:p>
    <w:p w14:paraId="18FDEF43" w14:textId="61C388A7" w:rsidR="00D66135" w:rsidRPr="00E44E0B" w:rsidRDefault="00D66135" w:rsidP="00D66135">
      <w:pPr>
        <w:pStyle w:val="SingleTxtGA"/>
        <w:rPr>
          <w:rFonts w:eastAsia="SimSun" w:cs="Times New Roman"/>
          <w:b/>
          <w:bCs/>
          <w:szCs w:val="20"/>
          <w:rtl/>
          <w:lang w:val="ar-SA" w:eastAsia="zh-TW"/>
        </w:rPr>
      </w:pPr>
      <w:r>
        <w:rPr>
          <w:rtl/>
        </w:rPr>
        <w:tab/>
      </w:r>
      <w:r w:rsidRPr="00B67169">
        <w:rPr>
          <w:rtl/>
        </w:rPr>
        <w:t>(أ)</w:t>
      </w:r>
      <w:r>
        <w:rPr>
          <w:rtl/>
        </w:rPr>
        <w:tab/>
      </w:r>
      <w:r w:rsidRPr="00E44E0B">
        <w:rPr>
          <w:b/>
          <w:bCs/>
          <w:rtl/>
        </w:rPr>
        <w:t xml:space="preserve">مواءمة إطارها التشريعي مع العهد وضمان توافق أي قيود تفرض على الحق في التجمع السلمي مع المادة 21 منه؛ </w:t>
      </w:r>
    </w:p>
    <w:p w14:paraId="60D096F5" w14:textId="353114FC" w:rsidR="00D66135" w:rsidRPr="00E44E0B" w:rsidRDefault="00D66135" w:rsidP="00D66135">
      <w:pPr>
        <w:pStyle w:val="SingleTxtGA"/>
        <w:rPr>
          <w:rFonts w:eastAsia="SimSun" w:cs="Times New Roman"/>
          <w:b/>
          <w:bCs/>
          <w:szCs w:val="20"/>
          <w:rtl/>
          <w:lang w:val="ar-SA" w:eastAsia="zh-TW"/>
        </w:rPr>
      </w:pPr>
      <w:r>
        <w:rPr>
          <w:rtl/>
        </w:rPr>
        <w:tab/>
      </w:r>
      <w:r w:rsidRPr="00B67169">
        <w:rPr>
          <w:rtl/>
        </w:rPr>
        <w:t>(ب)</w:t>
      </w:r>
      <w:r>
        <w:rPr>
          <w:rtl/>
        </w:rPr>
        <w:tab/>
      </w:r>
      <w:r w:rsidRPr="00E44E0B">
        <w:rPr>
          <w:b/>
          <w:bCs/>
          <w:rtl/>
        </w:rPr>
        <w:t xml:space="preserve">إجراء تحقيقات شاملة ونزيهة في جميع ادعاءات الاستخدام المفرط للقوة والاحتجاز التعسفي للناس خلال المظاهرات السلمية، ومحاكمة الجناة، ومعاقبتهم، وجبر أضرار الضحايا؛ </w:t>
      </w:r>
    </w:p>
    <w:p w14:paraId="3D3C28FE" w14:textId="637EC395" w:rsidR="00D66135" w:rsidRPr="00E44E0B" w:rsidRDefault="00D66135" w:rsidP="00D66135">
      <w:pPr>
        <w:pStyle w:val="SingleTxtGA"/>
        <w:rPr>
          <w:rFonts w:eastAsia="SimSun" w:cs="Times New Roman"/>
          <w:b/>
          <w:bCs/>
          <w:szCs w:val="20"/>
          <w:rtl/>
          <w:lang w:val="ar-SA" w:eastAsia="zh-TW"/>
        </w:rPr>
      </w:pPr>
      <w:r>
        <w:rPr>
          <w:rtl/>
        </w:rPr>
        <w:tab/>
      </w:r>
      <w:r w:rsidRPr="00B67169">
        <w:rPr>
          <w:rtl/>
        </w:rPr>
        <w:t>(ج)</w:t>
      </w:r>
      <w:r w:rsidRPr="00E44E0B">
        <w:rPr>
          <w:b/>
          <w:bCs/>
          <w:rtl/>
        </w:rPr>
        <w:tab/>
        <w:t xml:space="preserve">تدريب موظفي إنفاذ القانون على استخدام القوة، بما فيه على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w:t>
      </w:r>
    </w:p>
    <w:p w14:paraId="47FD7901" w14:textId="3CAA11EF" w:rsidR="00D66135" w:rsidRPr="00E44E0B" w:rsidRDefault="00D66135" w:rsidP="00D66135">
      <w:pPr>
        <w:pStyle w:val="SingleTxtGA"/>
        <w:rPr>
          <w:rFonts w:eastAsia="SimSun" w:cs="Times New Roman"/>
          <w:b/>
          <w:bCs/>
          <w:szCs w:val="20"/>
          <w:rtl/>
          <w:lang w:val="ar-SA" w:eastAsia="zh-TW"/>
        </w:rPr>
      </w:pPr>
      <w:r>
        <w:rPr>
          <w:rtl/>
        </w:rPr>
        <w:tab/>
      </w:r>
      <w:r w:rsidRPr="00B67169">
        <w:rPr>
          <w:rtl/>
        </w:rPr>
        <w:t>(د)</w:t>
      </w:r>
      <w:r>
        <w:rPr>
          <w:rtl/>
        </w:rPr>
        <w:tab/>
      </w:r>
      <w:r w:rsidRPr="00E44E0B">
        <w:rPr>
          <w:b/>
          <w:bCs/>
          <w:rtl/>
        </w:rPr>
        <w:t xml:space="preserve">ضمان الممارسة الكاملة للحق في حرية التجمع السلمي، في القانون والممارسة، بما في ذلك من قبل الأحزاب السياسية المعارضة أو النقابات، وضمان عدم إجبار أي شخص على المشاركة في المظاهرات أو الاجتماعات، بما في ذلك مظاهرات أو اجتماعات الحزب الحاكم. </w:t>
      </w:r>
    </w:p>
    <w:p w14:paraId="6218084F" w14:textId="77777777" w:rsidR="00D66135" w:rsidRPr="00E44E0B" w:rsidRDefault="00D66135" w:rsidP="00D66135">
      <w:pPr>
        <w:pStyle w:val="H23GA"/>
        <w:rPr>
          <w:rFonts w:eastAsia="SimSun" w:cs="Times New Roman"/>
          <w:szCs w:val="20"/>
          <w:rtl/>
          <w:lang w:val="ar-SA" w:eastAsia="zh-TW"/>
        </w:rPr>
      </w:pPr>
      <w:r w:rsidRPr="00E44E0B">
        <w:rPr>
          <w:rtl/>
        </w:rPr>
        <w:tab/>
      </w:r>
      <w:r w:rsidRPr="00E44E0B">
        <w:rPr>
          <w:rtl/>
        </w:rPr>
        <w:tab/>
        <w:t>حرية تكوين الجمعيات</w:t>
      </w:r>
    </w:p>
    <w:p w14:paraId="4F039C95" w14:textId="4D60F89D" w:rsidR="00D66135" w:rsidRPr="00AE6B0E" w:rsidRDefault="00D66135" w:rsidP="00D66135">
      <w:pPr>
        <w:pStyle w:val="SingleTxtGA"/>
        <w:rPr>
          <w:rFonts w:eastAsia="SimSun" w:cs="Times New Roman"/>
          <w:szCs w:val="20"/>
          <w:rtl/>
          <w:lang w:val="ar-SA" w:eastAsia="zh-TW"/>
        </w:rPr>
      </w:pPr>
      <w:r w:rsidRPr="00E44E0B">
        <w:rPr>
          <w:rtl/>
        </w:rPr>
        <w:t>41</w:t>
      </w:r>
      <w:r w:rsidRPr="003E2B57">
        <w:rPr>
          <w:rtl/>
        </w:rPr>
        <w:t>-</w:t>
      </w:r>
      <w:r>
        <w:rPr>
          <w:rtl/>
        </w:rPr>
        <w:tab/>
        <w:t xml:space="preserve">يساور اللجنة القلق لأن القانون رقم </w:t>
      </w:r>
      <w:r w:rsidRPr="00E44E0B">
        <w:rPr>
          <w:rtl/>
        </w:rPr>
        <w:t>1</w:t>
      </w:r>
      <w:r>
        <w:rPr>
          <w:rFonts w:ascii="Simplified Arabic"/>
          <w:szCs w:val="20"/>
          <w:rtl/>
        </w:rPr>
        <w:t>/</w:t>
      </w:r>
      <w:r w:rsidRPr="00E44E0B">
        <w:rPr>
          <w:rtl/>
        </w:rPr>
        <w:t>01</w:t>
      </w:r>
      <w:r>
        <w:rPr>
          <w:rtl/>
        </w:rPr>
        <w:t xml:space="preserve"> المؤرخ </w:t>
      </w:r>
      <w:r w:rsidRPr="00E44E0B">
        <w:rPr>
          <w:rtl/>
        </w:rPr>
        <w:t>23</w:t>
      </w:r>
      <w:r>
        <w:rPr>
          <w:rtl/>
        </w:rPr>
        <w:t xml:space="preserve"> كانون الثاني/يناير </w:t>
      </w:r>
      <w:r w:rsidRPr="00E44E0B">
        <w:rPr>
          <w:rtl/>
        </w:rPr>
        <w:t>2017</w:t>
      </w:r>
      <w:r>
        <w:rPr>
          <w:rtl/>
        </w:rPr>
        <w:t xml:space="preserve">، بشأن الإطار العام للتعاون بين بوروندي والمنظمات غير الحكومية الأجنبية، والقانون رقم </w:t>
      </w:r>
      <w:r w:rsidRPr="00E44E0B">
        <w:rPr>
          <w:rtl/>
        </w:rPr>
        <w:t>1</w:t>
      </w:r>
      <w:r>
        <w:rPr>
          <w:rFonts w:ascii="Simplified Arabic"/>
          <w:szCs w:val="20"/>
          <w:rtl/>
        </w:rPr>
        <w:t>/</w:t>
      </w:r>
      <w:r w:rsidRPr="00E44E0B">
        <w:rPr>
          <w:rtl/>
        </w:rPr>
        <w:t>02</w:t>
      </w:r>
      <w:r>
        <w:rPr>
          <w:rtl/>
        </w:rPr>
        <w:t xml:space="preserve"> المؤرخ </w:t>
      </w:r>
      <w:r w:rsidRPr="00E44E0B">
        <w:rPr>
          <w:rtl/>
        </w:rPr>
        <w:t>27</w:t>
      </w:r>
      <w:r>
        <w:rPr>
          <w:rtl/>
        </w:rPr>
        <w:t xml:space="preserve"> كانون الثاني/يناير </w:t>
      </w:r>
      <w:r w:rsidRPr="00E44E0B">
        <w:rPr>
          <w:rtl/>
        </w:rPr>
        <w:t>2017</w:t>
      </w:r>
      <w:r>
        <w:rPr>
          <w:rtl/>
        </w:rPr>
        <w:t xml:space="preserve"> بشأن الإطار الأساسي للجمعيات غير الربحية، قد أوجدا إطاراً قانونياً يقيّد بشدة حرية تكوين الجمعيات، وألزما هذه الهياكل بالتسجيل كل سنتين، وايداع أموالها في حسابات في المصرف المركزي، ومواءمة أنشطتها مع برامج الحكومة وأولوياتها، ومراعاة التوازن العرقي في التوظيف. وتعرب </w:t>
      </w:r>
      <w:r>
        <w:rPr>
          <w:rtl/>
        </w:rPr>
        <w:lastRenderedPageBreak/>
        <w:t xml:space="preserve">اللجنة عن قلقها بوجه خاص إزاء تعليق عمل العديد من منظمات المجتمع المدني في بوروندي أو شطبها أو انسحابها بسبب هذا الإطار القانوني. ويساورها القلق أيضاً إزاء معلومات مفادها أن أشخاصاً تعرضوا للترهيب من جانب الإمبونيراكور لإجبارهم على </w:t>
      </w:r>
      <w:r w:rsidRPr="00FB3767">
        <w:rPr>
          <w:rtl/>
        </w:rPr>
        <w:t xml:space="preserve">الانضمام إلى الحزب الحاكم (المادة </w:t>
      </w:r>
      <w:r w:rsidRPr="00E44E0B">
        <w:rPr>
          <w:rtl/>
        </w:rPr>
        <w:t>2</w:t>
      </w:r>
      <w:r w:rsidR="00306EEC" w:rsidRPr="00E44E0B">
        <w:rPr>
          <w:rtl/>
        </w:rPr>
        <w:t>2</w:t>
      </w:r>
      <w:r w:rsidR="00306EEC" w:rsidRPr="00FB3767">
        <w:rPr>
          <w:rtl/>
        </w:rPr>
        <w:t>).</w:t>
      </w:r>
      <w:r w:rsidR="00306EEC" w:rsidRPr="00306EEC">
        <w:rPr>
          <w:rtl/>
        </w:rPr>
        <w:t xml:space="preserve"> </w:t>
      </w:r>
    </w:p>
    <w:p w14:paraId="589AF0D2" w14:textId="77777777" w:rsidR="00D66135" w:rsidRPr="00E44E0B" w:rsidRDefault="00D66135" w:rsidP="00D66135">
      <w:pPr>
        <w:pStyle w:val="SingleTxtGA"/>
        <w:rPr>
          <w:rFonts w:eastAsia="SimSun" w:cs="Times New Roman"/>
          <w:b/>
          <w:bCs/>
          <w:szCs w:val="20"/>
          <w:rtl/>
          <w:lang w:val="ar-SA" w:eastAsia="zh-TW"/>
        </w:rPr>
      </w:pPr>
      <w:r w:rsidRPr="00E44E0B">
        <w:rPr>
          <w:rtl/>
        </w:rPr>
        <w:t>42</w:t>
      </w:r>
      <w:r w:rsidRPr="003E2B57">
        <w:rPr>
          <w:rtl/>
        </w:rPr>
        <w:t>-</w:t>
      </w:r>
      <w:r>
        <w:rPr>
          <w:rtl/>
        </w:rPr>
        <w:tab/>
      </w:r>
      <w:r w:rsidRPr="00E44E0B">
        <w:rPr>
          <w:b/>
          <w:bCs/>
          <w:rtl/>
        </w:rPr>
        <w:t xml:space="preserve">ينبغي للدولة الطرف أن تعيد النظر في إطارها القانوني من أجل ضمان الممارسة الفعالة للحق في حرية تكوين الجمعيات، دون تدخل يتعارض مع أحكام المادة 22 من العهد ودون أي رقابة سياسية من جانب السلطات، وأن تتخذ التدابير اللازمة لمنع ومكافحة العضوية القسرية في الجمعيات، بما فيها الحزب الحاكم. </w:t>
      </w:r>
    </w:p>
    <w:p w14:paraId="4B158952" w14:textId="77777777" w:rsidR="00D66135" w:rsidRPr="00E44E0B" w:rsidRDefault="00D66135" w:rsidP="00D66135">
      <w:pPr>
        <w:pStyle w:val="H23GA"/>
        <w:rPr>
          <w:rFonts w:eastAsia="SimSun" w:cs="Times New Roman"/>
          <w:szCs w:val="20"/>
          <w:rtl/>
          <w:lang w:val="ar-SA" w:eastAsia="zh-TW"/>
        </w:rPr>
      </w:pPr>
      <w:r w:rsidRPr="00E44E0B">
        <w:rPr>
          <w:rtl/>
        </w:rPr>
        <w:tab/>
      </w:r>
      <w:r w:rsidRPr="00E44E0B">
        <w:rPr>
          <w:rtl/>
        </w:rPr>
        <w:tab/>
        <w:t xml:space="preserve">حماية الصحفيين والمدافعين عن حقوق الإنسان </w:t>
      </w:r>
    </w:p>
    <w:p w14:paraId="1441F13F" w14:textId="58BD3861" w:rsidR="00D66135" w:rsidRPr="00F51DF5" w:rsidRDefault="00D66135" w:rsidP="00D66135">
      <w:pPr>
        <w:pStyle w:val="SingleTxtGA"/>
        <w:rPr>
          <w:rFonts w:cs="Times New Roman"/>
          <w:szCs w:val="20"/>
          <w:rtl/>
          <w:lang w:val="ar-SA" w:eastAsia="zh-TW"/>
        </w:rPr>
      </w:pPr>
      <w:r w:rsidRPr="00E44E0B">
        <w:rPr>
          <w:rtl/>
        </w:rPr>
        <w:t>43</w:t>
      </w:r>
      <w:r w:rsidRPr="003E2B57">
        <w:rPr>
          <w:rtl/>
        </w:rPr>
        <w:t>-</w:t>
      </w:r>
      <w:r>
        <w:rPr>
          <w:rtl/>
        </w:rPr>
        <w:tab/>
        <w:t xml:space="preserve">لا تزال اللجنة تشعر بالقلق إزاء استمرار ورود معلومات عن وقوع العديد من أعمال العنف والمضايقة والترهيب وغيرها من انتهاكات حقوق الإنسان ضد الصحفيين والمدافعين عن حقوق الإنسان على أيدي الشرطة ووكالة الاستخبارات الوطنية والإمبونيراكور. وتعوق هذه الممارسات، بالإضافة إلى الأفعال التي سبق إدانتها في الفقرات </w:t>
      </w:r>
      <w:r w:rsidRPr="00E44E0B">
        <w:rPr>
          <w:rtl/>
        </w:rPr>
        <w:t>37</w:t>
      </w:r>
      <w:r>
        <w:rPr>
          <w:rtl/>
        </w:rPr>
        <w:t xml:space="preserve"> و</w:t>
      </w:r>
      <w:r w:rsidRPr="00E44E0B">
        <w:rPr>
          <w:rtl/>
        </w:rPr>
        <w:t>39</w:t>
      </w:r>
      <w:r>
        <w:rPr>
          <w:rtl/>
        </w:rPr>
        <w:t xml:space="preserve"> و</w:t>
      </w:r>
      <w:r w:rsidRPr="00E44E0B">
        <w:rPr>
          <w:rtl/>
        </w:rPr>
        <w:t>41</w:t>
      </w:r>
      <w:r>
        <w:rPr>
          <w:rtl/>
        </w:rPr>
        <w:t xml:space="preserve"> أعلاه، تطوير حيز مدني يمكن فيه للأفراد أن يمارسوا حقوق الإنسان ويعززوها بفعالية وأمان. كما يساور اللجنة القلق إزاء اختفاء الصحفي جان بيغيريمانا منذ عام </w:t>
      </w:r>
      <w:r w:rsidRPr="00E44E0B">
        <w:rPr>
          <w:rtl/>
        </w:rPr>
        <w:t>2016</w:t>
      </w:r>
      <w:r>
        <w:rPr>
          <w:rtl/>
        </w:rPr>
        <w:t xml:space="preserve"> والمدافعة عن حقوق الإنسان ماري كلوديت كويزيرا في عام </w:t>
      </w:r>
      <w:r w:rsidRPr="00E44E0B">
        <w:rPr>
          <w:rtl/>
        </w:rPr>
        <w:t>2015</w:t>
      </w:r>
      <w:r>
        <w:rPr>
          <w:rtl/>
        </w:rPr>
        <w:t xml:space="preserve">، اللذين أفيد بأن وكالة الاستخبارات الوطنية احتجزتهما </w:t>
      </w:r>
      <w:r w:rsidRPr="00FB3767">
        <w:rPr>
          <w:rtl/>
        </w:rPr>
        <w:t xml:space="preserve">(المواد </w:t>
      </w:r>
      <w:r w:rsidRPr="00E44E0B">
        <w:rPr>
          <w:rtl/>
        </w:rPr>
        <w:t>2</w:t>
      </w:r>
      <w:r w:rsidRPr="00FB3767">
        <w:rPr>
          <w:rtl/>
        </w:rPr>
        <w:t xml:space="preserve"> و</w:t>
      </w:r>
      <w:r w:rsidRPr="00E44E0B">
        <w:rPr>
          <w:rtl/>
        </w:rPr>
        <w:t>9</w:t>
      </w:r>
      <w:r w:rsidRPr="00FB3767">
        <w:rPr>
          <w:rtl/>
        </w:rPr>
        <w:t xml:space="preserve"> و</w:t>
      </w:r>
      <w:r w:rsidRPr="00E44E0B">
        <w:rPr>
          <w:rtl/>
        </w:rPr>
        <w:t>19</w:t>
      </w:r>
      <w:r w:rsidRPr="00FB3767">
        <w:rPr>
          <w:rtl/>
        </w:rPr>
        <w:t xml:space="preserve"> و</w:t>
      </w:r>
      <w:r w:rsidRPr="00E44E0B">
        <w:rPr>
          <w:rtl/>
        </w:rPr>
        <w:t>21</w:t>
      </w:r>
      <w:r w:rsidRPr="00FB3767">
        <w:rPr>
          <w:rtl/>
        </w:rPr>
        <w:t xml:space="preserve"> و</w:t>
      </w:r>
      <w:r w:rsidRPr="00E44E0B">
        <w:rPr>
          <w:rtl/>
        </w:rPr>
        <w:t>2</w:t>
      </w:r>
      <w:r w:rsidR="00306EEC" w:rsidRPr="00E44E0B">
        <w:rPr>
          <w:rtl/>
        </w:rPr>
        <w:t>2</w:t>
      </w:r>
      <w:r w:rsidR="00306EEC" w:rsidRPr="00FB3767">
        <w:rPr>
          <w:rtl/>
        </w:rPr>
        <w:t>).</w:t>
      </w:r>
      <w:r w:rsidR="00306EEC" w:rsidRPr="00306EEC">
        <w:rPr>
          <w:rtl/>
        </w:rPr>
        <w:t xml:space="preserve"> </w:t>
      </w:r>
    </w:p>
    <w:p w14:paraId="40D0CB4A" w14:textId="77777777" w:rsidR="00D66135" w:rsidRPr="00E44E0B" w:rsidRDefault="00D66135" w:rsidP="00D66135">
      <w:pPr>
        <w:pStyle w:val="SingleTxtGA"/>
        <w:rPr>
          <w:rFonts w:eastAsia="SimSun" w:cs="Times New Roman"/>
          <w:b/>
          <w:bCs/>
          <w:szCs w:val="20"/>
          <w:rtl/>
          <w:lang w:val="ar-SA" w:eastAsia="zh-TW"/>
        </w:rPr>
      </w:pPr>
      <w:r w:rsidRPr="00E44E0B">
        <w:rPr>
          <w:rtl/>
        </w:rPr>
        <w:t>44</w:t>
      </w:r>
      <w:r w:rsidRPr="003E2B57">
        <w:rPr>
          <w:rtl/>
        </w:rPr>
        <w:t>-</w:t>
      </w:r>
      <w:r>
        <w:rPr>
          <w:rtl/>
        </w:rPr>
        <w:tab/>
      </w:r>
      <w:r w:rsidRPr="00E44E0B">
        <w:rPr>
          <w:b/>
          <w:bCs/>
          <w:rtl/>
        </w:rPr>
        <w:t>ينبغي للدولة الطرف أن تكفل حماية الصحفيين والمدافعين عن حقوق الإنسان وغيرهم من الجهات الفاعلة في المجتمع المدني من العنف والتهديدات والمضايقة والترهيب وأن تحقق في هذه الأفعال وتحاكم الجناة وتعاقبهم. وينبغي أيضاً أن تتيح لهؤلاء الأشخاص المرونة اللازمة للاضطلاع بأنشطتهم، بما في ذلك التعاون مع الأمم المتحدة، دون خوف من المضايقة أو الترهيب أو الانتقام.</w:t>
      </w:r>
    </w:p>
    <w:p w14:paraId="2513A1B6" w14:textId="77777777" w:rsidR="00D66135" w:rsidRPr="00E44E0B" w:rsidRDefault="00D66135" w:rsidP="00D66135">
      <w:pPr>
        <w:pStyle w:val="H23GA"/>
        <w:rPr>
          <w:rFonts w:cs="Times New Roman"/>
          <w:szCs w:val="20"/>
          <w:rtl/>
          <w:lang w:val="ar-SA" w:eastAsia="zh-TW"/>
        </w:rPr>
      </w:pPr>
      <w:r w:rsidRPr="00E44E0B">
        <w:rPr>
          <w:rtl/>
        </w:rPr>
        <w:tab/>
      </w:r>
      <w:r w:rsidRPr="00E44E0B">
        <w:rPr>
          <w:rtl/>
        </w:rPr>
        <w:tab/>
        <w:t>حقوق الطفل</w:t>
      </w:r>
    </w:p>
    <w:p w14:paraId="7D2F960F" w14:textId="0DAAAE36" w:rsidR="00D66135" w:rsidRPr="002325D8" w:rsidRDefault="00D66135" w:rsidP="00D66135">
      <w:pPr>
        <w:pStyle w:val="SingleTxtGA"/>
        <w:rPr>
          <w:rFonts w:eastAsia="SimSun" w:cs="Times New Roman"/>
          <w:szCs w:val="20"/>
          <w:rtl/>
          <w:lang w:val="ar-SA" w:eastAsia="zh-TW"/>
        </w:rPr>
      </w:pPr>
      <w:r w:rsidRPr="00E44E0B">
        <w:rPr>
          <w:rtl/>
        </w:rPr>
        <w:t>45</w:t>
      </w:r>
      <w:r w:rsidRPr="003E2B57">
        <w:rPr>
          <w:rtl/>
        </w:rPr>
        <w:t>-</w:t>
      </w:r>
      <w:r>
        <w:rPr>
          <w:rtl/>
        </w:rPr>
        <w:tab/>
        <w:t xml:space="preserve">بينما تحيط اللجنة علماً باعتماد السياسة الوطنية لحماية الطفل </w:t>
      </w:r>
      <w:r>
        <w:rPr>
          <w:rFonts w:ascii="Simplified Arabic"/>
          <w:szCs w:val="20"/>
          <w:rtl/>
        </w:rPr>
        <w:t>(</w:t>
      </w:r>
      <w:r w:rsidRPr="00E44E0B">
        <w:rPr>
          <w:rtl/>
        </w:rPr>
        <w:t>2020</w:t>
      </w:r>
      <w:r w:rsidRPr="003E2B57">
        <w:rPr>
          <w:rtl/>
        </w:rPr>
        <w:t>-</w:t>
      </w:r>
      <w:r w:rsidRPr="00E44E0B">
        <w:rPr>
          <w:rtl/>
        </w:rPr>
        <w:t>2024</w:t>
      </w:r>
      <w:r w:rsidR="00306EEC" w:rsidRPr="00306EEC">
        <w:rPr>
          <w:rFonts w:ascii="Simplified Arabic"/>
          <w:szCs w:val="20"/>
          <w:rtl/>
        </w:rPr>
        <w:t>)</w:t>
      </w:r>
      <w:r w:rsidR="00306EEC" w:rsidRPr="00306EEC">
        <w:rPr>
          <w:rtl/>
        </w:rPr>
        <w:t xml:space="preserve">، </w:t>
      </w:r>
      <w:r>
        <w:rPr>
          <w:rtl/>
        </w:rPr>
        <w:t>فإنها تشعر بالقلق إزاء المعلومات التي تفيد بتجنيد أطفال صغار جداً في حركة مرتبطة بالحزب الحاكم (</w:t>
      </w:r>
      <w:r>
        <w:rPr>
          <w:rFonts w:ascii="Simplified Arabic"/>
          <w:szCs w:val="20"/>
        </w:rPr>
        <w:t>"</w:t>
      </w:r>
      <w:r>
        <w:rPr>
          <w:rFonts w:cs="Times New Roman"/>
          <w:szCs w:val="20"/>
          <w:rtl/>
        </w:rPr>
        <w:t>les aiglons</w:t>
      </w:r>
      <w:r w:rsidR="00F53028">
        <w:rPr>
          <w:rFonts w:hint="cs"/>
          <w:rtl/>
        </w:rPr>
        <w:t>"</w:t>
      </w:r>
      <w:r>
        <w:rPr>
          <w:rtl/>
        </w:rPr>
        <w:t xml:space="preserve"> أو "</w:t>
      </w:r>
      <w:r>
        <w:rPr>
          <w:rFonts w:cs="Times New Roman"/>
          <w:szCs w:val="20"/>
          <w:rtl/>
        </w:rPr>
        <w:t>les enfants de l'aigle</w:t>
      </w:r>
      <w:r w:rsidR="00F53028" w:rsidRPr="00F53028">
        <w:rPr>
          <w:rFonts w:hint="cs"/>
          <w:rtl/>
        </w:rPr>
        <w:t>"</w:t>
      </w:r>
      <w:r>
        <w:rPr>
          <w:rFonts w:ascii="Simplified Arabic"/>
          <w:szCs w:val="20"/>
          <w:rtl/>
        </w:rPr>
        <w:t>)</w:t>
      </w:r>
      <w:r>
        <w:rPr>
          <w:rtl/>
        </w:rPr>
        <w:t xml:space="preserve"> ("الهياثم" أو "صغار النسر") ومن قبل الإمبونيراكور. ويساور اللجنة القلق إزاء معلومات مفادها أن هؤلاء الأطفال شاركوا في مسيرات نظمتها عناصر الشرطة، وهم يرددون كلمات تحرض على العنف والكراهية العرقية، وتأسف لعدم ورود معلومات من الدولة الطرف في هذا الصدد. وبينما تلاحظ اللجنة حملات التوعية العامة لحماية الأشخاص المصابين بالمهق، ولا سيما الأطفال، فإنها تأسف لعدم وجود معلومات مفصلة عن التدابير التي اتخذتها الدولة الطرف من أجل حماية الأطفال ذوي المهق من التمييز (المادة </w:t>
      </w:r>
      <w:r w:rsidRPr="00E44E0B">
        <w:rPr>
          <w:rtl/>
        </w:rPr>
        <w:t>2</w:t>
      </w:r>
      <w:r w:rsidR="00306EEC" w:rsidRPr="00E44E0B">
        <w:rPr>
          <w:rtl/>
        </w:rPr>
        <w:t>4</w:t>
      </w:r>
      <w:r w:rsidR="00306EEC" w:rsidRPr="00F53028">
        <w:rPr>
          <w:rtl/>
        </w:rPr>
        <w:t>)</w:t>
      </w:r>
      <w:r w:rsidR="00306EEC" w:rsidRPr="00306EEC">
        <w:rPr>
          <w:rtl/>
        </w:rPr>
        <w:t>.</w:t>
      </w:r>
    </w:p>
    <w:p w14:paraId="259CC093" w14:textId="77777777" w:rsidR="00D66135" w:rsidRPr="00E44E0B" w:rsidRDefault="00D66135" w:rsidP="00D66135">
      <w:pPr>
        <w:pStyle w:val="SingleTxtGA"/>
        <w:rPr>
          <w:rFonts w:eastAsia="SimSun" w:cs="Times New Roman"/>
          <w:b/>
          <w:bCs/>
          <w:szCs w:val="20"/>
          <w:rtl/>
          <w:lang w:val="ar-SA" w:eastAsia="zh-TW"/>
        </w:rPr>
      </w:pPr>
      <w:r w:rsidRPr="00E44E0B">
        <w:rPr>
          <w:rtl/>
        </w:rPr>
        <w:t>46</w:t>
      </w:r>
      <w:r w:rsidRPr="003E2B57">
        <w:rPr>
          <w:rtl/>
        </w:rPr>
        <w:t>-</w:t>
      </w:r>
      <w:r>
        <w:rPr>
          <w:rtl/>
        </w:rPr>
        <w:tab/>
      </w:r>
      <w:r w:rsidRPr="00E44E0B">
        <w:rPr>
          <w:b/>
          <w:bCs/>
          <w:rtl/>
        </w:rPr>
        <w:t>ينبغي للدولة الطرف أن تتخذ التدابير اللازمة للتحقيق في الادعاءات بتجنيد أطفال صغار جداً في حركات عنيفة أو حركات تحرّض على العنف والكراهية العرقية، وحل هذا النوع من الحركات ووضع حد لهذه الممارسة، وإدماج التدريب على السلام والتنمية وحقوق الإنسان في النظام التعليمي. وينبغي للدولة الطرف أيضاً أن تعزز جهودها الرامية إلى حماية الأطفال ذوي المهق من التمييز، بما في ذلك الأذى البدني.</w:t>
      </w:r>
    </w:p>
    <w:p w14:paraId="09949C73" w14:textId="77777777" w:rsidR="00D66135" w:rsidRPr="00E44E0B" w:rsidRDefault="00D66135" w:rsidP="00D66135">
      <w:pPr>
        <w:pStyle w:val="H23GA"/>
        <w:rPr>
          <w:rFonts w:cs="Times New Roman"/>
          <w:szCs w:val="20"/>
          <w:rtl/>
          <w:lang w:val="ar-SA" w:eastAsia="zh-TW"/>
        </w:rPr>
      </w:pPr>
      <w:r w:rsidRPr="00E44E0B">
        <w:rPr>
          <w:rtl/>
        </w:rPr>
        <w:lastRenderedPageBreak/>
        <w:tab/>
      </w:r>
      <w:r w:rsidRPr="00E44E0B">
        <w:rPr>
          <w:rtl/>
        </w:rPr>
        <w:tab/>
        <w:t>المشاركة في إدارة الشؤون العامة</w:t>
      </w:r>
    </w:p>
    <w:p w14:paraId="2542A179" w14:textId="29B0AEC4" w:rsidR="00D66135" w:rsidRPr="00A576F2" w:rsidRDefault="00D66135" w:rsidP="00D66135">
      <w:pPr>
        <w:pStyle w:val="SingleTxtGA"/>
        <w:rPr>
          <w:rFonts w:eastAsia="SimSun" w:cs="Times New Roman"/>
          <w:szCs w:val="20"/>
          <w:rtl/>
          <w:lang w:val="ar-SA" w:eastAsia="zh-TW"/>
        </w:rPr>
      </w:pPr>
      <w:r w:rsidRPr="00E44E0B">
        <w:rPr>
          <w:rtl/>
        </w:rPr>
        <w:t>47</w:t>
      </w:r>
      <w:r w:rsidRPr="003E2B57">
        <w:rPr>
          <w:rtl/>
        </w:rPr>
        <w:t>-</w:t>
      </w:r>
      <w:r>
        <w:rPr>
          <w:rtl/>
        </w:rPr>
        <w:tab/>
        <w:t xml:space="preserve">تشعر اللجنة بالجزع إزاء المعلومات العديدة والمتسقة التي تفيد بارتفاع مستويات العنف السياسي، والتحريض على الكراهية السياسية والعرقية، والترهيب، والتعذيب، وانتهاكات الحريات الأساسية التي تطال مرشحي المعارضة وقادتها ومؤيديها من جانب الإمبونيراكور أو الموظفين الإداريين المحليين أو عناصر الشرطة أو وكالة الاستخبارات الوطنية، فضلاً عن استخدام النظام القضائي أداةً للتضييق على أحزاب المعارضة، لا سيما خلال انتخابات عامي </w:t>
      </w:r>
      <w:r w:rsidRPr="00E44E0B">
        <w:rPr>
          <w:rtl/>
        </w:rPr>
        <w:t>2015</w:t>
      </w:r>
      <w:r>
        <w:rPr>
          <w:rtl/>
        </w:rPr>
        <w:t xml:space="preserve"> و</w:t>
      </w:r>
      <w:r w:rsidRPr="00E44E0B">
        <w:rPr>
          <w:rtl/>
        </w:rPr>
        <w:t>2020</w:t>
      </w:r>
      <w:r>
        <w:rPr>
          <w:rtl/>
        </w:rPr>
        <w:t xml:space="preserve"> والاستفتاء الدستوري عام </w:t>
      </w:r>
      <w:r w:rsidRPr="00E44E0B">
        <w:rPr>
          <w:rtl/>
        </w:rPr>
        <w:t>201</w:t>
      </w:r>
      <w:r w:rsidR="00306EEC" w:rsidRPr="00E44E0B">
        <w:rPr>
          <w:rtl/>
        </w:rPr>
        <w:t>8</w:t>
      </w:r>
      <w:r w:rsidR="00306EEC" w:rsidRPr="00306EEC">
        <w:rPr>
          <w:rFonts w:ascii="Simplified Arabic"/>
          <w:szCs w:val="20"/>
          <w:rtl/>
        </w:rPr>
        <w:t>.</w:t>
      </w:r>
      <w:r w:rsidR="00306EEC" w:rsidRPr="00306EEC">
        <w:rPr>
          <w:rtl/>
        </w:rPr>
        <w:t xml:space="preserve"> </w:t>
      </w:r>
      <w:r>
        <w:rPr>
          <w:rtl/>
        </w:rPr>
        <w:t xml:space="preserve">ويساور اللجنة القلق لأن الدولة الطرف لم تتخذ تدابير فعالة وفعلية لضمان عدم إفلات مرتكبي هذه الأفعال من العقاب ومنع حدوث المزيد من التجاوزات، الامر الذي قد يخل بسير الانتخابات المقبلة في عامي </w:t>
      </w:r>
      <w:r w:rsidRPr="00E44E0B">
        <w:rPr>
          <w:rtl/>
        </w:rPr>
        <w:t>2025</w:t>
      </w:r>
      <w:r>
        <w:rPr>
          <w:rtl/>
        </w:rPr>
        <w:t xml:space="preserve"> و</w:t>
      </w:r>
      <w:r w:rsidRPr="00E44E0B">
        <w:rPr>
          <w:rtl/>
        </w:rPr>
        <w:t>2027</w:t>
      </w:r>
      <w:r>
        <w:rPr>
          <w:rtl/>
        </w:rPr>
        <w:t xml:space="preserve"> ويقوض الامتثال التام للالتزامات المنصوص عليها في العهد وذلك قبل الانتخابات وأثناءها وبعدها. ويساور اللجنة القلق أيضاً إزاء القيود المفروضة على حق الترشح في الانتخابات بموجب القانون الانتخابي بصيغته المعدلة في القانون الأساسي رقم </w:t>
      </w:r>
      <w:r w:rsidRPr="00E44E0B">
        <w:rPr>
          <w:rtl/>
        </w:rPr>
        <w:t>1</w:t>
      </w:r>
      <w:r>
        <w:rPr>
          <w:rFonts w:ascii="Simplified Arabic"/>
          <w:szCs w:val="20"/>
          <w:rtl/>
        </w:rPr>
        <w:t>/</w:t>
      </w:r>
      <w:r w:rsidRPr="00E44E0B">
        <w:rPr>
          <w:rtl/>
        </w:rPr>
        <w:t>11</w:t>
      </w:r>
      <w:r>
        <w:rPr>
          <w:rtl/>
        </w:rPr>
        <w:t xml:space="preserve"> المؤرخ </w:t>
      </w:r>
      <w:r w:rsidRPr="00E44E0B">
        <w:rPr>
          <w:rtl/>
        </w:rPr>
        <w:t>20</w:t>
      </w:r>
      <w:r>
        <w:rPr>
          <w:rtl/>
        </w:rPr>
        <w:t xml:space="preserve"> أيار/مايو </w:t>
      </w:r>
      <w:r w:rsidRPr="00E44E0B">
        <w:rPr>
          <w:rtl/>
        </w:rPr>
        <w:t>2019</w:t>
      </w:r>
      <w:r>
        <w:rPr>
          <w:rtl/>
        </w:rPr>
        <w:t xml:space="preserve">، بما في ذلك الشروط التقييدية المطلوبة لاعتبار المرشح مرشحاً مستقلاً (المواد </w:t>
      </w:r>
      <w:r w:rsidRPr="00E44E0B">
        <w:rPr>
          <w:rtl/>
        </w:rPr>
        <w:t>7</w:t>
      </w:r>
      <w:r>
        <w:rPr>
          <w:rtl/>
        </w:rPr>
        <w:t xml:space="preserve"> و</w:t>
      </w:r>
      <w:r w:rsidRPr="00E44E0B">
        <w:rPr>
          <w:rtl/>
        </w:rPr>
        <w:t>14</w:t>
      </w:r>
      <w:r>
        <w:rPr>
          <w:rtl/>
        </w:rPr>
        <w:t xml:space="preserve"> و</w:t>
      </w:r>
      <w:r w:rsidRPr="00E44E0B">
        <w:rPr>
          <w:rtl/>
        </w:rPr>
        <w:t>25</w:t>
      </w:r>
      <w:r>
        <w:rPr>
          <w:rtl/>
        </w:rPr>
        <w:t xml:space="preserve"> </w:t>
      </w:r>
      <w:r w:rsidRPr="007A2B81">
        <w:rPr>
          <w:rtl/>
        </w:rPr>
        <w:t>و</w:t>
      </w:r>
      <w:r w:rsidRPr="00E44E0B">
        <w:rPr>
          <w:rtl/>
        </w:rPr>
        <w:t>2</w:t>
      </w:r>
      <w:r w:rsidR="00306EEC" w:rsidRPr="00E44E0B">
        <w:rPr>
          <w:rtl/>
        </w:rPr>
        <w:t>6</w:t>
      </w:r>
      <w:r w:rsidR="00306EEC" w:rsidRPr="0054368B">
        <w:rPr>
          <w:rtl/>
        </w:rPr>
        <w:t>)</w:t>
      </w:r>
      <w:r w:rsidR="00306EEC" w:rsidRPr="007A2B81">
        <w:rPr>
          <w:rtl/>
        </w:rPr>
        <w:t>.</w:t>
      </w:r>
      <w:r w:rsidR="00306EEC" w:rsidRPr="00306EEC">
        <w:rPr>
          <w:rtl/>
        </w:rPr>
        <w:t xml:space="preserve"> </w:t>
      </w:r>
    </w:p>
    <w:p w14:paraId="0839738E" w14:textId="3F4A12FD" w:rsidR="00D66135" w:rsidRPr="00E44E0B" w:rsidRDefault="00D66135" w:rsidP="007A2B81">
      <w:pPr>
        <w:pStyle w:val="SingleTxtGA"/>
        <w:rPr>
          <w:rFonts w:eastAsia="SimSun" w:cs="Times New Roman"/>
          <w:b/>
          <w:bCs/>
          <w:szCs w:val="20"/>
          <w:rtl/>
          <w:lang w:val="en-US" w:eastAsia="zh-TW"/>
        </w:rPr>
      </w:pPr>
      <w:r w:rsidRPr="00E44E0B">
        <w:rPr>
          <w:rtl/>
        </w:rPr>
        <w:t>48</w:t>
      </w:r>
      <w:r w:rsidRPr="003E2B57">
        <w:rPr>
          <w:rtl/>
        </w:rPr>
        <w:t>-</w:t>
      </w:r>
      <w:r>
        <w:rPr>
          <w:rtl/>
        </w:rPr>
        <w:tab/>
      </w:r>
      <w:r w:rsidRPr="00E44E0B">
        <w:rPr>
          <w:b/>
          <w:bCs/>
          <w:rtl/>
        </w:rPr>
        <w:t>ينبغي للدولة الطرف أن تتخذ جميع التدابير اللازمة، قبل انتخابات عامي 2025 و2027، من أجل الآتي</w:t>
      </w:r>
      <w:r w:rsidR="00477F66" w:rsidRPr="00E44E0B">
        <w:rPr>
          <w:rFonts w:hint="cs"/>
          <w:b/>
          <w:bCs/>
          <w:rtl/>
        </w:rPr>
        <w:t>:</w:t>
      </w:r>
    </w:p>
    <w:p w14:paraId="1F12C4D6" w14:textId="0106A7D9" w:rsidR="00D66135" w:rsidRPr="00E44E0B" w:rsidRDefault="00D66135" w:rsidP="00D66135">
      <w:pPr>
        <w:pStyle w:val="SingleTxtGA"/>
        <w:rPr>
          <w:rFonts w:eastAsia="SimSun" w:cs="Times New Roman"/>
          <w:b/>
          <w:bCs/>
          <w:spacing w:val="-6"/>
          <w:szCs w:val="20"/>
          <w:rtl/>
          <w:lang w:val="ar-SA" w:eastAsia="zh-TW"/>
        </w:rPr>
      </w:pPr>
      <w:r w:rsidRPr="00477F66">
        <w:rPr>
          <w:spacing w:val="-6"/>
          <w:rtl/>
        </w:rPr>
        <w:tab/>
        <w:t>(أ)</w:t>
      </w:r>
      <w:r w:rsidRPr="00477F66">
        <w:rPr>
          <w:spacing w:val="-6"/>
          <w:rtl/>
        </w:rPr>
        <w:tab/>
      </w:r>
      <w:r w:rsidRPr="00E44E0B">
        <w:rPr>
          <w:b/>
          <w:bCs/>
          <w:spacing w:val="-6"/>
          <w:rtl/>
        </w:rPr>
        <w:t xml:space="preserve">منع العنف والتحريض على الكراهية السياسية والعرقية، وتعزيز ثقافة التعددية السياسية؛ </w:t>
      </w:r>
    </w:p>
    <w:p w14:paraId="2E160CB3" w14:textId="7761D8BD" w:rsidR="00D66135" w:rsidRPr="00E44E0B" w:rsidRDefault="00D66135" w:rsidP="00D66135">
      <w:pPr>
        <w:pStyle w:val="SingleTxtGA"/>
        <w:rPr>
          <w:rFonts w:eastAsia="SimSun" w:cs="Times New Roman"/>
          <w:b/>
          <w:bCs/>
          <w:szCs w:val="20"/>
          <w:rtl/>
          <w:lang w:val="ar-SA" w:eastAsia="zh-TW"/>
        </w:rPr>
      </w:pPr>
      <w:r>
        <w:rPr>
          <w:rtl/>
        </w:rPr>
        <w:tab/>
      </w:r>
      <w:r w:rsidRPr="007A2B81">
        <w:rPr>
          <w:rtl/>
        </w:rPr>
        <w:t>(ب</w:t>
      </w:r>
      <w:r w:rsidRPr="0054368B">
        <w:rPr>
          <w:rtl/>
        </w:rPr>
        <w:t>)</w:t>
      </w:r>
      <w:r>
        <w:rPr>
          <w:rtl/>
        </w:rPr>
        <w:tab/>
      </w:r>
      <w:r w:rsidRPr="00E44E0B">
        <w:rPr>
          <w:b/>
          <w:bCs/>
          <w:rtl/>
        </w:rPr>
        <w:t xml:space="preserve">ضمان تمتع الجميع تمتعاً كاملاً وفعلياً بالحقوق الانتخابية، بمن في ذلك مرشحو المعارضة ومؤيدوها، وتمكين جميع الأحزاب السياسية من إجراء حملة انتخابية متساوية وحرة وشفافة؛ </w:t>
      </w:r>
    </w:p>
    <w:p w14:paraId="1EF20965" w14:textId="3B8BE616" w:rsidR="00D66135" w:rsidRPr="00923FA8" w:rsidRDefault="00D66135" w:rsidP="00D66135">
      <w:pPr>
        <w:pStyle w:val="SingleTxtGA"/>
        <w:rPr>
          <w:rFonts w:eastAsia="SimSun" w:cs="Times New Roman"/>
          <w:szCs w:val="20"/>
          <w:rtl/>
          <w:lang w:val="ar-SA" w:eastAsia="zh-TW"/>
        </w:rPr>
      </w:pPr>
      <w:r>
        <w:rPr>
          <w:rtl/>
        </w:rPr>
        <w:tab/>
      </w:r>
      <w:r w:rsidRPr="007A2B81">
        <w:rPr>
          <w:rtl/>
        </w:rPr>
        <w:t>(ج)</w:t>
      </w:r>
      <w:r w:rsidRPr="00E44E0B">
        <w:rPr>
          <w:b/>
          <w:bCs/>
          <w:rtl/>
        </w:rPr>
        <w:tab/>
        <w:t>مراجعة القيود المفروضة على الحق في الترشح للانتخابات، بغرض ضمان توافقها مع أحكام العهد؛</w:t>
      </w:r>
    </w:p>
    <w:p w14:paraId="465F1D6A" w14:textId="762D1BAE" w:rsidR="00D66135" w:rsidRPr="00E44E0B" w:rsidRDefault="00D66135" w:rsidP="00D66135">
      <w:pPr>
        <w:pStyle w:val="SingleTxtGA"/>
        <w:rPr>
          <w:rFonts w:eastAsia="SimSun" w:cs="Times New Roman"/>
          <w:b/>
          <w:bCs/>
          <w:szCs w:val="20"/>
          <w:rtl/>
          <w:lang w:val="ar-SA" w:eastAsia="zh-TW"/>
        </w:rPr>
      </w:pPr>
      <w:r>
        <w:rPr>
          <w:rtl/>
        </w:rPr>
        <w:tab/>
      </w:r>
      <w:r w:rsidRPr="007A2B81">
        <w:rPr>
          <w:rtl/>
        </w:rPr>
        <w:t>(د)</w:t>
      </w:r>
      <w:r>
        <w:rPr>
          <w:rtl/>
        </w:rPr>
        <w:tab/>
      </w:r>
      <w:r w:rsidRPr="00E44E0B">
        <w:rPr>
          <w:b/>
          <w:bCs/>
          <w:rtl/>
        </w:rPr>
        <w:t>إجراء تحقيقات شاملة ومستقلة في جميع ادعاءات العنف والمضايقة والترهيب والتعذيب وانتهاك الحريات الأساسية تجاه أعضاء أحزاب المعارضة وأنصارها، وتقديم الجناة إلى العدالة.</w:t>
      </w:r>
    </w:p>
    <w:p w14:paraId="49F84E6A" w14:textId="77777777" w:rsidR="00D66135" w:rsidRPr="00E44E0B" w:rsidRDefault="00D66135" w:rsidP="00D66135">
      <w:pPr>
        <w:pStyle w:val="H23GA"/>
        <w:rPr>
          <w:rFonts w:cs="Times New Roman"/>
          <w:szCs w:val="20"/>
          <w:rtl/>
          <w:lang w:val="ar-SA" w:eastAsia="zh-TW"/>
        </w:rPr>
      </w:pPr>
      <w:r w:rsidRPr="00E44E0B">
        <w:rPr>
          <w:rtl/>
        </w:rPr>
        <w:tab/>
      </w:r>
      <w:r w:rsidRPr="00E44E0B">
        <w:rPr>
          <w:rtl/>
        </w:rPr>
        <w:tab/>
        <w:t>حقوق الأقلّيات والشعوب الأصلية</w:t>
      </w:r>
    </w:p>
    <w:p w14:paraId="65C6F45A" w14:textId="76ACC1CC" w:rsidR="00306EEC" w:rsidRPr="00477F66" w:rsidRDefault="00D66135" w:rsidP="00D66135">
      <w:pPr>
        <w:pStyle w:val="SingleTxtGA"/>
        <w:rPr>
          <w:rFonts w:eastAsia="SimSun" w:cs="Times New Roman"/>
          <w:rtl/>
          <w:lang w:val="ar-SA" w:eastAsia="zh-TW"/>
        </w:rPr>
      </w:pPr>
      <w:r w:rsidRPr="00E44E0B">
        <w:rPr>
          <w:rtl/>
        </w:rPr>
        <w:t>49</w:t>
      </w:r>
      <w:r w:rsidRPr="00477F66">
        <w:rPr>
          <w:rtl/>
        </w:rPr>
        <w:t>-</w:t>
      </w:r>
      <w:r w:rsidRPr="00477F66">
        <w:rPr>
          <w:rtl/>
        </w:rPr>
        <w:tab/>
        <w:t xml:space="preserve">بينما تلاحظ اللجنة أن المادتين </w:t>
      </w:r>
      <w:r w:rsidRPr="00E44E0B">
        <w:rPr>
          <w:rtl/>
        </w:rPr>
        <w:t>169</w:t>
      </w:r>
      <w:r w:rsidRPr="00477F66">
        <w:rPr>
          <w:rtl/>
        </w:rPr>
        <w:t xml:space="preserve"> و</w:t>
      </w:r>
      <w:r w:rsidRPr="00E44E0B">
        <w:rPr>
          <w:rtl/>
        </w:rPr>
        <w:t>185</w:t>
      </w:r>
      <w:r w:rsidRPr="00477F66">
        <w:rPr>
          <w:rtl/>
        </w:rPr>
        <w:t xml:space="preserve"> من الدستور تكفلان تمثيل ثلاثة أفراد من طائفة الباتوا الأصلية في الجمعية الوطنية ومجلس الشيوخ، فإنها تشعر بالقلق إزاء معلومات مفادها أن أفراد طائفة الباتوا غير ممثلين في إدارات المقاطعات والمجتمعات المحلية، ولا يشغلون أي مقاعد في اللجنة الوطنية المستقلة المعنية بحقوق الإنسان، وشبه غائبين عن مناصب المسؤولية في الوزارات. كما يساور اللجنة القلق إزاء المعلومات المتعلقة بقرار مجلس الوزراء الصادر في شباط/فبراير </w:t>
      </w:r>
      <w:r w:rsidRPr="00E44E0B">
        <w:rPr>
          <w:rtl/>
        </w:rPr>
        <w:t>2023</w:t>
      </w:r>
      <w:r w:rsidRPr="00477F66">
        <w:rPr>
          <w:rtl/>
        </w:rPr>
        <w:t xml:space="preserve"> بتعليق اعتماد الاستراتيجية الوطنية للإدماج الاجتماعي والاقتصادي لطائفة الباتوا من أجل التنمية المستدامة للفترة</w:t>
      </w:r>
      <w:r w:rsidR="008E699A" w:rsidRPr="00477F66">
        <w:rPr>
          <w:rFonts w:hint="cs"/>
          <w:rtl/>
        </w:rPr>
        <w:t> </w:t>
      </w:r>
      <w:r w:rsidRPr="00E44E0B">
        <w:rPr>
          <w:rtl/>
        </w:rPr>
        <w:t>2022</w:t>
      </w:r>
      <w:r w:rsidRPr="00477F66">
        <w:rPr>
          <w:rtl/>
        </w:rPr>
        <w:t>-</w:t>
      </w:r>
      <w:r w:rsidRPr="00E44E0B">
        <w:rPr>
          <w:rtl/>
        </w:rPr>
        <w:t>2027</w:t>
      </w:r>
      <w:r w:rsidRPr="00477F66">
        <w:rPr>
          <w:rFonts w:ascii="Simplified Arabic"/>
          <w:rtl/>
        </w:rPr>
        <w:t xml:space="preserve"> (</w:t>
      </w:r>
      <w:r w:rsidRPr="00477F66">
        <w:rPr>
          <w:rtl/>
        </w:rPr>
        <w:t xml:space="preserve">المواد </w:t>
      </w:r>
      <w:r w:rsidRPr="00E44E0B">
        <w:rPr>
          <w:rtl/>
        </w:rPr>
        <w:t>2</w:t>
      </w:r>
      <w:r w:rsidRPr="00477F66">
        <w:rPr>
          <w:rtl/>
        </w:rPr>
        <w:t xml:space="preserve"> و</w:t>
      </w:r>
      <w:r w:rsidRPr="00E44E0B">
        <w:rPr>
          <w:rtl/>
        </w:rPr>
        <w:t>25</w:t>
      </w:r>
      <w:r w:rsidRPr="00477F66">
        <w:rPr>
          <w:rtl/>
        </w:rPr>
        <w:t xml:space="preserve"> و</w:t>
      </w:r>
      <w:r w:rsidRPr="00E44E0B">
        <w:rPr>
          <w:rtl/>
        </w:rPr>
        <w:t>26</w:t>
      </w:r>
      <w:r w:rsidRPr="00477F66">
        <w:rPr>
          <w:rtl/>
        </w:rPr>
        <w:t xml:space="preserve"> و</w:t>
      </w:r>
      <w:r w:rsidRPr="00E44E0B">
        <w:rPr>
          <w:rtl/>
        </w:rPr>
        <w:t>2</w:t>
      </w:r>
      <w:r w:rsidR="00306EEC" w:rsidRPr="00E44E0B">
        <w:rPr>
          <w:rtl/>
        </w:rPr>
        <w:t>7</w:t>
      </w:r>
      <w:r w:rsidR="00306EEC" w:rsidRPr="00477F66">
        <w:rPr>
          <w:rtl/>
        </w:rPr>
        <w:t>).</w:t>
      </w:r>
    </w:p>
    <w:p w14:paraId="4EA4C186" w14:textId="1C991A9B" w:rsidR="00D66135" w:rsidRPr="00E44E0B" w:rsidRDefault="00D66135" w:rsidP="00D66135">
      <w:pPr>
        <w:pStyle w:val="SingleTxtGA"/>
        <w:rPr>
          <w:rFonts w:eastAsia="SimSun" w:cs="Times New Roman"/>
          <w:b/>
          <w:bCs/>
          <w:szCs w:val="20"/>
          <w:rtl/>
          <w:lang w:val="ar-SA" w:eastAsia="zh-TW"/>
        </w:rPr>
      </w:pPr>
      <w:r w:rsidRPr="00E44E0B">
        <w:rPr>
          <w:rtl/>
        </w:rPr>
        <w:t>50</w:t>
      </w:r>
      <w:r w:rsidRPr="003E2B57">
        <w:rPr>
          <w:rtl/>
        </w:rPr>
        <w:t>-</w:t>
      </w:r>
      <w:r>
        <w:rPr>
          <w:rtl/>
        </w:rPr>
        <w:tab/>
      </w:r>
      <w:r w:rsidRPr="00E44E0B">
        <w:rPr>
          <w:b/>
          <w:bCs/>
          <w:rtl/>
        </w:rPr>
        <w:t>ينبغي للدولة الطرف أن تتخذ التدابير اللازمة من أجل ما يلي: (أ</w:t>
      </w:r>
      <w:r w:rsidRPr="0054368B">
        <w:rPr>
          <w:rtl/>
        </w:rPr>
        <w:t>)</w:t>
      </w:r>
      <w:r w:rsidRPr="00E44E0B">
        <w:rPr>
          <w:b/>
          <w:bCs/>
          <w:rtl/>
        </w:rPr>
        <w:t xml:space="preserve"> ضمان التمثيل الكافي لشعب الباتوا الأصلي على مستوى الحكومة المركزية والإدارات المحلية واللجنة الوطنية المستقلة المعنية بحقوق الإنسان، بما في ذلك في مناصب المفوضين؛ و(ب) تعزيز برامجها الرامية إلى تعزيز تكافؤ الفرص وحصول شعب الباتوا على الخدمات، بما في ذلك خدمات الصحة والتعليم والعدالة، لاسيما من خلال اعتماد الاستراتيجية الوطنية للإدماج الاجتماعي والاقتصادي لطائفة الباتوا من أجل التنمية المستدامة للفترة 2022-2027؛ و(ج) زيادة مشاركة أفراد من طائفة الباتوا في عمليات صنع القرار والقرارات التي تمسهم.</w:t>
      </w:r>
    </w:p>
    <w:p w14:paraId="21A106E0" w14:textId="77777777" w:rsidR="00D66135" w:rsidRPr="00E44E0B" w:rsidRDefault="00D66135" w:rsidP="00D66135">
      <w:pPr>
        <w:pStyle w:val="H1GA"/>
        <w:rPr>
          <w:rFonts w:eastAsiaTheme="minorEastAsia" w:cs="Times New Roman"/>
          <w:szCs w:val="24"/>
          <w:rtl/>
          <w:lang w:val="ar-SA" w:eastAsia="zh-TW"/>
        </w:rPr>
      </w:pPr>
      <w:r w:rsidRPr="00E44E0B">
        <w:rPr>
          <w:rtl/>
        </w:rPr>
        <w:lastRenderedPageBreak/>
        <w:tab/>
        <w:t>دال-</w:t>
      </w:r>
      <w:r w:rsidRPr="00E44E0B">
        <w:rPr>
          <w:rtl/>
        </w:rPr>
        <w:tab/>
        <w:t xml:space="preserve">النشر والرصد </w:t>
      </w:r>
    </w:p>
    <w:p w14:paraId="39918702" w14:textId="77777777" w:rsidR="00D66135" w:rsidRPr="00E44E0B" w:rsidRDefault="00D66135" w:rsidP="00D66135">
      <w:pPr>
        <w:pStyle w:val="SingleTxtGA"/>
        <w:rPr>
          <w:rFonts w:cs="Times New Roman"/>
          <w:b/>
          <w:bCs/>
          <w:spacing w:val="-2"/>
          <w:szCs w:val="20"/>
          <w:rtl/>
          <w:lang w:val="ar-SA" w:eastAsia="zh-TW"/>
        </w:rPr>
      </w:pPr>
      <w:r w:rsidRPr="00E44E0B">
        <w:rPr>
          <w:spacing w:val="-2"/>
          <w:rtl/>
        </w:rPr>
        <w:t>51</w:t>
      </w:r>
      <w:r w:rsidRPr="0010006A">
        <w:rPr>
          <w:spacing w:val="-2"/>
          <w:rtl/>
        </w:rPr>
        <w:t>-</w:t>
      </w:r>
      <w:r w:rsidRPr="0010006A">
        <w:rPr>
          <w:spacing w:val="-2"/>
          <w:rtl/>
        </w:rPr>
        <w:tab/>
      </w:r>
      <w:r w:rsidRPr="00E44E0B">
        <w:rPr>
          <w:b/>
          <w:bCs/>
          <w:spacing w:val="-2"/>
          <w:rtl/>
        </w:rPr>
        <w:t>ينبغي للدولة الطرف أن تنشر على نطاق واسع نص العهد، وتقريرها الدوري الثالث،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ولدى عامة الناس. وينبغي للدولة الطرف أن تعمل على ترجمة التقرير الدوري وهذه الملاحظات الختامية إلى لغاتها الرسمية.</w:t>
      </w:r>
    </w:p>
    <w:p w14:paraId="1EF52415" w14:textId="4F2303A3" w:rsidR="00D66135" w:rsidRPr="00E44E0B" w:rsidRDefault="00D66135" w:rsidP="00D66135">
      <w:pPr>
        <w:pStyle w:val="SingleTxtGA"/>
        <w:rPr>
          <w:rFonts w:eastAsia="SimSun" w:cs="Times New Roman"/>
          <w:b/>
          <w:bCs/>
          <w:szCs w:val="20"/>
          <w:rtl/>
          <w:lang w:val="ar-SA" w:eastAsia="zh-TW"/>
        </w:rPr>
      </w:pPr>
      <w:r w:rsidRPr="00E44E0B">
        <w:rPr>
          <w:rtl/>
        </w:rPr>
        <w:t>52</w:t>
      </w:r>
      <w:r w:rsidRPr="003E2B57">
        <w:rPr>
          <w:rtl/>
        </w:rPr>
        <w:t>-</w:t>
      </w:r>
      <w:r>
        <w:rPr>
          <w:rtl/>
        </w:rPr>
        <w:tab/>
      </w:r>
      <w:r w:rsidRPr="00E44E0B">
        <w:rPr>
          <w:b/>
          <w:bCs/>
          <w:rtl/>
        </w:rPr>
        <w:t>ووفقاً للمادة 75</w:t>
      </w:r>
      <w:r w:rsidRPr="00E44E0B">
        <w:rPr>
          <w:rFonts w:ascii="Simplified Arabic"/>
          <w:b/>
          <w:bCs/>
          <w:szCs w:val="20"/>
          <w:rtl/>
        </w:rPr>
        <w:t>(</w:t>
      </w:r>
      <w:r w:rsidR="00306EEC" w:rsidRPr="00E44E0B">
        <w:rPr>
          <w:b/>
          <w:bCs/>
          <w:rtl/>
        </w:rPr>
        <w:t>1</w:t>
      </w:r>
      <w:r w:rsidR="00306EEC" w:rsidRPr="00E44E0B">
        <w:rPr>
          <w:rFonts w:ascii="Simplified Arabic"/>
          <w:b/>
          <w:bCs/>
          <w:szCs w:val="20"/>
          <w:rtl/>
        </w:rPr>
        <w:t>)</w:t>
      </w:r>
      <w:r w:rsidR="00306EEC" w:rsidRPr="00E44E0B">
        <w:rPr>
          <w:b/>
          <w:bCs/>
          <w:rtl/>
        </w:rPr>
        <w:t xml:space="preserve"> </w:t>
      </w:r>
      <w:r w:rsidRPr="00E44E0B">
        <w:rPr>
          <w:b/>
          <w:bCs/>
          <w:rtl/>
        </w:rPr>
        <w:t>من النظام الداخلي للجنة، يُطلب إلى الدولة الطرف أن تقدم، بحلول 27 تموز/يوليه 2026، معلومات عن تنفيذ التوصيات التي قدمتها اللجنة في الفقرات 28</w:t>
      </w:r>
      <w:r w:rsidRPr="00E44E0B">
        <w:rPr>
          <w:rFonts w:ascii="Simplified Arabic"/>
          <w:b/>
          <w:bCs/>
          <w:szCs w:val="20"/>
          <w:rtl/>
        </w:rPr>
        <w:t xml:space="preserve"> (</w:t>
      </w:r>
      <w:r w:rsidRPr="00E44E0B">
        <w:rPr>
          <w:b/>
          <w:bCs/>
          <w:rtl/>
        </w:rPr>
        <w:t>الاحتجاز التعسفي</w:t>
      </w:r>
      <w:r w:rsidRPr="00E44E0B">
        <w:rPr>
          <w:rFonts w:ascii="Simplified Arabic"/>
          <w:b/>
          <w:bCs/>
          <w:szCs w:val="20"/>
          <w:rtl/>
        </w:rPr>
        <w:t>)</w:t>
      </w:r>
      <w:r w:rsidRPr="00E44E0B">
        <w:rPr>
          <w:b/>
          <w:bCs/>
          <w:rtl/>
        </w:rPr>
        <w:t xml:space="preserve"> و44</w:t>
      </w:r>
      <w:r w:rsidRPr="00E44E0B">
        <w:rPr>
          <w:rFonts w:ascii="Simplified Arabic"/>
          <w:b/>
          <w:bCs/>
          <w:szCs w:val="20"/>
          <w:rtl/>
        </w:rPr>
        <w:t xml:space="preserve"> (</w:t>
      </w:r>
      <w:r w:rsidRPr="00E44E0B">
        <w:rPr>
          <w:b/>
          <w:bCs/>
          <w:rtl/>
        </w:rPr>
        <w:t>حماية الصحفيين والمدافعين عن حقوق الإنسان</w:t>
      </w:r>
      <w:r w:rsidRPr="00E44E0B">
        <w:rPr>
          <w:rFonts w:ascii="Simplified Arabic"/>
          <w:b/>
          <w:bCs/>
          <w:szCs w:val="20"/>
          <w:rtl/>
        </w:rPr>
        <w:t>)</w:t>
      </w:r>
      <w:r w:rsidRPr="00E44E0B">
        <w:rPr>
          <w:b/>
          <w:bCs/>
          <w:rtl/>
        </w:rPr>
        <w:t xml:space="preserve"> و48</w:t>
      </w:r>
      <w:r w:rsidRPr="00E44E0B">
        <w:rPr>
          <w:rFonts w:ascii="Simplified Arabic"/>
          <w:b/>
          <w:bCs/>
          <w:szCs w:val="20"/>
          <w:rtl/>
        </w:rPr>
        <w:t xml:space="preserve"> (</w:t>
      </w:r>
      <w:r w:rsidRPr="00E44E0B">
        <w:rPr>
          <w:b/>
          <w:bCs/>
          <w:rtl/>
        </w:rPr>
        <w:t>المشاركة في إدارة الشؤون العامة</w:t>
      </w:r>
      <w:r w:rsidRPr="00E44E0B">
        <w:rPr>
          <w:rFonts w:ascii="Simplified Arabic"/>
          <w:b/>
          <w:bCs/>
          <w:szCs w:val="20"/>
          <w:rtl/>
        </w:rPr>
        <w:t>)</w:t>
      </w:r>
      <w:r w:rsidRPr="00E44E0B">
        <w:rPr>
          <w:b/>
          <w:bCs/>
          <w:rtl/>
        </w:rPr>
        <w:t xml:space="preserve"> أعلاه.</w:t>
      </w:r>
    </w:p>
    <w:p w14:paraId="3D75F0A0" w14:textId="3A074CA8" w:rsidR="00D66135" w:rsidRPr="00E44E0B" w:rsidRDefault="00D66135" w:rsidP="00E44E0B">
      <w:pPr>
        <w:pStyle w:val="SingleTxtGA"/>
        <w:rPr>
          <w:rFonts w:cs="Times New Roman"/>
          <w:b/>
          <w:bCs/>
          <w:szCs w:val="20"/>
          <w:rtl/>
          <w:lang w:val="ar-SA" w:eastAsia="zh-TW"/>
        </w:rPr>
      </w:pPr>
      <w:r w:rsidRPr="00E44E0B">
        <w:rPr>
          <w:rtl/>
        </w:rPr>
        <w:t>53</w:t>
      </w:r>
      <w:r w:rsidRPr="003E2B57">
        <w:rPr>
          <w:rtl/>
        </w:rPr>
        <w:t>-</w:t>
      </w:r>
      <w:r>
        <w:rPr>
          <w:rtl/>
        </w:rPr>
        <w:tab/>
      </w:r>
      <w:r w:rsidRPr="00E44E0B">
        <w:rPr>
          <w:b/>
          <w:bCs/>
          <w:rtl/>
        </w:rPr>
        <w:t>ووفقاً لجولة الاستعراض المتوقعة للجنة، سوف تتلقى الدولة الطرف من اللجنة في عام</w:t>
      </w:r>
      <w:r w:rsidR="00260585" w:rsidRPr="00E44E0B">
        <w:rPr>
          <w:rFonts w:hint="cs"/>
          <w:b/>
          <w:bCs/>
          <w:rtl/>
        </w:rPr>
        <w:t> </w:t>
      </w:r>
      <w:r w:rsidRPr="00E44E0B">
        <w:rPr>
          <w:b/>
          <w:bCs/>
          <w:rtl/>
        </w:rPr>
        <w:t>2029 قائمة المسائل التي يجب معالجتها قبل تقديم التقرير، وسوف يكون أمامها سنة واحدة لتقديم ردودها على قائمة المسائل، التي سوف تشكل تقريرها الدوري الرابع.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w:t>
      </w:r>
      <w:r w:rsidR="00E44E0B">
        <w:rPr>
          <w:rFonts w:hint="cs"/>
          <w:b/>
          <w:bCs/>
          <w:rtl/>
        </w:rPr>
        <w:t xml:space="preserve"> </w:t>
      </w:r>
      <w:hyperlink r:id="rId9" w:history="1">
        <w:r w:rsidR="00E44E0B" w:rsidRPr="00E44E0B">
          <w:rPr>
            <w:rStyle w:val="Hyperlink"/>
            <w:rFonts w:hint="cs"/>
            <w:b/>
            <w:bCs/>
            <w:rtl/>
          </w:rPr>
          <w:t>68/268</w:t>
        </w:r>
      </w:hyperlink>
      <w:r w:rsidRPr="00E44E0B">
        <w:rPr>
          <w:b/>
          <w:bCs/>
          <w:rtl/>
        </w:rPr>
        <w:t>، يبلغ الحد الأقصى لعدد كلمات التقرير 200</w:t>
      </w:r>
      <w:r w:rsidRPr="00E44E0B">
        <w:rPr>
          <w:rFonts w:ascii="Simplified Arabic"/>
          <w:b/>
          <w:bCs/>
          <w:szCs w:val="20"/>
          <w:rtl/>
        </w:rPr>
        <w:t xml:space="preserve"> </w:t>
      </w:r>
      <w:r w:rsidRPr="00E44E0B">
        <w:rPr>
          <w:b/>
          <w:bCs/>
          <w:rtl/>
        </w:rPr>
        <w:t>21 كلمة. وسوف يجرى الحوار البنّاء المقبل مع الدولة الطرف في عام 2031 في جنيف.</w:t>
      </w:r>
    </w:p>
    <w:p w14:paraId="709D1066" w14:textId="29712F37" w:rsidR="00D66135" w:rsidRPr="00477F66" w:rsidRDefault="00D66135" w:rsidP="00D66135">
      <w:pPr>
        <w:pStyle w:val="SingleTxtG"/>
        <w:spacing w:before="240" w:after="0"/>
        <w:jc w:val="center"/>
        <w:rPr>
          <w:u w:val="single"/>
          <w:lang w:val="en-US"/>
        </w:rPr>
      </w:pPr>
      <w:r>
        <w:rPr>
          <w:u w:val="single"/>
        </w:rPr>
        <w:tab/>
      </w:r>
      <w:r>
        <w:rPr>
          <w:u w:val="single"/>
        </w:rPr>
        <w:tab/>
      </w:r>
      <w:r>
        <w:rPr>
          <w:u w:val="single"/>
          <w:lang w:val="en-US"/>
        </w:rPr>
        <w:tab/>
      </w:r>
      <w:r>
        <w:rPr>
          <w:u w:val="single"/>
        </w:rPr>
        <w:tab/>
      </w:r>
    </w:p>
    <w:sectPr w:rsidR="00D66135" w:rsidRPr="00477F66" w:rsidSect="006C525B">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DD27C" w14:textId="77777777" w:rsidR="00140AA5" w:rsidRPr="002901D9" w:rsidRDefault="00140AA5" w:rsidP="00DC4D4B">
      <w:pPr>
        <w:spacing w:after="60" w:line="240" w:lineRule="auto"/>
        <w:ind w:left="57"/>
        <w:rPr>
          <w:i/>
          <w:iCs/>
        </w:rPr>
      </w:pPr>
      <w:r>
        <w:rPr>
          <w:rFonts w:hint="cs"/>
          <w:i/>
          <w:iCs/>
          <w:rtl/>
        </w:rPr>
        <w:t>الحواشي</w:t>
      </w:r>
    </w:p>
  </w:endnote>
  <w:endnote w:type="continuationSeparator" w:id="0">
    <w:p w14:paraId="3E849429" w14:textId="77777777" w:rsidR="00140AA5" w:rsidRDefault="00140AA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4F16A" w14:textId="481A02C6" w:rsidR="00B37B63" w:rsidRPr="00B37B63" w:rsidRDefault="00B37B63" w:rsidP="00B37B63">
    <w:pPr>
      <w:pStyle w:val="Footer"/>
      <w:tabs>
        <w:tab w:val="right" w:pos="9638"/>
      </w:tabs>
      <w:rPr>
        <w:b/>
        <w:sz w:val="18"/>
        <w:lang w:val="en-US"/>
      </w:rPr>
    </w:pPr>
    <w:r>
      <w:rPr>
        <w:lang w:val="en-US"/>
      </w:rPr>
      <w:t>GE.23-15083</w:t>
    </w:r>
    <w:r>
      <w:rPr>
        <w:lang w:val="en-US"/>
      </w:rPr>
      <w:tab/>
    </w:r>
    <w:r w:rsidRPr="00B37B63">
      <w:rPr>
        <w:b/>
        <w:sz w:val="18"/>
        <w:lang w:val="en-US"/>
      </w:rPr>
      <w:fldChar w:fldCharType="begin"/>
    </w:r>
    <w:r w:rsidRPr="00B37B63">
      <w:rPr>
        <w:b/>
        <w:sz w:val="18"/>
        <w:lang w:val="en-US"/>
      </w:rPr>
      <w:instrText xml:space="preserve"> PAGE  \* MERGEFORMAT </w:instrText>
    </w:r>
    <w:r w:rsidRPr="00B37B63">
      <w:rPr>
        <w:b/>
        <w:sz w:val="18"/>
        <w:lang w:val="en-US"/>
      </w:rPr>
      <w:fldChar w:fldCharType="separate"/>
    </w:r>
    <w:r w:rsidRPr="00B37B63">
      <w:rPr>
        <w:b/>
        <w:noProof/>
        <w:sz w:val="18"/>
        <w:lang w:val="en-US"/>
      </w:rPr>
      <w:t>2</w:t>
    </w:r>
    <w:r w:rsidRPr="00B37B6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7146C" w14:textId="6BE2C628" w:rsidR="006959B0" w:rsidRPr="00B37B63" w:rsidRDefault="00B37B63" w:rsidP="00B37B6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GE.23-15083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CBC69" w14:textId="0536E3C0" w:rsidR="00DE50B1" w:rsidRPr="00B37B63" w:rsidRDefault="00B37B63" w:rsidP="00B37B63">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94B595D" wp14:editId="5CD9315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23-15083 (A)</w:t>
    </w:r>
    <w:r>
      <w:rPr>
        <w:noProof/>
        <w:sz w:val="20"/>
        <w:lang w:val="en-US"/>
      </w:rPr>
      <w:drawing>
        <wp:anchor distT="0" distB="0" distL="114300" distR="114300" simplePos="0" relativeHeight="251659264" behindDoc="0" locked="0" layoutInCell="1" allowOverlap="1" wp14:anchorId="7B8249C8" wp14:editId="2796234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81C07" w14:textId="77777777" w:rsidR="00140AA5" w:rsidRPr="000437B8" w:rsidRDefault="00140AA5" w:rsidP="00F10DAB">
      <w:pPr>
        <w:pStyle w:val="Footer"/>
        <w:bidi/>
        <w:spacing w:after="80" w:line="200" w:lineRule="exact"/>
        <w:ind w:left="680"/>
      </w:pPr>
      <w:r>
        <w:rPr>
          <w:rtl/>
        </w:rPr>
        <w:t>__________</w:t>
      </w:r>
    </w:p>
  </w:footnote>
  <w:footnote w:type="continuationSeparator" w:id="0">
    <w:p w14:paraId="65A45A12" w14:textId="77777777" w:rsidR="00140AA5" w:rsidRDefault="00140AA5" w:rsidP="00656392">
      <w:pPr>
        <w:spacing w:line="240" w:lineRule="auto"/>
      </w:pPr>
      <w:r>
        <w:continuationSeparator/>
      </w:r>
    </w:p>
  </w:footnote>
  <w:footnote w:id="1">
    <w:p w14:paraId="548B16EF" w14:textId="518AE5F3" w:rsidR="00D66135" w:rsidRPr="00306EEC" w:rsidRDefault="00D66135" w:rsidP="00306EEC">
      <w:pPr>
        <w:pStyle w:val="FootnoteText"/>
        <w:tabs>
          <w:tab w:val="clear" w:pos="1021"/>
        </w:tabs>
        <w:bidi/>
        <w:spacing w:after="60" w:line="280" w:lineRule="exact"/>
        <w:ind w:left="1247" w:right="1247" w:hanging="567"/>
        <w:jc w:val="lowKashida"/>
        <w:textDirection w:val="tbRlV"/>
        <w:rPr>
          <w:rFonts w:cs="Times New Roman"/>
          <w:szCs w:val="18"/>
          <w:rtl/>
          <w:lang w:val="ar-SA" w:eastAsia="zh-TW"/>
        </w:rPr>
      </w:pPr>
      <w:r w:rsidRPr="00306EEC">
        <w:rPr>
          <w:rFonts w:ascii="Simplified Arabic"/>
          <w:szCs w:val="18"/>
        </w:rPr>
        <w:t>*</w:t>
      </w:r>
      <w:r w:rsidRPr="00306EEC">
        <w:rPr>
          <w:szCs w:val="18"/>
          <w:rtl/>
        </w:rPr>
        <w:tab/>
        <w:t xml:space="preserve">اعتمدتها اللجنة في دورتها </w:t>
      </w:r>
      <w:r w:rsidRPr="00E44E0B">
        <w:rPr>
          <w:rFonts w:ascii="Simplified Arabic"/>
          <w:szCs w:val="18"/>
          <w:rtl/>
        </w:rPr>
        <w:t>138</w:t>
      </w:r>
      <w:r w:rsidRPr="00306EEC">
        <w:rPr>
          <w:rFonts w:ascii="Simplified Arabic"/>
          <w:szCs w:val="18"/>
          <w:rtl/>
        </w:rPr>
        <w:t xml:space="preserve"> (</w:t>
      </w:r>
      <w:r w:rsidRPr="00E44E0B">
        <w:rPr>
          <w:rFonts w:ascii="Simplified Arabic"/>
          <w:szCs w:val="18"/>
          <w:rtl/>
        </w:rPr>
        <w:t>26</w:t>
      </w:r>
      <w:r w:rsidRPr="00306EEC">
        <w:rPr>
          <w:szCs w:val="18"/>
          <w:rtl/>
        </w:rPr>
        <w:t xml:space="preserve"> حزيران/يونيه - </w:t>
      </w:r>
      <w:r w:rsidRPr="00E44E0B">
        <w:rPr>
          <w:rFonts w:ascii="Simplified Arabic"/>
          <w:szCs w:val="18"/>
          <w:rtl/>
        </w:rPr>
        <w:t>26</w:t>
      </w:r>
      <w:r w:rsidRPr="00306EEC">
        <w:rPr>
          <w:szCs w:val="18"/>
          <w:rtl/>
        </w:rPr>
        <w:t xml:space="preserve"> تموز/يوليه </w:t>
      </w:r>
      <w:r w:rsidRPr="00E44E0B">
        <w:rPr>
          <w:rFonts w:ascii="Simplified Arabic"/>
          <w:szCs w:val="18"/>
          <w:rtl/>
        </w:rPr>
        <w:t>2023</w:t>
      </w:r>
      <w:bookmarkStart w:id="0" w:name="_Hlk139979003"/>
      <w:r w:rsidR="00306EEC" w:rsidRPr="00306EEC">
        <w:rPr>
          <w:rFonts w:ascii="Simplified Arabic"/>
          <w:szCs w:val="18"/>
          <w:rtl/>
        </w:rPr>
        <w:t>)</w:t>
      </w:r>
      <w:r w:rsidR="00306EEC" w:rsidRPr="00306EEC">
        <w:rPr>
          <w:szCs w:val="18"/>
          <w:rtl/>
        </w:rPr>
        <w:t xml:space="preserve">. </w:t>
      </w:r>
    </w:p>
    <w:bookmarkEnd w:id="0"/>
  </w:footnote>
  <w:footnote w:id="2">
    <w:p w14:paraId="41B2B267"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1" w:history="1">
        <w:r w:rsidRPr="00306EEC">
          <w:rPr>
            <w:rStyle w:val="Hyperlink"/>
          </w:rPr>
          <w:t>CCPR/C/BDI/</w:t>
        </w:r>
        <w:r w:rsidRPr="00E44E0B">
          <w:rPr>
            <w:rStyle w:val="Hyperlink"/>
          </w:rPr>
          <w:t>3</w:t>
        </w:r>
      </w:hyperlink>
      <w:r w:rsidRPr="00306EEC">
        <w:rPr>
          <w:rFonts w:cs="Times New Roman"/>
          <w:szCs w:val="18"/>
          <w:rtl/>
        </w:rPr>
        <w:t xml:space="preserve">. </w:t>
      </w:r>
    </w:p>
  </w:footnote>
  <w:footnote w:id="3">
    <w:p w14:paraId="35223925"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t xml:space="preserve">أنظر </w:t>
      </w:r>
      <w:hyperlink r:id="rId2" w:history="1">
        <w:r w:rsidRPr="00306EEC">
          <w:rPr>
            <w:rStyle w:val="Hyperlink"/>
          </w:rPr>
          <w:t>CCPR/C/SR.</w:t>
        </w:r>
        <w:r w:rsidRPr="00E44E0B">
          <w:rPr>
            <w:rStyle w:val="Hyperlink"/>
          </w:rPr>
          <w:t>4003</w:t>
        </w:r>
      </w:hyperlink>
      <w:r w:rsidRPr="00306EEC">
        <w:rPr>
          <w:rFonts w:cs="Times New Roman"/>
          <w:szCs w:val="18"/>
          <w:rtl/>
        </w:rPr>
        <w:t xml:space="preserve">. </w:t>
      </w:r>
    </w:p>
  </w:footnote>
  <w:footnote w:id="4">
    <w:p w14:paraId="25044153"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3" w:history="1">
        <w:r w:rsidRPr="00306EEC">
          <w:rPr>
            <w:rStyle w:val="Hyperlink"/>
          </w:rPr>
          <w:t>CCPR/C/BDI/RQ/</w:t>
        </w:r>
        <w:r w:rsidRPr="00E44E0B">
          <w:rPr>
            <w:rStyle w:val="Hyperlink"/>
          </w:rPr>
          <w:t>3</w:t>
        </w:r>
      </w:hyperlink>
      <w:r w:rsidRPr="00306EEC">
        <w:rPr>
          <w:rFonts w:cs="Times New Roman"/>
          <w:szCs w:val="18"/>
          <w:rtl/>
        </w:rPr>
        <w:t xml:space="preserve">. </w:t>
      </w:r>
    </w:p>
  </w:footnote>
  <w:footnote w:id="5">
    <w:p w14:paraId="3645D5D7"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4" w:history="1">
        <w:r w:rsidRPr="00306EEC">
          <w:rPr>
            <w:rStyle w:val="Hyperlink"/>
          </w:rPr>
          <w:t>CCPR/C/BDI/Q/</w:t>
        </w:r>
        <w:r w:rsidRPr="00E44E0B">
          <w:rPr>
            <w:rStyle w:val="Hyperlink"/>
          </w:rPr>
          <w:t>3</w:t>
        </w:r>
      </w:hyperlink>
      <w:r w:rsidRPr="00306EEC">
        <w:rPr>
          <w:rFonts w:cs="Times New Roman"/>
          <w:szCs w:val="18"/>
          <w:rtl/>
        </w:rPr>
        <w:t xml:space="preserve">. </w:t>
      </w:r>
    </w:p>
  </w:footnote>
  <w:footnote w:id="6">
    <w:p w14:paraId="5BA5EFAE"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t xml:space="preserve">النظام الداخلي للجنة، المادة </w:t>
      </w:r>
      <w:r w:rsidRPr="00E44E0B">
        <w:rPr>
          <w:rFonts w:ascii="Simplified Arabic"/>
          <w:szCs w:val="18"/>
          <w:rtl/>
        </w:rPr>
        <w:t>68</w:t>
      </w:r>
      <w:r w:rsidRPr="00306EEC">
        <w:rPr>
          <w:szCs w:val="18"/>
          <w:rtl/>
        </w:rPr>
        <w:t xml:space="preserve">. </w:t>
      </w:r>
    </w:p>
  </w:footnote>
  <w:footnote w:id="7">
    <w:p w14:paraId="61A83BDB" w14:textId="553A9E64"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t xml:space="preserve">أنظر قرار الجمعية العامة </w:t>
      </w:r>
      <w:r w:rsidR="00E44E0B">
        <w:rPr>
          <w:rFonts w:ascii="Simplified Arabic"/>
          <w:szCs w:val="18"/>
          <w:rtl/>
        </w:rPr>
        <w:fldChar w:fldCharType="begin"/>
      </w:r>
      <w:r w:rsidR="00E44E0B">
        <w:rPr>
          <w:rFonts w:ascii="Simplified Arabic"/>
          <w:szCs w:val="18"/>
          <w:rtl/>
        </w:rPr>
        <w:instrText xml:space="preserve"> </w:instrText>
      </w:r>
      <w:r w:rsidR="00E44E0B">
        <w:rPr>
          <w:rFonts w:ascii="Simplified Arabic"/>
          <w:szCs w:val="18"/>
        </w:rPr>
        <w:instrText>HYPERLINK</w:instrText>
      </w:r>
      <w:r w:rsidR="00E44E0B">
        <w:rPr>
          <w:rFonts w:ascii="Simplified Arabic"/>
          <w:szCs w:val="18"/>
          <w:rtl/>
        </w:rPr>
        <w:instrText xml:space="preserve"> "</w:instrText>
      </w:r>
      <w:r w:rsidR="00E44E0B">
        <w:rPr>
          <w:rFonts w:ascii="Simplified Arabic"/>
          <w:szCs w:val="18"/>
        </w:rPr>
        <w:instrText>http://undocs.org/ar/A/RES/68/268</w:instrText>
      </w:r>
      <w:r w:rsidR="00E44E0B">
        <w:rPr>
          <w:rFonts w:ascii="Simplified Arabic"/>
          <w:szCs w:val="18"/>
          <w:rtl/>
        </w:rPr>
        <w:instrText xml:space="preserve">" </w:instrText>
      </w:r>
      <w:r w:rsidR="00E44E0B">
        <w:rPr>
          <w:rFonts w:ascii="Simplified Arabic"/>
          <w:szCs w:val="18"/>
          <w:rtl/>
        </w:rPr>
      </w:r>
      <w:r w:rsidR="00E44E0B">
        <w:rPr>
          <w:rFonts w:ascii="Simplified Arabic"/>
          <w:szCs w:val="18"/>
          <w:rtl/>
        </w:rPr>
        <w:fldChar w:fldCharType="separate"/>
      </w:r>
      <w:r w:rsidRPr="00E44E0B">
        <w:rPr>
          <w:rStyle w:val="Hyperlink"/>
          <w:rFonts w:ascii="Simplified Arabic"/>
          <w:szCs w:val="18"/>
          <w:rtl/>
        </w:rPr>
        <w:t>68/268</w:t>
      </w:r>
      <w:r w:rsidR="00E44E0B">
        <w:rPr>
          <w:rFonts w:ascii="Simplified Arabic"/>
          <w:szCs w:val="18"/>
          <w:rtl/>
        </w:rPr>
        <w:fldChar w:fldCharType="end"/>
      </w:r>
      <w:r w:rsidRPr="00306EEC">
        <w:rPr>
          <w:rFonts w:ascii="Simplified Arabic"/>
          <w:szCs w:val="18"/>
          <w:rtl/>
        </w:rPr>
        <w:t>.</w:t>
      </w:r>
      <w:r w:rsidRPr="00306EEC">
        <w:rPr>
          <w:szCs w:val="18"/>
          <w:rtl/>
        </w:rPr>
        <w:t xml:space="preserve"> </w:t>
      </w:r>
    </w:p>
  </w:footnote>
  <w:footnote w:id="8">
    <w:p w14:paraId="297767F8"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5" w:history="1">
        <w:r w:rsidRPr="00306EEC">
          <w:rPr>
            <w:rStyle w:val="Hyperlink"/>
          </w:rPr>
          <w:t>CCPR/C/BDI/CO/</w:t>
        </w:r>
        <w:r w:rsidRPr="00E44E0B">
          <w:rPr>
            <w:rStyle w:val="Hyperlink"/>
          </w:rPr>
          <w:t>2</w:t>
        </w:r>
      </w:hyperlink>
      <w:r w:rsidRPr="00306EEC">
        <w:rPr>
          <w:szCs w:val="18"/>
          <w:rtl/>
        </w:rPr>
        <w:t xml:space="preserve"> و</w:t>
      </w:r>
      <w:hyperlink r:id="rId6" w:history="1">
        <w:r w:rsidRPr="00306EEC">
          <w:rPr>
            <w:rStyle w:val="Hyperlink"/>
          </w:rPr>
          <w:t>CCPR/C/BDI/CO/</w:t>
        </w:r>
        <w:r w:rsidRPr="00E44E0B">
          <w:rPr>
            <w:rStyle w:val="Hyperlink"/>
          </w:rPr>
          <w:t>2</w:t>
        </w:r>
        <w:r w:rsidRPr="00306EEC">
          <w:rPr>
            <w:rStyle w:val="Hyperlink"/>
          </w:rPr>
          <w:t>/Corr.</w:t>
        </w:r>
        <w:r w:rsidRPr="00E44E0B">
          <w:rPr>
            <w:rStyle w:val="Hyperlink"/>
          </w:rPr>
          <w:t>1</w:t>
        </w:r>
      </w:hyperlink>
      <w:r w:rsidRPr="00306EEC">
        <w:rPr>
          <w:szCs w:val="18"/>
          <w:rtl/>
        </w:rPr>
        <w:t xml:space="preserve">، الفقرة </w:t>
      </w:r>
      <w:r w:rsidRPr="00E44E0B">
        <w:rPr>
          <w:rFonts w:ascii="Simplified Arabic"/>
          <w:szCs w:val="18"/>
          <w:rtl/>
        </w:rPr>
        <w:t>7</w:t>
      </w:r>
      <w:r w:rsidRPr="00306EEC">
        <w:rPr>
          <w:szCs w:val="18"/>
          <w:rtl/>
        </w:rPr>
        <w:t xml:space="preserve">. </w:t>
      </w:r>
    </w:p>
  </w:footnote>
  <w:footnote w:id="9">
    <w:p w14:paraId="4EE885E5"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7" w:history="1">
        <w:r w:rsidRPr="00306EEC">
          <w:rPr>
            <w:rStyle w:val="Hyperlink"/>
          </w:rPr>
          <w:t>CCPR/C/BDI/CO/</w:t>
        </w:r>
        <w:r w:rsidRPr="00E44E0B">
          <w:rPr>
            <w:rStyle w:val="Hyperlink"/>
          </w:rPr>
          <w:t>2</w:t>
        </w:r>
      </w:hyperlink>
      <w:r w:rsidRPr="00306EEC">
        <w:rPr>
          <w:szCs w:val="18"/>
          <w:rtl/>
        </w:rPr>
        <w:t xml:space="preserve"> و</w:t>
      </w:r>
      <w:hyperlink r:id="rId8" w:history="1">
        <w:r w:rsidRPr="00306EEC">
          <w:rPr>
            <w:rStyle w:val="Hyperlink"/>
          </w:rPr>
          <w:t>CCPR/C/BDI/CO/</w:t>
        </w:r>
        <w:r w:rsidRPr="00E44E0B">
          <w:rPr>
            <w:rStyle w:val="Hyperlink"/>
          </w:rPr>
          <w:t>2</w:t>
        </w:r>
        <w:r w:rsidRPr="00306EEC">
          <w:rPr>
            <w:rStyle w:val="Hyperlink"/>
          </w:rPr>
          <w:t>/Corr.</w:t>
        </w:r>
        <w:r w:rsidRPr="00E44E0B">
          <w:rPr>
            <w:rStyle w:val="Hyperlink"/>
          </w:rPr>
          <w:t>1</w:t>
        </w:r>
      </w:hyperlink>
      <w:r w:rsidRPr="00306EEC">
        <w:rPr>
          <w:szCs w:val="18"/>
          <w:rtl/>
        </w:rPr>
        <w:t xml:space="preserve">، الفقرة </w:t>
      </w:r>
      <w:r w:rsidRPr="00E44E0B">
        <w:rPr>
          <w:rFonts w:ascii="Simplified Arabic"/>
          <w:szCs w:val="18"/>
          <w:rtl/>
        </w:rPr>
        <w:t>8</w:t>
      </w:r>
      <w:r w:rsidRPr="00306EEC">
        <w:rPr>
          <w:szCs w:val="18"/>
          <w:rtl/>
        </w:rPr>
        <w:t xml:space="preserve">. </w:t>
      </w:r>
    </w:p>
  </w:footnote>
  <w:footnote w:id="10">
    <w:p w14:paraId="12423567"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ab/>
        <w:t xml:space="preserve">بوروندي، قانون الأحوال الشخصية والأسرة، المواد </w:t>
      </w:r>
      <w:r w:rsidRPr="00E44E0B">
        <w:rPr>
          <w:rFonts w:ascii="Simplified Arabic"/>
          <w:szCs w:val="18"/>
          <w:rtl/>
        </w:rPr>
        <w:t>38</w:t>
      </w:r>
      <w:r w:rsidRPr="00306EEC">
        <w:rPr>
          <w:szCs w:val="18"/>
          <w:rtl/>
        </w:rPr>
        <w:t xml:space="preserve"> و</w:t>
      </w:r>
      <w:r w:rsidRPr="00E44E0B">
        <w:rPr>
          <w:rFonts w:ascii="Simplified Arabic"/>
          <w:szCs w:val="18"/>
          <w:rtl/>
        </w:rPr>
        <w:t>88</w:t>
      </w:r>
      <w:r w:rsidRPr="00306EEC">
        <w:rPr>
          <w:szCs w:val="18"/>
          <w:rtl/>
        </w:rPr>
        <w:t xml:space="preserve"> و</w:t>
      </w:r>
      <w:r w:rsidRPr="00E44E0B">
        <w:rPr>
          <w:rFonts w:ascii="Simplified Arabic"/>
          <w:szCs w:val="18"/>
          <w:rtl/>
        </w:rPr>
        <w:t>122</w:t>
      </w:r>
      <w:r w:rsidRPr="00306EEC">
        <w:rPr>
          <w:szCs w:val="18"/>
          <w:rtl/>
        </w:rPr>
        <w:t xml:space="preserve"> و</w:t>
      </w:r>
      <w:r w:rsidRPr="00E44E0B">
        <w:rPr>
          <w:rFonts w:ascii="Simplified Arabic"/>
          <w:szCs w:val="18"/>
          <w:rtl/>
        </w:rPr>
        <w:t>126</w:t>
      </w:r>
      <w:r w:rsidRPr="00306EEC">
        <w:rPr>
          <w:szCs w:val="18"/>
          <w:rtl/>
        </w:rPr>
        <w:t xml:space="preserve">. </w:t>
      </w:r>
    </w:p>
  </w:footnote>
  <w:footnote w:id="11">
    <w:p w14:paraId="2A5B2A23"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ab/>
        <w:t xml:space="preserve">بوروندي، قانون الجنسية، المادتان </w:t>
      </w:r>
      <w:r w:rsidRPr="00E44E0B">
        <w:rPr>
          <w:rFonts w:ascii="Simplified Arabic"/>
          <w:szCs w:val="18"/>
          <w:rtl/>
        </w:rPr>
        <w:t>2</w:t>
      </w:r>
      <w:r w:rsidRPr="00306EEC">
        <w:rPr>
          <w:szCs w:val="18"/>
          <w:rtl/>
        </w:rPr>
        <w:t xml:space="preserve"> و</w:t>
      </w:r>
      <w:r w:rsidRPr="00E44E0B">
        <w:rPr>
          <w:rFonts w:ascii="Simplified Arabic"/>
          <w:szCs w:val="18"/>
          <w:rtl/>
        </w:rPr>
        <w:t>4</w:t>
      </w:r>
      <w:r w:rsidRPr="00306EEC">
        <w:rPr>
          <w:szCs w:val="18"/>
          <w:rtl/>
        </w:rPr>
        <w:t xml:space="preserve">. </w:t>
      </w:r>
    </w:p>
  </w:footnote>
  <w:footnote w:id="12">
    <w:p w14:paraId="7F612C57"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ab/>
        <w:t xml:space="preserve">دستور بوروندي، المواد </w:t>
      </w:r>
      <w:r w:rsidRPr="00E44E0B">
        <w:rPr>
          <w:rFonts w:ascii="Simplified Arabic"/>
          <w:szCs w:val="18"/>
          <w:rtl/>
        </w:rPr>
        <w:t>128</w:t>
      </w:r>
      <w:r w:rsidRPr="00306EEC">
        <w:rPr>
          <w:rFonts w:ascii="Simplified Arabic"/>
          <w:szCs w:val="18"/>
          <w:rtl/>
        </w:rPr>
        <w:t xml:space="preserve"> (</w:t>
      </w:r>
      <w:r w:rsidRPr="00306EEC">
        <w:rPr>
          <w:szCs w:val="18"/>
          <w:rtl/>
        </w:rPr>
        <w:t>الحكومة</w:t>
      </w:r>
      <w:r w:rsidRPr="00306EEC">
        <w:rPr>
          <w:rFonts w:ascii="Simplified Arabic"/>
          <w:szCs w:val="18"/>
          <w:rtl/>
        </w:rPr>
        <w:t>)</w:t>
      </w:r>
      <w:r w:rsidRPr="00306EEC">
        <w:rPr>
          <w:szCs w:val="18"/>
          <w:rtl/>
        </w:rPr>
        <w:t xml:space="preserve"> و</w:t>
      </w:r>
      <w:r w:rsidRPr="00E44E0B">
        <w:rPr>
          <w:rFonts w:ascii="Simplified Arabic"/>
          <w:szCs w:val="18"/>
          <w:rtl/>
        </w:rPr>
        <w:t>169</w:t>
      </w:r>
      <w:r w:rsidRPr="00306EEC">
        <w:rPr>
          <w:rFonts w:ascii="Simplified Arabic"/>
          <w:szCs w:val="18"/>
          <w:rtl/>
        </w:rPr>
        <w:t xml:space="preserve"> (</w:t>
      </w:r>
      <w:r w:rsidRPr="00306EEC">
        <w:rPr>
          <w:szCs w:val="18"/>
          <w:rtl/>
        </w:rPr>
        <w:t>الجمعية الوطنية</w:t>
      </w:r>
      <w:r w:rsidRPr="00306EEC">
        <w:rPr>
          <w:rFonts w:ascii="Simplified Arabic"/>
          <w:szCs w:val="18"/>
          <w:rtl/>
        </w:rPr>
        <w:t>)</w:t>
      </w:r>
      <w:r w:rsidRPr="00306EEC">
        <w:rPr>
          <w:szCs w:val="18"/>
          <w:rtl/>
        </w:rPr>
        <w:t xml:space="preserve"> و</w:t>
      </w:r>
      <w:r w:rsidRPr="00E44E0B">
        <w:rPr>
          <w:rFonts w:ascii="Simplified Arabic"/>
          <w:szCs w:val="18"/>
          <w:rtl/>
        </w:rPr>
        <w:t>185</w:t>
      </w:r>
      <w:r w:rsidRPr="00306EEC">
        <w:rPr>
          <w:rFonts w:ascii="Simplified Arabic"/>
          <w:szCs w:val="18"/>
          <w:rtl/>
        </w:rPr>
        <w:t xml:space="preserve"> (</w:t>
      </w:r>
      <w:r w:rsidRPr="00306EEC">
        <w:rPr>
          <w:szCs w:val="18"/>
          <w:rtl/>
        </w:rPr>
        <w:t>مجلس الشيوخ</w:t>
      </w:r>
      <w:r w:rsidRPr="00306EEC">
        <w:rPr>
          <w:rFonts w:ascii="Simplified Arabic"/>
          <w:szCs w:val="18"/>
          <w:rtl/>
        </w:rPr>
        <w:t>)</w:t>
      </w:r>
      <w:r w:rsidRPr="00306EEC">
        <w:rPr>
          <w:szCs w:val="18"/>
          <w:rtl/>
        </w:rPr>
        <w:t xml:space="preserve">. </w:t>
      </w:r>
    </w:p>
  </w:footnote>
  <w:footnote w:id="13">
    <w:p w14:paraId="484C6AB9"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9" w:history="1">
        <w:r w:rsidRPr="00306EEC">
          <w:rPr>
            <w:rStyle w:val="Hyperlink"/>
          </w:rPr>
          <w:t>CCPR/C/BDI/CO/</w:t>
        </w:r>
        <w:r w:rsidRPr="00E44E0B">
          <w:rPr>
            <w:rStyle w:val="Hyperlink"/>
          </w:rPr>
          <w:t>2</w:t>
        </w:r>
      </w:hyperlink>
      <w:r w:rsidRPr="00306EEC">
        <w:rPr>
          <w:szCs w:val="18"/>
          <w:rtl/>
        </w:rPr>
        <w:t xml:space="preserve"> و</w:t>
      </w:r>
      <w:hyperlink r:id="rId10" w:history="1">
        <w:r w:rsidRPr="00306EEC">
          <w:rPr>
            <w:rStyle w:val="Hyperlink"/>
          </w:rPr>
          <w:t>CCPR/C/BDI/CO/</w:t>
        </w:r>
        <w:r w:rsidRPr="00E44E0B">
          <w:rPr>
            <w:rStyle w:val="Hyperlink"/>
          </w:rPr>
          <w:t>2</w:t>
        </w:r>
        <w:r w:rsidRPr="00306EEC">
          <w:rPr>
            <w:rStyle w:val="Hyperlink"/>
          </w:rPr>
          <w:t>/Corr.</w:t>
        </w:r>
        <w:r w:rsidRPr="00E44E0B">
          <w:rPr>
            <w:rStyle w:val="Hyperlink"/>
          </w:rPr>
          <w:t>1</w:t>
        </w:r>
      </w:hyperlink>
      <w:r w:rsidRPr="00306EEC">
        <w:rPr>
          <w:szCs w:val="18"/>
          <w:rtl/>
        </w:rPr>
        <w:t xml:space="preserve">، الفقرتان </w:t>
      </w:r>
      <w:r w:rsidRPr="00E44E0B">
        <w:rPr>
          <w:rFonts w:ascii="Simplified Arabic"/>
          <w:szCs w:val="18"/>
          <w:rtl/>
        </w:rPr>
        <w:t>10</w:t>
      </w:r>
      <w:r w:rsidRPr="00306EEC">
        <w:rPr>
          <w:szCs w:val="18"/>
          <w:rtl/>
        </w:rPr>
        <w:t xml:space="preserve"> و</w:t>
      </w:r>
      <w:r w:rsidRPr="00E44E0B">
        <w:rPr>
          <w:rFonts w:ascii="Simplified Arabic"/>
          <w:szCs w:val="18"/>
          <w:rtl/>
        </w:rPr>
        <w:t>11</w:t>
      </w:r>
      <w:r w:rsidRPr="00306EEC">
        <w:rPr>
          <w:szCs w:val="18"/>
          <w:rtl/>
        </w:rPr>
        <w:t xml:space="preserve">. </w:t>
      </w:r>
    </w:p>
  </w:footnote>
  <w:footnote w:id="14">
    <w:p w14:paraId="294B39F5"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11" w:history="1">
        <w:r w:rsidRPr="00306EEC">
          <w:rPr>
            <w:rStyle w:val="Hyperlink"/>
          </w:rPr>
          <w:t>CAT/C/BDI/CO/</w:t>
        </w:r>
        <w:r w:rsidRPr="00E44E0B">
          <w:rPr>
            <w:rStyle w:val="Hyperlink"/>
          </w:rPr>
          <w:t>2</w:t>
        </w:r>
        <w:r w:rsidRPr="00306EEC">
          <w:rPr>
            <w:rStyle w:val="Hyperlink"/>
          </w:rPr>
          <w:t>/Add.</w:t>
        </w:r>
        <w:r w:rsidRPr="00E44E0B">
          <w:rPr>
            <w:rStyle w:val="Hyperlink"/>
          </w:rPr>
          <w:t>1</w:t>
        </w:r>
      </w:hyperlink>
      <w:r w:rsidRPr="00306EEC">
        <w:rPr>
          <w:szCs w:val="18"/>
          <w:rtl/>
        </w:rPr>
        <w:t xml:space="preserve">، الفقرة </w:t>
      </w:r>
      <w:r w:rsidRPr="00E44E0B">
        <w:rPr>
          <w:rFonts w:ascii="Simplified Arabic"/>
          <w:szCs w:val="18"/>
          <w:rtl/>
        </w:rPr>
        <w:t>17</w:t>
      </w:r>
      <w:r w:rsidRPr="00306EEC">
        <w:rPr>
          <w:szCs w:val="18"/>
          <w:rtl/>
        </w:rPr>
        <w:t xml:space="preserve">. </w:t>
      </w:r>
    </w:p>
  </w:footnote>
  <w:footnote w:id="15">
    <w:p w14:paraId="4780D05B"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12" w:history="1">
        <w:r w:rsidRPr="00306EEC">
          <w:rPr>
            <w:rStyle w:val="Hyperlink"/>
          </w:rPr>
          <w:t>CEDAW/C/BDI/CO/</w:t>
        </w:r>
        <w:r w:rsidRPr="00E44E0B">
          <w:rPr>
            <w:rStyle w:val="Hyperlink"/>
          </w:rPr>
          <w:t>5</w:t>
        </w:r>
        <w:r w:rsidRPr="00306EEC">
          <w:rPr>
            <w:rStyle w:val="Hyperlink"/>
          </w:rPr>
          <w:t>-</w:t>
        </w:r>
        <w:r w:rsidRPr="00E44E0B">
          <w:rPr>
            <w:rStyle w:val="Hyperlink"/>
          </w:rPr>
          <w:t>6</w:t>
        </w:r>
      </w:hyperlink>
      <w:r w:rsidRPr="00306EEC">
        <w:rPr>
          <w:szCs w:val="18"/>
          <w:rtl/>
        </w:rPr>
        <w:t xml:space="preserve">، الفقرة </w:t>
      </w:r>
      <w:r w:rsidRPr="00E44E0B">
        <w:rPr>
          <w:rFonts w:ascii="Simplified Arabic"/>
          <w:szCs w:val="18"/>
          <w:rtl/>
        </w:rPr>
        <w:t>27</w:t>
      </w:r>
      <w:r w:rsidRPr="00306EEC">
        <w:rPr>
          <w:szCs w:val="18"/>
          <w:rtl/>
        </w:rPr>
        <w:t xml:space="preserve">. </w:t>
      </w:r>
    </w:p>
  </w:footnote>
  <w:footnote w:id="16">
    <w:p w14:paraId="4ADA6816"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13" w:history="1">
        <w:r w:rsidRPr="00306EEC">
          <w:rPr>
            <w:rStyle w:val="Hyperlink"/>
          </w:rPr>
          <w:t>CCPR/C/BDI/CO/</w:t>
        </w:r>
        <w:r w:rsidRPr="00E44E0B">
          <w:rPr>
            <w:rStyle w:val="Hyperlink"/>
          </w:rPr>
          <w:t>2</w:t>
        </w:r>
      </w:hyperlink>
      <w:r w:rsidRPr="00306EEC">
        <w:rPr>
          <w:szCs w:val="18"/>
          <w:rtl/>
        </w:rPr>
        <w:t>، و</w:t>
      </w:r>
      <w:hyperlink r:id="rId14" w:history="1">
        <w:r w:rsidRPr="00306EEC">
          <w:rPr>
            <w:rStyle w:val="Hyperlink"/>
          </w:rPr>
          <w:t>CCPR/C/BDI/CO/</w:t>
        </w:r>
        <w:r w:rsidRPr="00E44E0B">
          <w:rPr>
            <w:rStyle w:val="Hyperlink"/>
          </w:rPr>
          <w:t>2</w:t>
        </w:r>
        <w:r w:rsidRPr="00306EEC">
          <w:rPr>
            <w:rStyle w:val="Hyperlink"/>
          </w:rPr>
          <w:t>/Corr.</w:t>
        </w:r>
        <w:r w:rsidRPr="00E44E0B">
          <w:rPr>
            <w:rStyle w:val="Hyperlink"/>
          </w:rPr>
          <w:t>1</w:t>
        </w:r>
      </w:hyperlink>
      <w:r w:rsidRPr="00306EEC">
        <w:rPr>
          <w:szCs w:val="18"/>
          <w:rtl/>
        </w:rPr>
        <w:t xml:space="preserve">، الفقرتان </w:t>
      </w:r>
      <w:r w:rsidRPr="00E44E0B">
        <w:rPr>
          <w:rFonts w:ascii="Simplified Arabic"/>
          <w:szCs w:val="18"/>
          <w:rtl/>
        </w:rPr>
        <w:t>13</w:t>
      </w:r>
      <w:r w:rsidRPr="00306EEC">
        <w:rPr>
          <w:szCs w:val="18"/>
          <w:rtl/>
        </w:rPr>
        <w:t xml:space="preserve"> و</w:t>
      </w:r>
      <w:r w:rsidRPr="00E44E0B">
        <w:rPr>
          <w:rFonts w:ascii="Simplified Arabic"/>
          <w:szCs w:val="18"/>
          <w:rtl/>
        </w:rPr>
        <w:t>14</w:t>
      </w:r>
      <w:r w:rsidRPr="00306EEC">
        <w:rPr>
          <w:szCs w:val="18"/>
          <w:rtl/>
        </w:rPr>
        <w:t xml:space="preserve">. </w:t>
      </w:r>
    </w:p>
  </w:footnote>
  <w:footnote w:id="17">
    <w:p w14:paraId="586DA647"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15" w:history="1">
        <w:r w:rsidRPr="00306EEC">
          <w:rPr>
            <w:rStyle w:val="Hyperlink"/>
          </w:rPr>
          <w:t>CAT/C/BDI/CO/</w:t>
        </w:r>
        <w:r w:rsidRPr="00E44E0B">
          <w:rPr>
            <w:rStyle w:val="Hyperlink"/>
          </w:rPr>
          <w:t>2</w:t>
        </w:r>
        <w:r w:rsidRPr="00306EEC">
          <w:rPr>
            <w:rStyle w:val="Hyperlink"/>
          </w:rPr>
          <w:t>/Add.</w:t>
        </w:r>
        <w:r w:rsidRPr="00E44E0B">
          <w:rPr>
            <w:rStyle w:val="Hyperlink"/>
          </w:rPr>
          <w:t>1</w:t>
        </w:r>
      </w:hyperlink>
      <w:r w:rsidRPr="00306EEC">
        <w:rPr>
          <w:szCs w:val="18"/>
          <w:rtl/>
        </w:rPr>
        <w:t xml:space="preserve">، الفقرات </w:t>
      </w:r>
      <w:r w:rsidRPr="00E44E0B">
        <w:rPr>
          <w:rFonts w:ascii="Simplified Arabic"/>
          <w:szCs w:val="18"/>
          <w:rtl/>
        </w:rPr>
        <w:t>9</w:t>
      </w:r>
      <w:r w:rsidRPr="00306EEC">
        <w:rPr>
          <w:szCs w:val="18"/>
          <w:rtl/>
        </w:rPr>
        <w:t xml:space="preserve"> و</w:t>
      </w:r>
      <w:r w:rsidRPr="00E44E0B">
        <w:rPr>
          <w:rFonts w:ascii="Simplified Arabic"/>
          <w:szCs w:val="18"/>
          <w:rtl/>
        </w:rPr>
        <w:t>11</w:t>
      </w:r>
      <w:r w:rsidRPr="00306EEC">
        <w:rPr>
          <w:szCs w:val="18"/>
          <w:rtl/>
        </w:rPr>
        <w:t xml:space="preserve"> و</w:t>
      </w:r>
      <w:r w:rsidRPr="00E44E0B">
        <w:rPr>
          <w:rFonts w:ascii="Simplified Arabic"/>
          <w:szCs w:val="18"/>
          <w:rtl/>
        </w:rPr>
        <w:t>13</w:t>
      </w:r>
      <w:r w:rsidRPr="00306EEC">
        <w:rPr>
          <w:szCs w:val="18"/>
          <w:rtl/>
        </w:rPr>
        <w:t xml:space="preserve"> و</w:t>
      </w:r>
      <w:r w:rsidRPr="00E44E0B">
        <w:rPr>
          <w:rFonts w:ascii="Simplified Arabic"/>
          <w:szCs w:val="18"/>
          <w:rtl/>
        </w:rPr>
        <w:t>15</w:t>
      </w:r>
      <w:r w:rsidRPr="00306EEC">
        <w:rPr>
          <w:szCs w:val="18"/>
          <w:rtl/>
        </w:rPr>
        <w:t xml:space="preserve"> و</w:t>
      </w:r>
      <w:r w:rsidRPr="00E44E0B">
        <w:rPr>
          <w:rFonts w:ascii="Simplified Arabic"/>
          <w:szCs w:val="18"/>
          <w:rtl/>
        </w:rPr>
        <w:t>27</w:t>
      </w:r>
      <w:r w:rsidRPr="00306EEC">
        <w:rPr>
          <w:szCs w:val="18"/>
          <w:rtl/>
        </w:rPr>
        <w:t xml:space="preserve">. </w:t>
      </w:r>
    </w:p>
  </w:footnote>
  <w:footnote w:id="18">
    <w:p w14:paraId="5C524C33"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16" w:history="1">
        <w:r w:rsidRPr="00306EEC">
          <w:rPr>
            <w:rStyle w:val="Hyperlink"/>
          </w:rPr>
          <w:t>CEDAW/C/BDI/CO/</w:t>
        </w:r>
        <w:r w:rsidRPr="00E44E0B">
          <w:rPr>
            <w:rStyle w:val="Hyperlink"/>
          </w:rPr>
          <w:t>5</w:t>
        </w:r>
        <w:r w:rsidRPr="00306EEC">
          <w:rPr>
            <w:rStyle w:val="Hyperlink"/>
          </w:rPr>
          <w:t>-</w:t>
        </w:r>
        <w:r w:rsidRPr="00E44E0B">
          <w:rPr>
            <w:rStyle w:val="Hyperlink"/>
          </w:rPr>
          <w:t>6</w:t>
        </w:r>
      </w:hyperlink>
      <w:r w:rsidRPr="00306EEC">
        <w:rPr>
          <w:szCs w:val="18"/>
          <w:rtl/>
        </w:rPr>
        <w:t xml:space="preserve">، الفقرة </w:t>
      </w:r>
      <w:r w:rsidRPr="00E44E0B">
        <w:rPr>
          <w:rFonts w:ascii="Simplified Arabic"/>
          <w:szCs w:val="18"/>
          <w:rtl/>
        </w:rPr>
        <w:t>9</w:t>
      </w:r>
      <w:r w:rsidRPr="00306EEC">
        <w:rPr>
          <w:szCs w:val="18"/>
          <w:rtl/>
        </w:rPr>
        <w:t xml:space="preserve">. </w:t>
      </w:r>
    </w:p>
  </w:footnote>
  <w:footnote w:id="19">
    <w:p w14:paraId="2451D7D3"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t xml:space="preserve">أنظر </w:t>
      </w:r>
      <w:hyperlink r:id="rId17" w:history="1">
        <w:r w:rsidRPr="00306EEC">
          <w:rPr>
            <w:rStyle w:val="Hyperlink"/>
          </w:rPr>
          <w:t>A/HRC/</w:t>
        </w:r>
        <w:r w:rsidRPr="00E44E0B">
          <w:rPr>
            <w:rStyle w:val="Hyperlink"/>
          </w:rPr>
          <w:t>48</w:t>
        </w:r>
        <w:r w:rsidRPr="00306EEC">
          <w:rPr>
            <w:rStyle w:val="Hyperlink"/>
          </w:rPr>
          <w:t>/</w:t>
        </w:r>
        <w:r w:rsidRPr="00E44E0B">
          <w:rPr>
            <w:rStyle w:val="Hyperlink"/>
          </w:rPr>
          <w:t>60</w:t>
        </w:r>
        <w:r w:rsidRPr="00306EEC">
          <w:rPr>
            <w:rStyle w:val="Hyperlink"/>
          </w:rPr>
          <w:t>/Add.</w:t>
        </w:r>
        <w:r w:rsidRPr="00E44E0B">
          <w:rPr>
            <w:rStyle w:val="Hyperlink"/>
          </w:rPr>
          <w:t>2</w:t>
        </w:r>
      </w:hyperlink>
      <w:r w:rsidRPr="00306EEC">
        <w:rPr>
          <w:szCs w:val="18"/>
          <w:rtl/>
        </w:rPr>
        <w:t>، و</w:t>
      </w:r>
      <w:hyperlink r:id="rId18" w:history="1">
        <w:r w:rsidRPr="00306EEC">
          <w:rPr>
            <w:rStyle w:val="Hyperlink"/>
          </w:rPr>
          <w:t>A/HRC/</w:t>
        </w:r>
        <w:r w:rsidRPr="00E44E0B">
          <w:rPr>
            <w:rStyle w:val="Hyperlink"/>
          </w:rPr>
          <w:t>30</w:t>
        </w:r>
        <w:r w:rsidRPr="00306EEC">
          <w:rPr>
            <w:rStyle w:val="Hyperlink"/>
          </w:rPr>
          <w:t>/</w:t>
        </w:r>
        <w:r w:rsidRPr="00E44E0B">
          <w:rPr>
            <w:rStyle w:val="Hyperlink"/>
          </w:rPr>
          <w:t>42</w:t>
        </w:r>
        <w:r w:rsidRPr="00306EEC">
          <w:rPr>
            <w:rStyle w:val="Hyperlink"/>
          </w:rPr>
          <w:t>/Add.</w:t>
        </w:r>
        <w:r w:rsidRPr="00E44E0B">
          <w:rPr>
            <w:rStyle w:val="Hyperlink"/>
          </w:rPr>
          <w:t>1</w:t>
        </w:r>
      </w:hyperlink>
      <w:r w:rsidRPr="00306EEC">
        <w:rPr>
          <w:rFonts w:cs="Times New Roman"/>
          <w:szCs w:val="18"/>
          <w:rtl/>
        </w:rPr>
        <w:t xml:space="preserve">. </w:t>
      </w:r>
    </w:p>
  </w:footnote>
  <w:footnote w:id="20">
    <w:p w14:paraId="5E84A5FA"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r w:rsidRPr="00306EEC">
        <w:rPr>
          <w:szCs w:val="18"/>
          <w:rtl/>
        </w:rPr>
        <w:tab/>
      </w:r>
      <w:hyperlink r:id="rId19" w:history="1">
        <w:r w:rsidRPr="00306EEC">
          <w:rPr>
            <w:rStyle w:val="Hyperlink"/>
          </w:rPr>
          <w:t>CCPR/C/BDI/CO/</w:t>
        </w:r>
        <w:r w:rsidRPr="00E44E0B">
          <w:rPr>
            <w:rStyle w:val="Hyperlink"/>
          </w:rPr>
          <w:t>2</w:t>
        </w:r>
      </w:hyperlink>
      <w:r w:rsidRPr="00306EEC">
        <w:rPr>
          <w:szCs w:val="18"/>
          <w:rtl/>
        </w:rPr>
        <w:t xml:space="preserve"> و</w:t>
      </w:r>
      <w:hyperlink r:id="rId20" w:history="1">
        <w:r w:rsidRPr="00306EEC">
          <w:rPr>
            <w:rStyle w:val="Hyperlink"/>
          </w:rPr>
          <w:t>CCPR/C/BDI/CO/</w:t>
        </w:r>
        <w:r w:rsidRPr="00E44E0B">
          <w:rPr>
            <w:rStyle w:val="Hyperlink"/>
          </w:rPr>
          <w:t>2</w:t>
        </w:r>
        <w:r w:rsidRPr="00306EEC">
          <w:rPr>
            <w:rStyle w:val="Hyperlink"/>
          </w:rPr>
          <w:t>/Corr.</w:t>
        </w:r>
        <w:r w:rsidRPr="00E44E0B">
          <w:rPr>
            <w:rStyle w:val="Hyperlink"/>
          </w:rPr>
          <w:t>1</w:t>
        </w:r>
      </w:hyperlink>
      <w:r w:rsidRPr="00306EEC">
        <w:rPr>
          <w:szCs w:val="18"/>
          <w:rtl/>
        </w:rPr>
        <w:t xml:space="preserve">، الفقرتان </w:t>
      </w:r>
      <w:r w:rsidRPr="00E44E0B">
        <w:rPr>
          <w:rFonts w:ascii="Simplified Arabic"/>
          <w:szCs w:val="18"/>
          <w:rtl/>
        </w:rPr>
        <w:t>17</w:t>
      </w:r>
      <w:r w:rsidRPr="00306EEC">
        <w:rPr>
          <w:szCs w:val="18"/>
          <w:rtl/>
        </w:rPr>
        <w:t xml:space="preserve"> و</w:t>
      </w:r>
      <w:r w:rsidRPr="00E44E0B">
        <w:rPr>
          <w:rFonts w:ascii="Simplified Arabic"/>
          <w:szCs w:val="18"/>
          <w:rtl/>
        </w:rPr>
        <w:t>18</w:t>
      </w:r>
      <w:r w:rsidRPr="00306EEC">
        <w:rPr>
          <w:szCs w:val="18"/>
          <w:rtl/>
        </w:rPr>
        <w:t xml:space="preserve">. </w:t>
      </w:r>
    </w:p>
  </w:footnote>
  <w:footnote w:id="21">
    <w:p w14:paraId="3457AFD5" w14:textId="77777777"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eastAsia="SimSun"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 xml:space="preserve"> </w:t>
      </w:r>
      <w:hyperlink r:id="rId21" w:history="1">
        <w:r w:rsidRPr="00306EEC">
          <w:rPr>
            <w:rStyle w:val="Hyperlink"/>
          </w:rPr>
          <w:t>CCPR/C/BDI/CO/</w:t>
        </w:r>
        <w:r w:rsidRPr="00E44E0B">
          <w:rPr>
            <w:rStyle w:val="Hyperlink"/>
          </w:rPr>
          <w:t>2</w:t>
        </w:r>
      </w:hyperlink>
      <w:r w:rsidRPr="00306EEC">
        <w:rPr>
          <w:szCs w:val="18"/>
          <w:rtl/>
        </w:rPr>
        <w:t xml:space="preserve"> و</w:t>
      </w:r>
      <w:hyperlink r:id="rId22" w:history="1">
        <w:r w:rsidRPr="00306EEC">
          <w:rPr>
            <w:rStyle w:val="Hyperlink"/>
          </w:rPr>
          <w:t>CCPR/C/BDI/CO/</w:t>
        </w:r>
        <w:r w:rsidRPr="00E44E0B">
          <w:rPr>
            <w:rStyle w:val="Hyperlink"/>
          </w:rPr>
          <w:t>2</w:t>
        </w:r>
        <w:r w:rsidRPr="00306EEC">
          <w:rPr>
            <w:rStyle w:val="Hyperlink"/>
          </w:rPr>
          <w:t>/Corr.</w:t>
        </w:r>
        <w:r w:rsidRPr="00E44E0B">
          <w:rPr>
            <w:rStyle w:val="Hyperlink"/>
          </w:rPr>
          <w:t>1</w:t>
        </w:r>
      </w:hyperlink>
      <w:r w:rsidRPr="00306EEC">
        <w:rPr>
          <w:szCs w:val="18"/>
          <w:rtl/>
        </w:rPr>
        <w:t xml:space="preserve">، الفقرة </w:t>
      </w:r>
      <w:r w:rsidRPr="00E44E0B">
        <w:rPr>
          <w:rFonts w:ascii="Simplified Arabic"/>
          <w:szCs w:val="18"/>
          <w:rtl/>
        </w:rPr>
        <w:t>16</w:t>
      </w:r>
      <w:r w:rsidRPr="00306EEC">
        <w:rPr>
          <w:szCs w:val="18"/>
          <w:rtl/>
        </w:rPr>
        <w:t xml:space="preserve">. </w:t>
      </w:r>
    </w:p>
  </w:footnote>
  <w:footnote w:id="22">
    <w:p w14:paraId="7EB6FD26" w14:textId="5AAD0744" w:rsidR="00306EEC" w:rsidRPr="00306EEC" w:rsidRDefault="00306EEC" w:rsidP="00306EEC">
      <w:pPr>
        <w:pStyle w:val="FootnoteText"/>
        <w:tabs>
          <w:tab w:val="clear" w:pos="1021"/>
        </w:tabs>
        <w:bidi/>
        <w:spacing w:after="60" w:line="280" w:lineRule="exact"/>
        <w:ind w:left="1247" w:right="1247" w:hanging="567"/>
        <w:jc w:val="lowKashida"/>
        <w:textDirection w:val="tbRlV"/>
        <w:rPr>
          <w:rFonts w:cs="Times New Roman"/>
          <w:szCs w:val="18"/>
          <w:rtl/>
          <w:lang w:val="ar-SA" w:eastAsia="zh-TW"/>
        </w:rPr>
      </w:pPr>
      <w:r w:rsidRPr="00306EEC">
        <w:rPr>
          <w:rStyle w:val="FootnoteReference"/>
          <w:vertAlign w:val="baseline"/>
          <w:rtl/>
        </w:rPr>
        <w:t>(</w:t>
      </w:r>
      <w:r w:rsidRPr="00E44E0B">
        <w:rPr>
          <w:rStyle w:val="FootnoteReference"/>
          <w:vertAlign w:val="baseline"/>
          <w:lang w:val="en-AU"/>
        </w:rPr>
        <w:footnoteRef/>
      </w:r>
      <w:r w:rsidRPr="00306EEC">
        <w:rPr>
          <w:rStyle w:val="FootnoteReference"/>
          <w:vertAlign w:val="baseline"/>
          <w:rtl/>
        </w:rPr>
        <w:t>)</w:t>
      </w:r>
      <w:r w:rsidRPr="00306EEC">
        <w:rPr>
          <w:szCs w:val="18"/>
          <w:rtl/>
        </w:rPr>
        <w:tab/>
        <w:t xml:space="preserve">بوروندي، القانون رقم </w:t>
      </w:r>
      <w:r w:rsidRPr="00E44E0B">
        <w:rPr>
          <w:rFonts w:ascii="Simplified Arabic"/>
          <w:szCs w:val="18"/>
        </w:rPr>
        <w:t>02</w:t>
      </w:r>
      <w:r w:rsidRPr="00306EEC">
        <w:rPr>
          <w:rFonts w:ascii="Simplified Arabic"/>
          <w:szCs w:val="18"/>
        </w:rPr>
        <w:t>/</w:t>
      </w:r>
      <w:r w:rsidRPr="00E44E0B">
        <w:rPr>
          <w:rFonts w:ascii="Simplified Arabic"/>
          <w:szCs w:val="18"/>
        </w:rPr>
        <w:t>1</w:t>
      </w:r>
      <w:r w:rsidRPr="00306EEC">
        <w:rPr>
          <w:szCs w:val="18"/>
          <w:rtl/>
        </w:rPr>
        <w:t xml:space="preserve"> المؤرخ </w:t>
      </w:r>
      <w:r w:rsidRPr="00E44E0B">
        <w:rPr>
          <w:rFonts w:ascii="Simplified Arabic"/>
          <w:szCs w:val="18"/>
          <w:rtl/>
        </w:rPr>
        <w:t>23</w:t>
      </w:r>
      <w:r w:rsidRPr="00306EEC">
        <w:rPr>
          <w:szCs w:val="18"/>
          <w:rtl/>
        </w:rPr>
        <w:t xml:space="preserve"> كانون الثاني/يناير </w:t>
      </w:r>
      <w:r w:rsidRPr="00E44E0B">
        <w:rPr>
          <w:rFonts w:ascii="Simplified Arabic"/>
          <w:szCs w:val="18"/>
          <w:rtl/>
        </w:rPr>
        <w:t>2021</w:t>
      </w:r>
      <w:r w:rsidRPr="00306EEC">
        <w:rPr>
          <w:szCs w:val="18"/>
          <w:rtl/>
        </w:rPr>
        <w:t xml:space="preserve"> المعدل للقانون الأساسي رقم </w:t>
      </w:r>
      <w:r w:rsidRPr="00E44E0B">
        <w:rPr>
          <w:rFonts w:ascii="Simplified Arabic"/>
          <w:szCs w:val="18"/>
        </w:rPr>
        <w:t>13</w:t>
      </w:r>
      <w:r w:rsidRPr="00306EEC">
        <w:rPr>
          <w:rFonts w:ascii="Simplified Arabic"/>
          <w:szCs w:val="18"/>
        </w:rPr>
        <w:t>/</w:t>
      </w:r>
      <w:r w:rsidRPr="00E44E0B">
        <w:rPr>
          <w:rFonts w:ascii="Simplified Arabic"/>
          <w:szCs w:val="18"/>
        </w:rPr>
        <w:t>1</w:t>
      </w:r>
      <w:r w:rsidRPr="00306EEC">
        <w:rPr>
          <w:szCs w:val="18"/>
          <w:rtl/>
        </w:rPr>
        <w:t xml:space="preserve"> المؤرخ </w:t>
      </w:r>
      <w:r w:rsidRPr="00E44E0B">
        <w:rPr>
          <w:rFonts w:ascii="Simplified Arabic"/>
          <w:szCs w:val="18"/>
          <w:rtl/>
        </w:rPr>
        <w:t>12</w:t>
      </w:r>
      <w:r w:rsidRPr="00306EEC">
        <w:rPr>
          <w:szCs w:val="18"/>
          <w:rtl/>
        </w:rPr>
        <w:t xml:space="preserve"> حزيران/</w:t>
      </w:r>
      <w:r w:rsidR="00E44E0B">
        <w:rPr>
          <w:rFonts w:hint="cs"/>
          <w:szCs w:val="18"/>
          <w:rtl/>
        </w:rPr>
        <w:t xml:space="preserve"> </w:t>
      </w:r>
      <w:proofErr w:type="gramStart"/>
      <w:r w:rsidRPr="00306EEC">
        <w:rPr>
          <w:szCs w:val="18"/>
          <w:rtl/>
        </w:rPr>
        <w:t>يونيه</w:t>
      </w:r>
      <w:proofErr w:type="gramEnd"/>
      <w:r w:rsidR="00E44E0B">
        <w:rPr>
          <w:rFonts w:hint="cs"/>
          <w:szCs w:val="18"/>
          <w:rtl/>
        </w:rPr>
        <w:t> </w:t>
      </w:r>
      <w:r w:rsidRPr="00E44E0B">
        <w:rPr>
          <w:rFonts w:ascii="Simplified Arabic"/>
          <w:szCs w:val="18"/>
          <w:rtl/>
        </w:rPr>
        <w:t>2019</w:t>
      </w:r>
      <w:r w:rsidRPr="00306EEC">
        <w:rPr>
          <w:szCs w:val="18"/>
          <w:rtl/>
        </w:rPr>
        <w:t xml:space="preserve"> بشأن تنظيم وسير عمل المجلس الأعلى للقضاء، الفقرة </w:t>
      </w:r>
      <w:r w:rsidRPr="00E44E0B">
        <w:rPr>
          <w:rFonts w:ascii="Simplified Arabic"/>
          <w:szCs w:val="18"/>
          <w:rtl/>
        </w:rPr>
        <w:t>8</w:t>
      </w:r>
      <w:r w:rsidRPr="00306EEC">
        <w:rPr>
          <w:szCs w:val="18"/>
          <w:rtl/>
        </w:rPr>
        <w:t xml:space="preserve"> من المادة </w:t>
      </w:r>
      <w:r w:rsidRPr="00E44E0B">
        <w:rPr>
          <w:rFonts w:ascii="Simplified Arabic"/>
          <w:szCs w:val="18"/>
          <w:rtl/>
        </w:rPr>
        <w:t>3</w:t>
      </w:r>
      <w:r w:rsidRPr="00306EEC">
        <w:rPr>
          <w:rFonts w:ascii="Simplified Arabic"/>
          <w:szCs w:val="18"/>
          <w:rtl/>
        </w:rPr>
        <w:t>.</w:t>
      </w:r>
      <w:r w:rsidRPr="00306EEC">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E44E1" w14:textId="006652B4" w:rsidR="00B37B63" w:rsidRPr="00B37B63" w:rsidRDefault="00B37B63" w:rsidP="00B37B63">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16831">
      <w:t>CCPR/C/BDI/CO/3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F0958" w14:textId="652DF240" w:rsidR="00B37B63" w:rsidRPr="00B37B63" w:rsidRDefault="00B37B63" w:rsidP="00B37B63">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16831">
      <w:t>CCPR/C/BDI/CO/3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62336435">
    <w:abstractNumId w:val="2"/>
  </w:num>
  <w:num w:numId="2" w16cid:durableId="491871139">
    <w:abstractNumId w:val="8"/>
  </w:num>
  <w:num w:numId="3" w16cid:durableId="335303624">
    <w:abstractNumId w:val="6"/>
  </w:num>
  <w:num w:numId="4" w16cid:durableId="86931009">
    <w:abstractNumId w:val="5"/>
  </w:num>
  <w:num w:numId="5" w16cid:durableId="2065060140">
    <w:abstractNumId w:val="11"/>
  </w:num>
  <w:num w:numId="6" w16cid:durableId="215430427">
    <w:abstractNumId w:val="3"/>
  </w:num>
  <w:num w:numId="7" w16cid:durableId="787966283">
    <w:abstractNumId w:val="10"/>
  </w:num>
  <w:num w:numId="8" w16cid:durableId="1344934667">
    <w:abstractNumId w:val="9"/>
  </w:num>
  <w:num w:numId="9" w16cid:durableId="1979262059">
    <w:abstractNumId w:val="1"/>
  </w:num>
  <w:num w:numId="10" w16cid:durableId="7611026">
    <w:abstractNumId w:val="7"/>
  </w:num>
  <w:num w:numId="11" w16cid:durableId="1543665179">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16cid:durableId="2079396497">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AA5"/>
    <w:rsid w:val="000076D5"/>
    <w:rsid w:val="00037E7E"/>
    <w:rsid w:val="000435C4"/>
    <w:rsid w:val="00043663"/>
    <w:rsid w:val="000437B8"/>
    <w:rsid w:val="000505CF"/>
    <w:rsid w:val="000D701C"/>
    <w:rsid w:val="000E2A71"/>
    <w:rsid w:val="0010006A"/>
    <w:rsid w:val="00140AA5"/>
    <w:rsid w:val="00145577"/>
    <w:rsid w:val="00160263"/>
    <w:rsid w:val="001604E9"/>
    <w:rsid w:val="00181F96"/>
    <w:rsid w:val="001872B1"/>
    <w:rsid w:val="001A1371"/>
    <w:rsid w:val="001B043F"/>
    <w:rsid w:val="001B346A"/>
    <w:rsid w:val="001E1CAD"/>
    <w:rsid w:val="001E290D"/>
    <w:rsid w:val="00205B37"/>
    <w:rsid w:val="002144FA"/>
    <w:rsid w:val="002321D9"/>
    <w:rsid w:val="0023469A"/>
    <w:rsid w:val="00243C8A"/>
    <w:rsid w:val="00260585"/>
    <w:rsid w:val="00267A0E"/>
    <w:rsid w:val="002901D9"/>
    <w:rsid w:val="002976C2"/>
    <w:rsid w:val="003068BC"/>
    <w:rsid w:val="00306EEC"/>
    <w:rsid w:val="003260FF"/>
    <w:rsid w:val="00332D3C"/>
    <w:rsid w:val="00343D95"/>
    <w:rsid w:val="00363A18"/>
    <w:rsid w:val="00374341"/>
    <w:rsid w:val="003D1062"/>
    <w:rsid w:val="003E2B57"/>
    <w:rsid w:val="003F0236"/>
    <w:rsid w:val="00402051"/>
    <w:rsid w:val="00406A34"/>
    <w:rsid w:val="00420D7B"/>
    <w:rsid w:val="00434941"/>
    <w:rsid w:val="0044797C"/>
    <w:rsid w:val="00450B21"/>
    <w:rsid w:val="00453B63"/>
    <w:rsid w:val="0045467C"/>
    <w:rsid w:val="00455780"/>
    <w:rsid w:val="0046539B"/>
    <w:rsid w:val="00477F66"/>
    <w:rsid w:val="00487755"/>
    <w:rsid w:val="004B0A1C"/>
    <w:rsid w:val="004B27E0"/>
    <w:rsid w:val="004D298E"/>
    <w:rsid w:val="005044B3"/>
    <w:rsid w:val="00517BC9"/>
    <w:rsid w:val="00525D6B"/>
    <w:rsid w:val="005426D0"/>
    <w:rsid w:val="0054368B"/>
    <w:rsid w:val="0054472E"/>
    <w:rsid w:val="005662A9"/>
    <w:rsid w:val="005827D4"/>
    <w:rsid w:val="0058508B"/>
    <w:rsid w:val="0059622A"/>
    <w:rsid w:val="005B51C4"/>
    <w:rsid w:val="005C0061"/>
    <w:rsid w:val="005C2E65"/>
    <w:rsid w:val="005C5878"/>
    <w:rsid w:val="005C7CEA"/>
    <w:rsid w:val="005D3C0B"/>
    <w:rsid w:val="005E5217"/>
    <w:rsid w:val="005F0FA4"/>
    <w:rsid w:val="005F30EE"/>
    <w:rsid w:val="005F5271"/>
    <w:rsid w:val="0060473A"/>
    <w:rsid w:val="00617024"/>
    <w:rsid w:val="0064200F"/>
    <w:rsid w:val="00652221"/>
    <w:rsid w:val="00656392"/>
    <w:rsid w:val="006645EC"/>
    <w:rsid w:val="0068781D"/>
    <w:rsid w:val="006959B0"/>
    <w:rsid w:val="006B3E27"/>
    <w:rsid w:val="006B6507"/>
    <w:rsid w:val="006C104C"/>
    <w:rsid w:val="006C525B"/>
    <w:rsid w:val="006C632E"/>
    <w:rsid w:val="00717FB3"/>
    <w:rsid w:val="00730446"/>
    <w:rsid w:val="00733704"/>
    <w:rsid w:val="0078071A"/>
    <w:rsid w:val="00787022"/>
    <w:rsid w:val="00787E1E"/>
    <w:rsid w:val="007A2B81"/>
    <w:rsid w:val="00816831"/>
    <w:rsid w:val="00852A9A"/>
    <w:rsid w:val="00874403"/>
    <w:rsid w:val="008D1E15"/>
    <w:rsid w:val="008E540C"/>
    <w:rsid w:val="008E699A"/>
    <w:rsid w:val="008F18CC"/>
    <w:rsid w:val="008F49E1"/>
    <w:rsid w:val="0090370F"/>
    <w:rsid w:val="009169D0"/>
    <w:rsid w:val="009269D2"/>
    <w:rsid w:val="00942135"/>
    <w:rsid w:val="00947D84"/>
    <w:rsid w:val="009521B0"/>
    <w:rsid w:val="00957437"/>
    <w:rsid w:val="00975325"/>
    <w:rsid w:val="00982139"/>
    <w:rsid w:val="009867A8"/>
    <w:rsid w:val="00991F44"/>
    <w:rsid w:val="009A0CFB"/>
    <w:rsid w:val="009A7E9F"/>
    <w:rsid w:val="009C17EC"/>
    <w:rsid w:val="009E5018"/>
    <w:rsid w:val="00A03700"/>
    <w:rsid w:val="00A053F2"/>
    <w:rsid w:val="00A12B37"/>
    <w:rsid w:val="00A15BF0"/>
    <w:rsid w:val="00A54828"/>
    <w:rsid w:val="00A96116"/>
    <w:rsid w:val="00A97E1F"/>
    <w:rsid w:val="00AA3219"/>
    <w:rsid w:val="00AB437A"/>
    <w:rsid w:val="00AB512E"/>
    <w:rsid w:val="00AB6758"/>
    <w:rsid w:val="00AB727F"/>
    <w:rsid w:val="00AF5262"/>
    <w:rsid w:val="00B13763"/>
    <w:rsid w:val="00B14605"/>
    <w:rsid w:val="00B37B63"/>
    <w:rsid w:val="00B477A4"/>
    <w:rsid w:val="00B54045"/>
    <w:rsid w:val="00B63ADD"/>
    <w:rsid w:val="00B67169"/>
    <w:rsid w:val="00B82335"/>
    <w:rsid w:val="00BB09A0"/>
    <w:rsid w:val="00C175A6"/>
    <w:rsid w:val="00C25098"/>
    <w:rsid w:val="00C41DCF"/>
    <w:rsid w:val="00C42AF7"/>
    <w:rsid w:val="00C438D7"/>
    <w:rsid w:val="00C62C20"/>
    <w:rsid w:val="00C81B50"/>
    <w:rsid w:val="00C902EF"/>
    <w:rsid w:val="00CB0011"/>
    <w:rsid w:val="00CB6622"/>
    <w:rsid w:val="00CD1801"/>
    <w:rsid w:val="00CF56F9"/>
    <w:rsid w:val="00CF65C6"/>
    <w:rsid w:val="00D00A89"/>
    <w:rsid w:val="00D043E3"/>
    <w:rsid w:val="00D10EF1"/>
    <w:rsid w:val="00D42810"/>
    <w:rsid w:val="00D47108"/>
    <w:rsid w:val="00D54CA2"/>
    <w:rsid w:val="00D60DD5"/>
    <w:rsid w:val="00D66135"/>
    <w:rsid w:val="00D73742"/>
    <w:rsid w:val="00D914A7"/>
    <w:rsid w:val="00DC4D4B"/>
    <w:rsid w:val="00DD13C3"/>
    <w:rsid w:val="00DD596E"/>
    <w:rsid w:val="00DD621E"/>
    <w:rsid w:val="00DE50B1"/>
    <w:rsid w:val="00DF0138"/>
    <w:rsid w:val="00DF0575"/>
    <w:rsid w:val="00DF7A69"/>
    <w:rsid w:val="00E2228E"/>
    <w:rsid w:val="00E44E0B"/>
    <w:rsid w:val="00E70E04"/>
    <w:rsid w:val="00E77E6C"/>
    <w:rsid w:val="00E83ED5"/>
    <w:rsid w:val="00EC05A7"/>
    <w:rsid w:val="00EC4B6B"/>
    <w:rsid w:val="00EC68A5"/>
    <w:rsid w:val="00ED7442"/>
    <w:rsid w:val="00EF1EE5"/>
    <w:rsid w:val="00EF2155"/>
    <w:rsid w:val="00EF5C43"/>
    <w:rsid w:val="00F02E78"/>
    <w:rsid w:val="00F10DAB"/>
    <w:rsid w:val="00F46D42"/>
    <w:rsid w:val="00F52A07"/>
    <w:rsid w:val="00F53028"/>
    <w:rsid w:val="00F763B4"/>
    <w:rsid w:val="00F900C3"/>
    <w:rsid w:val="00FB3767"/>
    <w:rsid w:val="00FC6EDD"/>
    <w:rsid w:val="00FD46E2"/>
    <w:rsid w:val="00FE502A"/>
    <w:rsid w:val="00FF2AB2"/>
    <w:rsid w:val="00FF61C7"/>
    <w:rsid w:val="00FF658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D0ABBB"/>
  <w15:docId w15:val="{EEB6F87C-DB23-4E1C-8F4D-293984B45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nhideWhenUsed/>
    <w:qFormat/>
    <w:rsid w:val="009C17EC"/>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C17EC"/>
    <w:pPr>
      <w:keepNext/>
      <w:keepLines/>
      <w:spacing w:before="200"/>
      <w:outlineLvl w:val="2"/>
    </w:pPr>
    <w:rPr>
      <w:b/>
      <w:bCs/>
      <w:color w:val="4F81BD"/>
    </w:rPr>
  </w:style>
  <w:style w:type="paragraph" w:styleId="Heading4">
    <w:name w:val="heading 4"/>
    <w:basedOn w:val="Normal"/>
    <w:next w:val="Normal"/>
    <w:link w:val="Heading4Char"/>
    <w:unhideWhenUsed/>
    <w:qFormat/>
    <w:rsid w:val="009C17EC"/>
    <w:pPr>
      <w:keepNext/>
      <w:keepLines/>
      <w:spacing w:before="200"/>
      <w:outlineLvl w:val="3"/>
    </w:pPr>
    <w:rPr>
      <w:b/>
      <w:bCs/>
      <w:i/>
      <w:iCs/>
      <w:color w:val="4F81BD"/>
    </w:rPr>
  </w:style>
  <w:style w:type="paragraph" w:styleId="Heading5">
    <w:name w:val="heading 5"/>
    <w:basedOn w:val="Normal"/>
    <w:next w:val="Normal"/>
    <w:link w:val="Heading5Char"/>
    <w:unhideWhenUsed/>
    <w:qFormat/>
    <w:rsid w:val="009C17EC"/>
    <w:pPr>
      <w:keepNext/>
      <w:keepLines/>
      <w:spacing w:before="200"/>
      <w:outlineLvl w:val="4"/>
    </w:pPr>
    <w:rPr>
      <w:color w:val="243F60"/>
    </w:rPr>
  </w:style>
  <w:style w:type="paragraph" w:styleId="Heading6">
    <w:name w:val="heading 6"/>
    <w:basedOn w:val="Normal"/>
    <w:next w:val="Normal"/>
    <w:link w:val="Heading6Char"/>
    <w:unhideWhenUsed/>
    <w:qFormat/>
    <w:rsid w:val="009C17EC"/>
    <w:pPr>
      <w:keepNext/>
      <w:keepLines/>
      <w:spacing w:before="200"/>
      <w:outlineLvl w:val="5"/>
    </w:pPr>
    <w:rPr>
      <w:i/>
      <w:iCs/>
      <w:color w:val="243F60"/>
    </w:rPr>
  </w:style>
  <w:style w:type="paragraph" w:styleId="Heading7">
    <w:name w:val="heading 7"/>
    <w:basedOn w:val="Normal"/>
    <w:next w:val="Normal"/>
    <w:link w:val="Heading7Char"/>
    <w:unhideWhenUsed/>
    <w:qFormat/>
    <w:rsid w:val="009C17EC"/>
    <w:pPr>
      <w:keepNext/>
      <w:keepLines/>
      <w:spacing w:before="200"/>
      <w:outlineLvl w:val="6"/>
    </w:pPr>
    <w:rPr>
      <w:i/>
      <w:iCs/>
      <w:color w:val="404040"/>
    </w:rPr>
  </w:style>
  <w:style w:type="paragraph" w:styleId="Heading8">
    <w:name w:val="heading 8"/>
    <w:basedOn w:val="Normal"/>
    <w:next w:val="Normal"/>
    <w:link w:val="Heading8Char"/>
    <w:unhideWhenUsed/>
    <w:qFormat/>
    <w:rsid w:val="009C17EC"/>
    <w:pPr>
      <w:keepNext/>
      <w:keepLines/>
      <w:spacing w:before="200"/>
      <w:outlineLvl w:val="7"/>
    </w:pPr>
    <w:rPr>
      <w:color w:val="404040"/>
      <w:szCs w:val="20"/>
    </w:rPr>
  </w:style>
  <w:style w:type="paragraph" w:styleId="Heading9">
    <w:name w:val="heading 9"/>
    <w:basedOn w:val="Normal"/>
    <w:next w:val="Normal"/>
    <w:link w:val="Heading9Char"/>
    <w:unhideWhenUsed/>
    <w:qFormat/>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3"/>
      </w:numPr>
      <w:bidi w:val="0"/>
    </w:pPr>
    <w:rPr>
      <w:lang w:val="en-US"/>
    </w:rPr>
  </w:style>
  <w:style w:type="paragraph" w:customStyle="1" w:styleId="Roman1GA">
    <w:name w:val="_Roman 1_GA"/>
    <w:basedOn w:val="Bullet1GA"/>
    <w:qFormat/>
    <w:rsid w:val="009C17EC"/>
    <w:pPr>
      <w:numPr>
        <w:numId w:val="4"/>
      </w:numPr>
      <w:tabs>
        <w:tab w:val="clear" w:pos="2310"/>
        <w:tab w:val="left" w:pos="2486"/>
      </w:tabs>
      <w:ind w:left="2486" w:hanging="378"/>
    </w:pPr>
  </w:style>
  <w:style w:type="paragraph" w:customStyle="1" w:styleId="Roman2GA">
    <w:name w:val="_Roman 2_GA"/>
    <w:basedOn w:val="Bullet2GA"/>
    <w:qFormat/>
    <w:rsid w:val="009C17EC"/>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9C17EC"/>
    <w:rPr>
      <w:rFonts w:ascii="Times New Roman" w:eastAsia="PMingLiU" w:hAnsi="Times New Roman" w:cs="Simplified Arabic"/>
      <w:color w:val="404040"/>
      <w:lang w:eastAsia="en-US"/>
    </w:rPr>
  </w:style>
  <w:style w:type="character" w:customStyle="1" w:styleId="Heading9Char">
    <w:name w:val="Heading 9 Char"/>
    <w:link w:val="Heading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link w:val="H1GChar"/>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9C17EC"/>
    <w:rPr>
      <w:i w:val="0"/>
      <w:color w:val="0000FF"/>
      <w:u w:val="none"/>
    </w:rPr>
  </w:style>
  <w:style w:type="paragraph" w:customStyle="1" w:styleId="Bullet1">
    <w:name w:val="Bullet 1"/>
    <w:basedOn w:val="Normal"/>
    <w:qFormat/>
    <w:rsid w:val="009C17EC"/>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7"/>
      </w:numPr>
      <w:spacing w:after="120" w:line="360" w:lineRule="exact"/>
      <w:ind w:right="1264"/>
    </w:pPr>
    <w:rPr>
      <w:kern w:val="14"/>
      <w:szCs w:val="28"/>
    </w:rPr>
  </w:style>
  <w:style w:type="paragraph" w:customStyle="1" w:styleId="Bullet3">
    <w:name w:val="Bullet 3"/>
    <w:basedOn w:val="SingleTxt"/>
    <w:qFormat/>
    <w:rsid w:val="009C17EC"/>
    <w:pPr>
      <w:numPr>
        <w:numId w:val="8"/>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9"/>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11"/>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paragraph" w:customStyle="1" w:styleId="ParNoG">
    <w:name w:val="_ParNo_G"/>
    <w:basedOn w:val="Normal"/>
    <w:qFormat/>
    <w:rsid w:val="00D66135"/>
    <w:pPr>
      <w:numPr>
        <w:numId w:val="12"/>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character" w:customStyle="1" w:styleId="HChGChar">
    <w:name w:val="_ H _Ch_G Char"/>
    <w:link w:val="HChG"/>
    <w:locked/>
    <w:rsid w:val="00D66135"/>
    <w:rPr>
      <w:rFonts w:ascii="Times New Roman" w:eastAsia="PMingLiU" w:hAnsi="Times New Roman" w:cs="Simplified Arabic"/>
      <w:b/>
      <w:sz w:val="28"/>
      <w:lang w:val="en-GB" w:eastAsia="en-US"/>
    </w:rPr>
  </w:style>
  <w:style w:type="character" w:customStyle="1" w:styleId="H1GChar">
    <w:name w:val="_ H_1_G Char"/>
    <w:link w:val="H1G"/>
    <w:locked/>
    <w:rsid w:val="00D66135"/>
    <w:rPr>
      <w:rFonts w:ascii="Times New Roman" w:eastAsia="PMingLiU" w:hAnsi="Times New Roman" w:cs="Simplified Arabic"/>
      <w:b/>
      <w:sz w:val="24"/>
      <w:lang w:val="en-GB" w:eastAsia="en-US"/>
    </w:rPr>
  </w:style>
  <w:style w:type="character" w:customStyle="1" w:styleId="H23GChar">
    <w:name w:val="_ H_2/3_G Char"/>
    <w:link w:val="H23G"/>
    <w:locked/>
    <w:rsid w:val="00D66135"/>
    <w:rPr>
      <w:rFonts w:ascii="Times New Roman" w:eastAsia="PMingLiU" w:hAnsi="Times New Roman" w:cs="Simplified Arabic"/>
      <w:b/>
      <w:lang w:val="en-GB" w:eastAsia="en-US"/>
    </w:rPr>
  </w:style>
  <w:style w:type="character" w:customStyle="1" w:styleId="SingleTxtGCar">
    <w:name w:val="_ Single Txt_G Car"/>
    <w:rsid w:val="00D66135"/>
    <w:rPr>
      <w:rFonts w:ascii="Times New Roman" w:eastAsiaTheme="minorHAnsi" w:hAnsi="Times New Roman" w:cs="Times New Roman"/>
      <w:sz w:val="20"/>
      <w:szCs w:val="20"/>
    </w:rPr>
  </w:style>
  <w:style w:type="character" w:customStyle="1" w:styleId="UnresolvedMention1">
    <w:name w:val="Unresolved Mention1"/>
    <w:basedOn w:val="DefaultParagraphFont"/>
    <w:uiPriority w:val="99"/>
    <w:semiHidden/>
    <w:unhideWhenUsed/>
    <w:rsid w:val="00D661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a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BDI/CO/2/Corr.1" TargetMode="External"/><Relationship Id="rId13" Type="http://schemas.openxmlformats.org/officeDocument/2006/relationships/hyperlink" Target="https://undocs.org/ar/CCPR/C/BDI/CO/2" TargetMode="External"/><Relationship Id="rId18" Type="http://schemas.openxmlformats.org/officeDocument/2006/relationships/hyperlink" Target="https://undocs.org/ar/A/HRC/30/42/Add.1" TargetMode="External"/><Relationship Id="rId3" Type="http://schemas.openxmlformats.org/officeDocument/2006/relationships/hyperlink" Target="https://undocs.org/ar/CCPR/C/BDI/RQ/3" TargetMode="External"/><Relationship Id="rId21" Type="http://schemas.openxmlformats.org/officeDocument/2006/relationships/hyperlink" Target="https://undocs.org/ar/CCPR/C/BDI/CO/2" TargetMode="External"/><Relationship Id="rId7" Type="http://schemas.openxmlformats.org/officeDocument/2006/relationships/hyperlink" Target="https://undocs.org/ar/CCPR/C/BDI/CO/2" TargetMode="External"/><Relationship Id="rId12" Type="http://schemas.openxmlformats.org/officeDocument/2006/relationships/hyperlink" Target="https://undocs.org/ar/CEDAW/C/BDI/CO/5-6" TargetMode="External"/><Relationship Id="rId17" Type="http://schemas.openxmlformats.org/officeDocument/2006/relationships/hyperlink" Target="https://undocs.org/ar/A/HRC/48/60/Add.2" TargetMode="External"/><Relationship Id="rId2" Type="http://schemas.openxmlformats.org/officeDocument/2006/relationships/hyperlink" Target="https://undocs.org/ar/CCPR/C/SR.4003" TargetMode="External"/><Relationship Id="rId16" Type="http://schemas.openxmlformats.org/officeDocument/2006/relationships/hyperlink" Target="https://undocs.org/ar/CEDAW/C/BDI/CO/5-6" TargetMode="External"/><Relationship Id="rId20" Type="http://schemas.openxmlformats.org/officeDocument/2006/relationships/hyperlink" Target="https://undocs.org/ar/CCPR/C/BDI/CO/2/Corr.1" TargetMode="External"/><Relationship Id="rId1" Type="http://schemas.openxmlformats.org/officeDocument/2006/relationships/hyperlink" Target="https://undocs.org/ar/CCPR/C/BDI/3" TargetMode="External"/><Relationship Id="rId6" Type="http://schemas.openxmlformats.org/officeDocument/2006/relationships/hyperlink" Target="https://undocs.org/ar/CCPR/C/BDI/CO/2/Corr.1" TargetMode="External"/><Relationship Id="rId11" Type="http://schemas.openxmlformats.org/officeDocument/2006/relationships/hyperlink" Target="https://undocs.org/ar/CAT/C/BDI/CO/2/Add.1" TargetMode="External"/><Relationship Id="rId5" Type="http://schemas.openxmlformats.org/officeDocument/2006/relationships/hyperlink" Target="https://undocs.org/ar/CCPR/C/BDI/CO/2" TargetMode="External"/><Relationship Id="rId15" Type="http://schemas.openxmlformats.org/officeDocument/2006/relationships/hyperlink" Target="https://undocs.org/ar/CAT/C/BDI/CO/2/Add.1" TargetMode="External"/><Relationship Id="rId10" Type="http://schemas.openxmlformats.org/officeDocument/2006/relationships/hyperlink" Target="https://undocs.org/ar/CCPR/C/BDI/CO/2/Corr.1" TargetMode="External"/><Relationship Id="rId19" Type="http://schemas.openxmlformats.org/officeDocument/2006/relationships/hyperlink" Target="https://undocs.org/ar/CCPR/C/BDI/CO/2" TargetMode="External"/><Relationship Id="rId4" Type="http://schemas.openxmlformats.org/officeDocument/2006/relationships/hyperlink" Target="https://undocs.org/ar/CCPR/C/BDI/Q/3" TargetMode="External"/><Relationship Id="rId9" Type="http://schemas.openxmlformats.org/officeDocument/2006/relationships/hyperlink" Target="https://undocs.org/ar/CCPR/C/BDI/CO/2" TargetMode="External"/><Relationship Id="rId14" Type="http://schemas.openxmlformats.org/officeDocument/2006/relationships/hyperlink" Target="https://undocs.org/ar/CCPR/C/BDI/CO/2/Corr.1" TargetMode="External"/><Relationship Id="rId22" Type="http://schemas.openxmlformats.org/officeDocument/2006/relationships/hyperlink" Target="https://undocs.org/ar/CCPR/C/BDI/CO/2/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14</Pages>
  <Words>5122</Words>
  <Characters>28175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CCPR/C/BDI/CO/3</vt:lpstr>
    </vt:vector>
  </TitlesOfParts>
  <Company>DCM</Company>
  <LinksUpToDate>false</LinksUpToDate>
  <CharactersWithSpaces>33231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CCPR/C/BDI/CO/3</dc:title>
  <dc:subject>GE.2315083(A)</dc:subject>
  <dc:creator>Ihab RIZ - </dc:creator>
  <cp:keywords>GE.(A)</cp:keywords>
  <dc:description>General_x000d_
_x000d_
Arabic_x000d_
English</dc:description>
  <cp:lastModifiedBy>Jamila Chedad</cp:lastModifiedBy>
  <cp:revision>3</cp:revision>
  <cp:lastPrinted>2023-11-14T16:03:00Z</cp:lastPrinted>
  <dcterms:created xsi:type="dcterms:W3CDTF">2023-11-14T16:03:00Z</dcterms:created>
  <dcterms:modified xsi:type="dcterms:W3CDTF">2023-11-14T16:04:00Z</dcterms:modified>
  <cp:category>Finale</cp:category>
</cp:coreProperties>
</file>