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pgNumType w:start="1"/>
          <w:cols w:space="720"/>
          <w:noEndnote/>
          <w:titlePg/>
        </w:sectPr>
      </w:pPr>
      <w:r>
        <w:rPr>
          <w:rStyle w:val="CommentReference"/>
          <w:vanish/>
        </w:rPr>
        <w:commentReference w:id="0"/>
      </w:r>
    </w:p>
    <w:p w:rsidR="00000000" w:rsidRDefault="00000000">
      <w:pPr>
        <w:pStyle w:val="H1"/>
      </w:pPr>
      <w:r>
        <w:t>Comité para la Eliminación de la Discriminación</w:t>
      </w:r>
      <w:r>
        <w:br/>
        <w:t>contra la Mujer</w:t>
      </w:r>
    </w:p>
    <w:p w:rsidR="00000000" w:rsidRDefault="00000000">
      <w:pPr>
        <w:pStyle w:val="H23"/>
      </w:pPr>
      <w:r>
        <w:t>32° período de sesiones</w:t>
      </w:r>
    </w:p>
    <w:p w:rsidR="00000000" w:rsidRDefault="00000000">
      <w:pPr>
        <w:spacing w:line="240" w:lineRule="auto"/>
        <w:rPr>
          <w:sz w:val="12"/>
        </w:rPr>
      </w:pPr>
    </w:p>
    <w:p w:rsidR="00000000" w:rsidRDefault="00000000">
      <w:pPr>
        <w:pStyle w:val="H23"/>
      </w:pPr>
      <w:r>
        <w:t>Acta resumida de la 677ª sesión</w:t>
      </w:r>
    </w:p>
    <w:p w:rsidR="00000000" w:rsidRDefault="00000000">
      <w:r>
        <w:t xml:space="preserve">Celebrada en la Sede, Nueva York, el jueves 20 de enero de 2005, a las 10.00 horas </w:t>
      </w:r>
    </w:p>
    <w:p w:rsidR="00000000" w:rsidRDefault="00000000">
      <w:pPr>
        <w:spacing w:line="120" w:lineRule="exact"/>
        <w:rPr>
          <w:sz w:val="10"/>
        </w:rPr>
      </w:pPr>
    </w:p>
    <w:p w:rsidR="00000000" w:rsidRDefault="00000000">
      <w:pPr>
        <w:tabs>
          <w:tab w:val="right" w:pos="950"/>
          <w:tab w:val="left" w:pos="1267"/>
          <w:tab w:val="right" w:leader="dot" w:pos="8568"/>
        </w:tabs>
        <w:ind w:right="1267"/>
      </w:pPr>
      <w:r>
        <w:rPr>
          <w:i/>
        </w:rPr>
        <w:t>Presidenta:</w:t>
      </w:r>
      <w:r>
        <w:tab/>
        <w:t>Sra. Belmihoub-Zerdani (Vicepresidenta)</w:t>
      </w: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tabs>
          <w:tab w:val="right" w:pos="950"/>
          <w:tab w:val="left" w:pos="1267"/>
          <w:tab w:val="right" w:leader="dot" w:pos="8568"/>
        </w:tabs>
        <w:spacing w:line="120" w:lineRule="exact"/>
        <w:ind w:right="1267"/>
        <w:rPr>
          <w:sz w:val="10"/>
        </w:rPr>
      </w:pPr>
    </w:p>
    <w:p w:rsidR="00000000" w:rsidRDefault="00000000">
      <w:pPr>
        <w:pStyle w:val="HCh"/>
        <w:rPr>
          <w:b w:val="0"/>
        </w:rPr>
      </w:pPr>
      <w:r>
        <w:rPr>
          <w:b w:val="0"/>
        </w:rPr>
        <w:t>Sumario</w:t>
      </w:r>
    </w:p>
    <w:p w:rsidR="00000000" w:rsidRDefault="00000000">
      <w:pPr>
        <w:pStyle w:val="HCh"/>
        <w:spacing w:line="240" w:lineRule="auto"/>
        <w:rPr>
          <w:b w:val="0"/>
          <w:sz w:val="12"/>
        </w:rPr>
      </w:pPr>
    </w:p>
    <w:p w:rsidR="00000000" w:rsidRDefault="00000000">
      <w:pPr>
        <w:pStyle w:val="SingleTxt"/>
        <w:suppressAutoHyphens/>
        <w:jc w:val="left"/>
      </w:pPr>
      <w:r>
        <w:t>Examen de los informes presentados por los Estados Partes de conformidad con el artículo 18 de la Convención (</w:t>
      </w:r>
      <w:r>
        <w:rPr>
          <w:i/>
        </w:rPr>
        <w:t>continuación</w:t>
      </w:r>
      <w:r>
        <w:t>)</w:t>
      </w:r>
    </w:p>
    <w:p w:rsidR="00000000" w:rsidRDefault="00000000">
      <w:pPr>
        <w:pStyle w:val="SingleTxt"/>
        <w:suppressAutoHyphens/>
        <w:jc w:val="left"/>
        <w:rPr>
          <w:i/>
        </w:rPr>
      </w:pPr>
      <w:r>
        <w:tab/>
      </w:r>
      <w:r>
        <w:rPr>
          <w:i/>
        </w:rPr>
        <w:t>Informes periódicos cuarto y quinto combinados de Turquía</w:t>
      </w:r>
    </w:p>
    <w:p w:rsidR="00000000" w:rsidRDefault="00000000">
      <w:pPr>
        <w:tabs>
          <w:tab w:val="left" w:pos="475"/>
          <w:tab w:val="left" w:pos="965"/>
          <w:tab w:val="left" w:pos="1440"/>
          <w:tab w:val="left" w:pos="1915"/>
          <w:tab w:val="left" w:pos="2405"/>
          <w:tab w:val="left" w:pos="2880"/>
          <w:tab w:val="left" w:pos="3355"/>
        </w:tabs>
        <w:spacing w:line="240" w:lineRule="auto"/>
        <w:rPr>
          <w:sz w:val="2"/>
        </w:rPr>
        <w:sectPr w:rsidR="00000000">
          <w:endnotePr>
            <w:numFmt w:val="decimal"/>
          </w:endnotePr>
          <w:type w:val="continuous"/>
          <w:pgSz w:w="12240" w:h="15840" w:code="1"/>
          <w:pgMar w:top="1742" w:right="1195" w:bottom="1898" w:left="1195" w:header="576" w:footer="1030" w:gutter="0"/>
          <w:pgNumType w:start="1"/>
          <w:cols w:space="720"/>
          <w:noEndnote/>
        </w:sectPr>
      </w:pPr>
      <w:r>
        <w:br w:type="page"/>
      </w:r>
    </w:p>
    <w:p w:rsidR="00000000" w:rsidRDefault="00000000">
      <w:pPr>
        <w:pStyle w:val="H4"/>
        <w:tabs>
          <w:tab w:val="left" w:pos="475"/>
          <w:tab w:val="left" w:pos="965"/>
          <w:tab w:val="left" w:pos="1440"/>
          <w:tab w:val="left" w:pos="1915"/>
          <w:tab w:val="left" w:pos="2405"/>
          <w:tab w:val="left" w:pos="2880"/>
          <w:tab w:val="left" w:pos="3355"/>
        </w:tabs>
      </w:pPr>
      <w:r>
        <w:t>En ausencia de la Sra. Manalo, la Sr. Belmihoub-Zerdani, Vicepresidenta, ocupa la Presidencia.</w:t>
      </w:r>
    </w:p>
    <w:p w:rsidR="00000000" w:rsidRDefault="00000000">
      <w:pPr>
        <w:spacing w:line="120" w:lineRule="exact"/>
        <w:jc w:val="both"/>
        <w:rPr>
          <w:i/>
          <w:sz w:val="10"/>
        </w:rPr>
      </w:pPr>
    </w:p>
    <w:p w:rsidR="00000000" w:rsidRDefault="00000000">
      <w:pPr>
        <w:spacing w:line="120" w:lineRule="exact"/>
        <w:jc w:val="both"/>
        <w:rPr>
          <w:i/>
          <w:sz w:val="10"/>
        </w:rPr>
      </w:pPr>
    </w:p>
    <w:p w:rsidR="00000000" w:rsidRDefault="00000000">
      <w:pPr>
        <w:pStyle w:val="H4"/>
        <w:tabs>
          <w:tab w:val="left" w:pos="475"/>
          <w:tab w:val="left" w:pos="965"/>
          <w:tab w:val="left" w:pos="1440"/>
          <w:tab w:val="left" w:pos="1915"/>
          <w:tab w:val="left" w:pos="2405"/>
          <w:tab w:val="left" w:pos="2880"/>
          <w:tab w:val="left" w:pos="3355"/>
        </w:tabs>
        <w:ind w:left="475" w:hanging="475"/>
      </w:pPr>
      <w:r>
        <w:t>Se declara abierta la sesión a las 10.10 horas.</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de conformidad con el artículo 18 de la Convención </w:t>
      </w:r>
      <w:r>
        <w:rPr>
          <w:b w:val="0"/>
        </w:rPr>
        <w:t>(</w:t>
      </w:r>
      <w:r>
        <w:rPr>
          <w:b w:val="0"/>
          <w:i/>
        </w:rPr>
        <w:t>continuación</w:t>
      </w:r>
      <w:r>
        <w:rPr>
          <w:b w:val="0"/>
        </w:rPr>
        <w:t>)</w:t>
      </w:r>
    </w:p>
    <w:p w:rsidR="00000000" w:rsidRDefault="00000000">
      <w:pPr>
        <w:spacing w:line="120" w:lineRule="exact"/>
        <w:jc w:val="both"/>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rPr>
      </w:pPr>
      <w:r>
        <w:tab/>
      </w:r>
      <w:r>
        <w:tab/>
        <w:t xml:space="preserve">Informes periódicos cuarto y quinto combinados de Turquía </w:t>
      </w:r>
      <w:r>
        <w:rPr>
          <w:i w:val="0"/>
        </w:rPr>
        <w:t>(CEDAW/C/TUR/4-5 y Corr.1, CEDAW/PSWG/2005/I /CRP.1/Add.8 y CRP.2/Add.7)</w:t>
      </w:r>
    </w:p>
    <w:p w:rsidR="00000000" w:rsidRDefault="00000000">
      <w:pPr>
        <w:spacing w:line="120" w:lineRule="exact"/>
        <w:jc w:val="both"/>
        <w:rPr>
          <w:sz w:val="10"/>
        </w:rPr>
      </w:pPr>
    </w:p>
    <w:p w:rsidR="00000000" w:rsidRDefault="00000000">
      <w:pPr>
        <w:pStyle w:val="DualTxt"/>
        <w:rPr>
          <w:i/>
        </w:rPr>
      </w:pPr>
      <w:r>
        <w:t>1.</w:t>
      </w:r>
      <w:r>
        <w:tab/>
      </w:r>
      <w:r>
        <w:rPr>
          <w:i/>
        </w:rPr>
        <w:t>Por invitación de la Presidenta, la delegación de Turquía toma asiento a la Mesa del Comité.</w:t>
      </w:r>
    </w:p>
    <w:p w:rsidR="00000000" w:rsidRDefault="00000000">
      <w:pPr>
        <w:pStyle w:val="DualTxt"/>
      </w:pPr>
      <w:r>
        <w:t>2.</w:t>
      </w:r>
      <w:r>
        <w:tab/>
      </w:r>
      <w:r>
        <w:rPr>
          <w:b/>
        </w:rPr>
        <w:t>La Sra.</w:t>
      </w:r>
      <w:r>
        <w:t xml:space="preserve"> </w:t>
      </w:r>
      <w:r>
        <w:rPr>
          <w:b/>
        </w:rPr>
        <w:t>Akşit</w:t>
      </w:r>
      <w:r>
        <w:t xml:space="preserve"> (Turquía) presenta los informes periódicos cuarto y quinto combinados de su país (CEDAW/C/TUR/4-5), preparados con la colaboración de las instituciones públicas competentes, de expertos en los asuntos tratados y de representantes de organ</w:t>
      </w:r>
      <w:r>
        <w:t>i</w:t>
      </w:r>
      <w:r>
        <w:t>zaciones gubernamentales. Al retirar en 1999 todas sus reservas de fondo a la Convención, Turquía demostró su voluntad política de cumplir todas sus obligaciones internacionales respecto del adelanto de la mujer. Ta</w:t>
      </w:r>
      <w:r>
        <w:t>m</w:t>
      </w:r>
      <w:r>
        <w:t>bién se está preparando para retirar su declaración s</w:t>
      </w:r>
      <w:r>
        <w:t>o</w:t>
      </w:r>
      <w:r>
        <w:t>bre el párrafo 1 del artículo 9 de la Convención, relat</w:t>
      </w:r>
      <w:r>
        <w:t>i</w:t>
      </w:r>
      <w:r>
        <w:t>vo a la adquisición de la ciudadanía, y ratificó el Pr</w:t>
      </w:r>
      <w:r>
        <w:t>o</w:t>
      </w:r>
      <w:r>
        <w:t>tocolo Facultativo de la Convención poco después de su aprobación por la Asamblea General.</w:t>
      </w:r>
    </w:p>
    <w:p w:rsidR="00000000" w:rsidRDefault="00000000">
      <w:pPr>
        <w:pStyle w:val="DualTxt"/>
      </w:pPr>
      <w:r>
        <w:t>3.</w:t>
      </w:r>
      <w:r>
        <w:tab/>
        <w:t>En todos los países del mundo, por avanzados que sean, las mujeres están rezagadas respecto de los hombres en muchas esferas, como la educación, la s</w:t>
      </w:r>
      <w:r>
        <w:t>a</w:t>
      </w:r>
      <w:r>
        <w:t>lud y el empleo, y la globalización ha profundizado esas desigualdades. Con el fin de crear un entorno pr</w:t>
      </w:r>
      <w:r>
        <w:t>o</w:t>
      </w:r>
      <w:r>
        <w:t>picio para la plena realización de los derechos de la mujer es necesario adoptar políticas nuevas tanto en el plano nacional como en el internacional. Desde que se presentaron al Comité sus informes periódicos cuarto y quinto combinados en julio de 2003, han ocurrido en Turquía algunas novedades importantes, en particular en la esfera jurídica.</w:t>
      </w:r>
    </w:p>
    <w:p w:rsidR="00000000" w:rsidRDefault="00000000">
      <w:pPr>
        <w:pStyle w:val="DualTxt"/>
      </w:pPr>
      <w:r>
        <w:t>4.</w:t>
      </w:r>
      <w:r>
        <w:tab/>
        <w:t>Las recientes enmiendas de la Constitución con</w:t>
      </w:r>
      <w:r>
        <w:t>s</w:t>
      </w:r>
      <w:r>
        <w:t>tituyen el ejemplo más representativo del cambio de las políticas que afectan a la mujer. Aunque la Constit</w:t>
      </w:r>
      <w:r>
        <w:t>u</w:t>
      </w:r>
      <w:r>
        <w:t xml:space="preserve">ción contenía ya una disposición concreta sobre la igualdad de género, la enmienda de su artículo 10 estipula que incumbe al Estado la responsabilidad no sólo de velar por que no haya discriminación entre </w:t>
      </w:r>
      <w:r>
        <w:rPr>
          <w:spacing w:val="2"/>
        </w:rPr>
        <w:t>hombres y mujeres, sino también de adoptar las medi</w:t>
      </w:r>
      <w:r>
        <w:t>das necesarias para imponer en la práctica la igualdad de derechos y oportunidades para las mujeres en todas las esferas. Una enmienda del artículo 90 de la Constit</w:t>
      </w:r>
      <w:r>
        <w:t>u</w:t>
      </w:r>
      <w:r>
        <w:t>ción dispone que las convenciones internacionales – incluida la Convención sobre la eliminación de todas las formas de discriminación contra la mujer - tienen precedencia sobre cualquier ley nacional.</w:t>
      </w:r>
    </w:p>
    <w:p w:rsidR="00000000" w:rsidRDefault="00000000">
      <w:pPr>
        <w:pStyle w:val="DualTxt"/>
      </w:pPr>
      <w:r>
        <w:t>5.</w:t>
      </w:r>
      <w:r>
        <w:tab/>
        <w:t>Se han introducido modificaciones sustanciales en dos leyes básicas, en particular en los artículos ref</w:t>
      </w:r>
      <w:r>
        <w:t>e</w:t>
      </w:r>
      <w:r>
        <w:t>rentes a las mujeres, y en ese proceso han desempeñ</w:t>
      </w:r>
      <w:r>
        <w:t>a</w:t>
      </w:r>
      <w:r>
        <w:t>do un papel destacado las organizaciones no gubern</w:t>
      </w:r>
      <w:r>
        <w:t>a</w:t>
      </w:r>
      <w:r>
        <w:t>mentales. A raíz de las crecientes críticas formuladas por diversos grupos, entre ellos ONG de mujeres, se introdujeron en 2001 modificaciones importantes del Código Civil, por las que, entre otras medidas, se ab</w:t>
      </w:r>
      <w:r>
        <w:t>o</w:t>
      </w:r>
      <w:r>
        <w:t>lía la atribución al marido de la función de cabeza de familia, se establecía un nuevo régimen conyugal bas</w:t>
      </w:r>
      <w:r>
        <w:t>a</w:t>
      </w:r>
      <w:r>
        <w:t>do en la división equitativa de las propiedades durante el matrimonio, y se creaban los tribunales de la familia. La entrada en vigor en 1998 de la Ley de protección de la familia entrañó el reconocimiento por primera vez en un instrumento jurídico turco del problema de la vi</w:t>
      </w:r>
      <w:r>
        <w:t>o</w:t>
      </w:r>
      <w:r>
        <w:t>lencia doméstica. La Ley estipula que las víctimas u otras personas pueden presentar denuncias contra los autores de los actos de violencia y faculta a los trib</w:t>
      </w:r>
      <w:r>
        <w:t>u</w:t>
      </w:r>
      <w:r>
        <w:t xml:space="preserve">nales para emitir órdenes de protección. Además, se ha impartido a jueces y fiscales capacitación especial para la aplicación adecuada de esas disposiciones. </w:t>
      </w:r>
    </w:p>
    <w:p w:rsidR="00000000" w:rsidRDefault="00000000">
      <w:pPr>
        <w:pStyle w:val="DualTxt"/>
      </w:pPr>
      <w:r>
        <w:t>6.</w:t>
      </w:r>
      <w:r>
        <w:tab/>
        <w:t>El Código Penal modificado, que entrará en vigor en abril de 2005, introducirá importantes conceptos y normas nuevos. En particular, suprime la anterior di</w:t>
      </w:r>
      <w:r>
        <w:t>s</w:t>
      </w:r>
      <w:r>
        <w:t>tinción jurídica entre mujeres y niñas y otorga prior</w:t>
      </w:r>
      <w:r>
        <w:t>i</w:t>
      </w:r>
      <w:r>
        <w:t>dad a la protección de los derechos y libertades de la persona, mientras que en el Código anterior muchos de los delitos cometidos contra mujeres se consideraban delitos contra la sociedad. Por primera vez se definen como delitos la violación dentro del matrimonio y el acoso sexual en el lugar de trabajo, y se castiga sev</w:t>
      </w:r>
      <w:r>
        <w:t>e</w:t>
      </w:r>
      <w:r>
        <w:t>ramente, con penas de hasta cadena perpetua, a los a</w:t>
      </w:r>
      <w:r>
        <w:t>u</w:t>
      </w:r>
      <w:r>
        <w:t>tores de delitos de honor. Los tribunales turcos ya han empezado a imponer esas sentencias, lo que indica que el proceso de reformas ha empezado a sensibilizar a los jueces sobre la cuestión. Además, en su cuadragésimo noveno período de sesiones, la Asamblea General aprobó la resolución 59/165, titulada “Hacia la errad</w:t>
      </w:r>
      <w:r>
        <w:t>i</w:t>
      </w:r>
      <w:r>
        <w:t>cación de los delitos de honor cometidos contra la m</w:t>
      </w:r>
      <w:r>
        <w:t>u</w:t>
      </w:r>
      <w:r>
        <w:t xml:space="preserve">jer”, que patrocinó Turquía. </w:t>
      </w:r>
    </w:p>
    <w:p w:rsidR="00000000" w:rsidRDefault="00000000">
      <w:pPr>
        <w:pStyle w:val="DualTxt"/>
      </w:pPr>
      <w:r>
        <w:t>7.</w:t>
      </w:r>
      <w:r>
        <w:tab/>
        <w:t>Sin embargo, siguen teniendo gran fuerza los v</w:t>
      </w:r>
      <w:r>
        <w:t>a</w:t>
      </w:r>
      <w:r>
        <w:t>lores y las costumbres tradicionales. Para hacerles frente, el Gobierno, en colaboración con el Parlamento, las universidades, los medios de comunicación y las organizaciones de la sociedad civil, está aplicando un programa tendente a modificar las actitudes de la s</w:t>
      </w:r>
      <w:r>
        <w:t>o</w:t>
      </w:r>
      <w:r>
        <w:t>ciedad. Ese programa, que se enmarca en un plan de acción a largo plazo, se ha centrado últimamente en las cuestiones de la violencia doméstica y la violencia contra mujeres y niños. En respuesta a las críticas de la sociedad civil sobre la falta de servicios de apoyo e</w:t>
      </w:r>
      <w:r>
        <w:t>s</w:t>
      </w:r>
      <w:r>
        <w:t>tatales, el Gobierno ha adoptado diversas medidas, e</w:t>
      </w:r>
      <w:r>
        <w:t>n</w:t>
      </w:r>
      <w:r>
        <w:t>tre ellas la reciente promulgación de la Ley de munic</w:t>
      </w:r>
      <w:r>
        <w:t>i</w:t>
      </w:r>
      <w:r>
        <w:t>pios, en virtud de la cual se encomienda a los munic</w:t>
      </w:r>
      <w:r>
        <w:t>i</w:t>
      </w:r>
      <w:r>
        <w:t>pios la responsabilidad de prestar tales servicios. Tu</w:t>
      </w:r>
      <w:r>
        <w:t>r</w:t>
      </w:r>
      <w:r>
        <w:t>quía prosigue sus esfuerzos por combatir la trata de personas. El Código Penal revisado sanciona ese delito con penas severas, y se ha abierto en Estambul un a</w:t>
      </w:r>
      <w:r>
        <w:t>l</w:t>
      </w:r>
      <w:r>
        <w:t xml:space="preserve">bergue para mujeres víctimas de la trata. </w:t>
      </w:r>
    </w:p>
    <w:p w:rsidR="00000000" w:rsidRDefault="00000000">
      <w:pPr>
        <w:pStyle w:val="DualTxt"/>
      </w:pPr>
      <w:r>
        <w:t>8.</w:t>
      </w:r>
      <w:r>
        <w:tab/>
        <w:t>En noviembre de 2004 entró en vigor la Ley de organización de la Dirección General de la Condición y los Problemas de la Mujer, que constituye el mecani</w:t>
      </w:r>
      <w:r>
        <w:t>s</w:t>
      </w:r>
      <w:r>
        <w:t>mo nacional de Turquía para la potenciación del papel y el adelanto de la mujer. La nueva Ley aumentará la eficacia de la Dirección General, que ha venido fu</w:t>
      </w:r>
      <w:r>
        <w:t>n</w:t>
      </w:r>
      <w:r>
        <w:t>cionando durante 10 años sin una base jurídica oficial, y dispone el establecimiento de un Consejo Consultivo sobre la Condición de la Mujer, en el que participan otros órganos públicos, ONG e instituciones de ens</w:t>
      </w:r>
      <w:r>
        <w:t>e</w:t>
      </w:r>
      <w:r>
        <w:t>ñanza superior.</w:t>
      </w:r>
    </w:p>
    <w:p w:rsidR="00000000" w:rsidRDefault="00000000">
      <w:pPr>
        <w:pStyle w:val="DualTxt"/>
      </w:pPr>
      <w:r>
        <w:t>9.</w:t>
      </w:r>
      <w:r>
        <w:tab/>
        <w:t>Turquía está realizando importantes esfuerzos por mejorar los indicadores del nivel de educación de niñas y mujeres. La Ley de enseñanza básica obligatoria ha prolongado de cinco a ocho años la duración de la ed</w:t>
      </w:r>
      <w:r>
        <w:t>u</w:t>
      </w:r>
      <w:r>
        <w:t>cación básica. Desde su promulgación en 1997, ha a</w:t>
      </w:r>
      <w:r>
        <w:t>u</w:t>
      </w:r>
      <w:r>
        <w:t>mentado la proporción de niñas matriculadas en la e</w:t>
      </w:r>
      <w:r>
        <w:t>n</w:t>
      </w:r>
      <w:r>
        <w:t>señanza básica, en gran medida como consecuencia de la incorporación de niñas procedentes de zonas rurales, y el número de niñas matriculadas en escuelas medias se ha incrementado en un 134 %. En colaboración con organizaciones internacionales, ONG y entidades pr</w:t>
      </w:r>
      <w:r>
        <w:t>i</w:t>
      </w:r>
      <w:r>
        <w:t>vadas, se han puesto en marcha diversos proyectos con el objetivo de lograr para 2010 una tasa de escolariz</w:t>
      </w:r>
      <w:r>
        <w:t>a</w:t>
      </w:r>
      <w:r>
        <w:t>ción del 100%. En el contexto de la asistencia econ</w:t>
      </w:r>
      <w:r>
        <w:t>ó</w:t>
      </w:r>
      <w:r>
        <w:t>mica para la educación de los niños de familias pobres, se ha aplicado una medida especial en virtud de la cual el nivel de asistencia proporcionado es mayor para las niñas que para los niños. Turquía se esfuerza también por mejorar la calidad de la enseñanza no académica y ampliar su contenido, y se imparten cursos para mej</w:t>
      </w:r>
      <w:r>
        <w:t>o</w:t>
      </w:r>
      <w:r>
        <w:t>rar el nivel de alfabetización de las mujeres. Entre 1995 y 2005, el número de mujeres matriculadas en instituciones de enseñanza superior aumentó en un 91%, mientras que el número de varones lo hizo en un 66%. Últimamente se están adoptando medidas para eliminar de los materiales de enseñanza los elementos que puedan propiciar la discrimin</w:t>
      </w:r>
      <w:r>
        <w:t>a</w:t>
      </w:r>
      <w:r>
        <w:t>ción de género.</w:t>
      </w:r>
    </w:p>
    <w:p w:rsidR="00000000" w:rsidRDefault="00000000">
      <w:pPr>
        <w:pStyle w:val="DualTxt"/>
      </w:pPr>
      <w:r>
        <w:t>10.</w:t>
      </w:r>
      <w:r>
        <w:tab/>
        <w:t>El Código de Trabajo revisado prohíbe toda fo</w:t>
      </w:r>
      <w:r>
        <w:t>r</w:t>
      </w:r>
      <w:r>
        <w:t>ma de discriminación en la relación entre empleador y empleado. Por primera vez se han incluido disposici</w:t>
      </w:r>
      <w:r>
        <w:t>o</w:t>
      </w:r>
      <w:r>
        <w:t>nes relativas al acoso sexual en el lugar de trabajo y al empleo a tiempo parcial, y se ha aumentado la duración de la licencia con sueldo por maternidad. También se ha distribuido una circular del Gobierno tendente a prevenir y eliminar la discriminación. A pesar de esas medidas, sin embargo, persiste la subordinación de la mujer, y la participación femenina en la población a</w:t>
      </w:r>
      <w:r>
        <w:t>c</w:t>
      </w:r>
      <w:r>
        <w:t>tiva está disminuyendo como resultado de la migración de mujeres de zonas rurales a zonas urbanas y su co</w:t>
      </w:r>
      <w:r>
        <w:t>n</w:t>
      </w:r>
      <w:r>
        <w:t>siguiente paso del sector agropecuario al sector no e</w:t>
      </w:r>
      <w:r>
        <w:t>s</w:t>
      </w:r>
      <w:r>
        <w:t>tructurado. Su Gobierno está elaborando políticas te</w:t>
      </w:r>
      <w:r>
        <w:t>n</w:t>
      </w:r>
      <w:r>
        <w:t>dentes a promover la incorporación de la mujer a la fuerza de trabajo, que se acelerará probablemente durante el proceso de adhesión de Turquía a la Unión Europea.</w:t>
      </w:r>
    </w:p>
    <w:p w:rsidR="00000000" w:rsidRDefault="00000000">
      <w:pPr>
        <w:pStyle w:val="DualTxt"/>
      </w:pPr>
      <w:r>
        <w:t>11.</w:t>
      </w:r>
      <w:r>
        <w:tab/>
        <w:t>El nivel de participación de las mujeres en los procesos de adopción de decisiones es a todas luces i</w:t>
      </w:r>
      <w:r>
        <w:t>n</w:t>
      </w:r>
      <w:r>
        <w:t>satisfactorio. Aunque algunas mujeres han ocupado cargos ministeriales, la participación de mujeres en los órganos representativos es muy inferior a la de ho</w:t>
      </w:r>
      <w:r>
        <w:t>m</w:t>
      </w:r>
      <w:r>
        <w:t>bres. Sólo son mujeres un 4,4% de los representantes parlamentarios, y en las elecciones locales de 2004 sólo fueron elegidas 18 mujeres como alcaldesas, sobre un total de 3.000 municipios. No obstante, se observa entre las mujeres una clara voluntad de participación en la actividad política, y recientes encuestas indican que la opinión pública está a favor de esa participación. Además, las mujeres ocupan un lugar prominente en la enseñanza superior, y diversas mujeres turcas han oc</w:t>
      </w:r>
      <w:r>
        <w:t>u</w:t>
      </w:r>
      <w:r>
        <w:t>pado puestos de responsabilidad en organismos de las Naciones Unidas.</w:t>
      </w:r>
    </w:p>
    <w:p w:rsidR="00000000" w:rsidRDefault="00000000">
      <w:pPr>
        <w:pStyle w:val="DualTxt"/>
      </w:pPr>
      <w:r>
        <w:t>12.</w:t>
      </w:r>
      <w:r>
        <w:tab/>
        <w:t>Respecto de la salud de la mujer, la oradora de</w:t>
      </w:r>
      <w:r>
        <w:t>s</w:t>
      </w:r>
      <w:r>
        <w:t>taca que está aumentando la esperanza de vida media de las mujeres, así como la edad a la que contraen m</w:t>
      </w:r>
      <w:r>
        <w:t>a</w:t>
      </w:r>
      <w:r>
        <w:t>trimonio y la tasa de utilización de métodos eficaces de planificación de la familia y de servicios prenatales y postnatales, al tiempo que disminuye la tasa de f</w:t>
      </w:r>
      <w:r>
        <w:t>e</w:t>
      </w:r>
      <w:r>
        <w:t>cundidad. Se está procurando tener en cuenta en la pl</w:t>
      </w:r>
      <w:r>
        <w:t>a</w:t>
      </w:r>
      <w:r>
        <w:t xml:space="preserve">nificación y prestación de servicios las persistentes </w:t>
      </w:r>
      <w:r>
        <w:rPr>
          <w:spacing w:val="6"/>
        </w:rPr>
        <w:t xml:space="preserve">disparidades regionales que registran esos diversos </w:t>
      </w:r>
      <w:r>
        <w:t>indicadores. Varios proyectos gubernamentales dirig</w:t>
      </w:r>
      <w:r>
        <w:t>i</w:t>
      </w:r>
      <w:r>
        <w:t>dos a los medios de comunicación locales y nacionales tienen por objeto eliminar actitudes y enfoques que puedan propiciar desigualdades de género. Turquía ha adoptado diversas medidas importantes para resolver los problemas que señaló en sus informes periódicos segundo y tercero combinados (CEDAW/C/TUR/2-3), presentados en 1997. Se han logrado importantes ava</w:t>
      </w:r>
      <w:r>
        <w:t>n</w:t>
      </w:r>
      <w:r>
        <w:t>ces en el terreno legislativo, pero la principal tarea que se plantea en el futuro es la de conseguir la aplicación efectiva de la legislación.</w:t>
      </w:r>
    </w:p>
    <w:p w:rsidR="00000000" w:rsidRDefault="00000000">
      <w:pPr>
        <w:pStyle w:val="DualTxt"/>
      </w:pPr>
      <w:r>
        <w:t>13.</w:t>
      </w:r>
      <w:r>
        <w:tab/>
      </w:r>
      <w:r>
        <w:rPr>
          <w:b/>
        </w:rPr>
        <w:t>La Sra. Tavares da Silva</w:t>
      </w:r>
      <w:r>
        <w:t xml:space="preserve"> dice que el Comité d</w:t>
      </w:r>
      <w:r>
        <w:t>e</w:t>
      </w:r>
      <w:r>
        <w:t>sea saber si en el nuevo Código Penal se tratan las muertes por cuestiones de honor de conformidad con su definición internacional habitual, es decir, como d</w:t>
      </w:r>
      <w:r>
        <w:t>e</w:t>
      </w:r>
      <w:r>
        <w:t>litos que constituyen una flagrante violación del der</w:t>
      </w:r>
      <w:r>
        <w:t>e</w:t>
      </w:r>
      <w:r>
        <w:t>cho a la vida y que, por consiguiente, no pueden just</w:t>
      </w:r>
      <w:r>
        <w:t>i</w:t>
      </w:r>
      <w:r>
        <w:t>ficarse en modo alguno en aras de las costumbres y tradiciones. En cuanto al régimen patrimonial conte</w:t>
      </w:r>
      <w:r>
        <w:t>m</w:t>
      </w:r>
      <w:r>
        <w:t>plado en el nuevo Código Civil, señala que el recon</w:t>
      </w:r>
      <w:r>
        <w:t>o</w:t>
      </w:r>
      <w:r>
        <w:t>cimiento de la igualdad de los cónyuges y de la aport</w:t>
      </w:r>
      <w:r>
        <w:t>a</w:t>
      </w:r>
      <w:r>
        <w:t>ción de las mujeres en trabajo no remunerado constit</w:t>
      </w:r>
      <w:r>
        <w:t>u</w:t>
      </w:r>
      <w:r>
        <w:t>ye un cambio importante, pero pregunta por qué no se aplican las nuevas disposiciones a los millones de m</w:t>
      </w:r>
      <w:r>
        <w:t>u</w:t>
      </w:r>
      <w:r>
        <w:t>jeres ya casadas. Respecto de la cuestión de la prohib</w:t>
      </w:r>
      <w:r>
        <w:t>i</w:t>
      </w:r>
      <w:r>
        <w:t>ción del pañuelo, pide que se aclare si la nueva ley no constituye otra forma de opresión. El Comité desea s</w:t>
      </w:r>
      <w:r>
        <w:t>a</w:t>
      </w:r>
      <w:r>
        <w:t>ber cuántas mujeres han sido excluidas de escuelas, universidades o empleos como consecuencia de esa prohibición.</w:t>
      </w:r>
    </w:p>
    <w:p w:rsidR="00000000" w:rsidRDefault="00000000">
      <w:pPr>
        <w:pStyle w:val="DualTxt"/>
      </w:pPr>
      <w:r>
        <w:t>14.</w:t>
      </w:r>
      <w:r>
        <w:tab/>
      </w:r>
      <w:r>
        <w:rPr>
          <w:b/>
        </w:rPr>
        <w:t>La Sra. Simms</w:t>
      </w:r>
      <w:r>
        <w:t>, refiriéndose a las disposiciones del nuevo Código Penal que castigan las relaciones s</w:t>
      </w:r>
      <w:r>
        <w:t>e</w:t>
      </w:r>
      <w:r>
        <w:t>xuales entre menores de 15 años, pregunta si no vuln</w:t>
      </w:r>
      <w:r>
        <w:t>e</w:t>
      </w:r>
      <w:r>
        <w:t>ran tanto la Convención sobre la eliminación de todas las formas de discriminación contra la mujer como la Convención sobre los Derechos del Niño. En tal caso, el Gobierno debería indicar cómo se propone subsanar ese problema. En cuanto a la cuestión de las pruebas de virginidad y los exámenes genitales, el Estado info</w:t>
      </w:r>
      <w:r>
        <w:t>r</w:t>
      </w:r>
      <w:r>
        <w:t>mante debe indicar si esas prácticas se condicionan al consentimiento de la mujer, y si también los hombres se someten a pruebas de virginidad.</w:t>
      </w:r>
    </w:p>
    <w:p w:rsidR="00000000" w:rsidRDefault="00000000">
      <w:pPr>
        <w:pStyle w:val="DualTxt"/>
      </w:pPr>
      <w:r>
        <w:t>15.</w:t>
      </w:r>
      <w:r>
        <w:tab/>
      </w:r>
      <w:r>
        <w:rPr>
          <w:b/>
        </w:rPr>
        <w:t>La Sra. Schöpp-Schilling</w:t>
      </w:r>
      <w:r>
        <w:t xml:space="preserve"> dice que se propone centrarse en la cuestión de las medidas especiales de carácter temporal, que el Comité considera el instr</w:t>
      </w:r>
      <w:r>
        <w:t>u</w:t>
      </w:r>
      <w:r>
        <w:t>mento más adecuado para acelerar el logro de la igua</w:t>
      </w:r>
      <w:r>
        <w:t>l</w:t>
      </w:r>
      <w:r>
        <w:t>dad de género. A ese respecto, valora positivamente la modificación por Turquía de los artículos 10 y 90 de la Constitución, que podría conducir a la aplicación urgente e inmediata de tales medidas, por ejemplo en las esferas de la educación, el empleo y la actividad política. No obstante, es de lamentar que el Parlamento turco no haya aprobado la enmienda originaria del art</w:t>
      </w:r>
      <w:r>
        <w:t>í</w:t>
      </w:r>
      <w:r>
        <w:t>culo 10, en la que se mencionaban explícitamente las medidas especiales de carácter temporal. Otro motivo de inquietud para el Comité es el mantenimiento en el artículo 10 de otra disposición por la que se prohíbe todo privilegio. A ese respecto, la oradora pregunta si esta disposición no dificultará la aplicación de medidas especiales de carácter temporal, y si el Estado info</w:t>
      </w:r>
      <w:r>
        <w:t>r</w:t>
      </w:r>
      <w:r>
        <w:t>mante estudiará la posibilidad de modificar la reda</w:t>
      </w:r>
      <w:r>
        <w:t>c</w:t>
      </w:r>
      <w:r>
        <w:t xml:space="preserve">ción para clarificar la aplicación de las medidas. </w:t>
      </w:r>
    </w:p>
    <w:p w:rsidR="00000000" w:rsidRDefault="00000000">
      <w:pPr>
        <w:pStyle w:val="DualTxt"/>
      </w:pPr>
      <w:r>
        <w:t>16.</w:t>
      </w:r>
      <w:r>
        <w:tab/>
        <w:t>Se pide información adicional sobre la Ley de municipios, que dispone que los municipios con más de 50.000 habitantes han de contar con albergues para m</w:t>
      </w:r>
      <w:r>
        <w:t>u</w:t>
      </w:r>
      <w:r>
        <w:t>jeres maltratadas, así como sobre los mecanismos de vigilancia que se hayan establecido para supervisar la aplicación de la Ley en cuanto a la calidad y al n</w:t>
      </w:r>
      <w:r>
        <w:t>ú</w:t>
      </w:r>
      <w:r>
        <w:t>mero de tales albergues, teniendo en cuenta tanto la exp</w:t>
      </w:r>
      <w:r>
        <w:t>e</w:t>
      </w:r>
      <w:r>
        <w:t>riencia acumulada por las organizaciones no gubern</w:t>
      </w:r>
      <w:r>
        <w:t>a</w:t>
      </w:r>
      <w:r>
        <w:t>mentales que los gestionan como las investigaciones académicas realizadas sobre las características espec</w:t>
      </w:r>
      <w:r>
        <w:t>í</w:t>
      </w:r>
      <w:r>
        <w:t>ficas de la violencia contra la mujer. Por último, el E</w:t>
      </w:r>
      <w:r>
        <w:t>s</w:t>
      </w:r>
      <w:r>
        <w:t>tado informante debería facilitar cifras sobre el aume</w:t>
      </w:r>
      <w:r>
        <w:t>n</w:t>
      </w:r>
      <w:r>
        <w:t>to de los medios de financiación de la Dirección Gen</w:t>
      </w:r>
      <w:r>
        <w:t>e</w:t>
      </w:r>
      <w:r>
        <w:t>ral de la Condición y los Problemas de la Mujer El nombre de la Dirección es en cierto modo negativo: habría sido más apropiado ponerle uno que evocara los derechos y los intereses de la mujer en vez de sus “problemas”.</w:t>
      </w:r>
    </w:p>
    <w:p w:rsidR="00000000" w:rsidRDefault="00000000">
      <w:pPr>
        <w:pStyle w:val="DualTxt"/>
      </w:pPr>
      <w:r>
        <w:t>17.</w:t>
      </w:r>
      <w:r>
        <w:tab/>
      </w:r>
      <w:r>
        <w:rPr>
          <w:b/>
        </w:rPr>
        <w:t>La Sra. Tan</w:t>
      </w:r>
      <w:r>
        <w:t xml:space="preserve"> pide más información sobre el tr</w:t>
      </w:r>
      <w:r>
        <w:t>a</w:t>
      </w:r>
      <w:r>
        <w:t>tamiento de los delitos de honor y las pruebas de virg</w:t>
      </w:r>
      <w:r>
        <w:t>i</w:t>
      </w:r>
      <w:r>
        <w:t>nidad en el nuevo Código Penal. El Estado informante ha señalado en su presentación que, a pesar de que el nuevo Código Penal establece penas severas para los asesinatos en defensa del honor, la persistencia de los valores y las costumbres tradicionales hace imposible eliminar esa práctica a corto plazo. El Estado info</w:t>
      </w:r>
      <w:r>
        <w:t>r</w:t>
      </w:r>
      <w:r>
        <w:t>mante debería estudiar la posibilidad de calificar esos delitos como homicidio con agravantes, a fin de gara</w:t>
      </w:r>
      <w:r>
        <w:t>n</w:t>
      </w:r>
      <w:r>
        <w:t>tizar que se imponga a los autores la pena máxima. De esa manera al Gobierno no dependería de los jueces l</w:t>
      </w:r>
      <w:r>
        <w:t>o</w:t>
      </w:r>
      <w:r>
        <w:t>cales para hacer aplicar la ley. Puesto que las pruebas de virginidad constituyen una práctica discriminatoria, la oradora insta al Estado informante a que derogue o modifique la ley en cuestión. También deberían intr</w:t>
      </w:r>
      <w:r>
        <w:t>o</w:t>
      </w:r>
      <w:r>
        <w:rPr>
          <w:spacing w:val="2"/>
        </w:rPr>
        <w:t>ducirse disposiciones que garanticen que se castigue</w:t>
      </w:r>
      <w:r>
        <w:t xml:space="preserve"> s</w:t>
      </w:r>
      <w:r>
        <w:t>e</w:t>
      </w:r>
      <w:r>
        <w:t>veramente a toda persona que ordene que se practique ese procedimiento sin la autorización por escrito de la mujer.</w:t>
      </w:r>
    </w:p>
    <w:p w:rsidR="00000000" w:rsidRDefault="00000000">
      <w:pPr>
        <w:pStyle w:val="DualTxt"/>
      </w:pPr>
      <w:r>
        <w:t>18.</w:t>
      </w:r>
      <w:r>
        <w:tab/>
      </w:r>
      <w:r>
        <w:rPr>
          <w:b/>
        </w:rPr>
        <w:t>La Sra. Shin</w:t>
      </w:r>
      <w:r>
        <w:t xml:space="preserve"> dice que, en su respuesta a las pr</w:t>
      </w:r>
      <w:r>
        <w:t>e</w:t>
      </w:r>
      <w:r>
        <w:t>guntas del Comité, el Estado informante ha mencion</w:t>
      </w:r>
      <w:r>
        <w:t>a</w:t>
      </w:r>
      <w:r>
        <w:t>do un proyecto de modificación de la Ley de prote</w:t>
      </w:r>
      <w:r>
        <w:t>c</w:t>
      </w:r>
      <w:r>
        <w:t>ción de la familia. Desea saber si el Gobierno está realmente decidido a modificar la Ley y si se está d</w:t>
      </w:r>
      <w:r>
        <w:t>e</w:t>
      </w:r>
      <w:r>
        <w:t>batiendo la posibilidad de incluir en sus disposiciones la protección de los miembros de la familia. Si está en marcha el proceso de modificación de la Ley, conviene que se explique si se abordan en las nuevas disposici</w:t>
      </w:r>
      <w:r>
        <w:t>o</w:t>
      </w:r>
      <w:r>
        <w:t>nes los problemas de la violencia marital, el incesto, los asesinatos en defensa del honor y la violación d</w:t>
      </w:r>
      <w:r>
        <w:t>e</w:t>
      </w:r>
      <w:r>
        <w:t>ntro de la familia. Respecto de la Ley de municipios, el Comité desea saber cómo se propone el Gobierno s</w:t>
      </w:r>
      <w:r>
        <w:t>u</w:t>
      </w:r>
      <w:r>
        <w:t>pervisar la labor realizada por los municipios, puesto que la responsabilidad del funcionamiento de los a</w:t>
      </w:r>
      <w:r>
        <w:t>l</w:t>
      </w:r>
      <w:r>
        <w:t>bergues para mujeres maltratadas corresponde en últ</w:t>
      </w:r>
      <w:r>
        <w:t>i</w:t>
      </w:r>
      <w:r>
        <w:t>ma instancia a las autoridades centrales, y si existen planes para impartir a la policía capacitación perm</w:t>
      </w:r>
      <w:r>
        <w:t>a</w:t>
      </w:r>
      <w:r>
        <w:t>nente y sistemática para actuar correctamente en los casos de violencia doméstica.</w:t>
      </w:r>
    </w:p>
    <w:p w:rsidR="00000000" w:rsidRDefault="00000000">
      <w:pPr>
        <w:pStyle w:val="DualTxt"/>
      </w:pPr>
      <w:r>
        <w:t>19.</w:t>
      </w:r>
      <w:r>
        <w:tab/>
      </w:r>
      <w:r>
        <w:rPr>
          <w:b/>
        </w:rPr>
        <w:t>La Sra. Saiga</w:t>
      </w:r>
      <w:r>
        <w:t xml:space="preserve"> pide más información sobre las funciones del recién establecido Comité Consultivo, y sobre si, por ejemplo, participan en sus procedimientos organizaciones no gubernamentales e instituciones de enseñanza superior. En relación con las oficinas de la Junta Consultiva que han de establecerse en cada Ministerio, el Comité desea saber cuáles son las fu</w:t>
      </w:r>
      <w:r>
        <w:t>n</w:t>
      </w:r>
      <w:r>
        <w:t>ciones de la Junta Consultiva. Respecto de los 14 ce</w:t>
      </w:r>
      <w:r>
        <w:t>n</w:t>
      </w:r>
      <w:r>
        <w:t>tros de información sobre cuestiones de género est</w:t>
      </w:r>
      <w:r>
        <w:t>a</w:t>
      </w:r>
      <w:r>
        <w:t>blecidos en oficinas de la administración pública, la oradora pregunta cuántas de ellas se han asignado a las regiones. Esa cuestión tiene gran importancia, habida cuenta de las grandes diferencias entre las regiones en cuanto a las costumbres tradicionales, la condición de la mujer y otros aspectos. En su respuesta al párrafo 17 de la lista de cuestiones y preguntas (CEDAW/PSWG/2005/I/CRP.2/Add.7), el Estado i</w:t>
      </w:r>
      <w:r>
        <w:t>n</w:t>
      </w:r>
      <w:r>
        <w:t>formante indicó que no se reunían datos desglosados por grupos étnicos porque “la relación entre el Estado y los ciudadanos no se basa en modo alguno en el origen étnico”. Sin embargo, en los censos nacionales debería reunirse esa información, especialmente en relación con el acceso de las mujeres pertenecientes a grupos étnicos a la salud y la educación y otros aspectos co</w:t>
      </w:r>
      <w:r>
        <w:t>n</w:t>
      </w:r>
      <w:r>
        <w:t>templados en la Convención.</w:t>
      </w:r>
    </w:p>
    <w:p w:rsidR="00000000" w:rsidRDefault="00000000">
      <w:pPr>
        <w:pStyle w:val="DualTxt"/>
      </w:pPr>
      <w:r>
        <w:t>20.</w:t>
      </w:r>
      <w:r>
        <w:tab/>
      </w:r>
      <w:r>
        <w:rPr>
          <w:b/>
        </w:rPr>
        <w:t>La Sra. Šimonović</w:t>
      </w:r>
      <w:r>
        <w:t>, refiriéndose a la preparación de los informes combinados, pregunta si se consultó a las organizaciones no gubernamentales, si se obtuvo la aprobación del Gobierno y si los ha examinado la C</w:t>
      </w:r>
      <w:r>
        <w:t>o</w:t>
      </w:r>
      <w:r>
        <w:t>misión Parlamentaria sobre Igualdad de Género que se está estableciendo. En su próximo informe, el Estado informante debería aportar datos sobre el número de mujeres en la judicatura. Por último, pregunta si la Constitución turca o alguna otra ley nacional contienen una definición de la discriminación contra la mujer que corresponda a la definición del artículo 1 de la Co</w:t>
      </w:r>
      <w:r>
        <w:t>n</w:t>
      </w:r>
      <w:r>
        <w:t>vención y que abarque la discriminación directa e ind</w:t>
      </w:r>
      <w:r>
        <w:t>i</w:t>
      </w:r>
      <w:r>
        <w:t>recta en todas las esferas.</w:t>
      </w:r>
    </w:p>
    <w:p w:rsidR="00000000" w:rsidRDefault="00000000">
      <w:pPr>
        <w:pStyle w:val="DualTxt"/>
      </w:pPr>
      <w:r>
        <w:t>21.</w:t>
      </w:r>
      <w:r>
        <w:tab/>
      </w:r>
      <w:r>
        <w:rPr>
          <w:b/>
        </w:rPr>
        <w:t>La Sra. Pimentel</w:t>
      </w:r>
      <w:r>
        <w:t xml:space="preserve"> encomia al Gobierno de Tu</w:t>
      </w:r>
      <w:r>
        <w:t>r</w:t>
      </w:r>
      <w:r>
        <w:t>quía por la Ley de municipios y la descentralización de la gestión de los albergues para mujeres maltratadas. El Comité, sin embargo, desea saber qué medidas concr</w:t>
      </w:r>
      <w:r>
        <w:t>e</w:t>
      </w:r>
      <w:r>
        <w:t>tas se han adoptado para hacer frente a la consider</w:t>
      </w:r>
      <w:r>
        <w:t>a</w:t>
      </w:r>
      <w:r>
        <w:t>ble inestabilidad y a las grandes desigualdades en la situ</w:t>
      </w:r>
      <w:r>
        <w:t>a</w:t>
      </w:r>
      <w:r>
        <w:t>ción financiera de los municipios, y agradecería que se facilitara información adicional sobre la capacitación del personal de esos albergues y los mecanismos pr</w:t>
      </w:r>
      <w:r>
        <w:t>e</w:t>
      </w:r>
      <w:r>
        <w:t>vistos para supervisar su funcionamiento. T</w:t>
      </w:r>
      <w:r>
        <w:t>e</w:t>
      </w:r>
      <w:r>
        <w:t>niendo en cuenta que la representación de mujeres en el Parl</w:t>
      </w:r>
      <w:r>
        <w:t>a</w:t>
      </w:r>
      <w:r>
        <w:t>mento es actualmente del 4,4 por ciento, el Estado i</w:t>
      </w:r>
      <w:r>
        <w:t>n</w:t>
      </w:r>
      <w:r>
        <w:t>formante debería explicar qué se propone hacer para mejorar esa representación en todos los niveles de la vida política, e indicar si se planea introducir cuotas como medida temporal especial, de conformidad con el artículo 4 de la Convención. Por último, debería expl</w:t>
      </w:r>
      <w:r>
        <w:t>i</w:t>
      </w:r>
      <w:r>
        <w:t>car por qué en la Constitución no se reconoce a los kurdos como minoría especial, omisión que a menudo ocasiona dificultades a la población kurda, en partic</w:t>
      </w:r>
      <w:r>
        <w:t>u</w:t>
      </w:r>
      <w:r>
        <w:t>lar a las mujeres.</w:t>
      </w:r>
    </w:p>
    <w:p w:rsidR="00000000" w:rsidRDefault="00000000">
      <w:pPr>
        <w:pStyle w:val="DualTxt"/>
      </w:pPr>
      <w:r>
        <w:t>22.</w:t>
      </w:r>
      <w:r>
        <w:tab/>
      </w:r>
      <w:r>
        <w:rPr>
          <w:b/>
        </w:rPr>
        <w:t>La Sra. Patten</w:t>
      </w:r>
      <w:r>
        <w:t xml:space="preserve"> pregunta qué está haciendo el Gobierno para informar a las mujeres de todas las leyes promulgadas en su favor, habida cuenta de la perce</w:t>
      </w:r>
      <w:r>
        <w:t>p</w:t>
      </w:r>
      <w:r>
        <w:t>ción generalizada de que todas las reformas legislativas forman parte de la estrategia del Estado informante p</w:t>
      </w:r>
      <w:r>
        <w:t>a</w:t>
      </w:r>
      <w:r>
        <w:t>ra ingresar en la Unión Europea. También solicita i</w:t>
      </w:r>
      <w:r>
        <w:t>n</w:t>
      </w:r>
      <w:r>
        <w:t>formación sobre los planes del Gobierno para reforzar sus mecanismos nacionales de aplicación de esas leyes. El Comité desea asimismo saber si se ha impartido c</w:t>
      </w:r>
      <w:r>
        <w:t>a</w:t>
      </w:r>
      <w:r>
        <w:t>pacitación a los jueces, por ejemplo para garantizar que estén familiarizados con la Convención, y en qué m</w:t>
      </w:r>
      <w:r>
        <w:t>e</w:t>
      </w:r>
      <w:r>
        <w:t>dida tienen acceso a la justicia las mujeres de las zonas rurales, y si se ha establecido un sistema de asistencia jurídica para mujeres víctimas de violencia doméstica.</w:t>
      </w:r>
    </w:p>
    <w:p w:rsidR="00000000" w:rsidRDefault="00000000">
      <w:pPr>
        <w:pStyle w:val="DualTxt"/>
      </w:pPr>
      <w:r>
        <w:t>23.</w:t>
      </w:r>
      <w:r>
        <w:tab/>
      </w:r>
      <w:r>
        <w:rPr>
          <w:b/>
        </w:rPr>
        <w:t>La Sra. Cinar</w:t>
      </w:r>
      <w:r>
        <w:t xml:space="preserve"> (Turquía) dice que, en el marco de las reformas del ordenamiento jurídico, se han abolido las disposiciones atenuantes en los casos de delitos de honor o de costumbre. En el actual Código Penal a</w:t>
      </w:r>
      <w:r>
        <w:t>m</w:t>
      </w:r>
      <w:r>
        <w:t>bos delitos son castigados con las penas más severas. Durante el quincuagésimo noveno período de sesiones de la Asamblea General, Turquía patrocinó la resol</w:t>
      </w:r>
      <w:r>
        <w:t>u</w:t>
      </w:r>
      <w:r>
        <w:t>ción 59/179, titulada “Hacia la erradicación de los del</w:t>
      </w:r>
      <w:r>
        <w:t>i</w:t>
      </w:r>
      <w:r>
        <w:t>tos de honor cometidos contra la mujer”, lo que const</w:t>
      </w:r>
      <w:r>
        <w:t>i</w:t>
      </w:r>
      <w:r>
        <w:t>tuye una nueva muestra de su voluntad de erradicar esa práctica. Aunque el nuevo Código Penal no entrará of</w:t>
      </w:r>
      <w:r>
        <w:t>i</w:t>
      </w:r>
      <w:r>
        <w:t>cialmente en vigor hasta abril de 2005, los tribunales han impuesto ya penas severas por esos delitos en dos casos.</w:t>
      </w:r>
    </w:p>
    <w:p w:rsidR="00000000" w:rsidRDefault="00000000">
      <w:pPr>
        <w:pStyle w:val="DualTxt"/>
      </w:pPr>
      <w:r>
        <w:t>24.</w:t>
      </w:r>
      <w:r>
        <w:tab/>
        <w:t>Respondiendo a la pregunta relativa a los bienes matrimoniales, señala que, al entrar en vigor la nueva ley en 2002, se otorgó a las mujeres casadas un mes de plazo para acogerse a sus disposiciones por medio de una declaración ante notario público. Ese procedimie</w:t>
      </w:r>
      <w:r>
        <w:t>n</w:t>
      </w:r>
      <w:r>
        <w:t>to se decidió atendiendo a las sugerencias de d</w:t>
      </w:r>
      <w:r>
        <w:t>i</w:t>
      </w:r>
      <w:r>
        <w:t>versas ONG. No obstante, la aplicación retrospectiva de la ley más allá de cierto límite contravendría los principios generales del derecho. Tanto el Tribunal de Apelación como el Tribunal Constitucional de Turquía se han pronunciado a favor de la prohibición del uso del p</w:t>
      </w:r>
      <w:r>
        <w:t>a</w:t>
      </w:r>
      <w:r>
        <w:t>ñuelo por las mujeres, decisión que ha sido re</w:t>
      </w:r>
      <w:r>
        <w:t>s</w:t>
      </w:r>
      <w:r>
        <w:t>paldada por el Tribunal Europeo de Derechos Humanos con el argumento de que los símbolos religiosos co</w:t>
      </w:r>
      <w:r>
        <w:t>n</w:t>
      </w:r>
      <w:r>
        <w:t>travienen los principios de secularismo y democracia proclam</w:t>
      </w:r>
      <w:r>
        <w:t>a</w:t>
      </w:r>
      <w:r>
        <w:t>dos en la Constitución de Turquía.</w:t>
      </w:r>
    </w:p>
    <w:p w:rsidR="00000000" w:rsidRDefault="00000000">
      <w:pPr>
        <w:pStyle w:val="DualTxt"/>
      </w:pPr>
      <w:r>
        <w:t>25.</w:t>
      </w:r>
      <w:r>
        <w:tab/>
      </w:r>
      <w:r>
        <w:rPr>
          <w:b/>
        </w:rPr>
        <w:t>La Sra. Akşit</w:t>
      </w:r>
      <w:r>
        <w:t xml:space="preserve"> (Turquía) reconoce que la prohib</w:t>
      </w:r>
      <w:r>
        <w:t>i</w:t>
      </w:r>
      <w:r>
        <w:t>ción del uso del pañuelo impide a algunas estudiantes matricularse en la universidad. Las universidades han de adoptar medidas adecuadas y ayudar al Gobierno a resolver el problema. Las disposiciones del Código P</w:t>
      </w:r>
      <w:r>
        <w:t>e</w:t>
      </w:r>
      <w:r>
        <w:t>nal relativas a las relaciones sexuales entre menores tienen por objeto aumentar el grado de protección de éstos en un momento en que están aumentando los e</w:t>
      </w:r>
      <w:r>
        <w:t>m</w:t>
      </w:r>
      <w:r>
        <w:t>barazos de adolescentes fuera del matrimonio, esp</w:t>
      </w:r>
      <w:r>
        <w:t>e</w:t>
      </w:r>
      <w:r>
        <w:t>cialmente en Europa. Es posible que esa disposición tenga que ser modificada en algún momento; mientras tanto, tendrá una influencia determinante la forma en que la interpreten los tribunales superiores. La enmie</w:t>
      </w:r>
      <w:r>
        <w:t>n</w:t>
      </w:r>
      <w:r>
        <w:t>da del artículo 10 de la Constitución es una disposición innovadora, pues muchos países con cuentan con legi</w:t>
      </w:r>
      <w:r>
        <w:t>s</w:t>
      </w:r>
      <w:r>
        <w:t>lación comparable. Además, la enmienda del artículo 90 de la Constitución estipula que, en caso de co</w:t>
      </w:r>
      <w:r>
        <w:t>n</w:t>
      </w:r>
      <w:r>
        <w:t>flicto entre la legislación interna y acuerdos intern</w:t>
      </w:r>
      <w:r>
        <w:t>a</w:t>
      </w:r>
      <w:r>
        <w:t>cionales, tendrán precedencia las disposiciones de éstos, inclu</w:t>
      </w:r>
      <w:r>
        <w:t>i</w:t>
      </w:r>
      <w:r>
        <w:t xml:space="preserve">das las de la Convención. </w:t>
      </w:r>
    </w:p>
    <w:p w:rsidR="00000000" w:rsidRDefault="00000000">
      <w:pPr>
        <w:pStyle w:val="DualTxt"/>
      </w:pPr>
      <w:r>
        <w:t>26.</w:t>
      </w:r>
      <w:r>
        <w:tab/>
        <w:t>La oradora señala que, aunque en el artículo 10 de la Constitución no se menciona explícitamente la discriminación positiva, se asigna al Gobierno la re</w:t>
      </w:r>
      <w:r>
        <w:t>s</w:t>
      </w:r>
      <w:r>
        <w:t>ponsabilidad concreta de garantizar la igualdad entre hombres y mujeres en la práctica.</w:t>
      </w:r>
    </w:p>
    <w:p w:rsidR="00000000" w:rsidRDefault="00000000">
      <w:pPr>
        <w:pStyle w:val="DualTxt"/>
      </w:pPr>
      <w:r>
        <w:t>27.</w:t>
      </w:r>
      <w:r>
        <w:tab/>
      </w:r>
      <w:r>
        <w:rPr>
          <w:b/>
        </w:rPr>
        <w:t>La Sra. Cinar</w:t>
      </w:r>
      <w:r>
        <w:t xml:space="preserve"> (Turquía) dice que el Gobierno, al que incumbe la responsabilidad principal de la prest</w:t>
      </w:r>
      <w:r>
        <w:t>a</w:t>
      </w:r>
      <w:r>
        <w:t>ción de servicios sociales y de guardería, financia y s</w:t>
      </w:r>
      <w:r>
        <w:t>u</w:t>
      </w:r>
      <w:r>
        <w:t>pervisa estrechamente un número reducido de albe</w:t>
      </w:r>
      <w:r>
        <w:t>r</w:t>
      </w:r>
      <w:r>
        <w:t>gues para mujeres maltratadas administrados por los municipios.</w:t>
      </w:r>
    </w:p>
    <w:p w:rsidR="00000000" w:rsidRDefault="00000000">
      <w:pPr>
        <w:pStyle w:val="DualTxt"/>
      </w:pPr>
      <w:r>
        <w:t>28.</w:t>
      </w:r>
      <w:r>
        <w:tab/>
      </w:r>
      <w:r>
        <w:rPr>
          <w:b/>
        </w:rPr>
        <w:t xml:space="preserve">La Sra. Kurnaz </w:t>
      </w:r>
      <w:r>
        <w:t>(Turquía) dice que, en virtud de la nueva legislación auxiliar promulgada como parte del conjunto de reformas legislativas, los consejos m</w:t>
      </w:r>
      <w:r>
        <w:t>u</w:t>
      </w:r>
      <w:r>
        <w:t>nicipales pueden seleccionar y contratar directamente al personal de servicios sociales. Si para prestar serv</w:t>
      </w:r>
      <w:r>
        <w:t>i</w:t>
      </w:r>
      <w:r>
        <w:t>cios a los ciudadanos los municipios necesitan contr</w:t>
      </w:r>
      <w:r>
        <w:t>a</w:t>
      </w:r>
      <w:r>
        <w:t>tar a personas que ya están empleadas, puede acordarse con los empleadores que las personas en cuestión pu</w:t>
      </w:r>
      <w:r>
        <w:t>e</w:t>
      </w:r>
      <w:r>
        <w:t>dan trabajar en dos lugares. Se aportará financiación para la cooperación entre municipios y ONG y grupos de voluntarios en proyectos concretos. También se di</w:t>
      </w:r>
      <w:r>
        <w:t>s</w:t>
      </w:r>
      <w:r>
        <w:t>pone en la legislación que los consejos municipales e</w:t>
      </w:r>
      <w:r>
        <w:t>s</w:t>
      </w:r>
      <w:r>
        <w:t>cuchen las opiniones de los ciudadanos sobre las cue</w:t>
      </w:r>
      <w:r>
        <w:t>s</w:t>
      </w:r>
      <w:r>
        <w:t>tiones. Una vez se haya ultimado el procedimiento para la financiación de los municipios en el marco de la Ley de municipios, el Gobierno publicará un manual sobre la prestación de servicios sociales, en particular a m</w:t>
      </w:r>
      <w:r>
        <w:t>u</w:t>
      </w:r>
      <w:r>
        <w:t>jeres, niños y personas con discapacidad.</w:t>
      </w:r>
    </w:p>
    <w:p w:rsidR="00000000" w:rsidRDefault="00000000">
      <w:pPr>
        <w:pStyle w:val="DualTxt"/>
      </w:pPr>
      <w:r>
        <w:t>29.</w:t>
      </w:r>
      <w:r>
        <w:tab/>
      </w:r>
      <w:r>
        <w:rPr>
          <w:b/>
        </w:rPr>
        <w:t>La Sra. Akşit</w:t>
      </w:r>
      <w:r>
        <w:t xml:space="preserve"> (Turquía) dice que la responsabil</w:t>
      </w:r>
      <w:r>
        <w:t>i</w:t>
      </w:r>
      <w:r>
        <w:t>dad principal de la apertura de albergues para mujeres corresponde al Ministerio de Trabajo y Seguridad S</w:t>
      </w:r>
      <w:r>
        <w:t>o</w:t>
      </w:r>
      <w:r>
        <w:t>cial. Además, los municipios con más de 50.000 hab</w:t>
      </w:r>
      <w:r>
        <w:t>i</w:t>
      </w:r>
      <w:r>
        <w:t>tantes tienen la obligación de abrir albergues para m</w:t>
      </w:r>
      <w:r>
        <w:t>u</w:t>
      </w:r>
      <w:r>
        <w:t>jeres, sin perjuicio de posibles iniciativas del Minist</w:t>
      </w:r>
      <w:r>
        <w:t>e</w:t>
      </w:r>
      <w:r>
        <w:t>rio. El Gobierno central puede intervenir para resolver cualesquiera dificultades que surjan a nivel municipal.</w:t>
      </w:r>
    </w:p>
    <w:p w:rsidR="00000000" w:rsidRDefault="00000000">
      <w:pPr>
        <w:pStyle w:val="DualTxt"/>
      </w:pPr>
      <w:r>
        <w:t>30.</w:t>
      </w:r>
      <w:r>
        <w:tab/>
      </w:r>
      <w:r>
        <w:rPr>
          <w:b/>
        </w:rPr>
        <w:t xml:space="preserve">La Sra. Cinar </w:t>
      </w:r>
      <w:r>
        <w:t>(Turquía) dice que, en virtud de un nuevo artículo del Código Penal de Turquía, sólo un juez o un fiscal puede ordenar la realización de una prueba de virginidad. Los particulares no están facult</w:t>
      </w:r>
      <w:r>
        <w:t>a</w:t>
      </w:r>
      <w:r>
        <w:t>dos para determinara la necesidad de tal prueba. La imposición de la prueba sin autorización de un juez o de un fiscal es un delito punible con una pena de uno a tres años de prisión. Como ya indicó anteriormente, el Código Penar de Turquía no distingue, a efectos de las penas aplicables, entre delitos de honor y delitos de costumbre.</w:t>
      </w:r>
    </w:p>
    <w:p w:rsidR="00000000" w:rsidRDefault="00000000">
      <w:pPr>
        <w:pStyle w:val="DualTxt"/>
      </w:pPr>
      <w:r>
        <w:t>31.</w:t>
      </w:r>
      <w:r>
        <w:tab/>
      </w:r>
      <w:r>
        <w:rPr>
          <w:b/>
        </w:rPr>
        <w:t>La Sra. Akşit</w:t>
      </w:r>
      <w:r>
        <w:t xml:space="preserve"> (Turquía) dice que los esfuerzos de  su país por eliminar los homicidios por motivos de honor o de costumbre se reflejan en la supresión de las circunstancias atenuantes y la imposición de penas s</w:t>
      </w:r>
      <w:r>
        <w:t>e</w:t>
      </w:r>
      <w:r>
        <w:t>veras, de hasta cadena perpetua, prescritas en el Cód</w:t>
      </w:r>
      <w:r>
        <w:t>i</w:t>
      </w:r>
      <w:r>
        <w:t>go Penal. Las mentalidades no se pueden cambiar de la noche a la mañana; la sociedad turca tendrá que ser educada gradualmente. No obstante, el Gobierno e</w:t>
      </w:r>
      <w:r>
        <w:t>s</w:t>
      </w:r>
      <w:r>
        <w:t>tá realizando con éxito esfuerzos sistemáticos en esa dirección.</w:t>
      </w:r>
    </w:p>
    <w:p w:rsidR="00000000" w:rsidRDefault="00000000">
      <w:pPr>
        <w:pStyle w:val="DualTxt"/>
      </w:pPr>
      <w:r>
        <w:t>32.</w:t>
      </w:r>
      <w:r>
        <w:tab/>
      </w:r>
      <w:r>
        <w:rPr>
          <w:b/>
        </w:rPr>
        <w:t>La Sra. Cinar</w:t>
      </w:r>
      <w:r>
        <w:t xml:space="preserve"> (Turquía) señala que las pruebas de virginidad son se pueden practicar sin el consent</w:t>
      </w:r>
      <w:r>
        <w:t>i</w:t>
      </w:r>
      <w:r>
        <w:t>miento de la mujer. La protección descrita por la Sra. Akşit está garantizada en el Código Penal.</w:t>
      </w:r>
    </w:p>
    <w:p w:rsidR="00000000" w:rsidRDefault="00000000">
      <w:pPr>
        <w:pStyle w:val="DualTxt"/>
      </w:pPr>
      <w:r>
        <w:t>33.</w:t>
      </w:r>
      <w:r>
        <w:tab/>
      </w:r>
      <w:r>
        <w:rPr>
          <w:b/>
        </w:rPr>
        <w:t>La Sra. Akşit</w:t>
      </w:r>
      <w:r>
        <w:t xml:space="preserve"> (Turquía) dice que las modific</w:t>
      </w:r>
      <w:r>
        <w:t>a</w:t>
      </w:r>
      <w:r>
        <w:t>ciones más recientes de la Ley de protección de la f</w:t>
      </w:r>
      <w:r>
        <w:t>a</w:t>
      </w:r>
      <w:r>
        <w:t>milia establecen sanciones para los progenitores que pidan que se practiquen pruebas de virginidad a sus hijas sin el consentimiento de éstas, y para los médicos que las examinen. Las mujeres sólo pueden ser oblig</w:t>
      </w:r>
      <w:r>
        <w:t>a</w:t>
      </w:r>
      <w:r>
        <w:t>das a someterse a las pruebas en el marco de una inve</w:t>
      </w:r>
      <w:r>
        <w:t>s</w:t>
      </w:r>
      <w:r>
        <w:t>tigación penal y por decisión de un juez o de un fi</w:t>
      </w:r>
      <w:r>
        <w:t>s</w:t>
      </w:r>
      <w:r>
        <w:t>cal. Los varones turcos no son obligados a someterse a pruebas de virginidad.</w:t>
      </w:r>
    </w:p>
    <w:p w:rsidR="00000000" w:rsidRDefault="00000000">
      <w:pPr>
        <w:pStyle w:val="DualTxt"/>
      </w:pPr>
      <w:r>
        <w:t>34.</w:t>
      </w:r>
      <w:r>
        <w:tab/>
      </w:r>
      <w:r>
        <w:rPr>
          <w:b/>
        </w:rPr>
        <w:t>La Sra. Cinar</w:t>
      </w:r>
      <w:r>
        <w:t xml:space="preserve"> (Turquía) dice que las modific</w:t>
      </w:r>
      <w:r>
        <w:t>a</w:t>
      </w:r>
      <w:r>
        <w:t>ciones propuestas de la Ley de protección de la familia se han presentado a la Oficina del Primer Ministro; al mismo tiempo, dos artículos relativos a la protección de la familia, junto con las modificaciones correspo</w:t>
      </w:r>
      <w:r>
        <w:t>n</w:t>
      </w:r>
      <w:r>
        <w:t>dientes, se incorporarán al nuevo Código Penal que e</w:t>
      </w:r>
      <w:r>
        <w:t>n</w:t>
      </w:r>
      <w:r>
        <w:t>trará en vigor en 2005. Se está revisando asimismo la legislación vigente para determinar las sanciones apl</w:t>
      </w:r>
      <w:r>
        <w:t>i</w:t>
      </w:r>
      <w:r>
        <w:t>cables no sólo a los casos de violencia doméstica entre cónyuges, sino también a los cometidos por o contra otros miembros de la familia. Su Gobierno se toma muy en serio la cuestión de la violencia domést</w:t>
      </w:r>
      <w:r>
        <w:t>i</w:t>
      </w:r>
      <w:r>
        <w:t>ca, por lo que planea realizar una nueva ronda de e</w:t>
      </w:r>
      <w:r>
        <w:t>n</w:t>
      </w:r>
      <w:r>
        <w:t>cuestas al respecto y ha establecido un programa de educación para policías.</w:t>
      </w:r>
    </w:p>
    <w:p w:rsidR="00000000" w:rsidRDefault="00000000">
      <w:pPr>
        <w:pStyle w:val="DualTxt"/>
      </w:pPr>
      <w:r>
        <w:t>35.</w:t>
      </w:r>
      <w:r>
        <w:tab/>
      </w:r>
      <w:r>
        <w:rPr>
          <w:b/>
        </w:rPr>
        <w:t>La Sra. Akşit</w:t>
      </w:r>
      <w:r>
        <w:t xml:space="preserve"> (Turquía) dice que los informes p</w:t>
      </w:r>
      <w:r>
        <w:t>e</w:t>
      </w:r>
      <w:r>
        <w:t>riódicos cuarto y quinto combinados fueron prepar</w:t>
      </w:r>
      <w:r>
        <w:t>a</w:t>
      </w:r>
      <w:r>
        <w:t>dos por académicos y representantes de ONG de muj</w:t>
      </w:r>
      <w:r>
        <w:t>e</w:t>
      </w:r>
      <w:r>
        <w:t>res y otras instituciones públicas. La redacción final se real</w:t>
      </w:r>
      <w:r>
        <w:t>i</w:t>
      </w:r>
      <w:r>
        <w:t>zó en el Ministerio de la oradora sobre la base de un amplio debate público y con aportaciones impo</w:t>
      </w:r>
      <w:r>
        <w:t>r</w:t>
      </w:r>
      <w:r>
        <w:t>tantes de ONG. Los kurdos que viven en Turquía di</w:t>
      </w:r>
      <w:r>
        <w:t>s</w:t>
      </w:r>
      <w:r>
        <w:t>frutan de plena ciudadanía y gozan de tos mismos derechos y ventajas que los turcos. En todas las regiones de Tu</w:t>
      </w:r>
      <w:r>
        <w:t>r</w:t>
      </w:r>
      <w:r>
        <w:t>quía hay grupos que no tienen acceso a una ed</w:t>
      </w:r>
      <w:r>
        <w:t>u</w:t>
      </w:r>
      <w:r>
        <w:t>cación de calidad digna. Las tasas de analfabetismo son esp</w:t>
      </w:r>
      <w:r>
        <w:t>e</w:t>
      </w:r>
      <w:r>
        <w:t>cialmente elevadas en la zona del Mar Negro, e</w:t>
      </w:r>
      <w:r>
        <w:t>n</w:t>
      </w:r>
      <w:r>
        <w:t>tre las mujeres de edad y entre los habitantes de zonas rurales emigrados a Estambul. El objetivo del Gobierno es l</w:t>
      </w:r>
      <w:r>
        <w:t>o</w:t>
      </w:r>
      <w:r>
        <w:t>grar para 2005 una tasa de escolarización del 100% tanto entre las niñas como entre los niños, independie</w:t>
      </w:r>
      <w:r>
        <w:t>n</w:t>
      </w:r>
      <w:r>
        <w:t>temente de su origen étnico.</w:t>
      </w:r>
    </w:p>
    <w:p w:rsidR="00000000" w:rsidRDefault="00000000">
      <w:pPr>
        <w:pStyle w:val="DualTxt"/>
      </w:pPr>
      <w:r>
        <w:t>36.</w:t>
      </w:r>
      <w:r>
        <w:tab/>
      </w:r>
      <w:r>
        <w:rPr>
          <w:b/>
        </w:rPr>
        <w:t>La Sra. Kurnaz</w:t>
      </w:r>
      <w:r>
        <w:t xml:space="preserve"> (Turquía) dice que se han inco</w:t>
      </w:r>
      <w:r>
        <w:t>r</w:t>
      </w:r>
      <w:r>
        <w:t>porado a los planes de estudio de las instituciones de enseñanza cursos especiales sobre derechos humanos, y expertos en la materia imparten programas especiales de capacitación en el tratamiento de víctimas de la vi</w:t>
      </w:r>
      <w:r>
        <w:t>o</w:t>
      </w:r>
      <w:r>
        <w:t>lencia. Además, Turquía está aplicando diversos pr</w:t>
      </w:r>
      <w:r>
        <w:t>o</w:t>
      </w:r>
      <w:r>
        <w:t>yectos de prevención de la violencia, en cooperación con el Consejo de Europa y con diversas organizaci</w:t>
      </w:r>
      <w:r>
        <w:t>o</w:t>
      </w:r>
      <w:r>
        <w:t>nes internacionales.</w:t>
      </w:r>
    </w:p>
    <w:p w:rsidR="00000000" w:rsidRDefault="00000000">
      <w:pPr>
        <w:pStyle w:val="DualTxt"/>
      </w:pPr>
      <w:r>
        <w:t>37.</w:t>
      </w:r>
      <w:r>
        <w:tab/>
        <w:t>Con el fin de facilitar la aplicación de la Ley de protección de la familia, el Ministerio de Justicia ha distribuido folletos en los que se alienta a las víctimas de violencia doméstica a presentar denuncias ante la Fiscalía. En esos folletos se recuerda también que se mantendrán estrictamente confidenciales las identid</w:t>
      </w:r>
      <w:r>
        <w:t>a</w:t>
      </w:r>
      <w:r>
        <w:t>des y direcciones de las víctimas que busquen refugio en los albergues, que no se exige ningún requisito pr</w:t>
      </w:r>
      <w:r>
        <w:t>e</w:t>
      </w:r>
      <w:r>
        <w:t>vio para obtener órdenes de protección de los tribun</w:t>
      </w:r>
      <w:r>
        <w:t>a</w:t>
      </w:r>
      <w:r>
        <w:t>les, y que se procederá judicialmente contra quienes incumplan órdenes de protección. Se están cursando instrucciones a todos los agentes de policía para que comuniquen a las autoridades gubernamentales pert</w:t>
      </w:r>
      <w:r>
        <w:t>i</w:t>
      </w:r>
      <w:r>
        <w:t xml:space="preserve">nentes todos los casos de violencia doméstica, sean o no de su competencia, y se están adoptando medidas para garantizar que en todas las comisarías de policía </w:t>
      </w:r>
      <w:r>
        <w:rPr>
          <w:spacing w:val="2"/>
        </w:rPr>
        <w:t>se imparta formación en materia de violencia domést</w:t>
      </w:r>
      <w:r>
        <w:rPr>
          <w:spacing w:val="2"/>
        </w:rPr>
        <w:t>i</w:t>
      </w:r>
      <w:r>
        <w:t xml:space="preserve">ca. </w:t>
      </w:r>
    </w:p>
    <w:p w:rsidR="00000000" w:rsidRDefault="00000000">
      <w:pPr>
        <w:pStyle w:val="DualTxt"/>
      </w:pPr>
      <w:r>
        <w:t>38.</w:t>
      </w:r>
      <w:r>
        <w:tab/>
      </w:r>
      <w:r>
        <w:rPr>
          <w:b/>
        </w:rPr>
        <w:t>La Sra. Aytac</w:t>
      </w:r>
      <w:r>
        <w:t xml:space="preserve"> (Turquía) dice que la nueva Ley de protección de la familia representa un paso positivo p</w:t>
      </w:r>
      <w:r>
        <w:t>a</w:t>
      </w:r>
      <w:r>
        <w:t>ra atajar el problema de la violencia contra la mujer, que se ejerce principalmente en el seno de la familia. Las medidas preventivas introducidas por la Fiscalía tienen por objeto proteger a las víctimas potenciales. Además de los programas de formación para policías, el Ministerio de Justicia organiza seminarios para ju</w:t>
      </w:r>
      <w:r>
        <w:t>e</w:t>
      </w:r>
      <w:r>
        <w:t>ces y fiscales a fin de estudiar los problemas que se plantean en la aplicación de la Ley de protección de la familia y potenciar el papel de los jueces en la lucha contra la violencia doméstica.</w:t>
      </w:r>
    </w:p>
    <w:p w:rsidR="00000000" w:rsidRDefault="00000000">
      <w:pPr>
        <w:pStyle w:val="DualTxt"/>
      </w:pPr>
      <w:r>
        <w:t>39.</w:t>
      </w:r>
      <w:r>
        <w:tab/>
      </w:r>
      <w:r>
        <w:rPr>
          <w:b/>
        </w:rPr>
        <w:t>La Sra. Akşit</w:t>
      </w:r>
      <w:r>
        <w:t xml:space="preserve"> (Turquía) dice que el Consejo Consultivo para la Condición de la Mujer es un órgano de reciente creación, integrado por representantes del Gobierno, de ONG y de los medios académicos, que tiene por función prestar asesoramiento sobre las estr</w:t>
      </w:r>
      <w:r>
        <w:t>a</w:t>
      </w:r>
      <w:r>
        <w:t>tegias y los proyectos relacionados con la condición de la mujer, con el fin de hacerlos más eficaces. Las un</w:t>
      </w:r>
      <w:r>
        <w:t>i</w:t>
      </w:r>
      <w:r>
        <w:t>dades rurales sobre la condición de la mujer, de las que hay actualmente 14, son establecidas por la Oficina del Gobernador. El propio Consejo Consultivo no cuenta con una unidad rural, y no hay en la legislación ning</w:t>
      </w:r>
      <w:r>
        <w:t>u</w:t>
      </w:r>
      <w:r>
        <w:t>na disposición que las regule. Los informes combin</w:t>
      </w:r>
      <w:r>
        <w:t>a</w:t>
      </w:r>
      <w:r>
        <w:t>dos han sido aprobados extraoficialmente por una c</w:t>
      </w:r>
      <w:r>
        <w:t>o</w:t>
      </w:r>
      <w:r>
        <w:t>misión parlamentaria, pero la oradora manifiesta su certeza de que el Parlamento establecerá en breve una comisión oficial sobre igualdad de género, pues m</w:t>
      </w:r>
      <w:r>
        <w:t>u</w:t>
      </w:r>
      <w:r>
        <w:t>chos partidos apoyan esa iniciativa.</w:t>
      </w:r>
    </w:p>
    <w:p w:rsidR="00000000" w:rsidRDefault="00000000">
      <w:pPr>
        <w:pStyle w:val="DualTxt"/>
      </w:pPr>
      <w:r>
        <w:t>40.</w:t>
      </w:r>
      <w:r>
        <w:tab/>
        <w:t>Respecto del número de mujeres parlamentarias, la oradora reconoce que el 4,4% es una proporción muy baja. De un total de 550 miembros del Parlame</w:t>
      </w:r>
      <w:r>
        <w:t>n</w:t>
      </w:r>
      <w:r>
        <w:t>to, sólo 24 son mujeres. Aunque sería deseable que la cifra fuera mayor, conviene señalar que la participación en la vida pública no se limita a la actividad parlame</w:t>
      </w:r>
      <w:r>
        <w:t>n</w:t>
      </w:r>
      <w:r>
        <w:t>taria. Las mujeres pueden trabajar también en los co</w:t>
      </w:r>
      <w:r>
        <w:t>n</w:t>
      </w:r>
      <w:r>
        <w:t>sejos municipales, en las alcaldías, en los partidos pol</w:t>
      </w:r>
      <w:r>
        <w:t>í</w:t>
      </w:r>
      <w:r>
        <w:t>ticos, etc. Es, pues, injusto referirse únicamente a la c</w:t>
      </w:r>
      <w:r>
        <w:t>i</w:t>
      </w:r>
      <w:r>
        <w:t>fra de participación en el Parlamento. Además, todos los partidos políticos de Turquía están decididos a ale</w:t>
      </w:r>
      <w:r>
        <w:t>n</w:t>
      </w:r>
      <w:r>
        <w:t>tar una mayor participación de la mujer. El Comité ej</w:t>
      </w:r>
      <w:r>
        <w:t>e</w:t>
      </w:r>
      <w:r>
        <w:t>cutivo de su partido, por ejemplo, tiene que incluir un número determinado de mujeres. La oradora cons</w:t>
      </w:r>
      <w:r>
        <w:t>i</w:t>
      </w:r>
      <w:r>
        <w:t>dera que la situación mejorará tras las próximas ele</w:t>
      </w:r>
      <w:r>
        <w:t>c</w:t>
      </w:r>
      <w:r>
        <w:t>ciones, y espera que el Parlamento adopte las medidas neces</w:t>
      </w:r>
      <w:r>
        <w:t>a</w:t>
      </w:r>
      <w:r>
        <w:t>rias en tal sentido. La insinuación de que las diversas reformas legislativas se han realizado para re</w:t>
      </w:r>
      <w:r>
        <w:t>s</w:t>
      </w:r>
      <w:r>
        <w:t>paldar la solicitud de adhesión de Turquía a la Unión Europea constituye una injusticia. El carácter detallado de esas disposiciones demuestra que se trata de reformas g</w:t>
      </w:r>
      <w:r>
        <w:t>e</w:t>
      </w:r>
      <w:r>
        <w:t>nuinas.</w:t>
      </w:r>
    </w:p>
    <w:p w:rsidR="00000000" w:rsidRDefault="00000000">
      <w:pPr>
        <w:pStyle w:val="DualTxt"/>
      </w:pPr>
      <w:r>
        <w:t>41.</w:t>
      </w:r>
      <w:r>
        <w:tab/>
      </w:r>
      <w:r>
        <w:rPr>
          <w:b/>
        </w:rPr>
        <w:t>La Sra. Cinar</w:t>
      </w:r>
      <w:r>
        <w:t xml:space="preserve"> (Turquía) dice que la Convención se ha traducido, por supuesto, al turco, y constituye la base de la labor que se está realizando en esa esfera.</w:t>
      </w:r>
    </w:p>
    <w:p w:rsidR="00000000" w:rsidRDefault="00000000">
      <w:pPr>
        <w:pStyle w:val="DualTxt"/>
      </w:pPr>
      <w:r>
        <w:t>42.</w:t>
      </w:r>
      <w:r>
        <w:tab/>
      </w:r>
      <w:r>
        <w:rPr>
          <w:b/>
        </w:rPr>
        <w:t>La Sra. Morvai</w:t>
      </w:r>
      <w:r>
        <w:t xml:space="preserve"> solicita ulteriores aclaraciones sobre la posición de Turquía en lo que respecta a las </w:t>
      </w:r>
      <w:r>
        <w:rPr>
          <w:spacing w:val="0"/>
        </w:rPr>
        <w:t>minorías étnicas, en particular de la afirmación contenida en su respuesta al párrafo 17 de la lista de cues</w:t>
      </w:r>
      <w:r>
        <w:t>tiones y preguntas (CEDAW/PSWG/2005/I/CRP.2/Add.7) de que reunir datos desglosados por origen étnico se co</w:t>
      </w:r>
      <w:r>
        <w:t>n</w:t>
      </w:r>
      <w:r>
        <w:t>sidera discriminatorio, y de que por “la situación de las mujeres pertenecientes a minorías” se entenderá “la s</w:t>
      </w:r>
      <w:r>
        <w:t>i</w:t>
      </w:r>
      <w:r>
        <w:t>tuación de la mujer en las regiones subdesarrolladas de Turquía”. Las mujeres sufren discriminación en t</w:t>
      </w:r>
      <w:r>
        <w:t>o</w:t>
      </w:r>
      <w:r>
        <w:t>do el mundo por diversas razones, entre las que se cuenta el origen étnico, por lo que es importante un s</w:t>
      </w:r>
      <w:r>
        <w:t>e</w:t>
      </w:r>
      <w:r>
        <w:t>guimiento de las situaciones para observar las tendencias. Se fel</w:t>
      </w:r>
      <w:r>
        <w:t>i</w:t>
      </w:r>
      <w:r>
        <w:t>cita de que la violencia contra la minoría kurda concl</w:t>
      </w:r>
      <w:r>
        <w:t>u</w:t>
      </w:r>
      <w:r>
        <w:t>yera en 1999, pero pregunta si se ha adoptado alguna medida para castigar a los culpables, si se ha propo</w:t>
      </w:r>
      <w:r>
        <w:t>r</w:t>
      </w:r>
      <w:r>
        <w:t>cionado asesoramiento a las víctimas, si han podido r</w:t>
      </w:r>
      <w:r>
        <w:t>e</w:t>
      </w:r>
      <w:r>
        <w:t>gresar a sus hogares las muchas personas desplazadas y, en caso afirmativo, si el Gobierno ha establecido un programa para ayudarlas. Por último, manifiesta sus dudas sobre la finalidad precisa de la prohibición de llevar pañuelo en los lugares públicos y las instituci</w:t>
      </w:r>
      <w:r>
        <w:t>o</w:t>
      </w:r>
      <w:r>
        <w:t>nes de enseñanza, y pregunta si el fin justifica los m</w:t>
      </w:r>
      <w:r>
        <w:t>e</w:t>
      </w:r>
      <w:r>
        <w:t>dios, pues en la práctica se está impidiendo a muchas mujeres acceder a la educación. Se pregunta si ha i</w:t>
      </w:r>
      <w:r>
        <w:t>n</w:t>
      </w:r>
      <w:r>
        <w:t>terpretado mal la observación de Turquía de que han sido las universidades las que han adoptado la d</w:t>
      </w:r>
      <w:r>
        <w:t>e</w:t>
      </w:r>
      <w:r>
        <w:t>cisión de prohibir el uso del pañuelo, pues tenía entendido que estaba prohibido por ley.</w:t>
      </w:r>
    </w:p>
    <w:p w:rsidR="00000000" w:rsidRDefault="00000000">
      <w:pPr>
        <w:pStyle w:val="DualTxt"/>
      </w:pPr>
      <w:r>
        <w:t>43.</w:t>
      </w:r>
      <w:r>
        <w:tab/>
      </w:r>
      <w:r>
        <w:rPr>
          <w:b/>
        </w:rPr>
        <w:t>La Sra. Manalo</w:t>
      </w:r>
      <w:r>
        <w:t xml:space="preserve"> se felicita de la afirmación de Turquía, en su respuesta al párrafo 28 de la lista de cuestiones y preguntas, de que la ley prohíbe a los m</w:t>
      </w:r>
      <w:r>
        <w:t>e</w:t>
      </w:r>
      <w:r>
        <w:t>dios de comunicación promover la discriminación o i</w:t>
      </w:r>
      <w:r>
        <w:t>n</w:t>
      </w:r>
      <w:r>
        <w:t>citar a la violencia contra las mujeres, pero solicita más información sobre el persistente problema de la imagen de la mujer en los medios de comunicación, en partic</w:t>
      </w:r>
      <w:r>
        <w:t>u</w:t>
      </w:r>
      <w:r>
        <w:t>lar en lo que respecta al mantenimiento de los roles tradicionales. Aunque celebra que el Gobierno aliente la igualdad de las minorías, pregunta qué más se está haciendo para resolver el problema de la elevada tasa de analfabetismo entre las mujeres kurdas de las zonas rurales, que, por no hablar turco, difícilmente pueden participar en la vida pública.</w:t>
      </w:r>
    </w:p>
    <w:p w:rsidR="00000000" w:rsidRDefault="00000000">
      <w:pPr>
        <w:pStyle w:val="DualTxt"/>
      </w:pPr>
      <w:r>
        <w:t>44.</w:t>
      </w:r>
      <w:r>
        <w:tab/>
      </w:r>
      <w:r>
        <w:rPr>
          <w:b/>
        </w:rPr>
        <w:t xml:space="preserve">La Sra. Coker-Appiah </w:t>
      </w:r>
      <w:r>
        <w:t>dice que el hecho de que no se reconozca la situación especial de las mujeres kurdas afecta a su acceso a la educación, a la atención de la salud, a información básica sobre sus derechos, etc., y manifiesta su esperanza de que se adopten m</w:t>
      </w:r>
      <w:r>
        <w:t>e</w:t>
      </w:r>
      <w:r>
        <w:t>didas para mitigar ese problema. Aunque la legislación progresista adoptada desde el anterior informe es muy positiva, no podrá alcanzarse la igualdad plena a menos que se actúe contra las prácticas culturales y los est</w:t>
      </w:r>
      <w:r>
        <w:t>e</w:t>
      </w:r>
      <w:r>
        <w:t>reotipos que promueven la sumisión de la mujer. Sol</w:t>
      </w:r>
      <w:r>
        <w:t>i</w:t>
      </w:r>
      <w:r>
        <w:t>cita, pues, información sobre lo que está haciendo el Gobierno para eliminar esas prácticas y estereotipos, que afectan negativamente a los derechos de las muj</w:t>
      </w:r>
      <w:r>
        <w:t>e</w:t>
      </w:r>
      <w:r>
        <w:t>res y a sus posibilidades de aprovechar las nuevas di</w:t>
      </w:r>
      <w:r>
        <w:t>s</w:t>
      </w:r>
      <w:r>
        <w:t>posiciones favorables de la legislación.</w:t>
      </w:r>
    </w:p>
    <w:p w:rsidR="00000000" w:rsidRDefault="00000000">
      <w:pPr>
        <w:pStyle w:val="DualTxt"/>
      </w:pPr>
      <w:r>
        <w:t>45.</w:t>
      </w:r>
      <w:r>
        <w:tab/>
      </w:r>
      <w:r>
        <w:rPr>
          <w:b/>
        </w:rPr>
        <w:t>El Sr. Flinterman</w:t>
      </w:r>
      <w:r>
        <w:t xml:space="preserve"> dice que está de acuerdo en que el artículo 10 de la Constitución, que proclama la igualdad de derechos entre hombres y mujeres y la re</w:t>
      </w:r>
      <w:r>
        <w:t>s</w:t>
      </w:r>
      <w:r>
        <w:t>ponsabilidad del Estado de salvaguardar esos derechos, es en efecto una disposición revolucionaria, pero desea confirmar que ha interpretado correctamente las expl</w:t>
      </w:r>
      <w:r>
        <w:t>i</w:t>
      </w:r>
      <w:r>
        <w:t>caciones aportadas. Entiende que el artículo 10 debe enmarcarse en las obligaciones internacionales de Tu</w:t>
      </w:r>
      <w:r>
        <w:t>r</w:t>
      </w:r>
      <w:r>
        <w:t>quía, entre las que se cuentan las dimanantes de la Convención, en cuyo artículo 4 se dispone —según se precisa ulteriormente en la recomendación general Nº 25— que los Estados partes podrán adoptar medidas especiales de carácter temporal. Por consiguiente, el artículo 10 no debe interpretarse como un impedime</w:t>
      </w:r>
      <w:r>
        <w:t>n</w:t>
      </w:r>
      <w:r>
        <w:t>to, sino como una firme base constitucional para la aplicación de esas medidas, e incluso como la expr</w:t>
      </w:r>
      <w:r>
        <w:t>e</w:t>
      </w:r>
      <w:r>
        <w:t>sión de la obligación de Turquía de adoptar esas med</w:t>
      </w:r>
      <w:r>
        <w:t>i</w:t>
      </w:r>
      <w:r>
        <w:t>das cuando proceda.</w:t>
      </w:r>
    </w:p>
    <w:p w:rsidR="00000000" w:rsidRDefault="00000000">
      <w:pPr>
        <w:pStyle w:val="DualTxt"/>
      </w:pPr>
      <w:r>
        <w:t>46.</w:t>
      </w:r>
      <w:r>
        <w:tab/>
        <w:t>A pesar de las seguridades dadas por Turquía, el orador manifiesta su inquietud por el hecho de que en el nuevo Código Penal se refiera a delitos de costumbre en vez de al término más amplio de delitos de honor. Pregunta si en el memorando explicativo del Código se indica claramente que en la nueva figura jurídica están incluidos los asesinatos en defensa del honor. Pregunta asimismo si en el nuevo Código Penal se prevé todavía que una persona acusada de un asesinato en defensa del honor pueda invocar la circunstancia atenuante de pr</w:t>
      </w:r>
      <w:r>
        <w:t>o</w:t>
      </w:r>
      <w:r>
        <w:t xml:space="preserve">vocación indebida, y en tal caso insta a Turquía a que elimine esa posibilidad. </w:t>
      </w:r>
    </w:p>
    <w:p w:rsidR="00000000" w:rsidRDefault="00000000">
      <w:pPr>
        <w:pStyle w:val="DualTxt"/>
      </w:pPr>
      <w:r>
        <w:t>47.</w:t>
      </w:r>
      <w:r>
        <w:tab/>
      </w:r>
      <w:r>
        <w:rPr>
          <w:b/>
        </w:rPr>
        <w:t>La Sra. Gabr</w:t>
      </w:r>
      <w:r>
        <w:t xml:space="preserve"> dice que desea saber por qué se ha tardado tanto en promulgar la Ley de organización de la Dirección General de la Condición y los Problemas de la Mujer, y, a la luz de la respuesta de Turquía al p</w:t>
      </w:r>
      <w:r>
        <w:t>á</w:t>
      </w:r>
      <w:r>
        <w:t>rrafo 4 de la lista de cuestiones y preguntas en el sent</w:t>
      </w:r>
      <w:r>
        <w:t>i</w:t>
      </w:r>
      <w:r>
        <w:t>do de que la Dirección General no cuenta con organ</w:t>
      </w:r>
      <w:r>
        <w:t>i</w:t>
      </w:r>
      <w:r>
        <w:t>zaciones similares en el plano regional o local, se pr</w:t>
      </w:r>
      <w:r>
        <w:t>e</w:t>
      </w:r>
      <w:r>
        <w:t>gunta cómo puede atender a las cuestiones relacionadas con la situación de la mujer a esos niveles. Solicita asimismo más información sobre la cooperación entre el Gobierno y las ONG en esa esfera. El Estado info</w:t>
      </w:r>
      <w:r>
        <w:t>r</w:t>
      </w:r>
      <w:r>
        <w:t>mante debe explicar a qué regiones se refiere la expr</w:t>
      </w:r>
      <w:r>
        <w:t>e</w:t>
      </w:r>
      <w:r>
        <w:t>sión “regiones subdesarrolladas de Turquía” que se ut</w:t>
      </w:r>
      <w:r>
        <w:t>i</w:t>
      </w:r>
      <w:r>
        <w:t>liza en la respuesta al párrafo 17, cuál es exactamente la situación de la mujer en esas regiones, y qué está haciendo el Gobierno para subsanar las desigualdades en materia de desarrollo económico, de tradici</w:t>
      </w:r>
      <w:r>
        <w:t>o</w:t>
      </w:r>
      <w:r>
        <w:t>nes, de idioma, etc., con el fin de garantizar a esas mujeres el pleno disfrute de sus derechos.</w:t>
      </w:r>
    </w:p>
    <w:p w:rsidR="00000000" w:rsidRDefault="00000000">
      <w:pPr>
        <w:pStyle w:val="DualTxt"/>
      </w:pPr>
      <w:r>
        <w:t>48.</w:t>
      </w:r>
      <w:r>
        <w:tab/>
      </w:r>
      <w:r>
        <w:rPr>
          <w:b/>
        </w:rPr>
        <w:t>La Sra. Gnacadja</w:t>
      </w:r>
      <w:r>
        <w:t xml:space="preserve"> dice que las respuestas apo</w:t>
      </w:r>
      <w:r>
        <w:t>r</w:t>
      </w:r>
      <w:r>
        <w:t>tadas en relación con las pruebas de virginidad no han sido muy convincentes. En la página 10 de los info</w:t>
      </w:r>
      <w:r>
        <w:t>r</w:t>
      </w:r>
      <w:r>
        <w:t>mes combinados se indica que el Ministerio de Justicia ha promulgado una normativa por la que se prohíbe el examen físico de las mujeres por motivos disciplinarios sin su consentimiento o de una forma que les suponga daño o tortura. Sin embargo, en los informes también se señala que en determinadas circunstancias un juez puede ordenar todavía un examen vaginal o anal sin el consentimiento de la mujer, siempre que el auto jud</w:t>
      </w:r>
      <w:r>
        <w:t>i</w:t>
      </w:r>
      <w:r>
        <w:t>cial vaya acompañado de la aprobación por escrito del fiscal. Pregunta si en la práctica la realización de una prueba de virginidad sin el consentimiento de la mujer es punible por ley. Si no lo es, nada ha cambiado en realidad. La oradora no está en absoluto de acuerdo con la observación de que el “examen vaginal o anal” se aplica por igual a hombres y a mujeres. Por último, s</w:t>
      </w:r>
      <w:r>
        <w:t>o</w:t>
      </w:r>
      <w:r>
        <w:t>licita más aclaraciones sobre la tipificación como del</w:t>
      </w:r>
      <w:r>
        <w:t>i</w:t>
      </w:r>
      <w:r>
        <w:t>to de los asesinatos en defensa del honor en la legisl</w:t>
      </w:r>
      <w:r>
        <w:t>a</w:t>
      </w:r>
      <w:r>
        <w:t>ción turca; en su opinión, debe evitarse que esos ases</w:t>
      </w:r>
      <w:r>
        <w:t>i</w:t>
      </w:r>
      <w:r>
        <w:t>natos se diluyan en el concepto más general de del</w:t>
      </w:r>
      <w:r>
        <w:t>i</w:t>
      </w:r>
      <w:r>
        <w:t>tos de costumbre.</w:t>
      </w:r>
    </w:p>
    <w:p w:rsidR="00000000" w:rsidRDefault="00000000">
      <w:pPr>
        <w:pStyle w:val="DualTxt"/>
      </w:pPr>
      <w:r>
        <w:t>49.</w:t>
      </w:r>
      <w:r>
        <w:tab/>
      </w:r>
      <w:r>
        <w:rPr>
          <w:b/>
        </w:rPr>
        <w:t>La Sra. Khan</w:t>
      </w:r>
      <w:r>
        <w:t xml:space="preserve"> dice que desea saber si las defin</w:t>
      </w:r>
      <w:r>
        <w:t>i</w:t>
      </w:r>
      <w:r>
        <w:t>ciones de delitos de honor y de delitos de costumbre son intercambiables. Respecto de las pruebas de virg</w:t>
      </w:r>
      <w:r>
        <w:t>i</w:t>
      </w:r>
      <w:r>
        <w:t>nidad, el artículo 287 del nuevo Código Penal, refere</w:t>
      </w:r>
      <w:r>
        <w:t>n</w:t>
      </w:r>
      <w:r>
        <w:t>te a los exámenes genitales, no prohíbe esas pruebas ni dispone la obligatoriedad del consentimiento de la m</w:t>
      </w:r>
      <w:r>
        <w:t>u</w:t>
      </w:r>
      <w:r>
        <w:t>jer. Pregunta, por consiguiente, si las pruebas de virg</w:t>
      </w:r>
      <w:r>
        <w:t>i</w:t>
      </w:r>
      <w:r>
        <w:t>nidad y los exámenes genitales son la misma cosa y tienen las mismas connotaciones jurídicas. La orad</w:t>
      </w:r>
      <w:r>
        <w:t>o</w:t>
      </w:r>
      <w:r>
        <w:t>ra sabe por observación directa que en las zonas rurales de Turquía muchas mujeres llevan pañuelo, por lo que pregunta cómo se propone el Gobierno integrar a esas mujeres en la sociedad para garantizar que tengan a</w:t>
      </w:r>
      <w:r>
        <w:t>c</w:t>
      </w:r>
      <w:r>
        <w:t>ceso a escuelas y hospitales públicos. En particular, Turquía debe aclarar la relación entre el concepto de secularismo y el artículo 40 de la Constitución, que tr</w:t>
      </w:r>
      <w:r>
        <w:t>a</w:t>
      </w:r>
      <w:r>
        <w:t>ta de los derechos y libertades de la persona. No e</w:t>
      </w:r>
      <w:r>
        <w:t>n</w:t>
      </w:r>
      <w:r>
        <w:t>tiende por qué se prohíbe el pañuelo como símbolo r</w:t>
      </w:r>
      <w:r>
        <w:t>e</w:t>
      </w:r>
      <w:r>
        <w:t>ligioso y se permiten, en cambio, otros símbolos. En su opinión, lo que está en juego es la libertad de elección.</w:t>
      </w:r>
    </w:p>
    <w:p w:rsidR="00000000" w:rsidRDefault="00000000">
      <w:pPr>
        <w:pStyle w:val="DualTxt"/>
      </w:pPr>
      <w:r>
        <w:t>50.</w:t>
      </w:r>
      <w:r>
        <w:tab/>
      </w:r>
      <w:r>
        <w:rPr>
          <w:b/>
        </w:rPr>
        <w:t>La Sra. Ilkin</w:t>
      </w:r>
      <w:r>
        <w:t xml:space="preserve"> (Turquía) dice que desea aclarar la situación de los kurdos que viven en Turquía. Turquía no ha levantado nunca un censo sobre la base del or</w:t>
      </w:r>
      <w:r>
        <w:t>i</w:t>
      </w:r>
      <w:r>
        <w:t>gen étnico, por lo que nadie sabe exactamente cuántos ciudadanos turcos son de origen kurdo. Además, hay en el país 30 grupos étnicos diferentes, lo que dificulta la definición de minorías y mayorías. Además, no tiene constancia de que haya una definición de minoría en el derecho internacional. La parte sudoriental del Turquía es una región subdesarrollada con un clima muy duro, y ninguna de las personas que allí viven, ya sean ku</w:t>
      </w:r>
      <w:r>
        <w:t>r</w:t>
      </w:r>
      <w:r>
        <w:t>dos o de cualquier otro origen, tiene las mismas opo</w:t>
      </w:r>
      <w:r>
        <w:t>r</w:t>
      </w:r>
      <w:r>
        <w:t>tunidades que una persona residente en el oeste del p</w:t>
      </w:r>
      <w:r>
        <w:t>a</w:t>
      </w:r>
      <w:r>
        <w:t xml:space="preserve">ís, que goza de un clima más clemente, de acceso al mar y de una economía y una industria florecientes. </w:t>
      </w:r>
    </w:p>
    <w:p w:rsidR="00000000" w:rsidRDefault="00000000">
      <w:pPr>
        <w:pStyle w:val="DualTxt"/>
      </w:pPr>
      <w:r>
        <w:t>51.</w:t>
      </w:r>
      <w:r>
        <w:tab/>
        <w:t>También es difícil distinguir un grupo minorit</w:t>
      </w:r>
      <w:r>
        <w:t>a</w:t>
      </w:r>
      <w:r>
        <w:t>rio, pues tanto los turcos como los kurdos constituyen proporciones importantes de la población. Aunque es cierto que entre los habitantes del sudeste del país, ya sean kurdos o turcos, se registran tasas consider</w:t>
      </w:r>
      <w:r>
        <w:t>a</w:t>
      </w:r>
      <w:r>
        <w:t>bles de analfabetismo, el Gobierno ha adoptado med</w:t>
      </w:r>
      <w:r>
        <w:t>i</w:t>
      </w:r>
      <w:r>
        <w:t>das para promover el idioma hablado, incluyendo pr</w:t>
      </w:r>
      <w:r>
        <w:t>o</w:t>
      </w:r>
      <w:r>
        <w:t>gramas para la enseñanza del kurdo y posiblemente de otros idiomas en el futuro. Exhorta al Comité a cons</w:t>
      </w:r>
      <w:r>
        <w:t>i</w:t>
      </w:r>
      <w:r>
        <w:t>derar a Turquía como una nación cuya diversidad cu</w:t>
      </w:r>
      <w:r>
        <w:t>l</w:t>
      </w:r>
      <w:r>
        <w:t>tural es una fuente de enriquecimiento, y no una de</w:t>
      </w:r>
      <w:r>
        <w:t>s</w:t>
      </w:r>
      <w:r>
        <w:t>ventaja. Por último, la referencia al fin de la violencia contra los kurdos en 1999 resulta confusa, aunque cabe señalar que ese fue el año del hundimiento del Partido de los Trabajadores Kurdos (PKK) tras la captura de su líder.</w:t>
      </w:r>
    </w:p>
    <w:p w:rsidR="00000000" w:rsidRDefault="00000000">
      <w:pPr>
        <w:pStyle w:val="DualTxt"/>
      </w:pPr>
      <w:r>
        <w:t>52.</w:t>
      </w:r>
      <w:r>
        <w:tab/>
      </w:r>
      <w:r>
        <w:rPr>
          <w:b/>
        </w:rPr>
        <w:t>La Sra. Akşit</w:t>
      </w:r>
      <w:r>
        <w:t xml:space="preserve"> (Turquía) aclara que no ha dicho que en Turquía sea ilegal el uso del pañuelo, que, por el contrario, está muy extendido en el país. La ilegal</w:t>
      </w:r>
      <w:r>
        <w:t>i</w:t>
      </w:r>
      <w:r>
        <w:t>dad dimana de las disposiciones jurídicas generales r</w:t>
      </w:r>
      <w:r>
        <w:t>e</w:t>
      </w:r>
      <w:r>
        <w:t>lativas a la indumentaria adecuada, que disponen esp</w:t>
      </w:r>
      <w:r>
        <w:t>e</w:t>
      </w:r>
      <w:r>
        <w:t>cíficamente que las estudiantes han de llevar la c</w:t>
      </w:r>
      <w:r>
        <w:t>a</w:t>
      </w:r>
      <w:r>
        <w:t>beza descubierta. Las universidades, por otra parte, son e</w:t>
      </w:r>
      <w:r>
        <w:t>n</w:t>
      </w:r>
      <w:r>
        <w:t>tidades independientes y fijan sus propias normas, con el resultado de que algunas mujeres tienen dificu</w:t>
      </w:r>
      <w:r>
        <w:t>l</w:t>
      </w:r>
      <w:r>
        <w:t>tades para asistir a la universidad.</w:t>
      </w:r>
    </w:p>
    <w:p w:rsidR="00000000" w:rsidRDefault="00000000">
      <w:pPr>
        <w:pStyle w:val="DualTxt"/>
      </w:pPr>
      <w:r>
        <w:t>53.</w:t>
      </w:r>
      <w:r>
        <w:tab/>
      </w:r>
      <w:r>
        <w:rPr>
          <w:b/>
        </w:rPr>
        <w:t>La Sra. Cinar</w:t>
      </w:r>
      <w:r>
        <w:t xml:space="preserve"> (Turquía) dice que, aunque ha h</w:t>
      </w:r>
      <w:r>
        <w:t>a</w:t>
      </w:r>
      <w:r>
        <w:rPr>
          <w:spacing w:val="6"/>
        </w:rPr>
        <w:t>bido algunos problemas en relación con la actitud</w:t>
      </w:r>
      <w:r>
        <w:t xml:space="preserve"> de los medios de comunicación hacia la igualdad, el Gobierno está abordando la cuestión, por ejemplo </w:t>
      </w:r>
      <w:r>
        <w:rPr>
          <w:spacing w:val="6"/>
        </w:rPr>
        <w:t>mediante programas de sensibilización sobre la igua</w:t>
      </w:r>
      <w:r>
        <w:rPr>
          <w:spacing w:val="6"/>
        </w:rPr>
        <w:t>l</w:t>
      </w:r>
      <w:r>
        <w:rPr>
          <w:spacing w:val="6"/>
        </w:rPr>
        <w:t>dad de género y la importancia de la imagen. Esos pro</w:t>
      </w:r>
      <w:r>
        <w:t>gramas, que cuentan con la participación de ONG, se </w:t>
      </w:r>
      <w:r>
        <w:rPr>
          <w:spacing w:val="6"/>
        </w:rPr>
        <w:t xml:space="preserve">aplicarán también en el futuro a los medios de </w:t>
      </w:r>
      <w:r>
        <w:t>comunic</w:t>
      </w:r>
      <w:r>
        <w:t>a</w:t>
      </w:r>
      <w:r>
        <w:t>ción.</w:t>
      </w:r>
    </w:p>
    <w:p w:rsidR="00000000" w:rsidRDefault="00000000">
      <w:pPr>
        <w:pStyle w:val="DualTxt"/>
      </w:pPr>
      <w:r>
        <w:t>54.</w:t>
      </w:r>
      <w:r>
        <w:tab/>
      </w:r>
      <w:r>
        <w:rPr>
          <w:b/>
        </w:rPr>
        <w:t>La Sra. Akşit</w:t>
      </w:r>
      <w:r>
        <w:t xml:space="preserve"> (Turquía) aclara que, en su op</w:t>
      </w:r>
      <w:r>
        <w:t>i</w:t>
      </w:r>
      <w:r>
        <w:t>nión, los kurdos no constituyen una minoría. La Co</w:t>
      </w:r>
      <w:r>
        <w:t>n</w:t>
      </w:r>
      <w:r>
        <w:t>vención de Lausanne de 1923 no los reconoce como t</w:t>
      </w:r>
      <w:r>
        <w:t>a</w:t>
      </w:r>
      <w:r>
        <w:t>les, lo que significa que gozan de los mismos der</w:t>
      </w:r>
      <w:r>
        <w:t>e</w:t>
      </w:r>
      <w:r>
        <w:t>chos y ventajas que los demás ciudadanos. Respondiendo a la pregunta sobre las medidas educativas para modif</w:t>
      </w:r>
      <w:r>
        <w:t>i</w:t>
      </w:r>
      <w:r>
        <w:t>car las costumbres, dice que esos cambios no podrán lograrse de la noche a la mañana. Un factor fundame</w:t>
      </w:r>
      <w:r>
        <w:t>n</w:t>
      </w:r>
      <w:r>
        <w:t>tal es la forma en que la sociedad, los medios de c</w:t>
      </w:r>
      <w:r>
        <w:t>o</w:t>
      </w:r>
      <w:r>
        <w:t>municación y las instituciones de enseñanza abordan esas cuestiones. A medida que aumente el nivel educ</w:t>
      </w:r>
      <w:r>
        <w:t>a</w:t>
      </w:r>
      <w:r>
        <w:t>tivo se irán disipando los aspectos negativos de las tr</w:t>
      </w:r>
      <w:r>
        <w:t>a</w:t>
      </w:r>
      <w:r>
        <w:t>diciones, especialmente entre la generación más joven.</w:t>
      </w:r>
    </w:p>
    <w:p w:rsidR="00000000" w:rsidRDefault="00000000">
      <w:pPr>
        <w:pStyle w:val="DualTxt"/>
      </w:pPr>
      <w:r>
        <w:t>55.</w:t>
      </w:r>
      <w:r>
        <w:tab/>
        <w:t>Respondiendo a la pregunta relativa a la defin</w:t>
      </w:r>
      <w:r>
        <w:t>i</w:t>
      </w:r>
      <w:r>
        <w:t>ción de delitos de costumbre y delitos de honor en el </w:t>
      </w:r>
      <w:r>
        <w:rPr>
          <w:spacing w:val="6"/>
        </w:rPr>
        <w:t>nuevo Código Penal, la oradora señala que el pr</w:t>
      </w:r>
      <w:r>
        <w:rPr>
          <w:spacing w:val="6"/>
        </w:rPr>
        <w:t>i</w:t>
      </w:r>
      <w:r>
        <w:rPr>
          <w:spacing w:val="6"/>
        </w:rPr>
        <w:t xml:space="preserve">mer </w:t>
      </w:r>
      <w:r>
        <w:t>concepto se refiere ante todo a los asesinatos por cuestiones de honor, y éstos siempre están relaci</w:t>
      </w:r>
      <w:r>
        <w:t>o</w:t>
      </w:r>
      <w:r>
        <w:t>nados con las costumbres. Se trata, pues, del mismo concepto. Aunque el nuevo Código Penal todavía no ha entrado en vigor, los jueces ya aplican esa interpret</w:t>
      </w:r>
      <w:r>
        <w:t>a</w:t>
      </w:r>
      <w:r>
        <w:t>ción, y a medida que se avance en la interpretación de la ley irán surgiendo probablemente figuras más co</w:t>
      </w:r>
      <w:r>
        <w:t>n</w:t>
      </w:r>
      <w:r>
        <w:t>cretas. Respecto de la pregunta referente al artículo 10 de la Constitución y la interpretación del concepto de medidas especiales de carácter temporal, en ese artíc</w:t>
      </w:r>
      <w:r>
        <w:t>u</w:t>
      </w:r>
      <w:r>
        <w:t>lo se estipula claramente que hombres y mujeres ti</w:t>
      </w:r>
      <w:r>
        <w:t>e</w:t>
      </w:r>
      <w:r>
        <w:t>nen los mismos derechos que incumbe al Gobierno la responsabilidad de salvaguardar esos derechos. C</w:t>
      </w:r>
      <w:r>
        <w:t>o</w:t>
      </w:r>
      <w:r>
        <w:t>rresponde al Gobierno decidir cómo ha de atender a esa responsabilidad y cumplir con sus obligaciones constituci</w:t>
      </w:r>
      <w:r>
        <w:t>o</w:t>
      </w:r>
      <w:r>
        <w:t>nales.</w:t>
      </w:r>
    </w:p>
    <w:p w:rsidR="00000000" w:rsidRDefault="00000000">
      <w:pPr>
        <w:pStyle w:val="DualTxt"/>
      </w:pPr>
      <w:r>
        <w:t>56.</w:t>
      </w:r>
      <w:r>
        <w:tab/>
        <w:t>La promulgación de la Ley de organización de la Dirección General de la Condición y los Problemas de la Mujer se vio retrasada por la falta de voluntad pol</w:t>
      </w:r>
      <w:r>
        <w:t>í</w:t>
      </w:r>
      <w:r>
        <w:t>tica del Gobierno anterior. Gracias a los esfuerzos del actual Gobierno y del Ministerio de la oradora, la D</w:t>
      </w:r>
      <w:r>
        <w:t>i</w:t>
      </w:r>
      <w:r>
        <w:t>rección General cuenta ahora con una base jurídica y podrá atender con más eficacia a las necesidades de la sociedad. En 2004 se aprobó el nuevo Código Penar, que entrará en vigor en abril de 2005. Respondiendo a la pregunta sobre si la imposición de pruebas de virg</w:t>
      </w:r>
      <w:r>
        <w:t>i</w:t>
      </w:r>
      <w:r>
        <w:t>nidad es un delito punible por ley, señala que en el art</w:t>
      </w:r>
      <w:r>
        <w:t>í</w:t>
      </w:r>
      <w:r>
        <w:t>culo 235 del Código Penal se estipula claramente que cualquier persona que practique o facilite pruebas de virginidad sin el consenso de la mujer será condenado a una pena de prisión comprendida entre tres meses y un año.</w:t>
      </w:r>
    </w:p>
    <w:p w:rsidR="00000000" w:rsidRDefault="00000000">
      <w:pPr>
        <w:pStyle w:val="DualTxt"/>
      </w:pPr>
      <w:r>
        <w:t>57.</w:t>
      </w:r>
      <w:r>
        <w:tab/>
      </w:r>
      <w:r>
        <w:rPr>
          <w:b/>
        </w:rPr>
        <w:t>La Sra. Ates</w:t>
      </w:r>
      <w:r>
        <w:t xml:space="preserve"> (Turquía) dice que el nuevo Código Penal no se refiere a pruebas de virginidad, sino a examen genital, que es un concepto neutro desde el punto de vista del género.</w:t>
      </w:r>
    </w:p>
    <w:p w:rsidR="00000000" w:rsidRDefault="00000000">
      <w:pPr>
        <w:pStyle w:val="DualTxt"/>
      </w:pPr>
      <w:r>
        <w:rPr>
          <w:i/>
        </w:rPr>
        <w:t>Se levanta la sesión a las 13.05 horas.</w:t>
      </w:r>
    </w:p>
    <w:sectPr w:rsidR="00000000">
      <w:endnotePr>
        <w:numFmt w:val="decimal"/>
      </w:endnotePr>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NO&gt;&gt;N0521468S&lt;&lt;ODS JOB NO&gt;&gt;</w:t>
      </w:r>
    </w:p>
    <w:p w:rsidR="00000000" w:rsidRDefault="00000000">
      <w:pPr>
        <w:pStyle w:val="CommentText"/>
        <w:rPr>
          <w:lang w:val="en-US"/>
        </w:rPr>
      </w:pPr>
      <w:r>
        <w:rPr>
          <w:lang w:val="en-US"/>
        </w:rPr>
        <w:t>&lt;&lt;ODS DOC SYMBOL1&gt;&gt;CEDAW/C/SR.677&lt;&lt;ODS DOC SYMBOL1&gt;&gt;</w:t>
      </w:r>
    </w:p>
    <w:p w:rsidR="00000000" w:rsidRDefault="00000000">
      <w:pPr>
        <w:pStyle w:val="CommentText"/>
        <w:rPr>
          <w:lang w:val="en-US"/>
        </w:rPr>
      </w:pPr>
      <w:r>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000000" w:rsidRDefault="00000000">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000000" w:rsidRDefault="00000000">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05-21468 (S)</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*0521468*</w:t>
    </w:r>
  </w:p>
  <w:p w:rsidR="00000000" w:rsidRDefault="00000000">
    <w:pPr>
      <w:pStyle w:val="Footer"/>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CEDAW/C/SR.677</w:t>
                      </w:r>
                    </w:p>
                  </w:tc>
                  <w:tc>
                    <w:tcPr>
                      <w:tcW w:w="5047" w:type="dxa"/>
                      <w:vAlign w:val="bottom"/>
                    </w:tcPr>
                    <w:p w:rsidR="00000000" w:rsidRDefault="00000000">
                      <w:pPr>
                        <w:pStyle w:val="Header"/>
                      </w:pPr>
                    </w:p>
                  </w:tc>
                </w:tr>
              </w:tbl>
              <w:p w:rsidR="00000000" w:rsidRDefault="00000000"/>
            </w:txbxContent>
          </v:textbox>
          <w10:wrap type="topAndBottom"/>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CEDAW/C/SR.677</w:t>
                      </w:r>
                    </w:p>
                  </w:tc>
                </w:tr>
              </w:tbl>
              <w:p w:rsidR="00000000" w:rsidRDefault="00000000"/>
            </w:txbxContent>
          </v:textbox>
          <w10:wrap type="topAndBottom"/>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/C/SR.677</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12 de agosto de 2005</w:t>
          </w:r>
        </w:p>
        <w:p w:rsidR="00000000" w:rsidRDefault="00000000">
          <w:r>
            <w:t>Español</w:t>
          </w:r>
        </w:p>
        <w:p w:rsidR="00000000" w:rsidRDefault="00000000">
          <w:r>
            <w:t>Original: inglés</w:t>
          </w:r>
        </w:p>
      </w:tc>
    </w:tr>
  </w:tbl>
  <w:p w:rsidR="00000000" w:rsidRDefault="00000000">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doNotTrackMoves/>
  <w:defaultTabStop w:val="720"/>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8/8/2005 7:42: PM"/>
    <w:docVar w:name="DocCategory" w:val="SROthers"/>
    <w:docVar w:name="DocType" w:val="Final"/>
    <w:docVar w:name="JobNo" w:val="0521468S"/>
    <w:docVar w:name="OandT" w:val="pl"/>
    <w:docVar w:name="Symbol1" w:val="CEDAW/C/SR.677"/>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eastAsia="ja-JP"/>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lang w:val="en-US" w:eastAsia="ja-JP"/>
    </w:rPr>
  </w:style>
  <w:style w:type="paragraph" w:styleId="Header">
    <w:name w:val="header"/>
    <w:semiHidden/>
    <w:pPr>
      <w:tabs>
        <w:tab w:val="center" w:pos="4320"/>
        <w:tab w:val="right" w:pos="8640"/>
      </w:tabs>
    </w:pPr>
    <w:rPr>
      <w:noProof/>
      <w:sz w:val="17"/>
      <w:lang w:val="en-US" w:eastAsia="ja-JP"/>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4</Pages>
  <Words>6591</Words>
  <Characters>37572</Characters>
  <Application>Microsoft Office Word</Application>
  <DocSecurity>4</DocSecurity>
  <Lines>313</Lines>
  <Paragraphs>75</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SETUP</Company>
  <LinksUpToDate>false</LinksUpToDate>
  <CharactersWithSpaces>46141</CharactersWithSpaces>
  <SharedDoc>false</SharedDoc>
  <HLinks>
    <vt:vector size="6" baseType="variant">
      <vt:variant>
        <vt:i4>8257630</vt:i4>
      </vt:variant>
      <vt:variant>
        <vt:i4>49798</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USUARIO</dc:creator>
  <cp:keywords/>
  <cp:lastModifiedBy>BURGOS, SONIA</cp:lastModifiedBy>
  <cp:revision>4</cp:revision>
  <cp:lastPrinted>2005-08-11T16:49:00Z</cp:lastPrinted>
  <dcterms:created xsi:type="dcterms:W3CDTF">2005-08-11T16:37:00Z</dcterms:created>
  <dcterms:modified xsi:type="dcterms:W3CDTF">2005-08-11T17:14:00Z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0521468</vt:lpwstr>
  </property>
  <property fmtid="{D5CDD505-2E9C-101B-9397-08002B2CF9AE}" pid="3" name="Symbol1">
    <vt:lpwstr>CEDAW/C/SR.677</vt:lpwstr>
  </property>
  <property fmtid="{D5CDD505-2E9C-101B-9397-08002B2CF9AE}" pid="4" name="Symbol2">
    <vt:lpwstr/>
  </property>
  <property fmtid="{D5CDD505-2E9C-101B-9397-08002B2CF9AE}" pid="5" name="Translator">
    <vt:lpwstr/>
  </property>
  <property fmtid="{D5CDD505-2E9C-101B-9397-08002B2CF9AE}" pid="6" name="Comment">
    <vt:lpwstr>EXTERNAL</vt:lpwstr>
  </property>
  <property fmtid="{D5CDD505-2E9C-101B-9397-08002B2CF9AE}" pid="7" name="DraftPages">
    <vt:lpwstr>10</vt:lpwstr>
  </property>
  <property fmtid="{D5CDD505-2E9C-101B-9397-08002B2CF9AE}" pid="8" name="Operator">
    <vt:lpwstr>S. Burgos</vt:lpwstr>
  </property>
</Properties>
</file>