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000000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/>
              <w:jc w:val="right"/>
              <w:rPr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>
                <w:t>C/EST/CO/3</w:t>
              </w:r>
            </w:fldSimple>
          </w:p>
        </w:tc>
      </w:tr>
      <w:tr w:rsidR="00000000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4 August 2010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r>
              <w:rPr>
                <w:lang w:val="en-US"/>
              </w:rPr>
              <w:t>Russian</w:t>
            </w:r>
          </w:p>
          <w:p w:rsidR="00000000" w:rsidRDefault="0000000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000000" w:rsidRDefault="00000000"/>
        </w:tc>
      </w:tr>
    </w:tbl>
    <w:p w:rsidR="00000000" w:rsidRDefault="00000000">
      <w:pPr>
        <w:spacing w:before="120"/>
        <w:rPr>
          <w:b/>
          <w:sz w:val="24"/>
        </w:rPr>
      </w:pPr>
      <w:r>
        <w:rPr>
          <w:b/>
          <w:sz w:val="24"/>
        </w:rPr>
        <w:t>Комитет по правам человека</w:t>
      </w:r>
    </w:p>
    <w:p w:rsidR="00000000" w:rsidRDefault="00000000">
      <w:pPr>
        <w:rPr>
          <w:b/>
        </w:rPr>
      </w:pPr>
      <w:r>
        <w:rPr>
          <w:b/>
        </w:rPr>
        <w:t>Девяносто девятая сессия</w:t>
      </w:r>
    </w:p>
    <w:p w:rsidR="00000000" w:rsidRDefault="00000000">
      <w:r>
        <w:t>Женева, 12−30 июля 2010 года</w:t>
      </w:r>
    </w:p>
    <w:p w:rsidR="00000000" w:rsidRDefault="00000000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>
        <w:t>Рассмотрение докладов, представленных государствами-участниками в соответствии со статьей 40 Пакта</w:t>
      </w:r>
    </w:p>
    <w:p w:rsidR="00000000" w:rsidRDefault="00000000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>
        <w:t>Заключительные замечания Комитета по правам человека</w:t>
      </w:r>
    </w:p>
    <w:p w:rsidR="00000000" w:rsidRDefault="00000000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>
        <w:t>Эстония</w:t>
      </w:r>
    </w:p>
    <w:p w:rsidR="00000000" w:rsidRDefault="00000000">
      <w:pPr>
        <w:pStyle w:val="SingleTxtGR"/>
      </w:pPr>
      <w:r>
        <w:t>1.</w:t>
      </w:r>
      <w:r>
        <w:tab/>
        <w:t xml:space="preserve">Комитет рассмотрел третий периодический доклад, представленный </w:t>
      </w:r>
      <w:r>
        <w:br/>
        <w:t>Э</w:t>
      </w:r>
      <w:r>
        <w:t>с</w:t>
      </w:r>
      <w:r>
        <w:t>тонией (</w:t>
      </w:r>
      <w:r>
        <w:rPr>
          <w:lang w:val="es-ES"/>
        </w:rPr>
        <w:t>CCPR/C/EST/3</w:t>
      </w:r>
      <w:r>
        <w:t xml:space="preserve">) на своих 2715-м и 2716-м заседаниях, состоявшихся </w:t>
      </w:r>
      <w:r>
        <w:br/>
        <w:t>12 и 13 июля 2010 года (</w:t>
      </w:r>
      <w:r>
        <w:rPr>
          <w:lang w:val="es-ES"/>
        </w:rPr>
        <w:t xml:space="preserve">CCPR/C/SR.2715 </w:t>
      </w:r>
      <w:r>
        <w:t>и</w:t>
      </w:r>
      <w:r>
        <w:rPr>
          <w:lang w:val="es-ES"/>
        </w:rPr>
        <w:t xml:space="preserve"> CCPR/C/SR.2716</w:t>
      </w:r>
      <w:r>
        <w:t xml:space="preserve">), и на своем </w:t>
      </w:r>
      <w:r>
        <w:br/>
        <w:t>2736-м заседании (</w:t>
      </w:r>
      <w:r>
        <w:rPr>
          <w:lang w:val="es-ES"/>
        </w:rPr>
        <w:t>CCPR/C/SR.2736</w:t>
      </w:r>
      <w:r>
        <w:t>), состоявшемся 27 июля 2010 года, принял сл</w:t>
      </w:r>
      <w:r>
        <w:t>е</w:t>
      </w:r>
      <w:r>
        <w:t>дующие заключительные замечания.</w:t>
      </w:r>
    </w:p>
    <w:p w:rsidR="00000000" w:rsidRDefault="00000000">
      <w:pPr>
        <w:pStyle w:val="H1GR"/>
      </w:pPr>
      <w:r>
        <w:tab/>
        <w:t>А.</w:t>
      </w:r>
      <w:r>
        <w:tab/>
        <w:t>Введение</w:t>
      </w:r>
    </w:p>
    <w:p w:rsidR="00000000" w:rsidRDefault="00000000">
      <w:pPr>
        <w:pStyle w:val="SingleTxtGR"/>
      </w:pPr>
      <w:r>
        <w:t>2.</w:t>
      </w:r>
      <w:r>
        <w:tab/>
        <w:t>Комитет приветствует своевременное представление третьего доклада Эстонии и выражает свою признательность за конструктивный диалог, который состоялся у Комитета с делегацией. Он приветствует подробную информацию, сообщенную о принятых государством-участником мерах и о его предстоящих планах по дальнейшему осуществлению Пакта. Комитет также благодарен г</w:t>
      </w:r>
      <w:r>
        <w:t>о</w:t>
      </w:r>
      <w:r>
        <w:t>сударству-участнику за представленные заранее письменные ответы на пис</w:t>
      </w:r>
      <w:r>
        <w:t>ь</w:t>
      </w:r>
      <w:r>
        <w:t>менные вопросы Комитета, а также за дополнительную подробную информ</w:t>
      </w:r>
      <w:r>
        <w:t>а</w:t>
      </w:r>
      <w:r>
        <w:t>цию, представленную делегацией в устной и пис</w:t>
      </w:r>
      <w:r>
        <w:t>ь</w:t>
      </w:r>
      <w:r>
        <w:t>менной форме.</w:t>
      </w:r>
    </w:p>
    <w:p w:rsidR="00000000" w:rsidRDefault="00000000">
      <w:pPr>
        <w:pStyle w:val="H1GR"/>
      </w:pPr>
      <w:r>
        <w:tab/>
        <w:t>В.</w:t>
      </w:r>
      <w:r>
        <w:tab/>
        <w:t>Позитивные аспекты</w:t>
      </w:r>
    </w:p>
    <w:p w:rsidR="00000000" w:rsidRDefault="00000000">
      <w:pPr>
        <w:pStyle w:val="SingleTxtGR"/>
      </w:pPr>
      <w:r>
        <w:t>3.</w:t>
      </w:r>
      <w:r>
        <w:tab/>
        <w:t>Отмечая постоянную приверженность государства-участника защите прав человека, Комитет приветствует следующие законодательные и иные м</w:t>
      </w:r>
      <w:r>
        <w:t>е</w:t>
      </w:r>
      <w:r>
        <w:t>ры:</w:t>
      </w:r>
    </w:p>
    <w:p w:rsidR="00000000" w:rsidRDefault="00000000">
      <w:pPr>
        <w:pStyle w:val="SingleTxtGR"/>
      </w:pPr>
      <w:r>
        <w:tab/>
        <w:t>а)</w:t>
      </w:r>
      <w:r>
        <w:tab/>
        <w:t>принятие нового Уголовно-процессуального кодекса, который вст</w:t>
      </w:r>
      <w:r>
        <w:t>у</w:t>
      </w:r>
      <w:r>
        <w:t>пил в силу в 2004 году;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принятие Закона об оказании помощи жертвам, который вступил в силу в 2004 году;</w:t>
      </w:r>
    </w:p>
    <w:p w:rsidR="00000000" w:rsidRDefault="00000000">
      <w:pPr>
        <w:pStyle w:val="SingleTxtGR"/>
      </w:pPr>
      <w:r>
        <w:tab/>
        <w:t>с)</w:t>
      </w:r>
      <w:r>
        <w:tab/>
        <w:t>принятие поправки к Уголовному кодексу (раздел 133), которая вступила в силу в 2007 году и которая уточняет определение элементов пор</w:t>
      </w:r>
      <w:r>
        <w:t>а</w:t>
      </w:r>
      <w:r>
        <w:t>бощения;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принятие поправок к Закону о полиции и соответствующему зак</w:t>
      </w:r>
      <w:r>
        <w:t>о</w:t>
      </w:r>
      <w:r>
        <w:t>нодательс</w:t>
      </w:r>
      <w:r>
        <w:t>т</w:t>
      </w:r>
      <w:r>
        <w:t>ву, которые вступили в силу в 2008 году;</w:t>
      </w:r>
    </w:p>
    <w:p w:rsidR="00000000" w:rsidRDefault="00000000">
      <w:pPr>
        <w:pStyle w:val="SingleTxtGR"/>
      </w:pPr>
      <w:r>
        <w:tab/>
        <w:t>е)</w:t>
      </w:r>
      <w:r>
        <w:tab/>
        <w:t>принятие поправок к Закону о тюремном заключении;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f</w:t>
      </w:r>
      <w:r>
        <w:t>)</w:t>
      </w:r>
      <w:r>
        <w:tab/>
        <w:t>принятие Закона о государственной правовой помощи, который вступил в силу в 2005 году;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g</w:t>
      </w:r>
      <w:r>
        <w:t>)</w:t>
      </w:r>
      <w:r>
        <w:tab/>
        <w:t>принятие нового Кодекса исполнительного производства, который вступил в силу в 2010 году; и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h</w:t>
      </w:r>
      <w:r>
        <w:t>)</w:t>
      </w:r>
      <w:r>
        <w:tab/>
        <w:t>назначение Канцлера юстиции, выполняющего функции наци</w:t>
      </w:r>
      <w:r>
        <w:t>о</w:t>
      </w:r>
      <w:r>
        <w:t>нального пр</w:t>
      </w:r>
      <w:r>
        <w:t>е</w:t>
      </w:r>
      <w:r>
        <w:t>вентивного механизма по предотвращению пыток.</w:t>
      </w:r>
    </w:p>
    <w:p w:rsidR="00000000" w:rsidRDefault="00000000">
      <w:pPr>
        <w:pStyle w:val="SingleTxtGR"/>
      </w:pPr>
      <w:r>
        <w:t>4.</w:t>
      </w:r>
      <w:r>
        <w:tab/>
        <w:t>Комитет также приветствует ратификацию следующих договоров или присоед</w:t>
      </w:r>
      <w:r>
        <w:t>и</w:t>
      </w:r>
      <w:r>
        <w:t>нение к ним:</w:t>
      </w:r>
    </w:p>
    <w:p w:rsidR="00000000" w:rsidRDefault="00000000">
      <w:pPr>
        <w:pStyle w:val="SingleTxtGR"/>
      </w:pPr>
      <w:r>
        <w:tab/>
        <w:t>а)</w:t>
      </w:r>
      <w:r>
        <w:tab/>
        <w:t>второго Факультативного протокола к Международному пакту о гражданских и политических правах, направленного на отмену смертной ка</w:t>
      </w:r>
      <w:r>
        <w:t>з</w:t>
      </w:r>
      <w:r>
        <w:t>ни, который вступил в с</w:t>
      </w:r>
      <w:r>
        <w:t>и</w:t>
      </w:r>
      <w:r>
        <w:t>лу в 2004 году;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Протокола о предупреждении и пресечении торговли людьми, ос</w:t>
      </w:r>
      <w:r>
        <w:t>о</w:t>
      </w:r>
      <w:r>
        <w:t>бенно женщинами и детьми, и наказании за нее, дополняющего Конвенцию О</w:t>
      </w:r>
      <w:r>
        <w:t>р</w:t>
      </w:r>
      <w:r>
        <w:t>ганизации Объединенных Наций против транснациональной организованной преступности, который вступил в силу в 2004 году;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c</w:t>
      </w:r>
      <w:r>
        <w:t>)</w:t>
      </w:r>
      <w:r>
        <w:tab/>
        <w:t>Факультативного протокола к Конвенции о правах ребенка, каса</w:t>
      </w:r>
      <w:r>
        <w:t>ю</w:t>
      </w:r>
      <w:r>
        <w:t>щегося торговли детьми, детской проституции и детской порнографии, кот</w:t>
      </w:r>
      <w:r>
        <w:t>о</w:t>
      </w:r>
      <w:r>
        <w:t>рый вступил в силу в сентябре 2004 года;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Протокола против незаконного ввоза мигрантов по суше, морю и воздуху, дополняющего Конвенцию Организации Объединенных Наций пр</w:t>
      </w:r>
      <w:r>
        <w:t>о</w:t>
      </w:r>
      <w:r>
        <w:t>тив транснациональной организованной преступности, который вступил в силу в июне 2004 года; и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e</w:t>
      </w:r>
      <w:r>
        <w:t>)</w:t>
      </w:r>
      <w:r>
        <w:tab/>
        <w:t>Факультативного протокола к Конвенции против пыток и других жестоких, бесчеловечных или унижающих достоинство видов обращения и н</w:t>
      </w:r>
      <w:r>
        <w:t>а</w:t>
      </w:r>
      <w:r>
        <w:t>казания, который вступил в силу в 2007 году.</w:t>
      </w:r>
    </w:p>
    <w:p w:rsidR="00000000" w:rsidRDefault="00000000">
      <w:pPr>
        <w:pStyle w:val="H1GR"/>
      </w:pPr>
      <w:r>
        <w:tab/>
        <w:t>С.</w:t>
      </w:r>
      <w:r>
        <w:tab/>
        <w:t xml:space="preserve">Основные проблемы, вызывающие озабоченность, </w:t>
      </w:r>
      <w:r>
        <w:br/>
        <w:t>и рекомендации</w:t>
      </w:r>
    </w:p>
    <w:p w:rsidR="00000000" w:rsidRDefault="00000000">
      <w:pPr>
        <w:pStyle w:val="SingleTxtGR"/>
      </w:pPr>
      <w:r>
        <w:t>5.</w:t>
      </w:r>
      <w:r>
        <w:tab/>
        <w:t>Принимая к сведению информацию, предоставленную государством-участником по вопросу о компетенции, мандате и функциях Канцлера юстиции, Комитет выражает озабоченность по поводу того, что этот институт недост</w:t>
      </w:r>
      <w:r>
        <w:t>а</w:t>
      </w:r>
      <w:r>
        <w:t>точно участвует, однако, в деле поощрения и защиты прав человека в полном соответствии с Принципами, каса</w:t>
      </w:r>
      <w:r>
        <w:t>ю</w:t>
      </w:r>
      <w:r>
        <w:t>щимися статуса национальных учреждений, занимающихся поощрением и защитой прав человека (Парижские принципы, резолюция 48/134 Генеральной Ассамблеи), особенно в тех случаях, когда речь идет о его роли в качестве координирующего органа, а также о содействии с</w:t>
      </w:r>
      <w:r>
        <w:t>о</w:t>
      </w:r>
      <w:r>
        <w:t>трудничеству между государственными учреждениями и гражданским общес</w:t>
      </w:r>
      <w:r>
        <w:t>т</w:t>
      </w:r>
      <w:r>
        <w:t>вом (статья 2).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Государству-участнику следует либо предоставить Канцлеру юстиции более широкий мандат для более полноценного поощрения и защиты всех прав челов</w:t>
      </w:r>
      <w:r>
        <w:rPr>
          <w:b/>
        </w:rPr>
        <w:t>е</w:t>
      </w:r>
      <w:r>
        <w:rPr>
          <w:b/>
        </w:rPr>
        <w:t xml:space="preserve">ка, либо достигнуть этой цели при помощи других средств, действуя при этом в полном соответствии с Парижскими принципами, </w:t>
      </w:r>
      <w:r>
        <w:rPr>
          <w:b/>
        </w:rPr>
        <w:br/>
        <w:t>а также принять к сведению в этой связи требования в отношении наци</w:t>
      </w:r>
      <w:r>
        <w:rPr>
          <w:b/>
        </w:rPr>
        <w:t>о</w:t>
      </w:r>
      <w:r>
        <w:rPr>
          <w:b/>
        </w:rPr>
        <w:t>нального превентивного механизма согласно Факультативн</w:t>
      </w:r>
      <w:r>
        <w:rPr>
          <w:b/>
        </w:rPr>
        <w:t>о</w:t>
      </w:r>
      <w:r>
        <w:rPr>
          <w:b/>
        </w:rPr>
        <w:t>му протоколу Конвенции против пыток и других жестоких, бесчеловечных или унижа</w:t>
      </w:r>
      <w:r>
        <w:rPr>
          <w:b/>
        </w:rPr>
        <w:t>ю</w:t>
      </w:r>
      <w:r>
        <w:rPr>
          <w:b/>
        </w:rPr>
        <w:t>щих достоинство видов обращения и наказания</w:t>
      </w:r>
      <w:r>
        <w:t>.</w:t>
      </w:r>
    </w:p>
    <w:p w:rsidR="00000000" w:rsidRDefault="00000000">
      <w:pPr>
        <w:pStyle w:val="SingleTxtGR"/>
      </w:pPr>
      <w:r>
        <w:t>6.</w:t>
      </w:r>
      <w:r>
        <w:tab/>
        <w:t>Приветствуя принятие Закона о гендерном равенстве 2004 года, напра</w:t>
      </w:r>
      <w:r>
        <w:t>в</w:t>
      </w:r>
      <w:r>
        <w:t>ленного на борьбу с дискриминацией в отношении женщин, и Закона о равном обращении 2008 г</w:t>
      </w:r>
      <w:r>
        <w:t>о</w:t>
      </w:r>
      <w:r>
        <w:t>да, Комитет испытывает в то же время озабоченность в связи с распространенностью дискр</w:t>
      </w:r>
      <w:r>
        <w:t>и</w:t>
      </w:r>
      <w:r>
        <w:t>минации в отношении женщин в государстве-участнике, в частности на рынке труда, где разрыв в оплате между мужчинами и женщинами составляет около 40%. Он также испытывает озабоченность по поводу частичного дублирования полномочий Канцлера юстиции и Уполном</w:t>
      </w:r>
      <w:r>
        <w:t>о</w:t>
      </w:r>
      <w:r>
        <w:t>ченного по вопросам гендерного равенства и равного обращения в вопросах, касающихся жалоб о дискриминации, что может снизить эффективность работы обоих институтов в области гендерного равенства. Кроме того, Комитет озаб</w:t>
      </w:r>
      <w:r>
        <w:t>о</w:t>
      </w:r>
      <w:r>
        <w:t>чен нехваткой людских и финансовых ресурсов, предоставляемых Управлению Уполномоченного по вопросам гендерного равенства и равного обращения, и тем фактом, что в государстве-участнике до сих пор не создан Совет по вопр</w:t>
      </w:r>
      <w:r>
        <w:t>о</w:t>
      </w:r>
      <w:r>
        <w:t>сам гендерного равенства (статья 3).</w:t>
      </w:r>
    </w:p>
    <w:p w:rsidR="00000000" w:rsidRDefault="00000000">
      <w:pPr>
        <w:pStyle w:val="SingleTxtGR"/>
        <w:rPr>
          <w:b/>
        </w:rPr>
      </w:pPr>
      <w:r>
        <w:rPr>
          <w:lang w:val="en-US"/>
        </w:rPr>
        <w:tab/>
      </w:r>
      <w:r>
        <w:rPr>
          <w:b/>
        </w:rPr>
        <w:t>Государству-участнику следует принять надлежащие меры, с тем чтобы: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 xml:space="preserve">обеспечить эффективное применение Закона о </w:t>
      </w:r>
      <w:proofErr w:type="spellStart"/>
      <w:r>
        <w:rPr>
          <w:b/>
        </w:rPr>
        <w:t>гендерном</w:t>
      </w:r>
      <w:proofErr w:type="spellEnd"/>
      <w:r>
        <w:rPr>
          <w:b/>
        </w:rPr>
        <w:t xml:space="preserve"> р</w:t>
      </w:r>
      <w:r>
        <w:rPr>
          <w:b/>
        </w:rPr>
        <w:t>а</w:t>
      </w:r>
      <w:r>
        <w:rPr>
          <w:b/>
        </w:rPr>
        <w:t>венстве и Закона о равном обращении, особенно в том, что касается при</w:t>
      </w:r>
      <w:r>
        <w:rPr>
          <w:b/>
        </w:rPr>
        <w:t>н</w:t>
      </w:r>
      <w:r>
        <w:rPr>
          <w:b/>
        </w:rPr>
        <w:t>ципа равной оплаты за равный труд между мужчинами и женщинами;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проводить информационно-просветительские кампании, н</w:t>
      </w:r>
      <w:r>
        <w:rPr>
          <w:b/>
        </w:rPr>
        <w:t>а</w:t>
      </w:r>
      <w:r>
        <w:rPr>
          <w:b/>
        </w:rPr>
        <w:t xml:space="preserve">правленные на ликвидацию </w:t>
      </w:r>
      <w:proofErr w:type="spellStart"/>
      <w:r>
        <w:rPr>
          <w:b/>
        </w:rPr>
        <w:t>гендерных</w:t>
      </w:r>
      <w:proofErr w:type="spellEnd"/>
      <w:r>
        <w:rPr>
          <w:b/>
        </w:rPr>
        <w:t xml:space="preserve"> стереотипов на рынке труда и ср</w:t>
      </w:r>
      <w:r>
        <w:rPr>
          <w:b/>
        </w:rPr>
        <w:t>е</w:t>
      </w:r>
      <w:r>
        <w:rPr>
          <w:b/>
        </w:rPr>
        <w:t>ди насел</w:t>
      </w:r>
      <w:r>
        <w:rPr>
          <w:b/>
        </w:rPr>
        <w:t>е</w:t>
      </w:r>
      <w:r>
        <w:rPr>
          <w:b/>
        </w:rPr>
        <w:t>ния;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обеспечивать эффективность системы рассмотрения жалоб, п</w:t>
      </w:r>
      <w:r>
        <w:rPr>
          <w:b/>
        </w:rPr>
        <w:t>о</w:t>
      </w:r>
      <w:r>
        <w:rPr>
          <w:b/>
        </w:rPr>
        <w:t>даваемых Канцлеру юстиции и Уполномоченному по вопросам гендерного равенства и равного обращения, посредством разъяснения их соответс</w:t>
      </w:r>
      <w:r>
        <w:rPr>
          <w:b/>
        </w:rPr>
        <w:t>т</w:t>
      </w:r>
      <w:r>
        <w:rPr>
          <w:b/>
        </w:rPr>
        <w:t>вующих р</w:t>
      </w:r>
      <w:r>
        <w:rPr>
          <w:b/>
        </w:rPr>
        <w:t>о</w:t>
      </w:r>
      <w:r>
        <w:rPr>
          <w:b/>
        </w:rPr>
        <w:t>лей;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повысить эффективность работы Управления Уполномоченн</w:t>
      </w:r>
      <w:r>
        <w:rPr>
          <w:b/>
        </w:rPr>
        <w:t>о</w:t>
      </w:r>
      <w:r>
        <w:rPr>
          <w:b/>
        </w:rPr>
        <w:t>го по вопросам гендерного равенства и равного обращения благодаря пр</w:t>
      </w:r>
      <w:r>
        <w:rPr>
          <w:b/>
        </w:rPr>
        <w:t>е</w:t>
      </w:r>
      <w:r>
        <w:rPr>
          <w:b/>
        </w:rPr>
        <w:t>доставлению ему достаточных людских и ф</w:t>
      </w:r>
      <w:r>
        <w:rPr>
          <w:b/>
        </w:rPr>
        <w:t>и</w:t>
      </w:r>
      <w:r>
        <w:rPr>
          <w:b/>
        </w:rPr>
        <w:t>нансовых ресурсов; и</w:t>
      </w:r>
    </w:p>
    <w:p w:rsidR="00000000" w:rsidRDefault="00000000">
      <w:pPr>
        <w:pStyle w:val="SingleTxtGR"/>
      </w:pPr>
      <w:r>
        <w:rPr>
          <w:b/>
        </w:rPr>
        <w:tab/>
        <w:t>е)</w:t>
      </w:r>
      <w:r>
        <w:rPr>
          <w:b/>
        </w:rPr>
        <w:tab/>
        <w:t xml:space="preserve">учредить Совет по вопросам гендерного равенства, как это предусматривается Законом о </w:t>
      </w:r>
      <w:proofErr w:type="spellStart"/>
      <w:r>
        <w:rPr>
          <w:b/>
        </w:rPr>
        <w:t>гендерном</w:t>
      </w:r>
      <w:proofErr w:type="spellEnd"/>
      <w:r>
        <w:rPr>
          <w:b/>
        </w:rPr>
        <w:t xml:space="preserve"> равенстве.</w:t>
      </w:r>
    </w:p>
    <w:p w:rsidR="00000000" w:rsidRDefault="00000000">
      <w:pPr>
        <w:pStyle w:val="SingleTxtGR"/>
      </w:pPr>
      <w:r>
        <w:t>7.</w:t>
      </w:r>
      <w:r>
        <w:tab/>
        <w:t>Комитет озабочен тем, что определение, содержащееся в Уголовном к</w:t>
      </w:r>
      <w:r>
        <w:t>о</w:t>
      </w:r>
      <w:r>
        <w:t>дексе (раздел 122) государства-участника, является слишком узким и не соо</w:t>
      </w:r>
      <w:r>
        <w:t>т</w:t>
      </w:r>
      <w:r>
        <w:t>ветствует определению, которое дается в статье 1 Конвенции против пыток и других жестоких, бесчеловечных или унижающих достоинство видов обр</w:t>
      </w:r>
      <w:r>
        <w:t>а</w:t>
      </w:r>
      <w:r>
        <w:t>щения и наказания, а также в статье 7 Пакта (статья 7).</w:t>
      </w:r>
    </w:p>
    <w:p w:rsidR="00000000" w:rsidRDefault="00000000">
      <w:pPr>
        <w:pStyle w:val="SingleTxtGR"/>
        <w:rPr>
          <w:b/>
        </w:rPr>
      </w:pPr>
      <w:r>
        <w:tab/>
      </w:r>
      <w:r>
        <w:rPr>
          <w:b/>
        </w:rPr>
        <w:t>Государству-участнику следует внести изменения в свой Уголовный кодекс, с тем чтобы обеспечить полное соответствие международным но</w:t>
      </w:r>
      <w:r>
        <w:rPr>
          <w:b/>
        </w:rPr>
        <w:t>р</w:t>
      </w:r>
      <w:r>
        <w:rPr>
          <w:b/>
        </w:rPr>
        <w:t>мам, касающимся запрещ</w:t>
      </w:r>
      <w:r>
        <w:rPr>
          <w:b/>
        </w:rPr>
        <w:t>е</w:t>
      </w:r>
      <w:r>
        <w:rPr>
          <w:b/>
        </w:rPr>
        <w:t>ния пыток, в частности статье 7 Пакта.</w:t>
      </w:r>
    </w:p>
    <w:p w:rsidR="00000000" w:rsidRDefault="00000000">
      <w:pPr>
        <w:pStyle w:val="SingleTxtGR"/>
      </w:pPr>
      <w:r>
        <w:t>8.</w:t>
      </w:r>
      <w:r>
        <w:tab/>
        <w:t>Комитет озабочен тем, что государство-участник не готово предпринять инициативу и рассмотреть вопрос о коллективной компенсации лиц, лишенных свободы после событий "Бронзовой ночи" в 2007 году, а лишь рассмотреть о</w:t>
      </w:r>
      <w:r>
        <w:t>т</w:t>
      </w:r>
      <w:r>
        <w:t>дельные зая</w:t>
      </w:r>
      <w:r>
        <w:t>в</w:t>
      </w:r>
      <w:r>
        <w:t>ления о компенсации (статьи 7, 14).</w:t>
      </w:r>
    </w:p>
    <w:p w:rsidR="00000000" w:rsidRDefault="00000000">
      <w:pPr>
        <w:pStyle w:val="SingleTxtGR"/>
        <w:rPr>
          <w:b/>
        </w:rPr>
      </w:pPr>
      <w:r>
        <w:tab/>
      </w:r>
      <w:r>
        <w:rPr>
          <w:b/>
        </w:rPr>
        <w:t>Государству-участнику следует принять решение о том, какая ко</w:t>
      </w:r>
      <w:r>
        <w:rPr>
          <w:b/>
        </w:rPr>
        <w:t>л</w:t>
      </w:r>
      <w:r>
        <w:rPr>
          <w:b/>
        </w:rPr>
        <w:t>лективная компенсация должна быть предоставлена лицам, лишенным свободы после событий "Бро</w:t>
      </w:r>
      <w:r>
        <w:rPr>
          <w:b/>
        </w:rPr>
        <w:t>н</w:t>
      </w:r>
      <w:r>
        <w:rPr>
          <w:b/>
        </w:rPr>
        <w:t>зовой ночи" в 2007 году.</w:t>
      </w:r>
    </w:p>
    <w:p w:rsidR="00000000" w:rsidRDefault="00000000">
      <w:pPr>
        <w:pStyle w:val="SingleTxtGR"/>
      </w:pPr>
      <w:r>
        <w:t>9.</w:t>
      </w:r>
      <w:r>
        <w:tab/>
        <w:t>Отмечая усилия, предпринятые государством-участником по борьбе с торговлей женщинами и девочками, в частности План активизации борьбы с торговлей людьми на 2006−2009 годы, Комитет озабочен тем не менее сохр</w:t>
      </w:r>
      <w:r>
        <w:t>а</w:t>
      </w:r>
      <w:r>
        <w:t>нением этого явления в госуда</w:t>
      </w:r>
      <w:r>
        <w:t>р</w:t>
      </w:r>
      <w:r>
        <w:t>стве-участнике (статья 8).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Государству-участнику следует: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активизировать его усилия по борьбе с торговлей женщинами и д</w:t>
      </w:r>
      <w:r>
        <w:rPr>
          <w:b/>
        </w:rPr>
        <w:t>е</w:t>
      </w:r>
      <w:r>
        <w:rPr>
          <w:b/>
        </w:rPr>
        <w:t>вочками, в том числе в рамках его Плана активизации действий по уменьшению масшт</w:t>
      </w:r>
      <w:r>
        <w:rPr>
          <w:b/>
        </w:rPr>
        <w:t>а</w:t>
      </w:r>
      <w:r>
        <w:rPr>
          <w:b/>
        </w:rPr>
        <w:t>бов насилия на 2010−2014 годы;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преследовать, осуждать и наказывать виновных;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принять подготавливаемые Министерством юстиции попра</w:t>
      </w:r>
      <w:r>
        <w:rPr>
          <w:b/>
        </w:rPr>
        <w:t>в</w:t>
      </w:r>
      <w:r>
        <w:rPr>
          <w:b/>
        </w:rPr>
        <w:t>ки, касающиеся включения в Уголовный кодекс конкретного положения о борьбе с торговлей люд</w:t>
      </w:r>
      <w:r>
        <w:rPr>
          <w:b/>
        </w:rPr>
        <w:t>ь</w:t>
      </w:r>
      <w:r>
        <w:rPr>
          <w:b/>
        </w:rPr>
        <w:t>ми; и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 xml:space="preserve">активизировать международное сотрудничество по этому </w:t>
      </w:r>
      <w:r>
        <w:rPr>
          <w:b/>
        </w:rPr>
        <w:br/>
        <w:t>в</w:t>
      </w:r>
      <w:r>
        <w:rPr>
          <w:b/>
        </w:rPr>
        <w:t>о</w:t>
      </w:r>
      <w:r>
        <w:rPr>
          <w:b/>
        </w:rPr>
        <w:t>просу.</w:t>
      </w:r>
    </w:p>
    <w:p w:rsidR="00000000" w:rsidRDefault="00000000">
      <w:pPr>
        <w:pStyle w:val="SingleTxtGR"/>
      </w:pPr>
      <w:r>
        <w:t>10.</w:t>
      </w:r>
      <w:r>
        <w:tab/>
        <w:t>Комитет испытывает озабоченность по поводу продолжающегося прим</w:t>
      </w:r>
      <w:r>
        <w:t>е</w:t>
      </w:r>
      <w:r>
        <w:t xml:space="preserve">нения системы иммиграционных квот для въезда в страну </w:t>
      </w:r>
      <w:proofErr w:type="spellStart"/>
      <w:r>
        <w:t>неграждан</w:t>
      </w:r>
      <w:proofErr w:type="spellEnd"/>
      <w:r>
        <w:t>, закл</w:t>
      </w:r>
      <w:r>
        <w:t>ю</w:t>
      </w:r>
      <w:r>
        <w:t xml:space="preserve">чивших союз между однополыми лицами, даже если их союз был официально признан за рубежом, а их партнер уже проживает в государстве-участнике </w:t>
      </w:r>
      <w:r>
        <w:br/>
        <w:t>(ст</w:t>
      </w:r>
      <w:r>
        <w:t>а</w:t>
      </w:r>
      <w:r>
        <w:t>тьи 2, 12, 17, 23, 26).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Государству-участнику следует пересмотреть его законодательство и практику, с тем чтобы расширить права лиц, живущих в союзе между о</w:t>
      </w:r>
      <w:r>
        <w:rPr>
          <w:b/>
        </w:rPr>
        <w:t>д</w:t>
      </w:r>
      <w:r>
        <w:rPr>
          <w:b/>
        </w:rPr>
        <w:t xml:space="preserve">нополыми лицами, в частности упростить процедуру предоставления вида на жительство </w:t>
      </w:r>
      <w:proofErr w:type="spellStart"/>
      <w:r>
        <w:rPr>
          <w:b/>
        </w:rPr>
        <w:t>негражданам</w:t>
      </w:r>
      <w:proofErr w:type="spellEnd"/>
      <w:r>
        <w:rPr>
          <w:b/>
        </w:rPr>
        <w:t>, заключившим союз между однополыми лиц</w:t>
      </w:r>
      <w:r>
        <w:rPr>
          <w:b/>
        </w:rPr>
        <w:t>а</w:t>
      </w:r>
      <w:r>
        <w:rPr>
          <w:b/>
        </w:rPr>
        <w:t>ми с партнером, который уже проживает в гос</w:t>
      </w:r>
      <w:r>
        <w:rPr>
          <w:b/>
        </w:rPr>
        <w:t>у</w:t>
      </w:r>
      <w:r>
        <w:rPr>
          <w:b/>
        </w:rPr>
        <w:t>дарстве-участнике.</w:t>
      </w:r>
    </w:p>
    <w:p w:rsidR="00000000" w:rsidRDefault="00000000">
      <w:pPr>
        <w:pStyle w:val="SingleTxtGR"/>
      </w:pPr>
      <w:r>
        <w:t>11.</w:t>
      </w:r>
      <w:r>
        <w:tab/>
        <w:t>Отмечая, что лицо, заявление о предоставлении убежища которого было отклонено, может подать апелляцию в административный суд, Комитет, тем не менее, испытывает озабоченность в связи с тем, что данная апелляция не имеет приостанавливающего действия согласно Закону о предоставлении междун</w:t>
      </w:r>
      <w:r>
        <w:t>а</w:t>
      </w:r>
      <w:r>
        <w:t>родной защиты иностранцам (статьи 2, 13).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Комитет повторяет свою рекомендацию о том, что решение, объя</w:t>
      </w:r>
      <w:r>
        <w:rPr>
          <w:b/>
        </w:rPr>
        <w:t>в</w:t>
      </w:r>
      <w:r>
        <w:rPr>
          <w:b/>
        </w:rPr>
        <w:t>ляющее просьбу о предоставлении убежища неприемлемой, не должно влечь за собой лишение права на подачу  апелляции, приостанавливающей исполнение реш</w:t>
      </w:r>
      <w:r>
        <w:rPr>
          <w:b/>
        </w:rPr>
        <w:t>е</w:t>
      </w:r>
      <w:r>
        <w:rPr>
          <w:b/>
        </w:rPr>
        <w:t>ния.</w:t>
      </w:r>
    </w:p>
    <w:p w:rsidR="00000000" w:rsidRDefault="00000000">
      <w:pPr>
        <w:pStyle w:val="SingleTxtGR"/>
      </w:pPr>
      <w:r>
        <w:t>12.</w:t>
      </w:r>
      <w:r>
        <w:tab/>
        <w:t>Комитет озабочен тем, что душевнобольных и их законных опекунов н</w:t>
      </w:r>
      <w:r>
        <w:t>е</w:t>
      </w:r>
      <w:r>
        <w:t>редко лишают в соответствующих случаях права быть достаточно информир</w:t>
      </w:r>
      <w:r>
        <w:t>о</w:t>
      </w:r>
      <w:r>
        <w:t>ванными об уголовном судопроизводстве и выдвинутых против них обвин</w:t>
      </w:r>
      <w:r>
        <w:t>е</w:t>
      </w:r>
      <w:r>
        <w:t>ний, права на справедливое судебное разбирательство и права на адекватную и э</w:t>
      </w:r>
      <w:r>
        <w:t>ф</w:t>
      </w:r>
      <w:r>
        <w:t>фективную правовую помощь. Комитет озабочен далее тем фактом, что экспе</w:t>
      </w:r>
      <w:r>
        <w:t>р</w:t>
      </w:r>
      <w:r>
        <w:t xml:space="preserve">ты, назначенные для оценки необходимости продолжения принудительного </w:t>
      </w:r>
      <w:r>
        <w:br/>
        <w:t>лечения, работают в той же больнице, в которой находится данный пациент (ст</w:t>
      </w:r>
      <w:r>
        <w:t>а</w:t>
      </w:r>
      <w:r>
        <w:t>тья 14).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Государству-участнику следует гарантировать, чтобы душевнобол</w:t>
      </w:r>
      <w:r>
        <w:rPr>
          <w:b/>
        </w:rPr>
        <w:t>ь</w:t>
      </w:r>
      <w:r>
        <w:rPr>
          <w:b/>
        </w:rPr>
        <w:t>ные лица и их законные опекуны были достаточно информированы в соо</w:t>
      </w:r>
      <w:r>
        <w:rPr>
          <w:b/>
        </w:rPr>
        <w:t>т</w:t>
      </w:r>
      <w:r>
        <w:rPr>
          <w:b/>
        </w:rPr>
        <w:t>ветствующих случаях об уголовном судопроизводстве и выдвинутых пр</w:t>
      </w:r>
      <w:r>
        <w:rPr>
          <w:b/>
        </w:rPr>
        <w:t>о</w:t>
      </w:r>
      <w:r>
        <w:rPr>
          <w:b/>
        </w:rPr>
        <w:t>тив них обвинениях и пользовались правом на справедливое судебное ра</w:t>
      </w:r>
      <w:r>
        <w:rPr>
          <w:b/>
        </w:rPr>
        <w:t>з</w:t>
      </w:r>
      <w:r>
        <w:rPr>
          <w:b/>
        </w:rPr>
        <w:t>бирательство и правом на адеква</w:t>
      </w:r>
      <w:r>
        <w:rPr>
          <w:b/>
        </w:rPr>
        <w:t>т</w:t>
      </w:r>
      <w:r>
        <w:rPr>
          <w:b/>
        </w:rPr>
        <w:t>ную эффективную правовую помощь для их защиты. Ему также следует обеспечить беспристрастность работы эк</w:t>
      </w:r>
      <w:r>
        <w:rPr>
          <w:b/>
        </w:rPr>
        <w:t>с</w:t>
      </w:r>
      <w:r>
        <w:rPr>
          <w:b/>
        </w:rPr>
        <w:t>пертов, назначаемых для оценки потребности пациентов в продолжении принудительного лечения. Кроме того, государству-участнику следует обеспечить профессиональную подготовку судей и адвокатов по вопросам прав, которые должны гарантироваться душевнобольным лицам, дела к</w:t>
      </w:r>
      <w:r>
        <w:rPr>
          <w:b/>
        </w:rPr>
        <w:t>о</w:t>
      </w:r>
      <w:r>
        <w:rPr>
          <w:b/>
        </w:rPr>
        <w:t>торых слушаются в уголовных судах.</w:t>
      </w:r>
    </w:p>
    <w:p w:rsidR="00000000" w:rsidRDefault="00000000">
      <w:pPr>
        <w:pStyle w:val="SingleTxtGR"/>
      </w:pPr>
      <w:r>
        <w:t>13.</w:t>
      </w:r>
      <w:r>
        <w:tab/>
        <w:t>Отмечая усовершенствования, внесенные в Уголовно-процессуальный кодекс в целях сокращения продолжительности уголовного судопроизводства, Комитет по-прежнему испытывает, однако, озабоченность в связи с отсутствием каких-либо спец</w:t>
      </w:r>
      <w:r>
        <w:t>и</w:t>
      </w:r>
      <w:r>
        <w:t>альных положений по уголовному судопроизводству в случае содержания под стражей лица, которому предъявлено обвинение (статья 14).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Государству-участнику следует пересмотреть свой Уголовно-процессуальный кодекс, с тем чтобы включить в него положения, пред</w:t>
      </w:r>
      <w:r>
        <w:rPr>
          <w:b/>
        </w:rPr>
        <w:t>у</w:t>
      </w:r>
      <w:r>
        <w:rPr>
          <w:b/>
        </w:rPr>
        <w:t>сматривающие необходимость ускорения судопроизводства при содерж</w:t>
      </w:r>
      <w:r>
        <w:rPr>
          <w:b/>
        </w:rPr>
        <w:t>а</w:t>
      </w:r>
      <w:r>
        <w:rPr>
          <w:b/>
        </w:rPr>
        <w:t>нии под стр</w:t>
      </w:r>
      <w:r>
        <w:rPr>
          <w:b/>
        </w:rPr>
        <w:t>а</w:t>
      </w:r>
      <w:r>
        <w:rPr>
          <w:b/>
        </w:rPr>
        <w:t>жей лиц, которым предъявлено обвинение.</w:t>
      </w:r>
    </w:p>
    <w:p w:rsidR="00000000" w:rsidRDefault="00000000">
      <w:pPr>
        <w:pStyle w:val="SingleTxtGR"/>
      </w:pPr>
      <w:r>
        <w:t>14.</w:t>
      </w:r>
      <w:r>
        <w:tab/>
        <w:t>Комитет испытывает озабоченность по поводу того, что за последние н</w:t>
      </w:r>
      <w:r>
        <w:t>е</w:t>
      </w:r>
      <w:r>
        <w:t>сколько лет было утверждено незначительное число заявлений об альтернати</w:t>
      </w:r>
      <w:r>
        <w:t>в</w:t>
      </w:r>
      <w:r>
        <w:t>ной военной службе (11 из 64 в 2007 году, 14 из 68 в 2008 году, 32 из 53 в 2009 году). Он также озабочен отсутствием четких критериев для приема или отклонения заявления об альтернативной военной службе (статьи 18, 26).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Государству-участнику следует объяснить, по каким критериям пр</w:t>
      </w:r>
      <w:r>
        <w:rPr>
          <w:b/>
        </w:rPr>
        <w:t>и</w:t>
      </w:r>
      <w:r>
        <w:rPr>
          <w:b/>
        </w:rPr>
        <w:t>нимаются или отклоняются заявления об альтернативной военной службе, и принять соответствующие меры для обеспечения осуществления права на отказ от военной службы по соображениям с</w:t>
      </w:r>
      <w:r>
        <w:rPr>
          <w:b/>
        </w:rPr>
        <w:t>о</w:t>
      </w:r>
      <w:r>
        <w:rPr>
          <w:b/>
        </w:rPr>
        <w:t>вести.</w:t>
      </w:r>
    </w:p>
    <w:p w:rsidR="00000000" w:rsidRDefault="00000000">
      <w:pPr>
        <w:pStyle w:val="SingleTxtGR"/>
      </w:pPr>
      <w:r>
        <w:t>15.</w:t>
      </w:r>
      <w:r>
        <w:tab/>
        <w:t>Отмечая, что представленный в Парламент настоящий проект закона о государственной службе включает положение, ограничивающее число госуда</w:t>
      </w:r>
      <w:r>
        <w:t>р</w:t>
      </w:r>
      <w:r>
        <w:t>ственных служащих, которым не разрешается устраивать забастовку, Комитет испытывает в то же время озабоченность по поводу того, что государственные служащие, не облеченные государственной властью, не в полной мере польз</w:t>
      </w:r>
      <w:r>
        <w:t>у</w:t>
      </w:r>
      <w:r>
        <w:t>ются правом на забастовку (статья 22).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Государству-участнику следует обеспечить, чтобы в его законод</w:t>
      </w:r>
      <w:r>
        <w:rPr>
          <w:b/>
        </w:rPr>
        <w:t>а</w:t>
      </w:r>
      <w:r>
        <w:rPr>
          <w:b/>
        </w:rPr>
        <w:t>тельстве лишь самое ограниченное число государственных служащих было лишено права на забасто</w:t>
      </w:r>
      <w:r>
        <w:rPr>
          <w:b/>
        </w:rPr>
        <w:t>в</w:t>
      </w:r>
      <w:r>
        <w:rPr>
          <w:b/>
        </w:rPr>
        <w:t>ку.</w:t>
      </w:r>
    </w:p>
    <w:p w:rsidR="00000000" w:rsidRDefault="00000000">
      <w:pPr>
        <w:pStyle w:val="SingleTxtGR"/>
      </w:pPr>
      <w:r>
        <w:t>16.</w:t>
      </w:r>
      <w:r>
        <w:tab/>
        <w:t>Отмечая осуществление программы "Интеграция в эстонское общество на период 2000−2007 годов" и программы "Эстонская интеграция на период 2008−2013 годов" государства-участника, Комитет испытывает тем не менее озабоченность в связи с тем, что требования в отношении знания эстонского языка по-прежнему оказывают негативное воздействие на трудоустройство и доходы членов русскоговорящего мен</w:t>
      </w:r>
      <w:r>
        <w:t>ь</w:t>
      </w:r>
      <w:r>
        <w:t>шинства, в том числе в частном секторе. Комитет также озабочен уменьшением степени доверия русскоговорящего н</w:t>
      </w:r>
      <w:r>
        <w:t>а</w:t>
      </w:r>
      <w:r>
        <w:t>селения к государству и его государственным учреждениям (статьи 26, 27).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Государству-участнику следует активизировать меры по интеграции русскоговорящих меньшинств на рынке труда, включая профессионал</w:t>
      </w:r>
      <w:r>
        <w:rPr>
          <w:b/>
        </w:rPr>
        <w:t>ь</w:t>
      </w:r>
      <w:r>
        <w:rPr>
          <w:b/>
        </w:rPr>
        <w:t>ную и языковую подготовку. Ему следует также принять меры по увелич</w:t>
      </w:r>
      <w:r>
        <w:rPr>
          <w:b/>
        </w:rPr>
        <w:t>е</w:t>
      </w:r>
      <w:r>
        <w:rPr>
          <w:b/>
        </w:rPr>
        <w:t>нию степени доверия русскоговорящего населения к государству и его гос</w:t>
      </w:r>
      <w:r>
        <w:rPr>
          <w:b/>
        </w:rPr>
        <w:t>у</w:t>
      </w:r>
      <w:r>
        <w:rPr>
          <w:b/>
        </w:rPr>
        <w:t>дарственным учр</w:t>
      </w:r>
      <w:r>
        <w:rPr>
          <w:b/>
        </w:rPr>
        <w:t>е</w:t>
      </w:r>
      <w:r>
        <w:rPr>
          <w:b/>
        </w:rPr>
        <w:t>ждениям.</w:t>
      </w:r>
    </w:p>
    <w:p w:rsidR="00000000" w:rsidRDefault="00000000">
      <w:pPr>
        <w:pStyle w:val="SingleTxtGR"/>
      </w:pPr>
      <w:r>
        <w:t>17.</w:t>
      </w:r>
      <w:r>
        <w:tab/>
        <w:t>Комитет озабочен тем, что информация о Пакте, его заключительных з</w:t>
      </w:r>
      <w:r>
        <w:t>а</w:t>
      </w:r>
      <w:r>
        <w:t>мечаниях и докладах, представленных государством-участником, не является предметом широкого распространения, в том числе среди прокуроров, судей и адвокатов. Он также озабочен ограниченными отношениями между государс</w:t>
      </w:r>
      <w:r>
        <w:t>т</w:t>
      </w:r>
      <w:r>
        <w:t xml:space="preserve">вом-участником и неправительственными организациями и фактом </w:t>
      </w:r>
      <w:proofErr w:type="spellStart"/>
      <w:r>
        <w:t>непровед</w:t>
      </w:r>
      <w:r>
        <w:t>е</w:t>
      </w:r>
      <w:r>
        <w:t>ния</w:t>
      </w:r>
      <w:proofErr w:type="spellEnd"/>
      <w:r>
        <w:t xml:space="preserve"> полноценных консультаций с неправительственными организациями в пр</w:t>
      </w:r>
      <w:r>
        <w:t>о</w:t>
      </w:r>
      <w:r>
        <w:t>цессе подготовки представляемых Комитету докладов (статья 2).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Государству-участнику следует принять все надлежащие меры для распространения Пакта как на эстонском, так и русском языках, и в по</w:t>
      </w:r>
      <w:r>
        <w:rPr>
          <w:b/>
        </w:rPr>
        <w:t>л</w:t>
      </w:r>
      <w:r>
        <w:rPr>
          <w:b/>
        </w:rPr>
        <w:t>ной мере использовать потенциал государства-участника в области инфо</w:t>
      </w:r>
      <w:r>
        <w:rPr>
          <w:b/>
        </w:rPr>
        <w:t>р</w:t>
      </w:r>
      <w:r>
        <w:rPr>
          <w:b/>
        </w:rPr>
        <w:t>мационной технологии, заключительные замечания, принятые Комитетом, и представленные в Комитет доклады. Ему следует обеспечить учебную подготовку прокуроров, судей и адвокатов по вопросам Пакта и активиз</w:t>
      </w:r>
      <w:r>
        <w:rPr>
          <w:b/>
        </w:rPr>
        <w:t>и</w:t>
      </w:r>
      <w:r>
        <w:rPr>
          <w:b/>
        </w:rPr>
        <w:t>ровать его отношения с неправительственными организациями, а также консультироваться с ними в процессе подготовки периодических докладов Комитету.</w:t>
      </w:r>
    </w:p>
    <w:p w:rsidR="00000000" w:rsidRDefault="00000000">
      <w:pPr>
        <w:pStyle w:val="SingleTxtGR"/>
      </w:pPr>
      <w:r>
        <w:t>18.</w:t>
      </w:r>
      <w:r>
        <w:tab/>
        <w:t>В соответствии с пунктом 5 правила 71 правил процедуры Комитета г</w:t>
      </w:r>
      <w:r>
        <w:t>о</w:t>
      </w:r>
      <w:r>
        <w:t>сударству-участнику следует представить в течение одного года информацию о текущей ситуации и о его выполнении рекомендаций Комитета, содержащихся в пунктах 5 и 6 выше.</w:t>
      </w:r>
    </w:p>
    <w:p w:rsidR="00000000" w:rsidRDefault="00000000">
      <w:pPr>
        <w:pStyle w:val="SingleTxtGR"/>
      </w:pPr>
      <w:r>
        <w:t>19.</w:t>
      </w:r>
      <w:r>
        <w:tab/>
        <w:t>Комитет просит государство-участник включить в его следующий пери</w:t>
      </w:r>
      <w:r>
        <w:t>о</w:t>
      </w:r>
      <w:r>
        <w:t>дический доклад, который должен быть представлен к 30 июля 2015 года, и</w:t>
      </w:r>
      <w:r>
        <w:t>н</w:t>
      </w:r>
      <w:r>
        <w:t>формацию о мерах, принятых для осуществления остальных рекомендаций и соблюдении им положений Пакта в целом.</w:t>
      </w:r>
    </w:p>
    <w:p w:rsidR="00000000" w:rsidRDefault="0000000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00000" w:rsidRDefault="00000000">
      <w:pPr>
        <w:pStyle w:val="SingleTxtGR"/>
      </w:pPr>
    </w:p>
    <w:p w:rsidR="00000000" w:rsidRDefault="00000000">
      <w:pPr>
        <w:pStyle w:val="SingleTxtGR"/>
      </w:pPr>
    </w:p>
    <w:sectPr w:rsidR="000000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rPr>
          <w:lang w:val="en-US"/>
        </w:rPr>
        <w:tab/>
      </w:r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GE.10-44136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lang w:val="en-US"/>
      </w:rPr>
      <w:t>GE.10-44136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GE.10-44136  (R)  </w:t>
    </w:r>
    <w:r>
      <w:rPr>
        <w:sz w:val="20"/>
        <w:lang w:val="ru-RU"/>
      </w:rPr>
      <w:t>190810   190810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00000" w:rsidRDefault="00000000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000000" w:rsidRDefault="00000000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CCPR/C/EST/CO/3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ab/>
      <w:t>CCPR/C/EST/CO/3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6</Pages>
  <Words>1938</Words>
  <Characters>13006</Characters>
  <Application>Microsoft Office Word</Application>
  <DocSecurity>4</DocSecurity>
  <Lines>289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1044136</vt:lpstr>
    </vt:vector>
  </TitlesOfParts>
  <Company>CSD</Company>
  <LinksUpToDate>false</LinksUpToDate>
  <CharactersWithSpaces>14833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1044136</dc:title>
  <dc:subject>ШАЯХМЕТОВ</dc:subject>
  <dc:creator>Людмила ЦЕПЕЛЕВА</dc:creator>
  <cp:keywords/>
  <dc:description/>
  <cp:lastModifiedBy>Людмила ЦЕПЕЛЕВА</cp:lastModifiedBy>
  <cp:revision>2</cp:revision>
  <cp:lastPrinted>2010-08-19T15:31:00Z</cp:lastPrinted>
  <dcterms:created xsi:type="dcterms:W3CDTF">2010-08-19T15:33:00Z</dcterms:created>
  <dcterms:modified xsi:type="dcterms:W3CDTF">2010-08-19T15:33:00Z</dcterms:modified>
</cp:coreProperties>
</file>