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00000">
        <w:trPr>
          <w:trHeight w:hRule="exact" w:val="851"/>
        </w:trPr>
        <w:tc>
          <w:tcPr>
            <w:tcW w:w="1276"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Nations Unies</w:t>
            </w:r>
          </w:p>
        </w:tc>
        <w:tc>
          <w:tcPr>
            <w:tcW w:w="6095" w:type="dxa"/>
            <w:gridSpan w:val="2"/>
            <w:tcBorders>
              <w:bottom w:val="single" w:sz="4" w:space="0" w:color="auto"/>
            </w:tcBorders>
            <w:vAlign w:val="bottom"/>
          </w:tcPr>
          <w:p w:rsidR="00000000" w:rsidRDefault="00000000">
            <w:pPr>
              <w:jc w:val="right"/>
            </w:pPr>
            <w:r>
              <w:rPr>
                <w:sz w:val="40"/>
              </w:rPr>
              <w:t>CRC</w:t>
            </w:r>
            <w:r>
              <w:t>/C/MDG/3-4</w:t>
            </w:r>
          </w:p>
        </w:tc>
      </w:tr>
      <w:tr w:rsidR="00000000">
        <w:trPr>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460" w:lineRule="exact"/>
              <w:rPr>
                <w:b/>
                <w:sz w:val="40"/>
                <w:szCs w:val="40"/>
              </w:rPr>
            </w:pPr>
            <w:r>
              <w:rPr>
                <w:b/>
                <w:sz w:val="40"/>
                <w:szCs w:val="40"/>
              </w:rPr>
              <w:t>Convention relative</w:t>
            </w:r>
            <w:r>
              <w:rPr>
                <w:b/>
                <w:sz w:val="40"/>
                <w:szCs w:val="40"/>
              </w:rPr>
              <w:br/>
              <w:t>aux droits de l’enfant</w:t>
            </w:r>
          </w:p>
        </w:tc>
        <w:tc>
          <w:tcPr>
            <w:tcW w:w="2835" w:type="dxa"/>
            <w:tcBorders>
              <w:top w:val="single" w:sz="4" w:space="0" w:color="auto"/>
              <w:bottom w:val="single" w:sz="12" w:space="0" w:color="auto"/>
            </w:tcBorders>
          </w:tcPr>
          <w:p w:rsidR="00000000" w:rsidRDefault="00000000">
            <w:pPr>
              <w:spacing w:before="240"/>
            </w:pPr>
            <w:r>
              <w:t>Distr. générale</w:t>
            </w:r>
          </w:p>
          <w:p w:rsidR="00000000" w:rsidRDefault="00000000">
            <w:pPr>
              <w:spacing w:line="240" w:lineRule="exact"/>
            </w:pPr>
            <w:r>
              <w:t>3 mai 2010</w:t>
            </w:r>
          </w:p>
          <w:p w:rsidR="00000000" w:rsidRDefault="00000000">
            <w:pPr>
              <w:spacing w:line="240" w:lineRule="exact"/>
            </w:pPr>
            <w:r>
              <w:t>Français</w:t>
            </w:r>
          </w:p>
          <w:p w:rsidR="00000000" w:rsidRDefault="00000000">
            <w:pPr>
              <w:spacing w:line="240" w:lineRule="exact"/>
            </w:pPr>
            <w:r>
              <w:t>Original: français</w:t>
            </w:r>
          </w:p>
        </w:tc>
      </w:tr>
    </w:tbl>
    <w:p w:rsidR="00000000" w:rsidRDefault="00000000">
      <w:pPr>
        <w:spacing w:before="120"/>
        <w:rPr>
          <w:b/>
          <w:sz w:val="24"/>
          <w:szCs w:val="24"/>
        </w:rPr>
      </w:pPr>
      <w:r>
        <w:rPr>
          <w:b/>
          <w:sz w:val="24"/>
          <w:szCs w:val="24"/>
        </w:rPr>
        <w:t>Comité des droits de l’enfant</w:t>
      </w:r>
    </w:p>
    <w:p w:rsidR="00000000" w:rsidRDefault="00000000">
      <w:pPr>
        <w:pStyle w:val="HChG"/>
        <w:rPr>
          <w:lang w:val="fr-FR"/>
        </w:rPr>
      </w:pPr>
      <w:bookmarkStart w:id="0" w:name="_Toc260298189"/>
      <w:r>
        <w:rPr>
          <w:lang w:val="fr-FR"/>
        </w:rPr>
        <w:tab/>
      </w:r>
      <w:r>
        <w:rPr>
          <w:lang w:val="fr-FR"/>
        </w:rPr>
        <w:tab/>
        <w:t>Examen des rapports présentés par les États parties en application de l’article 44 de la Convention</w:t>
      </w:r>
      <w:bookmarkEnd w:id="0"/>
    </w:p>
    <w:p w:rsidR="00000000" w:rsidRDefault="00000000">
      <w:pPr>
        <w:pStyle w:val="H1G"/>
        <w:rPr>
          <w:lang w:val="fr-FR"/>
        </w:rPr>
      </w:pPr>
      <w:r>
        <w:rPr>
          <w:lang w:val="fr-FR"/>
        </w:rPr>
        <w:tab/>
      </w:r>
      <w:r>
        <w:rPr>
          <w:lang w:val="fr-FR"/>
        </w:rPr>
        <w:tab/>
      </w:r>
      <w:bookmarkStart w:id="1" w:name="_Toc260298190"/>
      <w:r>
        <w:rPr>
          <w:lang w:val="fr-FR"/>
        </w:rPr>
        <w:t>Troisième et quatrième rapports périodiques des États parties devant être soumis en 2008</w:t>
      </w:r>
      <w:bookmarkEnd w:id="1"/>
    </w:p>
    <w:p w:rsidR="00000000" w:rsidRDefault="00000000">
      <w:pPr>
        <w:pStyle w:val="H1G"/>
        <w:rPr>
          <w:lang w:val="fr-FR"/>
        </w:rPr>
      </w:pPr>
      <w:r>
        <w:rPr>
          <w:lang w:val="fr-FR"/>
        </w:rPr>
        <w:tab/>
      </w:r>
      <w:r>
        <w:rPr>
          <w:lang w:val="fr-FR"/>
        </w:rPr>
        <w:tab/>
      </w:r>
      <w:bookmarkStart w:id="2" w:name="_Toc260298191"/>
      <w:r>
        <w:rPr>
          <w:lang w:val="fr-FR"/>
        </w:rPr>
        <w:t>Madagascar</w:t>
      </w:r>
      <w:bookmarkEnd w:id="2"/>
      <w:r>
        <w:rPr>
          <w:rStyle w:val="FootnoteReference"/>
          <w:sz w:val="20"/>
          <w:vertAlign w:val="baseline"/>
        </w:rPr>
        <w:footnoteReference w:customMarkFollows="1" w:id="2"/>
        <w:t>*</w:t>
      </w:r>
    </w:p>
    <w:p w:rsidR="00000000" w:rsidRDefault="00000000">
      <w:pPr>
        <w:jc w:val="right"/>
        <w:rPr>
          <w:lang w:val="fr-FR"/>
        </w:rPr>
      </w:pPr>
      <w:r>
        <w:rPr>
          <w:lang w:val="fr-FR"/>
        </w:rPr>
        <w:t>[17 avril 2009]</w:t>
      </w:r>
    </w:p>
    <w:p w:rsidR="00000000" w:rsidRDefault="00000000">
      <w:pPr>
        <w:spacing w:after="120"/>
        <w:rPr>
          <w:sz w:val="28"/>
          <w:lang w:val="fr-FR"/>
        </w:rPr>
      </w:pPr>
      <w:bookmarkStart w:id="3" w:name="partie_1"/>
      <w:bookmarkStart w:id="4" w:name="TABLE_DES_MATIERES"/>
      <w:bookmarkStart w:id="5" w:name="_Toc260298192"/>
      <w:bookmarkEnd w:id="3"/>
      <w:bookmarkEnd w:id="4"/>
      <w:r>
        <w:rPr>
          <w:lang w:val="fr-FR"/>
        </w:rPr>
        <w:br w:type="page"/>
      </w:r>
      <w:r>
        <w:rPr>
          <w:sz w:val="28"/>
          <w:lang w:val="fr-FR"/>
        </w:rPr>
        <w:t>Table des matières</w:t>
      </w:r>
    </w:p>
    <w:p w:rsidR="00000000" w:rsidRDefault="00000000">
      <w:pPr>
        <w:tabs>
          <w:tab w:val="right" w:pos="9638"/>
        </w:tabs>
        <w:spacing w:after="120"/>
        <w:ind w:left="283"/>
        <w:rPr>
          <w:i/>
          <w:sz w:val="18"/>
        </w:rPr>
      </w:pPr>
      <w:r>
        <w:rPr>
          <w:i/>
          <w:sz w:val="18"/>
        </w:rPr>
        <w:tab/>
        <w:t>Page</w:t>
      </w:r>
    </w:p>
    <w:p w:rsidR="00000000" w:rsidRDefault="00000000">
      <w:pPr>
        <w:tabs>
          <w:tab w:val="right" w:pos="850"/>
          <w:tab w:val="right" w:leader="dot" w:pos="8787"/>
          <w:tab w:val="right" w:pos="9638"/>
        </w:tabs>
        <w:spacing w:after="120"/>
        <w:ind w:left="1134" w:hanging="1134"/>
      </w:pPr>
      <w:r>
        <w:tab/>
      </w:r>
      <w:r>
        <w:tab/>
        <w:t>Acronymes</w:t>
      </w:r>
      <w:r>
        <w:tab/>
      </w:r>
      <w:r>
        <w:tab/>
        <w:t>6</w:t>
      </w:r>
    </w:p>
    <w:p w:rsidR="00000000" w:rsidRDefault="00000000">
      <w:pPr>
        <w:tabs>
          <w:tab w:val="right" w:pos="850"/>
          <w:tab w:val="right" w:leader="dot" w:pos="8787"/>
          <w:tab w:val="right" w:pos="9638"/>
        </w:tabs>
        <w:spacing w:after="120"/>
        <w:ind w:left="1134" w:hanging="1134"/>
      </w:pPr>
      <w:r>
        <w:tab/>
      </w:r>
      <w:r>
        <w:tab/>
        <w:t>Première partie</w:t>
      </w:r>
      <w:r>
        <w:tab/>
      </w:r>
      <w:r>
        <w:tab/>
        <w:t>13</w:t>
      </w:r>
    </w:p>
    <w:p w:rsidR="00000000" w:rsidRDefault="00000000">
      <w:pPr>
        <w:tabs>
          <w:tab w:val="right" w:pos="850"/>
          <w:tab w:val="right" w:leader="dot" w:pos="8787"/>
          <w:tab w:val="right" w:pos="9638"/>
        </w:tabs>
        <w:spacing w:after="120"/>
        <w:ind w:left="1134" w:hanging="1134"/>
      </w:pPr>
      <w:r>
        <w:tab/>
      </w:r>
      <w:r>
        <w:tab/>
        <w:t>Introduction</w:t>
      </w:r>
      <w:r>
        <w:tab/>
      </w:r>
      <w:r>
        <w:tab/>
        <w:t>13</w:t>
      </w:r>
    </w:p>
    <w:p w:rsidR="00000000" w:rsidRDefault="00000000">
      <w:pPr>
        <w:tabs>
          <w:tab w:val="right" w:leader="dot" w:pos="8787"/>
          <w:tab w:val="right" w:pos="9638"/>
        </w:tabs>
        <w:spacing w:after="120"/>
        <w:ind w:left="1559" w:hanging="425"/>
      </w:pPr>
      <w:r>
        <w:t>A.</w:t>
      </w:r>
      <w:r>
        <w:tab/>
        <w:t>Méthodologie et processus de consultation suivis pour l’établissement dur apport</w:t>
      </w:r>
      <w:r>
        <w:tab/>
      </w:r>
      <w:r>
        <w:tab/>
        <w:t>13</w:t>
      </w:r>
    </w:p>
    <w:p w:rsidR="00000000" w:rsidRDefault="00000000">
      <w:pPr>
        <w:tabs>
          <w:tab w:val="right" w:leader="dot" w:pos="8787"/>
          <w:tab w:val="right" w:pos="9638"/>
        </w:tabs>
        <w:spacing w:after="120"/>
        <w:ind w:left="1559" w:hanging="425"/>
      </w:pPr>
      <w:r>
        <w:t>B.</w:t>
      </w:r>
      <w:r>
        <w:tab/>
        <w:t>Processus d’élaboration du rapport</w:t>
      </w:r>
      <w:r>
        <w:tab/>
      </w:r>
      <w:r>
        <w:tab/>
        <w:t>13</w:t>
      </w:r>
    </w:p>
    <w:p w:rsidR="00000000" w:rsidRDefault="00000000">
      <w:pPr>
        <w:tabs>
          <w:tab w:val="right" w:pos="850"/>
          <w:tab w:val="right" w:leader="dot" w:pos="8787"/>
          <w:tab w:val="right" w:pos="9638"/>
        </w:tabs>
        <w:spacing w:after="120"/>
        <w:ind w:left="1134" w:hanging="1134"/>
      </w:pPr>
      <w:r>
        <w:tab/>
        <w:t>I.</w:t>
      </w:r>
      <w:r>
        <w:tab/>
        <w:t>Contexte général du pays</w:t>
      </w:r>
      <w:r>
        <w:tab/>
      </w:r>
      <w:r>
        <w:tab/>
        <w:t>14</w:t>
      </w:r>
    </w:p>
    <w:p w:rsidR="00000000" w:rsidRDefault="00000000">
      <w:pPr>
        <w:tabs>
          <w:tab w:val="right" w:leader="dot" w:pos="8787"/>
          <w:tab w:val="right" w:pos="9638"/>
        </w:tabs>
        <w:spacing w:after="120"/>
        <w:ind w:left="1559" w:hanging="425"/>
      </w:pPr>
      <w:r>
        <w:t>A.</w:t>
      </w:r>
      <w:r>
        <w:tab/>
        <w:t>Situation démographique</w:t>
      </w:r>
      <w:r>
        <w:tab/>
      </w:r>
      <w:r>
        <w:tab/>
        <w:t>14</w:t>
      </w:r>
    </w:p>
    <w:p w:rsidR="00000000" w:rsidRDefault="00000000">
      <w:pPr>
        <w:tabs>
          <w:tab w:val="right" w:leader="dot" w:pos="8787"/>
          <w:tab w:val="right" w:pos="9638"/>
        </w:tabs>
        <w:spacing w:after="120"/>
        <w:ind w:left="1559" w:hanging="425"/>
      </w:pPr>
      <w:r>
        <w:t>B.</w:t>
      </w:r>
      <w:r>
        <w:tab/>
        <w:t>Le contexte socioéconomique</w:t>
      </w:r>
      <w:r>
        <w:tab/>
      </w:r>
      <w:r>
        <w:tab/>
        <w:t>16</w:t>
      </w:r>
    </w:p>
    <w:p w:rsidR="00000000" w:rsidRDefault="00000000">
      <w:pPr>
        <w:tabs>
          <w:tab w:val="right" w:leader="dot" w:pos="8787"/>
          <w:tab w:val="right" w:pos="9638"/>
        </w:tabs>
        <w:spacing w:after="120"/>
        <w:ind w:left="1559" w:hanging="425"/>
      </w:pPr>
      <w:r>
        <w:t>C.</w:t>
      </w:r>
      <w:r>
        <w:tab/>
        <w:t>Contexte politique et institutionnel</w:t>
      </w:r>
      <w:r>
        <w:tab/>
      </w:r>
      <w:r>
        <w:tab/>
        <w:t>20</w:t>
      </w:r>
    </w:p>
    <w:p w:rsidR="00000000" w:rsidRDefault="00000000">
      <w:pPr>
        <w:tabs>
          <w:tab w:val="right" w:pos="850"/>
          <w:tab w:val="right" w:leader="dot" w:pos="8787"/>
          <w:tab w:val="right" w:pos="9638"/>
        </w:tabs>
        <w:spacing w:after="120"/>
        <w:ind w:left="1134" w:hanging="1134"/>
      </w:pPr>
      <w:r>
        <w:tab/>
      </w:r>
      <w:r>
        <w:tab/>
        <w:t>Deuxième partie</w:t>
      </w:r>
      <w:r>
        <w:tab/>
      </w:r>
      <w:r>
        <w:tab/>
        <w:t>22</w:t>
      </w:r>
    </w:p>
    <w:p w:rsidR="00000000" w:rsidRDefault="00000000">
      <w:pPr>
        <w:tabs>
          <w:tab w:val="right" w:pos="850"/>
          <w:tab w:val="right" w:leader="dot" w:pos="8787"/>
          <w:tab w:val="right" w:pos="9638"/>
        </w:tabs>
        <w:spacing w:after="120"/>
        <w:ind w:left="1134" w:hanging="1134"/>
      </w:pPr>
      <w:r>
        <w:tab/>
        <w:t>I.</w:t>
      </w:r>
      <w:r>
        <w:tab/>
        <w:t>Mesures de mise en compatibilité de la législation avec la Convention</w:t>
      </w:r>
      <w:r>
        <w:tab/>
      </w:r>
      <w:r>
        <w:tab/>
        <w:t>22</w:t>
      </w:r>
    </w:p>
    <w:p w:rsidR="00000000" w:rsidRDefault="00000000">
      <w:pPr>
        <w:tabs>
          <w:tab w:val="right" w:leader="dot" w:pos="8787"/>
          <w:tab w:val="right" w:pos="9638"/>
        </w:tabs>
        <w:spacing w:after="120"/>
        <w:ind w:left="1559" w:hanging="425"/>
      </w:pPr>
      <w:r>
        <w:t>A.</w:t>
      </w:r>
      <w:r>
        <w:tab/>
        <w:t>Réformes législatives</w:t>
      </w:r>
      <w:r>
        <w:tab/>
      </w:r>
      <w:r>
        <w:tab/>
        <w:t>22</w:t>
      </w:r>
    </w:p>
    <w:p w:rsidR="00000000" w:rsidRDefault="00000000">
      <w:pPr>
        <w:tabs>
          <w:tab w:val="right" w:leader="dot" w:pos="8787"/>
          <w:tab w:val="right" w:pos="9638"/>
        </w:tabs>
        <w:spacing w:after="120"/>
        <w:ind w:left="1559" w:hanging="425"/>
      </w:pPr>
      <w:r>
        <w:t>B.</w:t>
      </w:r>
      <w:r>
        <w:tab/>
        <w:t>La coordination et le suivi de l’application de la convention</w:t>
      </w:r>
      <w:r>
        <w:tab/>
      </w:r>
      <w:r>
        <w:tab/>
        <w:t>22</w:t>
      </w:r>
    </w:p>
    <w:p w:rsidR="00000000" w:rsidRDefault="00000000">
      <w:pPr>
        <w:tabs>
          <w:tab w:val="right" w:leader="dot" w:pos="8787"/>
          <w:tab w:val="right" w:pos="9638"/>
        </w:tabs>
        <w:spacing w:after="120"/>
        <w:ind w:left="1559" w:hanging="425"/>
      </w:pPr>
      <w:r>
        <w:t>C.</w:t>
      </w:r>
      <w:r>
        <w:tab/>
        <w:t>Les ministères impliqués dans l’application de la Convention</w:t>
      </w:r>
      <w:r>
        <w:tab/>
      </w:r>
      <w:r>
        <w:tab/>
        <w:t>24</w:t>
      </w:r>
    </w:p>
    <w:p w:rsidR="00000000" w:rsidRDefault="00000000">
      <w:pPr>
        <w:tabs>
          <w:tab w:val="right" w:leader="dot" w:pos="8787"/>
          <w:tab w:val="right" w:pos="9638"/>
        </w:tabs>
        <w:spacing w:after="120"/>
        <w:ind w:left="1559" w:hanging="425"/>
      </w:pPr>
      <w:r>
        <w:t>D.</w:t>
      </w:r>
      <w:r>
        <w:tab/>
        <w:t>Mécanismes de suivi et évaluation de la mise en œuvre de la Convention</w:t>
      </w:r>
      <w:r>
        <w:tab/>
      </w:r>
      <w:r>
        <w:tab/>
        <w:t>25</w:t>
      </w:r>
    </w:p>
    <w:p w:rsidR="00000000" w:rsidRDefault="00000000">
      <w:pPr>
        <w:tabs>
          <w:tab w:val="right" w:leader="dot" w:pos="8787"/>
          <w:tab w:val="right" w:pos="9638"/>
        </w:tabs>
        <w:spacing w:after="120"/>
        <w:ind w:left="1559" w:hanging="425"/>
      </w:pPr>
      <w:r>
        <w:t>E.</w:t>
      </w:r>
      <w:r>
        <w:tab/>
        <w:t>Mécanismes de collecte des données</w:t>
      </w:r>
      <w:r>
        <w:tab/>
      </w:r>
      <w:r>
        <w:tab/>
        <w:t>26</w:t>
      </w:r>
    </w:p>
    <w:p w:rsidR="00000000" w:rsidRDefault="00000000">
      <w:pPr>
        <w:tabs>
          <w:tab w:val="right" w:leader="dot" w:pos="8787"/>
          <w:tab w:val="right" w:pos="9638"/>
        </w:tabs>
        <w:spacing w:after="120"/>
        <w:ind w:left="1559" w:hanging="425"/>
      </w:pPr>
      <w:r>
        <w:t>F.</w:t>
      </w:r>
      <w:r>
        <w:tab/>
        <w:t>Participation des enfants et des jeunes</w:t>
      </w:r>
      <w:r>
        <w:tab/>
      </w:r>
      <w:r>
        <w:tab/>
        <w:t>26</w:t>
      </w:r>
    </w:p>
    <w:p w:rsidR="00000000" w:rsidRDefault="00000000">
      <w:pPr>
        <w:tabs>
          <w:tab w:val="right" w:leader="dot" w:pos="8787"/>
          <w:tab w:val="right" w:pos="9638"/>
        </w:tabs>
        <w:spacing w:after="120"/>
        <w:ind w:left="1559" w:hanging="425"/>
      </w:pPr>
      <w:r>
        <w:t>G.</w:t>
      </w:r>
      <w:r>
        <w:tab/>
        <w:t>Allocations budgétaires en faveur des enfants</w:t>
      </w:r>
      <w:r>
        <w:tab/>
      </w:r>
      <w:r>
        <w:tab/>
        <w:t>27</w:t>
      </w:r>
    </w:p>
    <w:p w:rsidR="00000000" w:rsidRDefault="00000000">
      <w:pPr>
        <w:tabs>
          <w:tab w:val="right" w:leader="dot" w:pos="8787"/>
          <w:tab w:val="right" w:pos="9638"/>
        </w:tabs>
        <w:spacing w:after="120"/>
        <w:ind w:left="1559" w:hanging="425"/>
      </w:pPr>
      <w:r>
        <w:t>H.</w:t>
      </w:r>
      <w:r>
        <w:tab/>
        <w:t>Mesures prises pour vulgariser la Convention et sensibiliser l’opinion</w:t>
      </w:r>
      <w:r>
        <w:tab/>
      </w:r>
      <w:r>
        <w:tab/>
        <w:t>28</w:t>
      </w:r>
    </w:p>
    <w:p w:rsidR="00000000" w:rsidRDefault="00000000">
      <w:pPr>
        <w:tabs>
          <w:tab w:val="right" w:pos="850"/>
          <w:tab w:val="right" w:leader="dot" w:pos="8787"/>
          <w:tab w:val="right" w:pos="9638"/>
        </w:tabs>
        <w:spacing w:after="120"/>
        <w:ind w:left="1134" w:hanging="1134"/>
      </w:pPr>
      <w:r>
        <w:tab/>
        <w:t>II.</w:t>
      </w:r>
      <w:r>
        <w:tab/>
        <w:t>Définition de l’enfant</w:t>
      </w:r>
      <w:r>
        <w:tab/>
      </w:r>
      <w:r>
        <w:tab/>
        <w:t>29</w:t>
      </w:r>
    </w:p>
    <w:p w:rsidR="00000000" w:rsidRDefault="00000000">
      <w:pPr>
        <w:tabs>
          <w:tab w:val="right" w:pos="850"/>
          <w:tab w:val="right" w:leader="dot" w:pos="8787"/>
          <w:tab w:val="right" w:pos="9638"/>
        </w:tabs>
        <w:spacing w:after="120"/>
        <w:ind w:left="1134" w:hanging="1134"/>
      </w:pPr>
      <w:r>
        <w:tab/>
        <w:t>III.</w:t>
      </w:r>
      <w:r>
        <w:tab/>
        <w:t>Principes généraux</w:t>
      </w:r>
      <w:r>
        <w:tab/>
      </w:r>
      <w:r>
        <w:tab/>
        <w:t>30</w:t>
      </w:r>
    </w:p>
    <w:p w:rsidR="00000000" w:rsidRDefault="00000000">
      <w:pPr>
        <w:tabs>
          <w:tab w:val="right" w:leader="dot" w:pos="8787"/>
          <w:tab w:val="right" w:pos="9638"/>
        </w:tabs>
        <w:spacing w:after="120"/>
        <w:ind w:left="1559" w:hanging="425"/>
      </w:pPr>
      <w:r>
        <w:t>A.</w:t>
      </w:r>
      <w:r>
        <w:tab/>
        <w:t>Principe de non-discrimination</w:t>
      </w:r>
      <w:r>
        <w:tab/>
      </w:r>
      <w:r>
        <w:tab/>
        <w:t>30</w:t>
      </w:r>
    </w:p>
    <w:p w:rsidR="00000000" w:rsidRDefault="00000000">
      <w:pPr>
        <w:tabs>
          <w:tab w:val="right" w:leader="dot" w:pos="8787"/>
          <w:tab w:val="right" w:pos="9638"/>
        </w:tabs>
        <w:spacing w:after="120"/>
        <w:ind w:left="1559" w:hanging="425"/>
      </w:pPr>
      <w:r>
        <w:t>B.</w:t>
      </w:r>
      <w:r>
        <w:tab/>
        <w:t>Principe de l’intérêt supérieur de l’enfant</w:t>
      </w:r>
      <w:r>
        <w:tab/>
      </w:r>
      <w:r>
        <w:tab/>
        <w:t>31</w:t>
      </w:r>
    </w:p>
    <w:p w:rsidR="00000000" w:rsidRDefault="00000000">
      <w:pPr>
        <w:tabs>
          <w:tab w:val="right" w:leader="dot" w:pos="8787"/>
          <w:tab w:val="right" w:pos="9638"/>
        </w:tabs>
        <w:spacing w:after="120"/>
        <w:ind w:left="1559" w:hanging="425"/>
      </w:pPr>
      <w:r>
        <w:t>C.</w:t>
      </w:r>
      <w:r>
        <w:tab/>
        <w:t>Principes du droit à la vie, à la survie et au développement</w:t>
      </w:r>
      <w:r>
        <w:tab/>
      </w:r>
      <w:r>
        <w:tab/>
        <w:t>32</w:t>
      </w:r>
    </w:p>
    <w:p w:rsidR="00000000" w:rsidRDefault="00000000">
      <w:pPr>
        <w:tabs>
          <w:tab w:val="right" w:leader="dot" w:pos="8787"/>
          <w:tab w:val="right" w:pos="9638"/>
        </w:tabs>
        <w:spacing w:after="120"/>
        <w:ind w:left="1559" w:hanging="425"/>
      </w:pPr>
      <w:r>
        <w:t>D.</w:t>
      </w:r>
      <w:r>
        <w:tab/>
        <w:t>Principe du respect de l’opinion de l’enfant</w:t>
      </w:r>
      <w:r>
        <w:tab/>
      </w:r>
      <w:r>
        <w:tab/>
        <w:t>33</w:t>
      </w:r>
    </w:p>
    <w:p w:rsidR="00000000" w:rsidRDefault="00000000">
      <w:pPr>
        <w:tabs>
          <w:tab w:val="right" w:pos="850"/>
          <w:tab w:val="right" w:leader="dot" w:pos="8787"/>
          <w:tab w:val="right" w:pos="9638"/>
        </w:tabs>
        <w:spacing w:after="120"/>
        <w:ind w:left="1134" w:hanging="1134"/>
      </w:pPr>
      <w:r>
        <w:tab/>
        <w:t>IV.</w:t>
      </w:r>
      <w:r>
        <w:tab/>
        <w:t>Libertés et droits civils</w:t>
      </w:r>
      <w:r>
        <w:tab/>
      </w:r>
      <w:r>
        <w:tab/>
        <w:t>35</w:t>
      </w:r>
    </w:p>
    <w:p w:rsidR="00000000" w:rsidRDefault="00000000">
      <w:pPr>
        <w:tabs>
          <w:tab w:val="right" w:leader="dot" w:pos="8787"/>
          <w:tab w:val="right" w:pos="9638"/>
        </w:tabs>
        <w:spacing w:after="120"/>
        <w:ind w:left="1559" w:hanging="425"/>
      </w:pPr>
      <w:r>
        <w:t>A.</w:t>
      </w:r>
      <w:r>
        <w:tab/>
        <w:t>Nom et nationalité</w:t>
      </w:r>
      <w:r>
        <w:tab/>
      </w:r>
      <w:r>
        <w:tab/>
        <w:t>35</w:t>
      </w:r>
    </w:p>
    <w:p w:rsidR="00000000" w:rsidRDefault="00000000">
      <w:pPr>
        <w:tabs>
          <w:tab w:val="right" w:leader="dot" w:pos="8787"/>
          <w:tab w:val="right" w:pos="9638"/>
        </w:tabs>
        <w:spacing w:after="120"/>
        <w:ind w:left="1559" w:hanging="425"/>
      </w:pPr>
      <w:r>
        <w:t>B.</w:t>
      </w:r>
      <w:r>
        <w:tab/>
        <w:t>Respect de l’intégrité physique et des droits de l’enfant</w:t>
      </w:r>
      <w:r>
        <w:tab/>
      </w:r>
      <w:r>
        <w:tab/>
        <w:t>36</w:t>
      </w:r>
    </w:p>
    <w:p w:rsidR="00000000" w:rsidRDefault="00000000">
      <w:pPr>
        <w:tabs>
          <w:tab w:val="right" w:leader="dot" w:pos="8787"/>
          <w:tab w:val="right" w:pos="9638"/>
        </w:tabs>
        <w:spacing w:after="120"/>
        <w:ind w:left="1559" w:hanging="425"/>
      </w:pPr>
      <w:r>
        <w:t>C.</w:t>
      </w:r>
      <w:r>
        <w:tab/>
        <w:t>Liberté d’association et de réunion pacifique</w:t>
      </w:r>
      <w:r>
        <w:tab/>
      </w:r>
      <w:r>
        <w:tab/>
        <w:t>37</w:t>
      </w:r>
    </w:p>
    <w:p w:rsidR="00000000" w:rsidRDefault="00000000">
      <w:pPr>
        <w:tabs>
          <w:tab w:val="right" w:leader="dot" w:pos="8787"/>
          <w:tab w:val="right" w:pos="9638"/>
        </w:tabs>
        <w:spacing w:after="120"/>
        <w:ind w:left="1559" w:hanging="425"/>
      </w:pPr>
      <w:r>
        <w:t>D.</w:t>
      </w:r>
      <w:r>
        <w:tab/>
        <w:t>Accès à l’information</w:t>
      </w:r>
      <w:r>
        <w:tab/>
      </w:r>
      <w:r>
        <w:tab/>
        <w:t>37</w:t>
      </w:r>
    </w:p>
    <w:p w:rsidR="00000000" w:rsidRDefault="00000000">
      <w:pPr>
        <w:tabs>
          <w:tab w:val="right" w:pos="850"/>
          <w:tab w:val="right" w:leader="dot" w:pos="8787"/>
          <w:tab w:val="right" w:pos="9638"/>
        </w:tabs>
        <w:spacing w:after="120"/>
        <w:ind w:left="1134" w:hanging="1134"/>
      </w:pPr>
      <w:r>
        <w:tab/>
        <w:t>V.</w:t>
      </w:r>
      <w:r>
        <w:tab/>
        <w:t>Milieu familial et placement alternatif</w:t>
      </w:r>
      <w:r>
        <w:tab/>
      </w:r>
      <w:r>
        <w:tab/>
        <w:t>39</w:t>
      </w:r>
    </w:p>
    <w:p w:rsidR="00000000" w:rsidRDefault="00000000">
      <w:pPr>
        <w:tabs>
          <w:tab w:val="right" w:leader="dot" w:pos="8787"/>
          <w:tab w:val="right" w:pos="9638"/>
        </w:tabs>
        <w:spacing w:after="120"/>
        <w:ind w:left="1559" w:hanging="425"/>
      </w:pPr>
      <w:r>
        <w:t>A.</w:t>
      </w:r>
      <w:r>
        <w:tab/>
        <w:t>Orientation parentale</w:t>
      </w:r>
      <w:r>
        <w:tab/>
      </w:r>
      <w:r>
        <w:tab/>
        <w:t>39</w:t>
      </w:r>
    </w:p>
    <w:p w:rsidR="00000000" w:rsidRDefault="00000000">
      <w:pPr>
        <w:tabs>
          <w:tab w:val="right" w:leader="dot" w:pos="8787"/>
          <w:tab w:val="right" w:pos="9638"/>
        </w:tabs>
        <w:spacing w:after="120"/>
        <w:ind w:left="1559" w:hanging="425"/>
      </w:pPr>
      <w:r>
        <w:t>B.</w:t>
      </w:r>
      <w:r>
        <w:tab/>
        <w:t>Responsabilité parentale</w:t>
      </w:r>
      <w:r>
        <w:tab/>
      </w:r>
      <w:r>
        <w:tab/>
        <w:t>40</w:t>
      </w:r>
    </w:p>
    <w:p w:rsidR="00000000" w:rsidRDefault="00000000">
      <w:pPr>
        <w:tabs>
          <w:tab w:val="right" w:leader="dot" w:pos="8787"/>
          <w:tab w:val="right" w:pos="9638"/>
        </w:tabs>
        <w:spacing w:after="120"/>
        <w:ind w:left="1559" w:hanging="425"/>
      </w:pPr>
      <w:r>
        <w:t>C.</w:t>
      </w:r>
      <w:r>
        <w:tab/>
        <w:t>Séparation d’avec les parents</w:t>
      </w:r>
      <w:r>
        <w:tab/>
      </w:r>
      <w:r>
        <w:tab/>
        <w:t>41</w:t>
      </w:r>
    </w:p>
    <w:p w:rsidR="00000000" w:rsidRDefault="00000000">
      <w:pPr>
        <w:tabs>
          <w:tab w:val="right" w:leader="dot" w:pos="8787"/>
          <w:tab w:val="right" w:pos="9638"/>
        </w:tabs>
        <w:spacing w:after="120"/>
        <w:ind w:left="1559" w:hanging="425"/>
      </w:pPr>
      <w:r>
        <w:t>D.</w:t>
      </w:r>
      <w:r>
        <w:tab/>
        <w:t>Réunification familiale</w:t>
      </w:r>
      <w:r>
        <w:tab/>
      </w:r>
      <w:r>
        <w:tab/>
        <w:t>41</w:t>
      </w:r>
    </w:p>
    <w:p w:rsidR="00000000" w:rsidRDefault="00000000">
      <w:pPr>
        <w:tabs>
          <w:tab w:val="right" w:leader="dot" w:pos="8787"/>
          <w:tab w:val="right" w:pos="9638"/>
        </w:tabs>
        <w:spacing w:after="120"/>
        <w:ind w:left="1559" w:hanging="425"/>
      </w:pPr>
      <w:r>
        <w:t>E.</w:t>
      </w:r>
      <w:r>
        <w:tab/>
        <w:t>Déplacement illicite et non-retour</w:t>
      </w:r>
      <w:r>
        <w:tab/>
      </w:r>
      <w:r>
        <w:tab/>
        <w:t>42</w:t>
      </w:r>
    </w:p>
    <w:p w:rsidR="00000000" w:rsidRDefault="00000000">
      <w:pPr>
        <w:tabs>
          <w:tab w:val="right" w:leader="dot" w:pos="8787"/>
          <w:tab w:val="right" w:pos="9638"/>
        </w:tabs>
        <w:spacing w:after="120"/>
        <w:ind w:left="1559" w:hanging="425"/>
      </w:pPr>
      <w:r>
        <w:t>F.</w:t>
      </w:r>
      <w:r>
        <w:tab/>
        <w:t>Recouvrement de pension alimentaire</w:t>
      </w:r>
      <w:r>
        <w:tab/>
      </w:r>
      <w:r>
        <w:tab/>
        <w:t>43</w:t>
      </w:r>
    </w:p>
    <w:p w:rsidR="00000000" w:rsidRDefault="00000000">
      <w:pPr>
        <w:tabs>
          <w:tab w:val="right" w:leader="dot" w:pos="8787"/>
          <w:tab w:val="right" w:pos="9638"/>
        </w:tabs>
        <w:spacing w:after="120"/>
        <w:ind w:left="1559" w:hanging="425"/>
      </w:pPr>
      <w:r>
        <w:t>G.</w:t>
      </w:r>
      <w:r>
        <w:tab/>
        <w:t>Enfants privés de leur milieu familial</w:t>
      </w:r>
      <w:r>
        <w:tab/>
      </w:r>
      <w:r>
        <w:tab/>
        <w:t>43</w:t>
      </w:r>
    </w:p>
    <w:p w:rsidR="00000000" w:rsidRDefault="00000000">
      <w:pPr>
        <w:tabs>
          <w:tab w:val="right" w:leader="dot" w:pos="8787"/>
          <w:tab w:val="right" w:pos="9638"/>
        </w:tabs>
        <w:spacing w:after="120"/>
        <w:ind w:left="1559" w:hanging="425"/>
      </w:pPr>
      <w:r>
        <w:t>H.</w:t>
      </w:r>
      <w:r>
        <w:tab/>
        <w:t>Adoption</w:t>
      </w:r>
      <w:r>
        <w:tab/>
      </w:r>
      <w:r>
        <w:tab/>
        <w:t>44</w:t>
      </w:r>
    </w:p>
    <w:p w:rsidR="00000000" w:rsidRDefault="00000000">
      <w:pPr>
        <w:tabs>
          <w:tab w:val="right" w:leader="dot" w:pos="8787"/>
          <w:tab w:val="right" w:pos="9638"/>
        </w:tabs>
        <w:spacing w:after="120"/>
        <w:ind w:left="1559" w:hanging="425"/>
      </w:pPr>
      <w:r>
        <w:t>I.</w:t>
      </w:r>
      <w:r>
        <w:tab/>
        <w:t>Examen périodique du placement</w:t>
      </w:r>
      <w:r>
        <w:tab/>
      </w:r>
      <w:r>
        <w:tab/>
        <w:t>47</w:t>
      </w:r>
    </w:p>
    <w:p w:rsidR="00000000" w:rsidRDefault="00000000">
      <w:pPr>
        <w:tabs>
          <w:tab w:val="right" w:leader="dot" w:pos="8787"/>
          <w:tab w:val="right" w:pos="9638"/>
        </w:tabs>
        <w:spacing w:after="120"/>
        <w:ind w:left="1559" w:hanging="425"/>
      </w:pPr>
      <w:r>
        <w:t>J.</w:t>
      </w:r>
      <w:r>
        <w:tab/>
        <w:t>Abandon ou négligence y compris la réadaptation physique,</w:t>
      </w:r>
      <w:r>
        <w:br/>
        <w:t>psychologique et réinsertion sociale</w:t>
      </w:r>
      <w:r>
        <w:tab/>
      </w:r>
      <w:r>
        <w:tab/>
        <w:t>48</w:t>
      </w:r>
    </w:p>
    <w:p w:rsidR="00000000" w:rsidRDefault="00000000">
      <w:pPr>
        <w:tabs>
          <w:tab w:val="right" w:pos="850"/>
          <w:tab w:val="right" w:leader="dot" w:pos="8787"/>
          <w:tab w:val="right" w:pos="9638"/>
        </w:tabs>
        <w:spacing w:after="120"/>
        <w:ind w:left="1134" w:hanging="1134"/>
      </w:pPr>
      <w:r>
        <w:tab/>
        <w:t>VI.</w:t>
      </w:r>
      <w:r>
        <w:tab/>
        <w:t>Santé de base et bien-être</w:t>
      </w:r>
      <w:r>
        <w:tab/>
      </w:r>
      <w:r>
        <w:tab/>
        <w:t>52</w:t>
      </w:r>
    </w:p>
    <w:p w:rsidR="00000000" w:rsidRDefault="00000000">
      <w:pPr>
        <w:tabs>
          <w:tab w:val="right" w:leader="dot" w:pos="8787"/>
          <w:tab w:val="right" w:pos="9638"/>
        </w:tabs>
        <w:spacing w:after="120"/>
        <w:ind w:left="1559" w:hanging="425"/>
      </w:pPr>
      <w:r>
        <w:t>A.</w:t>
      </w:r>
      <w:r>
        <w:tab/>
        <w:t>Les enfants handicapés</w:t>
      </w:r>
      <w:r>
        <w:tab/>
      </w:r>
      <w:r>
        <w:tab/>
        <w:t>52</w:t>
      </w:r>
    </w:p>
    <w:p w:rsidR="00000000" w:rsidRDefault="00000000">
      <w:pPr>
        <w:tabs>
          <w:tab w:val="right" w:leader="dot" w:pos="8787"/>
          <w:tab w:val="right" w:pos="9638"/>
        </w:tabs>
        <w:spacing w:after="120"/>
        <w:ind w:left="1559" w:hanging="425"/>
      </w:pPr>
      <w:r>
        <w:t>B.</w:t>
      </w:r>
      <w:r>
        <w:tab/>
        <w:t>La santé et les services médicaux</w:t>
      </w:r>
      <w:r>
        <w:tab/>
      </w:r>
      <w:r>
        <w:tab/>
        <w:t>57</w:t>
      </w:r>
    </w:p>
    <w:p w:rsidR="00000000" w:rsidRDefault="00000000">
      <w:pPr>
        <w:tabs>
          <w:tab w:val="right" w:leader="dot" w:pos="8787"/>
          <w:tab w:val="right" w:pos="9638"/>
        </w:tabs>
        <w:spacing w:after="120"/>
        <w:ind w:left="1559" w:hanging="425"/>
      </w:pPr>
      <w:r>
        <w:t>C.</w:t>
      </w:r>
      <w:r>
        <w:tab/>
        <w:t>La lutte contre le VIH et le sida</w:t>
      </w:r>
      <w:r>
        <w:tab/>
      </w:r>
      <w:r>
        <w:tab/>
        <w:t>70</w:t>
      </w:r>
    </w:p>
    <w:p w:rsidR="00000000" w:rsidRDefault="00000000">
      <w:pPr>
        <w:tabs>
          <w:tab w:val="right" w:leader="dot" w:pos="8787"/>
          <w:tab w:val="right" w:pos="9638"/>
        </w:tabs>
        <w:spacing w:after="120"/>
        <w:ind w:left="1559" w:hanging="425"/>
      </w:pPr>
      <w:r>
        <w:t>D.</w:t>
      </w:r>
      <w:r>
        <w:tab/>
        <w:t>Sécurité sociale</w:t>
      </w:r>
      <w:r>
        <w:tab/>
      </w:r>
      <w:r>
        <w:tab/>
        <w:t>73</w:t>
      </w:r>
    </w:p>
    <w:p w:rsidR="00000000" w:rsidRDefault="00000000">
      <w:pPr>
        <w:tabs>
          <w:tab w:val="right" w:leader="dot" w:pos="8787"/>
          <w:tab w:val="right" w:pos="9638"/>
        </w:tabs>
        <w:spacing w:after="120"/>
        <w:ind w:left="1559" w:hanging="425"/>
      </w:pPr>
      <w:r>
        <w:t>E.</w:t>
      </w:r>
      <w:r>
        <w:tab/>
        <w:t>Niveau de vie</w:t>
      </w:r>
      <w:r>
        <w:tab/>
      </w:r>
      <w:r>
        <w:tab/>
        <w:t>73</w:t>
      </w:r>
    </w:p>
    <w:p w:rsidR="00000000" w:rsidRDefault="00000000">
      <w:pPr>
        <w:tabs>
          <w:tab w:val="right" w:pos="850"/>
          <w:tab w:val="right" w:leader="dot" w:pos="8787"/>
          <w:tab w:val="right" w:pos="9638"/>
        </w:tabs>
        <w:spacing w:after="120"/>
        <w:ind w:left="1134" w:hanging="1134"/>
      </w:pPr>
      <w:r>
        <w:tab/>
        <w:t>VII.</w:t>
      </w:r>
      <w:r>
        <w:tab/>
        <w:t>Éducation, loisirs et activités culturelles</w:t>
      </w:r>
      <w:r>
        <w:tab/>
      </w:r>
      <w:r>
        <w:tab/>
        <w:t>76</w:t>
      </w:r>
    </w:p>
    <w:p w:rsidR="00000000" w:rsidRDefault="00000000">
      <w:pPr>
        <w:tabs>
          <w:tab w:val="right" w:leader="dot" w:pos="8787"/>
          <w:tab w:val="right" w:pos="9638"/>
        </w:tabs>
        <w:spacing w:after="120"/>
        <w:ind w:left="1559" w:hanging="425"/>
      </w:pPr>
      <w:r>
        <w:t>A.</w:t>
      </w:r>
      <w:r>
        <w:tab/>
        <w:t>L’éducation, y compris la formation et l’orientation professionnelle</w:t>
      </w:r>
      <w:r>
        <w:tab/>
      </w:r>
      <w:r>
        <w:tab/>
        <w:t>76</w:t>
      </w:r>
    </w:p>
    <w:p w:rsidR="00000000" w:rsidRDefault="00000000">
      <w:pPr>
        <w:tabs>
          <w:tab w:val="right" w:leader="dot" w:pos="8787"/>
          <w:tab w:val="right" w:pos="9638"/>
        </w:tabs>
        <w:spacing w:after="120"/>
        <w:ind w:left="1559" w:hanging="425"/>
      </w:pPr>
      <w:r>
        <w:t>B.</w:t>
      </w:r>
      <w:r>
        <w:tab/>
        <w:t>Objectifs de l’État en matière d’éducation</w:t>
      </w:r>
      <w:r>
        <w:tab/>
      </w:r>
      <w:r>
        <w:tab/>
        <w:t>86</w:t>
      </w:r>
    </w:p>
    <w:p w:rsidR="00000000" w:rsidRDefault="00000000">
      <w:pPr>
        <w:tabs>
          <w:tab w:val="right" w:leader="dot" w:pos="8787"/>
          <w:tab w:val="right" w:pos="9638"/>
        </w:tabs>
        <w:spacing w:after="120"/>
        <w:ind w:left="1559" w:hanging="425"/>
      </w:pPr>
      <w:r>
        <w:t>C.</w:t>
      </w:r>
      <w:r>
        <w:tab/>
        <w:t>Loisirs, récréation et activités culturelles</w:t>
      </w:r>
      <w:r>
        <w:tab/>
      </w:r>
      <w:r>
        <w:tab/>
        <w:t>91</w:t>
      </w:r>
    </w:p>
    <w:p w:rsidR="00000000" w:rsidRDefault="00000000">
      <w:pPr>
        <w:tabs>
          <w:tab w:val="right" w:pos="850"/>
          <w:tab w:val="right" w:leader="dot" w:pos="8787"/>
          <w:tab w:val="right" w:pos="9638"/>
        </w:tabs>
        <w:spacing w:after="120"/>
        <w:ind w:left="1134" w:hanging="1134"/>
      </w:pPr>
      <w:r>
        <w:tab/>
        <w:t>VIII.</w:t>
      </w:r>
      <w:r>
        <w:tab/>
        <w:t>Mesures spéciales de protection de l’enfant</w:t>
      </w:r>
      <w:r>
        <w:tab/>
      </w:r>
      <w:r>
        <w:tab/>
        <w:t>92</w:t>
      </w:r>
    </w:p>
    <w:p w:rsidR="00000000" w:rsidRDefault="00000000">
      <w:pPr>
        <w:tabs>
          <w:tab w:val="right" w:leader="dot" w:pos="8787"/>
          <w:tab w:val="right" w:pos="9638"/>
        </w:tabs>
        <w:spacing w:after="120"/>
        <w:ind w:left="1559" w:hanging="425"/>
      </w:pPr>
      <w:r>
        <w:t>A.</w:t>
      </w:r>
      <w:r>
        <w:tab/>
        <w:t>Les enfants touchés par des conflits armés</w:t>
      </w:r>
      <w:r>
        <w:tab/>
      </w:r>
      <w:r>
        <w:tab/>
        <w:t>92</w:t>
      </w:r>
    </w:p>
    <w:p w:rsidR="00000000" w:rsidRDefault="00000000">
      <w:pPr>
        <w:tabs>
          <w:tab w:val="right" w:leader="dot" w:pos="8787"/>
          <w:tab w:val="right" w:pos="9638"/>
        </w:tabs>
        <w:spacing w:after="120"/>
        <w:ind w:left="1559" w:hanging="425"/>
      </w:pPr>
      <w:r>
        <w:t>B.</w:t>
      </w:r>
      <w:r>
        <w:tab/>
        <w:t>Les enfants en situation de conflit avec la loi</w:t>
      </w:r>
      <w:r>
        <w:tab/>
      </w:r>
      <w:r>
        <w:tab/>
        <w:t>94</w:t>
      </w:r>
    </w:p>
    <w:p w:rsidR="00000000" w:rsidRDefault="00000000">
      <w:pPr>
        <w:tabs>
          <w:tab w:val="right" w:leader="dot" w:pos="8787"/>
          <w:tab w:val="right" w:pos="9638"/>
        </w:tabs>
        <w:spacing w:after="120"/>
        <w:ind w:left="1559" w:hanging="425"/>
      </w:pPr>
      <w:r>
        <w:t>C.</w:t>
      </w:r>
      <w:r>
        <w:tab/>
        <w:t>Les enfants en situation d’exploitation, y compris leur réadaptation physique,</w:t>
      </w:r>
      <w:r>
        <w:br/>
        <w:t>psychologique et leur réinsertion sociale</w:t>
      </w:r>
      <w:r>
        <w:tab/>
      </w:r>
      <w:r>
        <w:tab/>
        <w:t>101</w:t>
      </w:r>
    </w:p>
    <w:p w:rsidR="00000000" w:rsidRDefault="00000000">
      <w:pPr>
        <w:tabs>
          <w:tab w:val="right" w:leader="dot" w:pos="8787"/>
          <w:tab w:val="right" w:pos="9638"/>
        </w:tabs>
        <w:spacing w:after="120"/>
        <w:ind w:left="1559" w:hanging="425"/>
      </w:pPr>
      <w:r>
        <w:t>D.</w:t>
      </w:r>
      <w:r>
        <w:tab/>
        <w:t>Usage des stupéfiants</w:t>
      </w:r>
      <w:r>
        <w:tab/>
      </w:r>
      <w:r>
        <w:tab/>
        <w:t>106</w:t>
      </w:r>
    </w:p>
    <w:p w:rsidR="00000000" w:rsidRDefault="00000000">
      <w:pPr>
        <w:tabs>
          <w:tab w:val="right" w:leader="dot" w:pos="8787"/>
          <w:tab w:val="right" w:pos="9638"/>
        </w:tabs>
        <w:spacing w:after="120"/>
        <w:ind w:left="1559" w:hanging="425"/>
      </w:pPr>
      <w:r>
        <w:t>E.</w:t>
      </w:r>
      <w:r>
        <w:tab/>
        <w:t>Exploitation sexuelle et violence sexuelle</w:t>
      </w:r>
      <w:r>
        <w:tab/>
      </w:r>
      <w:r>
        <w:tab/>
        <w:t>108</w:t>
      </w:r>
    </w:p>
    <w:p w:rsidR="00000000" w:rsidRDefault="00000000">
      <w:pPr>
        <w:tabs>
          <w:tab w:val="right" w:leader="dot" w:pos="8787"/>
          <w:tab w:val="right" w:pos="9638"/>
        </w:tabs>
        <w:spacing w:after="120"/>
        <w:ind w:left="1559" w:hanging="425"/>
      </w:pPr>
      <w:r>
        <w:t>F.</w:t>
      </w:r>
      <w:r>
        <w:tab/>
        <w:t>Vente, traite et enlèvement d’enfant</w:t>
      </w:r>
      <w:r>
        <w:tab/>
      </w:r>
      <w:r>
        <w:tab/>
        <w:t>113</w:t>
      </w:r>
    </w:p>
    <w:p w:rsidR="00000000" w:rsidRDefault="00000000">
      <w:pPr>
        <w:tabs>
          <w:tab w:val="right" w:leader="dot" w:pos="8787"/>
          <w:tab w:val="right" w:pos="9638"/>
        </w:tabs>
        <w:spacing w:after="120"/>
        <w:ind w:left="1559" w:hanging="425"/>
      </w:pPr>
      <w:r>
        <w:t>G.</w:t>
      </w:r>
      <w:r>
        <w:tab/>
        <w:t>Protection des enfants en cas de catastrophes naturelles</w:t>
      </w:r>
      <w:r>
        <w:tab/>
      </w:r>
      <w:r>
        <w:tab/>
        <w:t>116</w:t>
      </w:r>
    </w:p>
    <w:p w:rsidR="00000000" w:rsidRDefault="00000000">
      <w:pPr>
        <w:tabs>
          <w:tab w:val="right" w:pos="850"/>
          <w:tab w:val="right" w:leader="dot" w:pos="8787"/>
          <w:tab w:val="right" w:pos="9638"/>
        </w:tabs>
        <w:spacing w:after="120"/>
        <w:ind w:left="1134" w:hanging="1134"/>
      </w:pPr>
      <w:r>
        <w:tab/>
        <w:t>Annexe I.</w:t>
      </w:r>
      <w:r>
        <w:tab/>
        <w:t>Tableaux statistiques</w:t>
      </w:r>
      <w:r>
        <w:tab/>
      </w:r>
      <w:r>
        <w:tab/>
        <w:t>119</w:t>
      </w:r>
    </w:p>
    <w:p w:rsidR="00000000" w:rsidRDefault="00000000">
      <w:pPr>
        <w:tabs>
          <w:tab w:val="right" w:pos="850"/>
          <w:tab w:val="right" w:leader="dot" w:pos="8787"/>
          <w:tab w:val="right" w:pos="9638"/>
        </w:tabs>
        <w:spacing w:after="120"/>
        <w:ind w:left="1134" w:hanging="1134"/>
      </w:pPr>
      <w:r>
        <w:t>Annexe II.</w:t>
      </w:r>
      <w:r>
        <w:tab/>
        <w:t>Réforme législative</w:t>
      </w:r>
      <w:r>
        <w:tab/>
      </w:r>
      <w:r>
        <w:tab/>
        <w:t>123</w:t>
      </w:r>
    </w:p>
    <w:p w:rsidR="00000000" w:rsidRDefault="00000000">
      <w:pPr>
        <w:tabs>
          <w:tab w:val="right" w:pos="850"/>
          <w:tab w:val="right" w:leader="dot" w:pos="8787"/>
          <w:tab w:val="right" w:pos="9638"/>
        </w:tabs>
        <w:spacing w:after="120"/>
        <w:ind w:left="1134" w:hanging="1134"/>
      </w:pPr>
      <w:r>
        <w:t xml:space="preserve">Annexe </w:t>
      </w:r>
      <w:r>
        <w:tab/>
        <w:t>III.</w:t>
      </w:r>
      <w:r>
        <w:tab/>
        <w:t>Politiques et programmes</w:t>
      </w:r>
      <w:r>
        <w:tab/>
      </w:r>
      <w:r>
        <w:tab/>
        <w:t>125</w:t>
      </w:r>
    </w:p>
    <w:p w:rsidR="00000000" w:rsidRDefault="00000000">
      <w:pPr>
        <w:tabs>
          <w:tab w:val="right" w:pos="850"/>
          <w:tab w:val="right" w:leader="dot" w:pos="8787"/>
          <w:tab w:val="right" w:pos="9638"/>
        </w:tabs>
        <w:spacing w:after="120"/>
        <w:ind w:left="1134" w:hanging="1134"/>
      </w:pPr>
      <w:r>
        <w:t xml:space="preserve">Annexe </w:t>
      </w:r>
      <w:r>
        <w:tab/>
        <w:t>IV.</w:t>
      </w:r>
      <w:r>
        <w:tab/>
        <w:t>Les activités de loisirs, sports, etc.</w:t>
      </w:r>
      <w:r>
        <w:tab/>
      </w:r>
      <w:r>
        <w:tab/>
        <w:t>126</w:t>
      </w:r>
    </w:p>
    <w:p w:rsidR="00000000" w:rsidRDefault="00000000">
      <w:pPr>
        <w:tabs>
          <w:tab w:val="right" w:pos="850"/>
        </w:tabs>
        <w:spacing w:after="120"/>
        <w:rPr>
          <w:lang w:val="fr-FR"/>
        </w:rPr>
      </w:pPr>
      <w:r>
        <w:tab/>
      </w:r>
      <w:bookmarkStart w:id="6" w:name="TABLEAUX_ET_FIGURES"/>
      <w:bookmarkEnd w:id="5"/>
      <w:bookmarkEnd w:id="6"/>
      <w:r>
        <w:rPr>
          <w:lang w:val="fr-FR"/>
        </w:rPr>
        <w:t>Tableaux et figures</w:t>
      </w:r>
    </w:p>
    <w:p w:rsidR="00000000" w:rsidRDefault="00000000">
      <w:pPr>
        <w:tabs>
          <w:tab w:val="right" w:pos="850"/>
          <w:tab w:val="right" w:leader="dot" w:pos="8787"/>
          <w:tab w:val="right" w:pos="9638"/>
        </w:tabs>
        <w:spacing w:after="120"/>
        <w:ind w:left="1134" w:hanging="1134"/>
        <w:rPr>
          <w:bCs/>
          <w:lang w:val="fr-FR"/>
        </w:rPr>
      </w:pPr>
      <w:r>
        <w:rPr>
          <w:lang w:val="fr-FR"/>
        </w:rPr>
        <w:tab/>
        <w:t>Tab. 1.</w:t>
      </w:r>
      <w:r>
        <w:rPr>
          <w:lang w:val="fr-FR"/>
        </w:rPr>
        <w:tab/>
      </w:r>
      <w:r>
        <w:rPr>
          <w:bCs/>
          <w:lang w:val="fr-FR"/>
        </w:rPr>
        <w:t>Les consultations organisées pour l’élaboration du rapport CDE</w:t>
      </w:r>
      <w:r>
        <w:rPr>
          <w:bCs/>
          <w:lang w:val="fr-FR"/>
        </w:rPr>
        <w:tab/>
      </w:r>
      <w:r>
        <w:rPr>
          <w:bCs/>
          <w:lang w:val="fr-FR"/>
        </w:rPr>
        <w:tab/>
        <w:t>14</w:t>
      </w:r>
    </w:p>
    <w:p w:rsidR="00000000" w:rsidRDefault="00000000">
      <w:pPr>
        <w:tabs>
          <w:tab w:val="right" w:pos="850"/>
          <w:tab w:val="right" w:leader="dot" w:pos="8787"/>
          <w:tab w:val="right" w:pos="9638"/>
        </w:tabs>
        <w:spacing w:after="120"/>
        <w:ind w:left="1134" w:hanging="1134"/>
        <w:rPr>
          <w:bCs/>
          <w:lang w:val="fr-FR"/>
        </w:rPr>
      </w:pPr>
      <w:r>
        <w:rPr>
          <w:bCs/>
          <w:lang w:val="fr-FR"/>
        </w:rPr>
        <w:tab/>
        <w:t>Tab. 2.</w:t>
      </w:r>
      <w:r>
        <w:rPr>
          <w:bCs/>
          <w:lang w:val="fr-FR"/>
        </w:rPr>
        <w:tab/>
        <w:t>Estimation de la population malgache selon le sexe selon le sexe et</w:t>
      </w:r>
      <w:r>
        <w:rPr>
          <w:bCs/>
          <w:lang w:val="fr-FR"/>
        </w:rPr>
        <w:br/>
        <w:t>les milieux de résidence de 1993 à 2008</w:t>
      </w:r>
      <w:r>
        <w:rPr>
          <w:bCs/>
          <w:lang w:val="fr-FR"/>
        </w:rPr>
        <w:tab/>
      </w:r>
      <w:r>
        <w:rPr>
          <w:bCs/>
          <w:lang w:val="fr-FR"/>
        </w:rPr>
        <w:tab/>
        <w:t>15</w:t>
      </w:r>
    </w:p>
    <w:p w:rsidR="00000000" w:rsidRDefault="00000000">
      <w:pPr>
        <w:tabs>
          <w:tab w:val="right" w:pos="850"/>
          <w:tab w:val="right" w:leader="dot" w:pos="8787"/>
          <w:tab w:val="right" w:pos="9638"/>
        </w:tabs>
        <w:spacing w:after="120"/>
        <w:ind w:left="1134" w:hanging="1134"/>
        <w:rPr>
          <w:bCs/>
          <w:lang w:val="fr-FR"/>
        </w:rPr>
      </w:pPr>
      <w:r>
        <w:rPr>
          <w:bCs/>
          <w:lang w:val="fr-FR"/>
        </w:rPr>
        <w:tab/>
        <w:t>Tab. 3.</w:t>
      </w:r>
      <w:r>
        <w:rPr>
          <w:bCs/>
          <w:lang w:val="fr-FR"/>
        </w:rPr>
        <w:tab/>
        <w:t>Évolution de l’effectif de la population âgée de moins de 18 ans</w:t>
      </w:r>
      <w:r>
        <w:rPr>
          <w:bCs/>
          <w:lang w:val="fr-FR"/>
        </w:rPr>
        <w:tab/>
      </w:r>
      <w:r>
        <w:rPr>
          <w:bCs/>
          <w:lang w:val="fr-FR"/>
        </w:rPr>
        <w:tab/>
        <w:t>15</w:t>
      </w:r>
    </w:p>
    <w:p w:rsidR="00000000" w:rsidRDefault="00000000">
      <w:pPr>
        <w:tabs>
          <w:tab w:val="right" w:pos="850"/>
          <w:tab w:val="right" w:leader="dot" w:pos="8787"/>
          <w:tab w:val="right" w:pos="9638"/>
        </w:tabs>
        <w:spacing w:after="120"/>
        <w:ind w:left="1134" w:hanging="1134"/>
        <w:rPr>
          <w:bCs/>
          <w:lang w:val="fr-FR"/>
        </w:rPr>
      </w:pPr>
      <w:r>
        <w:rPr>
          <w:bCs/>
          <w:lang w:val="fr-FR"/>
        </w:rPr>
        <w:tab/>
        <w:t>Tab. 4.</w:t>
      </w:r>
      <w:r>
        <w:rPr>
          <w:bCs/>
          <w:lang w:val="fr-FR"/>
        </w:rPr>
        <w:tab/>
        <w:t>Le tableau et les graphiques ci-dessous synthétisent l’évolution des indicateurs</w:t>
      </w:r>
      <w:r>
        <w:rPr>
          <w:bCs/>
          <w:lang w:val="fr-FR"/>
        </w:rPr>
        <w:br/>
        <w:t>économiques durant la période couverte par le présent rapport</w:t>
      </w:r>
      <w:r>
        <w:rPr>
          <w:bCs/>
          <w:lang w:val="fr-FR"/>
        </w:rPr>
        <w:tab/>
      </w:r>
      <w:r>
        <w:rPr>
          <w:bCs/>
          <w:lang w:val="fr-FR"/>
        </w:rPr>
        <w:tab/>
        <w:t>17</w:t>
      </w:r>
    </w:p>
    <w:p w:rsidR="00000000" w:rsidRDefault="00000000">
      <w:pPr>
        <w:tabs>
          <w:tab w:val="right" w:pos="850"/>
          <w:tab w:val="right" w:leader="dot" w:pos="8787"/>
          <w:tab w:val="right" w:pos="9638"/>
        </w:tabs>
        <w:spacing w:after="120"/>
        <w:ind w:left="1134" w:hanging="1134"/>
        <w:rPr>
          <w:bCs/>
          <w:lang w:val="fr-FR"/>
        </w:rPr>
      </w:pPr>
      <w:r>
        <w:rPr>
          <w:bCs/>
          <w:lang w:val="fr-FR"/>
        </w:rPr>
        <w:tab/>
        <w:t>Tab. 5</w:t>
      </w:r>
      <w:r>
        <w:rPr>
          <w:bCs/>
          <w:lang w:val="fr-FR"/>
        </w:rPr>
        <w:tab/>
        <w:t>Évolution des taux de pauvreté monétaire 1999-2006</w:t>
      </w:r>
      <w:r>
        <w:rPr>
          <w:bCs/>
          <w:lang w:val="fr-FR"/>
        </w:rPr>
        <w:tab/>
      </w:r>
      <w:r>
        <w:rPr>
          <w:bCs/>
          <w:lang w:val="fr-FR"/>
        </w:rPr>
        <w:tab/>
        <w:t>19</w:t>
      </w:r>
    </w:p>
    <w:p w:rsidR="00000000" w:rsidRDefault="00000000">
      <w:pPr>
        <w:tabs>
          <w:tab w:val="right" w:pos="850"/>
          <w:tab w:val="right" w:leader="dot" w:pos="8787"/>
          <w:tab w:val="right" w:pos="9638"/>
        </w:tabs>
        <w:spacing w:after="120"/>
        <w:ind w:left="1134" w:hanging="1134"/>
        <w:rPr>
          <w:bCs/>
          <w:lang w:val="fr-FR"/>
        </w:rPr>
      </w:pPr>
      <w:r>
        <w:rPr>
          <w:bCs/>
          <w:lang w:val="fr-FR"/>
        </w:rPr>
        <w:tab/>
        <w:t>Tab. 6</w:t>
      </w:r>
      <w:r>
        <w:rPr>
          <w:bCs/>
          <w:lang w:val="fr-FR"/>
        </w:rPr>
        <w:tab/>
        <w:t>Parts du budget éducation dans les budgets annuels de l’État</w:t>
      </w:r>
      <w:r>
        <w:rPr>
          <w:bCs/>
          <w:lang w:val="fr-FR"/>
        </w:rPr>
        <w:tab/>
      </w:r>
      <w:r>
        <w:rPr>
          <w:bCs/>
          <w:lang w:val="fr-FR"/>
        </w:rPr>
        <w:tab/>
        <w:t>27</w:t>
      </w:r>
    </w:p>
    <w:p w:rsidR="00000000" w:rsidRDefault="00000000">
      <w:pPr>
        <w:tabs>
          <w:tab w:val="right" w:pos="850"/>
          <w:tab w:val="right" w:leader="dot" w:pos="8787"/>
          <w:tab w:val="right" w:pos="9638"/>
        </w:tabs>
        <w:spacing w:after="120"/>
        <w:ind w:left="1134" w:hanging="1134"/>
        <w:rPr>
          <w:bCs/>
          <w:lang w:val="fr-FR"/>
        </w:rPr>
      </w:pPr>
      <w:r>
        <w:rPr>
          <w:bCs/>
          <w:lang w:val="fr-FR"/>
        </w:rPr>
        <w:tab/>
        <w:t>Tab. 7</w:t>
      </w:r>
      <w:r>
        <w:rPr>
          <w:bCs/>
          <w:lang w:val="fr-FR"/>
        </w:rPr>
        <w:tab/>
        <w:t>Parts du budget du Ministère de la justice et des droits humains</w:t>
      </w:r>
      <w:r>
        <w:rPr>
          <w:bCs/>
          <w:lang w:val="fr-FR"/>
        </w:rPr>
        <w:br/>
        <w:t>dans les budgets annuels de l’État</w:t>
      </w:r>
      <w:r>
        <w:rPr>
          <w:bCs/>
          <w:lang w:val="fr-FR"/>
        </w:rPr>
        <w:tab/>
      </w:r>
      <w:r>
        <w:rPr>
          <w:bCs/>
          <w:lang w:val="fr-FR"/>
        </w:rPr>
        <w:tab/>
        <w:t>28</w:t>
      </w:r>
    </w:p>
    <w:p w:rsidR="00000000" w:rsidRDefault="00000000">
      <w:pPr>
        <w:tabs>
          <w:tab w:val="right" w:pos="850"/>
          <w:tab w:val="right" w:leader="dot" w:pos="8787"/>
          <w:tab w:val="right" w:pos="9638"/>
        </w:tabs>
        <w:spacing w:after="120"/>
        <w:ind w:left="1134" w:hanging="1134"/>
        <w:rPr>
          <w:bCs/>
          <w:lang w:val="fr-FR"/>
        </w:rPr>
      </w:pPr>
      <w:r>
        <w:rPr>
          <w:bCs/>
          <w:lang w:val="fr-FR"/>
        </w:rPr>
        <w:tab/>
        <w:t>Tab. 8</w:t>
      </w:r>
      <w:r>
        <w:rPr>
          <w:bCs/>
          <w:lang w:val="fr-FR"/>
        </w:rPr>
        <w:tab/>
        <w:t>Évolution du taux de mortalité infanto-juvénile et taux de mortalité infantile</w:t>
      </w:r>
      <w:r>
        <w:rPr>
          <w:bCs/>
          <w:lang w:val="fr-FR"/>
        </w:rPr>
        <w:tab/>
      </w:r>
      <w:r>
        <w:rPr>
          <w:bCs/>
          <w:lang w:val="fr-FR"/>
        </w:rPr>
        <w:tab/>
        <w:t>32</w:t>
      </w:r>
    </w:p>
    <w:p w:rsidR="00000000" w:rsidRDefault="00000000">
      <w:pPr>
        <w:tabs>
          <w:tab w:val="right" w:pos="850"/>
          <w:tab w:val="right" w:leader="dot" w:pos="8787"/>
          <w:tab w:val="right" w:pos="9638"/>
        </w:tabs>
        <w:spacing w:after="120"/>
        <w:ind w:left="1134" w:hanging="1134"/>
        <w:rPr>
          <w:bCs/>
          <w:lang w:val="fr-FR"/>
        </w:rPr>
      </w:pPr>
      <w:r>
        <w:rPr>
          <w:bCs/>
          <w:lang w:val="fr-FR"/>
        </w:rPr>
        <w:tab/>
        <w:t>Tab. 9</w:t>
      </w:r>
      <w:r>
        <w:rPr>
          <w:bCs/>
          <w:lang w:val="fr-FR"/>
        </w:rPr>
        <w:tab/>
        <w:t>Audience des chaînes de radio dans les ménages</w:t>
      </w:r>
      <w:r>
        <w:rPr>
          <w:bCs/>
          <w:lang w:val="fr-FR"/>
        </w:rPr>
        <w:tab/>
      </w:r>
      <w:r>
        <w:rPr>
          <w:bCs/>
          <w:lang w:val="fr-FR"/>
        </w:rPr>
        <w:tab/>
        <w:t>38</w:t>
      </w:r>
    </w:p>
    <w:p w:rsidR="00000000" w:rsidRDefault="00000000">
      <w:pPr>
        <w:tabs>
          <w:tab w:val="right" w:pos="850"/>
          <w:tab w:val="right" w:leader="dot" w:pos="8787"/>
          <w:tab w:val="right" w:pos="9638"/>
        </w:tabs>
        <w:spacing w:after="120"/>
        <w:ind w:left="1134" w:hanging="1134"/>
        <w:rPr>
          <w:bCs/>
          <w:lang w:val="fr-FR"/>
        </w:rPr>
      </w:pPr>
      <w:r>
        <w:rPr>
          <w:bCs/>
          <w:lang w:val="fr-FR"/>
        </w:rPr>
        <w:tab/>
        <w:t>Tab. 10</w:t>
      </w:r>
      <w:r>
        <w:rPr>
          <w:bCs/>
          <w:lang w:val="fr-FR"/>
        </w:rPr>
        <w:tab/>
        <w:t>Taux d’audience selon le sexe, l’âge selon des districts choisis</w:t>
      </w:r>
      <w:r>
        <w:rPr>
          <w:bCs/>
          <w:lang w:val="fr-FR"/>
        </w:rPr>
        <w:tab/>
      </w:r>
      <w:r>
        <w:rPr>
          <w:bCs/>
          <w:lang w:val="fr-FR"/>
        </w:rPr>
        <w:tab/>
        <w:t>38</w:t>
      </w:r>
    </w:p>
    <w:p w:rsidR="00000000" w:rsidRDefault="00000000">
      <w:pPr>
        <w:tabs>
          <w:tab w:val="right" w:pos="850"/>
          <w:tab w:val="right" w:leader="dot" w:pos="8787"/>
          <w:tab w:val="right" w:pos="9638"/>
        </w:tabs>
        <w:spacing w:after="120"/>
        <w:ind w:left="1134" w:hanging="1134"/>
        <w:rPr>
          <w:bCs/>
          <w:lang w:val="fr-FR"/>
        </w:rPr>
      </w:pPr>
      <w:r>
        <w:rPr>
          <w:bCs/>
          <w:lang w:val="fr-FR"/>
        </w:rPr>
        <w:tab/>
        <w:t>Tab. 11</w:t>
      </w:r>
      <w:r>
        <w:rPr>
          <w:bCs/>
          <w:lang w:val="fr-FR"/>
        </w:rPr>
        <w:tab/>
        <w:t>Les activités de l’OEMC vis-à-vis des parents</w:t>
      </w:r>
      <w:r>
        <w:rPr>
          <w:bCs/>
          <w:lang w:val="fr-FR"/>
        </w:rPr>
        <w:tab/>
      </w:r>
      <w:r>
        <w:rPr>
          <w:bCs/>
          <w:lang w:val="fr-FR"/>
        </w:rPr>
        <w:tab/>
        <w:t>40</w:t>
      </w:r>
    </w:p>
    <w:p w:rsidR="00000000" w:rsidRDefault="00000000">
      <w:pPr>
        <w:tabs>
          <w:tab w:val="right" w:pos="850"/>
          <w:tab w:val="right" w:leader="dot" w:pos="8787"/>
          <w:tab w:val="right" w:pos="9638"/>
        </w:tabs>
        <w:spacing w:after="120"/>
        <w:ind w:left="1134" w:hanging="1134"/>
        <w:rPr>
          <w:bCs/>
          <w:lang w:val="fr-FR"/>
        </w:rPr>
      </w:pPr>
      <w:r>
        <w:rPr>
          <w:bCs/>
          <w:lang w:val="fr-FR"/>
        </w:rPr>
        <w:tab/>
        <w:t>Tab. 12</w:t>
      </w:r>
      <w:r>
        <w:rPr>
          <w:bCs/>
          <w:lang w:val="fr-FR"/>
        </w:rPr>
        <w:tab/>
        <w:t>Cas de violence contre enfants traités par la DPMPM dans la période</w:t>
      </w:r>
      <w:r>
        <w:rPr>
          <w:bCs/>
          <w:lang w:val="fr-FR"/>
        </w:rPr>
        <w:br/>
        <w:t>de janvier à décembre 2006 par type de violence et par sexe</w:t>
      </w:r>
      <w:r>
        <w:rPr>
          <w:bCs/>
          <w:lang w:val="fr-FR"/>
        </w:rPr>
        <w:tab/>
      </w:r>
      <w:r>
        <w:rPr>
          <w:bCs/>
          <w:lang w:val="fr-FR"/>
        </w:rPr>
        <w:tab/>
        <w:t>48</w:t>
      </w:r>
    </w:p>
    <w:p w:rsidR="00000000" w:rsidRDefault="00000000">
      <w:pPr>
        <w:tabs>
          <w:tab w:val="right" w:pos="850"/>
          <w:tab w:val="right" w:leader="dot" w:pos="8787"/>
          <w:tab w:val="right" w:pos="9638"/>
        </w:tabs>
        <w:spacing w:after="120"/>
        <w:ind w:left="1134" w:hanging="1134"/>
        <w:rPr>
          <w:bCs/>
          <w:lang w:val="fr-FR"/>
        </w:rPr>
      </w:pPr>
      <w:r>
        <w:rPr>
          <w:bCs/>
          <w:lang w:val="fr-FR"/>
        </w:rPr>
        <w:tab/>
        <w:t>Tab. 13</w:t>
      </w:r>
      <w:r>
        <w:rPr>
          <w:bCs/>
          <w:lang w:val="fr-FR"/>
        </w:rPr>
        <w:tab/>
        <w:t>Cas de violence contre enfant traités par la DPMPM dans la période</w:t>
      </w:r>
      <w:r>
        <w:rPr>
          <w:bCs/>
          <w:lang w:val="fr-FR"/>
        </w:rPr>
        <w:br/>
        <w:t>de janvier à décembre 2006 par classe d’âge</w:t>
      </w:r>
      <w:r>
        <w:rPr>
          <w:bCs/>
          <w:lang w:val="fr-FR"/>
        </w:rPr>
        <w:tab/>
      </w:r>
      <w:r>
        <w:rPr>
          <w:bCs/>
          <w:lang w:val="fr-FR"/>
        </w:rPr>
        <w:tab/>
        <w:t>48</w:t>
      </w:r>
    </w:p>
    <w:p w:rsidR="00000000" w:rsidRDefault="00000000">
      <w:pPr>
        <w:tabs>
          <w:tab w:val="right" w:pos="850"/>
          <w:tab w:val="right" w:leader="dot" w:pos="8787"/>
          <w:tab w:val="right" w:pos="9638"/>
        </w:tabs>
        <w:spacing w:after="120"/>
        <w:ind w:left="1134" w:hanging="1134"/>
        <w:rPr>
          <w:bCs/>
          <w:lang w:val="fr-FR"/>
        </w:rPr>
      </w:pPr>
      <w:r>
        <w:rPr>
          <w:bCs/>
          <w:lang w:val="fr-FR"/>
        </w:rPr>
        <w:tab/>
        <w:t>Tab. 14</w:t>
      </w:r>
      <w:r>
        <w:rPr>
          <w:bCs/>
          <w:lang w:val="fr-FR"/>
        </w:rPr>
        <w:tab/>
        <w:t>Cas de violence physique contre enfants traités par la DPMPM dans</w:t>
      </w:r>
      <w:r>
        <w:rPr>
          <w:bCs/>
          <w:lang w:val="fr-FR"/>
        </w:rPr>
        <w:br/>
        <w:t>la période de janvier à décembre 2006 par type de violence et par sexe</w:t>
      </w:r>
      <w:r>
        <w:rPr>
          <w:bCs/>
          <w:lang w:val="fr-FR"/>
        </w:rPr>
        <w:tab/>
      </w:r>
      <w:r>
        <w:rPr>
          <w:bCs/>
          <w:lang w:val="fr-FR"/>
        </w:rPr>
        <w:tab/>
        <w:t>50</w:t>
      </w:r>
    </w:p>
    <w:p w:rsidR="00000000" w:rsidRDefault="00000000">
      <w:pPr>
        <w:tabs>
          <w:tab w:val="right" w:pos="850"/>
          <w:tab w:val="right" w:leader="dot" w:pos="8787"/>
          <w:tab w:val="right" w:pos="9638"/>
        </w:tabs>
        <w:spacing w:after="120"/>
        <w:ind w:left="1134" w:hanging="1134"/>
        <w:rPr>
          <w:bCs/>
          <w:lang w:val="fr-FR"/>
        </w:rPr>
      </w:pPr>
      <w:r>
        <w:rPr>
          <w:bCs/>
          <w:lang w:val="fr-FR"/>
        </w:rPr>
        <w:tab/>
        <w:t>Tab. 15</w:t>
      </w:r>
      <w:r>
        <w:rPr>
          <w:bCs/>
          <w:lang w:val="fr-FR"/>
        </w:rPr>
        <w:tab/>
        <w:t>Répartition estimée selon les tranches d’âge de la population handicapée</w:t>
      </w:r>
      <w:r>
        <w:rPr>
          <w:bCs/>
          <w:lang w:val="fr-FR"/>
        </w:rPr>
        <w:tab/>
      </w:r>
      <w:r>
        <w:rPr>
          <w:bCs/>
          <w:lang w:val="fr-FR"/>
        </w:rPr>
        <w:tab/>
        <w:t>53</w:t>
      </w:r>
    </w:p>
    <w:p w:rsidR="00000000" w:rsidRDefault="00000000">
      <w:pPr>
        <w:tabs>
          <w:tab w:val="right" w:pos="850"/>
          <w:tab w:val="right" w:leader="dot" w:pos="8787"/>
          <w:tab w:val="right" w:pos="9638"/>
        </w:tabs>
        <w:spacing w:after="120"/>
        <w:ind w:left="1134" w:hanging="1134"/>
        <w:rPr>
          <w:bCs/>
          <w:lang w:val="fr-FR"/>
        </w:rPr>
      </w:pPr>
      <w:r>
        <w:rPr>
          <w:bCs/>
          <w:lang w:val="fr-FR"/>
        </w:rPr>
        <w:tab/>
        <w:t>Tab. 16</w:t>
      </w:r>
      <w:r>
        <w:rPr>
          <w:bCs/>
          <w:lang w:val="fr-FR"/>
        </w:rPr>
        <w:tab/>
        <w:t>Tableau comparatif des taux de mortalité selon leur nature</w:t>
      </w:r>
      <w:r>
        <w:rPr>
          <w:bCs/>
          <w:lang w:val="fr-FR"/>
        </w:rPr>
        <w:tab/>
      </w:r>
      <w:r>
        <w:rPr>
          <w:bCs/>
          <w:lang w:val="fr-FR"/>
        </w:rPr>
        <w:tab/>
        <w:t>57</w:t>
      </w:r>
    </w:p>
    <w:p w:rsidR="00000000" w:rsidRDefault="00000000">
      <w:pPr>
        <w:tabs>
          <w:tab w:val="right" w:pos="850"/>
          <w:tab w:val="right" w:leader="dot" w:pos="8787"/>
          <w:tab w:val="right" w:pos="9638"/>
        </w:tabs>
        <w:spacing w:after="120"/>
        <w:ind w:left="1134" w:hanging="1134"/>
        <w:rPr>
          <w:bCs/>
          <w:lang w:val="fr-FR"/>
        </w:rPr>
      </w:pPr>
      <w:r>
        <w:rPr>
          <w:bCs/>
          <w:lang w:val="fr-FR"/>
        </w:rPr>
        <w:tab/>
        <w:t>Tab. 17</w:t>
      </w:r>
      <w:r>
        <w:rPr>
          <w:bCs/>
          <w:lang w:val="fr-FR"/>
        </w:rPr>
        <w:tab/>
        <w:t>La couverture vaccinale au 21 décembre 2006</w:t>
      </w:r>
      <w:r>
        <w:rPr>
          <w:bCs/>
          <w:lang w:val="fr-FR"/>
        </w:rPr>
        <w:tab/>
      </w:r>
      <w:r>
        <w:rPr>
          <w:bCs/>
          <w:lang w:val="fr-FR"/>
        </w:rPr>
        <w:tab/>
        <w:t>58</w:t>
      </w:r>
    </w:p>
    <w:p w:rsidR="00000000" w:rsidRDefault="00000000">
      <w:pPr>
        <w:tabs>
          <w:tab w:val="right" w:pos="850"/>
          <w:tab w:val="right" w:leader="dot" w:pos="8787"/>
          <w:tab w:val="right" w:pos="9638"/>
        </w:tabs>
        <w:spacing w:after="120"/>
        <w:ind w:left="1134" w:hanging="1134"/>
        <w:rPr>
          <w:bCs/>
          <w:lang w:val="fr-FR"/>
        </w:rPr>
      </w:pPr>
      <w:r>
        <w:rPr>
          <w:bCs/>
          <w:lang w:val="fr-FR"/>
        </w:rPr>
        <w:tab/>
        <w:t>Tab. 18</w:t>
      </w:r>
      <w:r>
        <w:rPr>
          <w:bCs/>
          <w:lang w:val="fr-FR"/>
        </w:rPr>
        <w:tab/>
        <w:t>Évolution de la part du budget alloué au secteur par rapport</w:t>
      </w:r>
      <w:r>
        <w:rPr>
          <w:bCs/>
          <w:lang w:val="fr-FR"/>
        </w:rPr>
        <w:br/>
        <w:t>au budget général par rapport au budget général en % de 1994 à 2005</w:t>
      </w:r>
      <w:r>
        <w:rPr>
          <w:bCs/>
          <w:lang w:val="fr-FR"/>
        </w:rPr>
        <w:tab/>
      </w:r>
      <w:r>
        <w:rPr>
          <w:bCs/>
          <w:lang w:val="fr-FR"/>
        </w:rPr>
        <w:tab/>
        <w:t>59</w:t>
      </w:r>
    </w:p>
    <w:p w:rsidR="00000000" w:rsidRDefault="00000000">
      <w:pPr>
        <w:tabs>
          <w:tab w:val="right" w:pos="850"/>
          <w:tab w:val="right" w:leader="dot" w:pos="8787"/>
          <w:tab w:val="right" w:pos="9638"/>
        </w:tabs>
        <w:spacing w:after="120"/>
        <w:ind w:left="1134" w:hanging="1134"/>
        <w:rPr>
          <w:bCs/>
          <w:lang w:val="fr-FR"/>
        </w:rPr>
      </w:pPr>
      <w:r>
        <w:rPr>
          <w:bCs/>
          <w:lang w:val="fr-FR"/>
        </w:rPr>
        <w:tab/>
        <w:t>Tab. 19</w:t>
      </w:r>
      <w:r>
        <w:rPr>
          <w:bCs/>
          <w:lang w:val="fr-FR"/>
        </w:rPr>
        <w:tab/>
        <w:t>Évolution du taux de répartition du budget santé par niveau de 1998 à 2006</w:t>
      </w:r>
      <w:r>
        <w:rPr>
          <w:bCs/>
          <w:lang w:val="fr-FR"/>
        </w:rPr>
        <w:tab/>
      </w:r>
      <w:r>
        <w:rPr>
          <w:bCs/>
          <w:lang w:val="fr-FR"/>
        </w:rPr>
        <w:tab/>
        <w:t>59</w:t>
      </w:r>
    </w:p>
    <w:p w:rsidR="00000000" w:rsidRDefault="00000000">
      <w:pPr>
        <w:tabs>
          <w:tab w:val="right" w:pos="850"/>
          <w:tab w:val="right" w:leader="dot" w:pos="8787"/>
          <w:tab w:val="right" w:pos="9638"/>
        </w:tabs>
        <w:spacing w:after="120"/>
        <w:ind w:left="1134" w:hanging="1134"/>
        <w:rPr>
          <w:bCs/>
          <w:lang w:val="fr-FR"/>
        </w:rPr>
      </w:pPr>
      <w:r>
        <w:rPr>
          <w:bCs/>
          <w:lang w:val="fr-FR"/>
        </w:rPr>
        <w:tab/>
        <w:t>Tab. 20</w:t>
      </w:r>
      <w:r>
        <w:rPr>
          <w:bCs/>
          <w:lang w:val="fr-FR"/>
        </w:rPr>
        <w:tab/>
        <w:t>Principales causes de morbidité des moins de 5 ans au niveau des CSB</w:t>
      </w:r>
      <w:r>
        <w:rPr>
          <w:bCs/>
          <w:lang w:val="fr-FR"/>
        </w:rPr>
        <w:tab/>
      </w:r>
      <w:r>
        <w:rPr>
          <w:bCs/>
          <w:lang w:val="fr-FR"/>
        </w:rPr>
        <w:tab/>
        <w:t>60</w:t>
      </w:r>
    </w:p>
    <w:p w:rsidR="00000000" w:rsidRDefault="00000000">
      <w:pPr>
        <w:tabs>
          <w:tab w:val="right" w:pos="850"/>
          <w:tab w:val="right" w:leader="dot" w:pos="8787"/>
          <w:tab w:val="right" w:pos="9638"/>
        </w:tabs>
        <w:spacing w:after="120"/>
        <w:ind w:left="1134" w:hanging="1134"/>
        <w:rPr>
          <w:bCs/>
          <w:lang w:val="fr-FR"/>
        </w:rPr>
      </w:pPr>
      <w:r>
        <w:rPr>
          <w:bCs/>
          <w:lang w:val="fr-FR"/>
        </w:rPr>
        <w:tab/>
        <w:t>Tab. 21</w:t>
      </w:r>
      <w:r>
        <w:rPr>
          <w:bCs/>
          <w:lang w:val="fr-FR"/>
        </w:rPr>
        <w:tab/>
        <w:t>Principales causes de morbidité des moins de 5 ans au niveau des CHD</w:t>
      </w:r>
      <w:r>
        <w:rPr>
          <w:bCs/>
          <w:lang w:val="fr-FR"/>
        </w:rPr>
        <w:tab/>
      </w:r>
      <w:r>
        <w:rPr>
          <w:bCs/>
          <w:lang w:val="fr-FR"/>
        </w:rPr>
        <w:tab/>
        <w:t>60</w:t>
      </w:r>
    </w:p>
    <w:p w:rsidR="00000000" w:rsidRDefault="00000000">
      <w:pPr>
        <w:tabs>
          <w:tab w:val="right" w:pos="850"/>
          <w:tab w:val="right" w:leader="dot" w:pos="8787"/>
          <w:tab w:val="right" w:pos="9638"/>
        </w:tabs>
        <w:spacing w:after="120"/>
        <w:ind w:left="1134" w:hanging="1134"/>
        <w:rPr>
          <w:bCs/>
          <w:lang w:val="fr-FR"/>
        </w:rPr>
      </w:pPr>
      <w:r>
        <w:rPr>
          <w:bCs/>
          <w:lang w:val="fr-FR"/>
        </w:rPr>
        <w:tab/>
        <w:t>Tab. 22</w:t>
      </w:r>
      <w:r>
        <w:rPr>
          <w:bCs/>
          <w:lang w:val="fr-FR"/>
        </w:rPr>
        <w:tab/>
        <w:t>Prise en charge des enfants malades vus en consultations</w:t>
      </w:r>
      <w:r>
        <w:rPr>
          <w:bCs/>
          <w:lang w:val="fr-FR"/>
        </w:rPr>
        <w:tab/>
      </w:r>
      <w:r>
        <w:rPr>
          <w:bCs/>
          <w:lang w:val="fr-FR"/>
        </w:rPr>
        <w:tab/>
        <w:t>61</w:t>
      </w:r>
    </w:p>
    <w:p w:rsidR="00000000" w:rsidRDefault="00000000">
      <w:pPr>
        <w:tabs>
          <w:tab w:val="right" w:pos="850"/>
          <w:tab w:val="right" w:leader="dot" w:pos="8787"/>
          <w:tab w:val="right" w:pos="9638"/>
        </w:tabs>
        <w:spacing w:after="120"/>
        <w:ind w:left="1134" w:hanging="1134"/>
        <w:rPr>
          <w:bCs/>
          <w:lang w:val="fr-FR"/>
        </w:rPr>
      </w:pPr>
      <w:r>
        <w:rPr>
          <w:bCs/>
          <w:lang w:val="fr-FR"/>
        </w:rPr>
        <w:tab/>
        <w:t>Tab. 23</w:t>
      </w:r>
      <w:r>
        <w:rPr>
          <w:bCs/>
          <w:lang w:val="fr-FR"/>
        </w:rPr>
        <w:tab/>
        <w:t>Quel tableau est-ce? Que représentent les acronymes?</w:t>
      </w:r>
      <w:r>
        <w:rPr>
          <w:bCs/>
          <w:lang w:val="fr-FR"/>
        </w:rPr>
        <w:tab/>
      </w:r>
      <w:r>
        <w:rPr>
          <w:bCs/>
          <w:lang w:val="fr-FR"/>
        </w:rPr>
        <w:tab/>
        <w:t>61</w:t>
      </w:r>
    </w:p>
    <w:p w:rsidR="00000000" w:rsidRDefault="00000000">
      <w:pPr>
        <w:tabs>
          <w:tab w:val="right" w:pos="850"/>
          <w:tab w:val="right" w:leader="dot" w:pos="8787"/>
          <w:tab w:val="right" w:pos="9638"/>
        </w:tabs>
        <w:spacing w:after="120"/>
        <w:ind w:left="1134" w:hanging="1134"/>
        <w:rPr>
          <w:bCs/>
          <w:lang w:val="fr-FR"/>
        </w:rPr>
      </w:pPr>
      <w:r>
        <w:rPr>
          <w:bCs/>
          <w:lang w:val="fr-FR"/>
        </w:rPr>
        <w:tab/>
        <w:t>Tab. 24</w:t>
      </w:r>
      <w:r>
        <w:rPr>
          <w:bCs/>
          <w:lang w:val="fr-FR"/>
        </w:rPr>
        <w:tab/>
        <w:t>Nombre de diffusions effectuées pour la santé de la mère et de l’enfant</w:t>
      </w:r>
      <w:r>
        <w:rPr>
          <w:bCs/>
          <w:lang w:val="fr-FR"/>
        </w:rPr>
        <w:tab/>
      </w:r>
      <w:r>
        <w:rPr>
          <w:bCs/>
          <w:lang w:val="fr-FR"/>
        </w:rPr>
        <w:tab/>
        <w:t>63</w:t>
      </w:r>
    </w:p>
    <w:p w:rsidR="00000000" w:rsidRDefault="00000000">
      <w:pPr>
        <w:tabs>
          <w:tab w:val="right" w:pos="850"/>
          <w:tab w:val="right" w:leader="dot" w:pos="8787"/>
          <w:tab w:val="right" w:pos="9638"/>
        </w:tabs>
        <w:spacing w:after="120"/>
        <w:ind w:left="1134" w:hanging="1134"/>
        <w:rPr>
          <w:bCs/>
          <w:lang w:val="fr-FR"/>
        </w:rPr>
      </w:pPr>
      <w:r>
        <w:rPr>
          <w:bCs/>
          <w:lang w:val="fr-FR"/>
        </w:rPr>
        <w:tab/>
        <w:t>Tab. 25</w:t>
      </w:r>
      <w:r>
        <w:rPr>
          <w:bCs/>
          <w:lang w:val="fr-FR"/>
        </w:rPr>
        <w:tab/>
        <w:t>Réalisations concernant le déparasitage des enfants d’âge scolaire</w:t>
      </w:r>
      <w:r>
        <w:rPr>
          <w:bCs/>
          <w:lang w:val="fr-FR"/>
        </w:rPr>
        <w:tab/>
      </w:r>
      <w:r>
        <w:rPr>
          <w:bCs/>
          <w:lang w:val="fr-FR"/>
        </w:rPr>
        <w:tab/>
        <w:t>65</w:t>
      </w:r>
    </w:p>
    <w:p w:rsidR="00000000" w:rsidRDefault="00000000">
      <w:pPr>
        <w:tabs>
          <w:tab w:val="right" w:pos="850"/>
          <w:tab w:val="right" w:leader="dot" w:pos="8787"/>
          <w:tab w:val="right" w:pos="9638"/>
        </w:tabs>
        <w:spacing w:after="120"/>
        <w:ind w:left="1134" w:hanging="1134"/>
        <w:rPr>
          <w:bCs/>
          <w:lang w:val="fr-FR"/>
        </w:rPr>
      </w:pPr>
      <w:r>
        <w:rPr>
          <w:bCs/>
          <w:lang w:val="fr-FR"/>
        </w:rPr>
        <w:tab/>
        <w:t>Tab. 26</w:t>
      </w:r>
      <w:r>
        <w:rPr>
          <w:bCs/>
          <w:lang w:val="fr-FR"/>
        </w:rPr>
        <w:tab/>
        <w:t>Évolution du taux de couverture de 2001 à 2006</w:t>
      </w:r>
      <w:r>
        <w:rPr>
          <w:bCs/>
          <w:lang w:val="fr-FR"/>
        </w:rPr>
        <w:tab/>
      </w:r>
      <w:r>
        <w:rPr>
          <w:bCs/>
          <w:lang w:val="fr-FR"/>
        </w:rPr>
        <w:tab/>
        <w:t>67</w:t>
      </w:r>
    </w:p>
    <w:p w:rsidR="00000000" w:rsidRDefault="00000000">
      <w:pPr>
        <w:tabs>
          <w:tab w:val="right" w:pos="850"/>
          <w:tab w:val="right" w:leader="dot" w:pos="8787"/>
          <w:tab w:val="right" w:pos="9638"/>
        </w:tabs>
        <w:spacing w:after="120"/>
        <w:ind w:left="1134" w:hanging="1134"/>
        <w:rPr>
          <w:bCs/>
          <w:lang w:val="fr-FR"/>
        </w:rPr>
      </w:pPr>
      <w:r>
        <w:rPr>
          <w:bCs/>
          <w:lang w:val="fr-FR"/>
        </w:rPr>
        <w:tab/>
        <w:t>Tab. 27</w:t>
      </w:r>
      <w:r>
        <w:rPr>
          <w:bCs/>
          <w:lang w:val="fr-FR"/>
        </w:rPr>
        <w:tab/>
        <w:t>La couverture médicale et par-médicale à Madagascar et les normes de l’OMS</w:t>
      </w:r>
      <w:r>
        <w:rPr>
          <w:bCs/>
          <w:lang w:val="fr-FR"/>
        </w:rPr>
        <w:tab/>
      </w:r>
      <w:r>
        <w:rPr>
          <w:bCs/>
          <w:lang w:val="fr-FR"/>
        </w:rPr>
        <w:tab/>
        <w:t>68</w:t>
      </w:r>
    </w:p>
    <w:p w:rsidR="00000000" w:rsidRDefault="00000000">
      <w:pPr>
        <w:tabs>
          <w:tab w:val="right" w:pos="850"/>
          <w:tab w:val="right" w:leader="dot" w:pos="8787"/>
          <w:tab w:val="right" w:pos="9638"/>
        </w:tabs>
        <w:spacing w:after="120"/>
        <w:ind w:left="1134" w:hanging="1134"/>
        <w:rPr>
          <w:bCs/>
          <w:lang w:val="fr-FR"/>
        </w:rPr>
      </w:pPr>
      <w:r>
        <w:rPr>
          <w:bCs/>
          <w:lang w:val="fr-FR"/>
        </w:rPr>
        <w:tab/>
        <w:t>Tab. 28</w:t>
      </w:r>
      <w:r>
        <w:rPr>
          <w:bCs/>
          <w:lang w:val="fr-FR"/>
        </w:rPr>
        <w:tab/>
        <w:t>Effectif des élèves du primaire par sexe de 2002 à 2007</w:t>
      </w:r>
      <w:r>
        <w:rPr>
          <w:bCs/>
          <w:lang w:val="fr-FR"/>
        </w:rPr>
        <w:tab/>
      </w:r>
      <w:r>
        <w:rPr>
          <w:bCs/>
          <w:lang w:val="fr-FR"/>
        </w:rPr>
        <w:tab/>
        <w:t>83</w:t>
      </w:r>
    </w:p>
    <w:p w:rsidR="00000000" w:rsidRDefault="00000000">
      <w:pPr>
        <w:tabs>
          <w:tab w:val="right" w:pos="850"/>
          <w:tab w:val="right" w:leader="dot" w:pos="8787"/>
          <w:tab w:val="right" w:pos="9638"/>
        </w:tabs>
        <w:spacing w:after="120"/>
        <w:ind w:left="1134" w:hanging="1134"/>
        <w:rPr>
          <w:bCs/>
          <w:lang w:val="fr-FR"/>
        </w:rPr>
      </w:pPr>
      <w:r>
        <w:rPr>
          <w:bCs/>
          <w:lang w:val="fr-FR"/>
        </w:rPr>
        <w:tab/>
        <w:t>Tab. 29</w:t>
      </w:r>
      <w:r>
        <w:rPr>
          <w:bCs/>
          <w:lang w:val="fr-FR"/>
        </w:rPr>
        <w:tab/>
        <w:t>Effectif des établissements d’enseignement supérieur par province</w:t>
      </w:r>
      <w:r>
        <w:rPr>
          <w:bCs/>
          <w:lang w:val="fr-FR"/>
        </w:rPr>
        <w:tab/>
      </w:r>
      <w:r>
        <w:rPr>
          <w:bCs/>
          <w:lang w:val="fr-FR"/>
        </w:rPr>
        <w:tab/>
        <w:t>84</w:t>
      </w:r>
    </w:p>
    <w:p w:rsidR="00000000" w:rsidRDefault="00000000">
      <w:pPr>
        <w:tabs>
          <w:tab w:val="right" w:pos="850"/>
          <w:tab w:val="right" w:leader="dot" w:pos="8787"/>
          <w:tab w:val="right" w:pos="9638"/>
        </w:tabs>
        <w:spacing w:after="120"/>
        <w:ind w:left="1134" w:hanging="1134"/>
        <w:rPr>
          <w:bCs/>
          <w:lang w:val="fr-FR"/>
        </w:rPr>
      </w:pPr>
      <w:r>
        <w:rPr>
          <w:bCs/>
          <w:lang w:val="fr-FR"/>
        </w:rPr>
        <w:tab/>
        <w:t>Tab. 30</w:t>
      </w:r>
      <w:r>
        <w:rPr>
          <w:bCs/>
          <w:lang w:val="fr-FR"/>
        </w:rPr>
        <w:tab/>
        <w:t>Évolution de l’effectif des étudiants de l’enseignement supérieur</w:t>
      </w:r>
      <w:r>
        <w:rPr>
          <w:bCs/>
          <w:lang w:val="fr-FR"/>
        </w:rPr>
        <w:br/>
        <w:t>par sexe de 2001 à 2005</w:t>
      </w:r>
      <w:r>
        <w:rPr>
          <w:bCs/>
          <w:lang w:val="fr-FR"/>
        </w:rPr>
        <w:tab/>
      </w:r>
      <w:r>
        <w:rPr>
          <w:bCs/>
          <w:lang w:val="fr-FR"/>
        </w:rPr>
        <w:tab/>
        <w:t>84</w:t>
      </w:r>
    </w:p>
    <w:p w:rsidR="00000000" w:rsidRDefault="00000000">
      <w:pPr>
        <w:tabs>
          <w:tab w:val="right" w:pos="850"/>
          <w:tab w:val="right" w:leader="dot" w:pos="8787"/>
          <w:tab w:val="right" w:pos="9638"/>
        </w:tabs>
        <w:spacing w:after="120"/>
        <w:ind w:left="1134" w:hanging="1134"/>
        <w:rPr>
          <w:bCs/>
          <w:lang w:val="fr-FR"/>
        </w:rPr>
      </w:pPr>
      <w:r>
        <w:rPr>
          <w:bCs/>
          <w:lang w:val="fr-FR"/>
        </w:rPr>
        <w:tab/>
        <w:t>Tab. 31</w:t>
      </w:r>
      <w:r>
        <w:rPr>
          <w:bCs/>
          <w:lang w:val="fr-FR"/>
        </w:rPr>
        <w:tab/>
        <w:t>Proportion des établissements privés</w:t>
      </w:r>
      <w:r>
        <w:rPr>
          <w:bCs/>
          <w:lang w:val="fr-FR"/>
        </w:rPr>
        <w:tab/>
      </w:r>
      <w:r>
        <w:rPr>
          <w:bCs/>
          <w:lang w:val="fr-FR"/>
        </w:rPr>
        <w:tab/>
        <w:t>88</w:t>
      </w:r>
    </w:p>
    <w:p w:rsidR="00000000" w:rsidRDefault="00000000">
      <w:pPr>
        <w:tabs>
          <w:tab w:val="right" w:pos="850"/>
          <w:tab w:val="right" w:leader="dot" w:pos="8787"/>
          <w:tab w:val="right" w:pos="9638"/>
        </w:tabs>
        <w:spacing w:after="120"/>
        <w:ind w:left="1134" w:hanging="1134"/>
        <w:rPr>
          <w:bCs/>
          <w:lang w:val="fr-FR"/>
        </w:rPr>
      </w:pPr>
      <w:r>
        <w:rPr>
          <w:bCs/>
          <w:lang w:val="fr-FR"/>
        </w:rPr>
        <w:tab/>
        <w:t>Tab. 32</w:t>
      </w:r>
      <w:r>
        <w:rPr>
          <w:bCs/>
          <w:lang w:val="fr-FR"/>
        </w:rPr>
        <w:tab/>
        <w:t>Programme de mise en œuvre de l’APC dans l’Éducation Fondamentale</w:t>
      </w:r>
      <w:r>
        <w:rPr>
          <w:bCs/>
          <w:lang w:val="fr-FR"/>
        </w:rPr>
        <w:br/>
        <w:t>du Premier Cycle</w:t>
      </w:r>
      <w:r>
        <w:rPr>
          <w:bCs/>
          <w:lang w:val="fr-FR"/>
        </w:rPr>
        <w:tab/>
      </w:r>
      <w:r>
        <w:rPr>
          <w:bCs/>
          <w:lang w:val="fr-FR"/>
        </w:rPr>
        <w:tab/>
        <w:t>90</w:t>
      </w:r>
    </w:p>
    <w:p w:rsidR="00000000" w:rsidRDefault="00000000">
      <w:pPr>
        <w:tabs>
          <w:tab w:val="right" w:pos="850"/>
          <w:tab w:val="right" w:leader="dot" w:pos="8787"/>
          <w:tab w:val="right" w:pos="9638"/>
        </w:tabs>
        <w:spacing w:after="120"/>
        <w:ind w:left="1134" w:hanging="1134"/>
        <w:rPr>
          <w:bCs/>
          <w:lang w:val="fr-FR"/>
        </w:rPr>
      </w:pPr>
      <w:r>
        <w:rPr>
          <w:bCs/>
          <w:lang w:val="fr-FR"/>
        </w:rPr>
        <w:tab/>
        <w:t>Tab. 33</w:t>
      </w:r>
      <w:r>
        <w:rPr>
          <w:bCs/>
          <w:lang w:val="fr-FR"/>
        </w:rPr>
        <w:tab/>
        <w:t>Mise en œuvre de la Réforme de l’Enseignement Fondamental</w:t>
      </w:r>
      <w:r>
        <w:rPr>
          <w:bCs/>
          <w:lang w:val="fr-FR"/>
        </w:rPr>
        <w:tab/>
      </w:r>
      <w:r>
        <w:rPr>
          <w:bCs/>
          <w:lang w:val="fr-FR"/>
        </w:rPr>
        <w:tab/>
        <w:t>90</w:t>
      </w:r>
    </w:p>
    <w:p w:rsidR="00000000" w:rsidRDefault="00000000">
      <w:pPr>
        <w:tabs>
          <w:tab w:val="right" w:pos="850"/>
          <w:tab w:val="right" w:leader="dot" w:pos="8787"/>
          <w:tab w:val="right" w:pos="9638"/>
        </w:tabs>
        <w:spacing w:after="120"/>
        <w:ind w:left="1134" w:hanging="1134"/>
        <w:rPr>
          <w:bCs/>
          <w:lang w:val="fr-FR"/>
        </w:rPr>
      </w:pPr>
      <w:r>
        <w:rPr>
          <w:bCs/>
          <w:lang w:val="fr-FR"/>
        </w:rPr>
        <w:tab/>
        <w:t>Tab. 34</w:t>
      </w:r>
      <w:r>
        <w:rPr>
          <w:bCs/>
          <w:lang w:val="fr-FR"/>
        </w:rPr>
        <w:tab/>
        <w:t>Population carcérale selon leur genre et leur statut (sept 2007)</w:t>
      </w:r>
      <w:r>
        <w:rPr>
          <w:bCs/>
          <w:lang w:val="fr-FR"/>
        </w:rPr>
        <w:tab/>
      </w:r>
      <w:r>
        <w:rPr>
          <w:bCs/>
          <w:lang w:val="fr-FR"/>
        </w:rPr>
        <w:tab/>
        <w:t>98</w:t>
      </w:r>
    </w:p>
    <w:p w:rsidR="00000000" w:rsidRDefault="00000000">
      <w:pPr>
        <w:tabs>
          <w:tab w:val="right" w:pos="850"/>
          <w:tab w:val="right" w:leader="dot" w:pos="8787"/>
          <w:tab w:val="right" w:pos="9638"/>
        </w:tabs>
        <w:spacing w:after="120"/>
        <w:ind w:left="1134" w:hanging="1134"/>
        <w:rPr>
          <w:bCs/>
          <w:lang w:val="fr-FR"/>
        </w:rPr>
      </w:pPr>
      <w:r>
        <w:rPr>
          <w:bCs/>
          <w:lang w:val="fr-FR"/>
        </w:rPr>
        <w:tab/>
        <w:t>Tab. 35</w:t>
      </w:r>
      <w:r>
        <w:rPr>
          <w:bCs/>
          <w:lang w:val="fr-FR"/>
        </w:rPr>
        <w:tab/>
        <w:t>Cas de violence liée au sexe concernant les enfants traités par la DPMPM</w:t>
      </w:r>
      <w:r>
        <w:rPr>
          <w:bCs/>
          <w:lang w:val="fr-FR"/>
        </w:rPr>
        <w:br/>
        <w:t>dans la période de janvier à décembre 2006 par type de violence et par sexe</w:t>
      </w:r>
      <w:r>
        <w:rPr>
          <w:bCs/>
          <w:lang w:val="fr-FR"/>
        </w:rPr>
        <w:tab/>
      </w:r>
      <w:r>
        <w:rPr>
          <w:bCs/>
          <w:lang w:val="fr-FR"/>
        </w:rPr>
        <w:tab/>
        <w:t>108</w:t>
      </w:r>
    </w:p>
    <w:p w:rsidR="00000000" w:rsidRDefault="00000000">
      <w:pPr>
        <w:tabs>
          <w:tab w:val="right" w:pos="850"/>
          <w:tab w:val="right" w:leader="dot" w:pos="8787"/>
          <w:tab w:val="right" w:pos="9638"/>
        </w:tabs>
        <w:spacing w:after="120"/>
        <w:ind w:left="1134" w:hanging="1134"/>
        <w:rPr>
          <w:bCs/>
          <w:lang w:val="fr-FR"/>
        </w:rPr>
      </w:pPr>
      <w:r>
        <w:rPr>
          <w:bCs/>
          <w:lang w:val="fr-FR"/>
        </w:rPr>
        <w:tab/>
        <w:t>Tab. 36</w:t>
      </w:r>
      <w:r>
        <w:rPr>
          <w:bCs/>
          <w:lang w:val="fr-FR"/>
        </w:rPr>
        <w:tab/>
        <w:t>Distribution de la population selon la situation matrimoniale par genre du chef de ménage</w:t>
      </w:r>
      <w:r>
        <w:rPr>
          <w:bCs/>
          <w:lang w:val="fr-FR"/>
        </w:rPr>
        <w:tab/>
      </w:r>
      <w:r>
        <w:rPr>
          <w:bCs/>
          <w:lang w:val="fr-FR"/>
        </w:rPr>
        <w:tab/>
        <w:t>119</w:t>
      </w:r>
    </w:p>
    <w:p w:rsidR="00000000" w:rsidRDefault="00000000">
      <w:pPr>
        <w:tabs>
          <w:tab w:val="right" w:pos="850"/>
          <w:tab w:val="right" w:leader="dot" w:pos="8787"/>
          <w:tab w:val="right" w:pos="9638"/>
        </w:tabs>
        <w:spacing w:after="120"/>
        <w:ind w:left="1134" w:hanging="1134"/>
        <w:rPr>
          <w:bCs/>
          <w:lang w:val="fr-FR"/>
        </w:rPr>
      </w:pPr>
      <w:r>
        <w:rPr>
          <w:bCs/>
          <w:lang w:val="fr-FR"/>
        </w:rPr>
        <w:tab/>
        <w:t>Tab. 37</w:t>
      </w:r>
      <w:r>
        <w:rPr>
          <w:bCs/>
          <w:lang w:val="fr-FR"/>
        </w:rPr>
        <w:tab/>
        <w:t>Évolution de quelques indicateurs économiques</w:t>
      </w:r>
      <w:r>
        <w:rPr>
          <w:bCs/>
          <w:lang w:val="fr-FR"/>
        </w:rPr>
        <w:tab/>
      </w:r>
      <w:r>
        <w:rPr>
          <w:bCs/>
          <w:lang w:val="fr-FR"/>
        </w:rPr>
        <w:tab/>
        <w:t>119</w:t>
      </w:r>
    </w:p>
    <w:p w:rsidR="00000000" w:rsidRDefault="00000000">
      <w:pPr>
        <w:tabs>
          <w:tab w:val="right" w:pos="850"/>
          <w:tab w:val="right" w:leader="dot" w:pos="8787"/>
          <w:tab w:val="right" w:pos="9638"/>
        </w:tabs>
        <w:spacing w:after="120"/>
        <w:ind w:left="1134" w:hanging="1134"/>
        <w:rPr>
          <w:bCs/>
          <w:lang w:val="fr-FR"/>
        </w:rPr>
      </w:pPr>
      <w:r>
        <w:rPr>
          <w:bCs/>
          <w:lang w:val="fr-FR"/>
        </w:rPr>
        <w:tab/>
        <w:t>Tab. 38</w:t>
      </w:r>
      <w:r>
        <w:rPr>
          <w:bCs/>
          <w:lang w:val="fr-FR"/>
        </w:rPr>
        <w:tab/>
        <w:t>Produit Intérieur Brut (PIB) en terme nominal et en terme réel et taux d’inflation</w:t>
      </w:r>
      <w:r>
        <w:rPr>
          <w:bCs/>
          <w:lang w:val="fr-FR"/>
        </w:rPr>
        <w:tab/>
      </w:r>
      <w:r>
        <w:rPr>
          <w:bCs/>
          <w:lang w:val="fr-FR"/>
        </w:rPr>
        <w:tab/>
        <w:t>119</w:t>
      </w:r>
    </w:p>
    <w:p w:rsidR="00000000" w:rsidRDefault="00000000">
      <w:pPr>
        <w:tabs>
          <w:tab w:val="right" w:pos="850"/>
          <w:tab w:val="right" w:leader="dot" w:pos="8787"/>
          <w:tab w:val="right" w:pos="9638"/>
        </w:tabs>
        <w:spacing w:after="120"/>
        <w:ind w:left="1134" w:hanging="1134"/>
        <w:rPr>
          <w:bCs/>
          <w:lang w:val="fr-FR"/>
        </w:rPr>
      </w:pPr>
      <w:r>
        <w:rPr>
          <w:bCs/>
          <w:lang w:val="fr-FR"/>
        </w:rPr>
        <w:tab/>
        <w:t>Tab. 39</w:t>
      </w:r>
      <w:r>
        <w:rPr>
          <w:bCs/>
          <w:lang w:val="fr-FR"/>
        </w:rPr>
        <w:tab/>
        <w:t>Valeur moyenne du taux de change à Madagascar de 2001 à 2008</w:t>
      </w:r>
      <w:r>
        <w:rPr>
          <w:bCs/>
          <w:lang w:val="fr-FR"/>
        </w:rPr>
        <w:tab/>
      </w:r>
      <w:r>
        <w:rPr>
          <w:bCs/>
          <w:lang w:val="fr-FR"/>
        </w:rPr>
        <w:tab/>
        <w:t>120</w:t>
      </w:r>
    </w:p>
    <w:p w:rsidR="00000000" w:rsidRDefault="00000000">
      <w:pPr>
        <w:tabs>
          <w:tab w:val="right" w:pos="850"/>
          <w:tab w:val="right" w:leader="dot" w:pos="8787"/>
          <w:tab w:val="right" w:pos="9638"/>
        </w:tabs>
        <w:spacing w:after="120"/>
        <w:ind w:left="1134" w:hanging="1134"/>
        <w:rPr>
          <w:bCs/>
          <w:lang w:val="fr-FR"/>
        </w:rPr>
      </w:pPr>
      <w:r>
        <w:rPr>
          <w:bCs/>
          <w:lang w:val="fr-FR"/>
        </w:rPr>
        <w:tab/>
        <w:t>Tab. 40</w:t>
      </w:r>
      <w:r>
        <w:rPr>
          <w:bCs/>
          <w:lang w:val="fr-FR"/>
        </w:rPr>
        <w:tab/>
        <w:t>: IDH et ISDH 2003-2005</w:t>
      </w:r>
      <w:r>
        <w:rPr>
          <w:bCs/>
          <w:lang w:val="fr-FR"/>
        </w:rPr>
        <w:tab/>
      </w:r>
      <w:r>
        <w:rPr>
          <w:bCs/>
          <w:lang w:val="fr-FR"/>
        </w:rPr>
        <w:tab/>
        <w:t>120</w:t>
      </w:r>
    </w:p>
    <w:p w:rsidR="00000000" w:rsidRDefault="00000000">
      <w:pPr>
        <w:tabs>
          <w:tab w:val="right" w:pos="850"/>
          <w:tab w:val="right" w:leader="dot" w:pos="8787"/>
          <w:tab w:val="right" w:pos="9638"/>
        </w:tabs>
        <w:spacing w:after="120"/>
        <w:ind w:left="1134" w:hanging="1134"/>
        <w:rPr>
          <w:bCs/>
          <w:lang w:val="fr-FR"/>
        </w:rPr>
      </w:pPr>
      <w:r>
        <w:rPr>
          <w:bCs/>
          <w:lang w:val="fr-FR"/>
        </w:rPr>
        <w:tab/>
        <w:t>Tab. 41</w:t>
      </w:r>
      <w:r>
        <w:rPr>
          <w:bCs/>
          <w:lang w:val="fr-FR"/>
        </w:rPr>
        <w:tab/>
        <w:t>Taux d’activité selon les tranches d’âge du BIT</w:t>
      </w:r>
      <w:r>
        <w:rPr>
          <w:bCs/>
          <w:lang w:val="fr-FR"/>
        </w:rPr>
        <w:tab/>
      </w:r>
      <w:r>
        <w:rPr>
          <w:bCs/>
          <w:lang w:val="fr-FR"/>
        </w:rPr>
        <w:tab/>
        <w:t>120</w:t>
      </w:r>
    </w:p>
    <w:p w:rsidR="00000000" w:rsidRDefault="00000000">
      <w:pPr>
        <w:tabs>
          <w:tab w:val="right" w:pos="850"/>
          <w:tab w:val="right" w:leader="dot" w:pos="8787"/>
          <w:tab w:val="right" w:pos="9638"/>
        </w:tabs>
        <w:spacing w:after="120"/>
        <w:ind w:left="1134" w:hanging="1134"/>
        <w:rPr>
          <w:bCs/>
          <w:lang w:val="fr-FR"/>
        </w:rPr>
      </w:pPr>
      <w:r>
        <w:rPr>
          <w:bCs/>
          <w:lang w:val="fr-FR"/>
        </w:rPr>
        <w:tab/>
        <w:t>Tab. 42</w:t>
      </w:r>
      <w:r>
        <w:rPr>
          <w:bCs/>
          <w:lang w:val="fr-FR"/>
        </w:rPr>
        <w:tab/>
        <w:t>Allocations budgétaire aux Ministères sociaux entre 2000 et 2005</w:t>
      </w:r>
      <w:r>
        <w:rPr>
          <w:bCs/>
          <w:lang w:val="fr-FR"/>
        </w:rPr>
        <w:tab/>
      </w:r>
      <w:r>
        <w:rPr>
          <w:bCs/>
          <w:lang w:val="fr-FR"/>
        </w:rPr>
        <w:tab/>
        <w:t>120</w:t>
      </w:r>
    </w:p>
    <w:p w:rsidR="00000000" w:rsidRDefault="00000000">
      <w:pPr>
        <w:tabs>
          <w:tab w:val="right" w:pos="850"/>
          <w:tab w:val="right" w:leader="dot" w:pos="8787"/>
          <w:tab w:val="right" w:pos="9638"/>
        </w:tabs>
        <w:spacing w:after="120"/>
        <w:ind w:left="1134" w:hanging="1134"/>
        <w:rPr>
          <w:bCs/>
          <w:lang w:val="fr-FR"/>
        </w:rPr>
      </w:pPr>
      <w:r>
        <w:rPr>
          <w:bCs/>
          <w:lang w:val="fr-FR"/>
        </w:rPr>
        <w:tab/>
        <w:t>Tab. 43</w:t>
      </w:r>
      <w:r>
        <w:rPr>
          <w:bCs/>
          <w:lang w:val="fr-FR"/>
        </w:rPr>
        <w:tab/>
        <w:t>Les principaux indicateurs de suivi des allocations budgétaires</w:t>
      </w:r>
      <w:r>
        <w:rPr>
          <w:bCs/>
          <w:lang w:val="fr-FR"/>
        </w:rPr>
        <w:tab/>
      </w:r>
      <w:r>
        <w:rPr>
          <w:bCs/>
          <w:lang w:val="fr-FR"/>
        </w:rPr>
        <w:tab/>
        <w:t>121</w:t>
      </w:r>
    </w:p>
    <w:p w:rsidR="00000000" w:rsidRDefault="00000000">
      <w:pPr>
        <w:tabs>
          <w:tab w:val="right" w:pos="850"/>
          <w:tab w:val="right" w:leader="dot" w:pos="8787"/>
          <w:tab w:val="right" w:pos="9638"/>
        </w:tabs>
        <w:spacing w:after="120"/>
        <w:ind w:left="1134" w:hanging="1134"/>
        <w:rPr>
          <w:bCs/>
          <w:lang w:val="fr-FR"/>
        </w:rPr>
      </w:pPr>
      <w:r>
        <w:rPr>
          <w:bCs/>
          <w:lang w:val="fr-FR"/>
        </w:rPr>
        <w:tab/>
        <w:t>Tab. 44</w:t>
      </w:r>
      <w:r>
        <w:rPr>
          <w:bCs/>
          <w:lang w:val="fr-FR"/>
        </w:rPr>
        <w:tab/>
        <w:t>Les réseaux communautaires multisectoriels et multidisciplinaires</w:t>
      </w:r>
      <w:r>
        <w:rPr>
          <w:bCs/>
          <w:lang w:val="fr-FR"/>
        </w:rPr>
        <w:br/>
        <w:t>de protection de l’enfance</w:t>
      </w:r>
      <w:r>
        <w:rPr>
          <w:bCs/>
          <w:lang w:val="fr-FR"/>
        </w:rPr>
        <w:tab/>
      </w:r>
      <w:r>
        <w:rPr>
          <w:bCs/>
          <w:lang w:val="fr-FR"/>
        </w:rPr>
        <w:tab/>
        <w:t>121</w:t>
      </w:r>
    </w:p>
    <w:p w:rsidR="00000000" w:rsidRDefault="00000000">
      <w:pPr>
        <w:tabs>
          <w:tab w:val="right" w:pos="850"/>
          <w:tab w:val="right" w:leader="dot" w:pos="8787"/>
          <w:tab w:val="right" w:pos="9638"/>
        </w:tabs>
        <w:spacing w:after="120"/>
        <w:ind w:left="1134" w:hanging="1134"/>
        <w:rPr>
          <w:bCs/>
          <w:lang w:val="fr-FR"/>
        </w:rPr>
      </w:pPr>
      <w:r>
        <w:rPr>
          <w:bCs/>
          <w:lang w:val="fr-FR"/>
        </w:rPr>
        <w:tab/>
        <w:t>Tab. 45</w:t>
      </w:r>
      <w:r>
        <w:rPr>
          <w:bCs/>
          <w:lang w:val="fr-FR"/>
        </w:rPr>
        <w:tab/>
        <w:t>Distribution de la population selon le genre du chef de ménage par milieu</w:t>
      </w:r>
      <w:r>
        <w:rPr>
          <w:bCs/>
          <w:lang w:val="fr-FR"/>
        </w:rPr>
        <w:tab/>
      </w:r>
      <w:r>
        <w:rPr>
          <w:bCs/>
          <w:lang w:val="fr-FR"/>
        </w:rPr>
        <w:tab/>
        <w:t>122</w:t>
      </w:r>
    </w:p>
    <w:p w:rsidR="00000000" w:rsidRDefault="00000000">
      <w:pPr>
        <w:tabs>
          <w:tab w:val="right" w:pos="850"/>
          <w:tab w:val="right" w:leader="dot" w:pos="8787"/>
          <w:tab w:val="right" w:pos="9638"/>
        </w:tabs>
        <w:spacing w:after="120"/>
        <w:ind w:left="1134" w:hanging="1134"/>
        <w:rPr>
          <w:bCs/>
          <w:lang w:val="fr-FR"/>
        </w:rPr>
      </w:pPr>
      <w:r>
        <w:rPr>
          <w:bCs/>
          <w:lang w:val="fr-FR"/>
        </w:rPr>
        <w:tab/>
        <w:t>Tab. 46</w:t>
      </w:r>
      <w:r>
        <w:rPr>
          <w:bCs/>
          <w:lang w:val="fr-FR"/>
        </w:rPr>
        <w:tab/>
        <w:t>Récapitulatif des actions de sensibilisation menées au niveau des réseaux de 2003 à 2007</w:t>
      </w:r>
      <w:r>
        <w:rPr>
          <w:bCs/>
          <w:lang w:val="fr-FR"/>
        </w:rPr>
        <w:tab/>
      </w:r>
      <w:r>
        <w:rPr>
          <w:bCs/>
          <w:lang w:val="fr-FR"/>
        </w:rPr>
        <w:tab/>
        <w:t>122</w:t>
      </w:r>
    </w:p>
    <w:p w:rsidR="00000000" w:rsidRDefault="00000000">
      <w:pPr>
        <w:tabs>
          <w:tab w:val="right" w:pos="850"/>
          <w:tab w:val="right" w:leader="dot" w:pos="8787"/>
          <w:tab w:val="right" w:pos="9638"/>
        </w:tabs>
        <w:spacing w:after="120"/>
        <w:ind w:left="1134" w:hanging="1134"/>
        <w:rPr>
          <w:bCs/>
          <w:lang w:val="fr-FR"/>
        </w:rPr>
      </w:pPr>
      <w:r>
        <w:rPr>
          <w:bCs/>
          <w:lang w:val="fr-FR"/>
        </w:rPr>
        <w:tab/>
        <w:t>Fig. 1</w:t>
      </w:r>
      <w:r>
        <w:rPr>
          <w:bCs/>
          <w:lang w:val="fr-FR"/>
        </w:rPr>
        <w:tab/>
        <w:t>Ratios de pauvreté, PIB par habitant de 2003 à 2007 et perspectives 2012</w:t>
      </w:r>
      <w:r>
        <w:rPr>
          <w:bCs/>
          <w:lang w:val="fr-FR"/>
        </w:rPr>
        <w:tab/>
      </w:r>
      <w:r>
        <w:rPr>
          <w:bCs/>
          <w:lang w:val="fr-FR"/>
        </w:rPr>
        <w:tab/>
        <w:t>18</w:t>
      </w:r>
    </w:p>
    <w:p w:rsidR="00000000" w:rsidRDefault="00000000">
      <w:pPr>
        <w:tabs>
          <w:tab w:val="right" w:pos="850"/>
          <w:tab w:val="right" w:leader="dot" w:pos="8787"/>
          <w:tab w:val="right" w:pos="9638"/>
        </w:tabs>
        <w:spacing w:after="120"/>
        <w:ind w:left="1134" w:hanging="1134"/>
        <w:rPr>
          <w:bCs/>
          <w:lang w:val="fr-FR"/>
        </w:rPr>
      </w:pPr>
      <w:r>
        <w:rPr>
          <w:bCs/>
          <w:lang w:val="fr-FR"/>
        </w:rPr>
        <w:tab/>
        <w:t>Fig. 2</w:t>
      </w:r>
      <w:r>
        <w:rPr>
          <w:bCs/>
          <w:lang w:val="fr-FR"/>
        </w:rPr>
        <w:tab/>
        <w:t>Évolution des indicateurs de croissance de 2003 à 2007 et perspectives 2012</w:t>
      </w:r>
      <w:r>
        <w:rPr>
          <w:bCs/>
          <w:lang w:val="fr-FR"/>
        </w:rPr>
        <w:tab/>
      </w:r>
      <w:r>
        <w:rPr>
          <w:bCs/>
          <w:lang w:val="fr-FR"/>
        </w:rPr>
        <w:tab/>
        <w:t>18</w:t>
      </w:r>
    </w:p>
    <w:p w:rsidR="00000000" w:rsidRDefault="00000000">
      <w:pPr>
        <w:tabs>
          <w:tab w:val="right" w:pos="850"/>
          <w:tab w:val="right" w:leader="dot" w:pos="8787"/>
          <w:tab w:val="right" w:pos="9638"/>
        </w:tabs>
        <w:spacing w:after="120"/>
        <w:ind w:left="1134" w:hanging="1134"/>
        <w:rPr>
          <w:bCs/>
          <w:lang w:val="fr-FR"/>
        </w:rPr>
      </w:pPr>
      <w:r>
        <w:rPr>
          <w:bCs/>
          <w:lang w:val="fr-FR"/>
        </w:rPr>
        <w:tab/>
        <w:t>Fig. 3</w:t>
      </w:r>
      <w:r>
        <w:rPr>
          <w:bCs/>
          <w:lang w:val="fr-FR"/>
        </w:rPr>
        <w:tab/>
        <w:t>Le service de qualité au niveau santé</w:t>
      </w:r>
      <w:r>
        <w:rPr>
          <w:bCs/>
          <w:lang w:val="fr-FR"/>
        </w:rPr>
        <w:tab/>
      </w:r>
      <w:r>
        <w:rPr>
          <w:bCs/>
          <w:lang w:val="fr-FR"/>
        </w:rPr>
        <w:tab/>
        <w:t>66</w:t>
      </w:r>
    </w:p>
    <w:p w:rsidR="00000000" w:rsidRDefault="00000000">
      <w:pPr>
        <w:tabs>
          <w:tab w:val="right" w:pos="850"/>
          <w:tab w:val="right" w:leader="dot" w:pos="8787"/>
          <w:tab w:val="right" w:pos="9638"/>
        </w:tabs>
        <w:spacing w:after="120"/>
        <w:ind w:left="1134" w:hanging="1134"/>
        <w:rPr>
          <w:bCs/>
          <w:lang w:val="fr-FR"/>
        </w:rPr>
      </w:pPr>
      <w:r>
        <w:rPr>
          <w:bCs/>
          <w:lang w:val="fr-FR"/>
        </w:rPr>
        <w:tab/>
        <w:t>Fig. 4</w:t>
      </w:r>
      <w:r>
        <w:rPr>
          <w:bCs/>
          <w:lang w:val="fr-FR"/>
        </w:rPr>
        <w:tab/>
        <w:t>Les mesures prises pour le renforcement du système de santé</w:t>
      </w:r>
      <w:r>
        <w:rPr>
          <w:bCs/>
          <w:lang w:val="fr-FR"/>
        </w:rPr>
        <w:tab/>
      </w:r>
      <w:r>
        <w:rPr>
          <w:bCs/>
          <w:lang w:val="fr-FR"/>
        </w:rPr>
        <w:tab/>
        <w:t>67</w:t>
      </w:r>
    </w:p>
    <w:p w:rsidR="00000000" w:rsidRDefault="00000000">
      <w:pPr>
        <w:tabs>
          <w:tab w:val="right" w:pos="850"/>
          <w:tab w:val="right" w:leader="dot" w:pos="8787"/>
          <w:tab w:val="right" w:pos="9638"/>
        </w:tabs>
        <w:spacing w:after="120"/>
        <w:ind w:left="1134" w:hanging="1134"/>
        <w:rPr>
          <w:bCs/>
          <w:lang w:val="fr-FR"/>
        </w:rPr>
      </w:pPr>
      <w:r>
        <w:rPr>
          <w:bCs/>
          <w:lang w:val="fr-FR"/>
        </w:rPr>
        <w:tab/>
        <w:t>Fig. 5</w:t>
      </w:r>
      <w:r>
        <w:rPr>
          <w:bCs/>
          <w:lang w:val="fr-FR"/>
        </w:rPr>
        <w:tab/>
        <w:t>Tableau comparatif des ratios élèves-maîtres du secteur public et du secteur privé</w:t>
      </w:r>
      <w:r>
        <w:rPr>
          <w:bCs/>
          <w:lang w:val="fr-FR"/>
        </w:rPr>
        <w:tab/>
      </w:r>
      <w:r>
        <w:rPr>
          <w:bCs/>
          <w:lang w:val="fr-FR"/>
        </w:rPr>
        <w:tab/>
        <w:t>79</w:t>
      </w:r>
    </w:p>
    <w:p w:rsidR="00000000" w:rsidRDefault="00000000">
      <w:pPr>
        <w:tabs>
          <w:tab w:val="right" w:pos="850"/>
          <w:tab w:val="right" w:leader="dot" w:pos="8787"/>
          <w:tab w:val="right" w:pos="9638"/>
        </w:tabs>
        <w:spacing w:after="120"/>
        <w:ind w:left="1134" w:hanging="1134"/>
        <w:rPr>
          <w:bCs/>
          <w:lang w:val="fr-FR"/>
        </w:rPr>
      </w:pPr>
      <w:r>
        <w:rPr>
          <w:bCs/>
          <w:lang w:val="fr-FR"/>
        </w:rPr>
        <w:tab/>
        <w:t>Fig. 6</w:t>
      </w:r>
      <w:r>
        <w:rPr>
          <w:bCs/>
          <w:lang w:val="fr-FR"/>
        </w:rPr>
        <w:tab/>
        <w:t>Âge d’entrée à l’école pour la première fois pour la tranche d’âge 2-19 ans</w:t>
      </w:r>
      <w:r>
        <w:rPr>
          <w:bCs/>
          <w:lang w:val="fr-FR"/>
        </w:rPr>
        <w:tab/>
      </w:r>
      <w:r>
        <w:rPr>
          <w:bCs/>
          <w:lang w:val="fr-FR"/>
        </w:rPr>
        <w:tab/>
        <w:t>83</w:t>
      </w:r>
    </w:p>
    <w:p w:rsidR="00000000" w:rsidRDefault="00000000">
      <w:pPr>
        <w:pStyle w:val="H1G"/>
        <w:rPr>
          <w:lang w:val="fr-FR"/>
        </w:rPr>
      </w:pPr>
      <w:bookmarkStart w:id="7" w:name="_Toc260298193"/>
      <w:r>
        <w:rPr>
          <w:lang w:val="fr-FR"/>
        </w:rPr>
        <w:br w:type="page"/>
      </w:r>
      <w:r>
        <w:rPr>
          <w:lang w:val="fr-FR"/>
        </w:rPr>
        <w:tab/>
      </w:r>
      <w:r>
        <w:rPr>
          <w:lang w:val="fr-FR"/>
        </w:rPr>
        <w:tab/>
        <w:t>Acronymes</w:t>
      </w:r>
      <w:bookmarkEnd w:id="7"/>
    </w:p>
    <w:p w:rsidR="00000000" w:rsidRDefault="00000000">
      <w:pPr>
        <w:pStyle w:val="SingleTxtG"/>
        <w:tabs>
          <w:tab w:val="left" w:pos="2835"/>
        </w:tabs>
        <w:rPr>
          <w:lang w:val="fr-FR"/>
        </w:rPr>
      </w:pPr>
      <w:r>
        <w:rPr>
          <w:lang w:val="fr-FR"/>
        </w:rPr>
        <w:t>ACD</w:t>
      </w:r>
      <w:r>
        <w:rPr>
          <w:lang w:val="fr-FR"/>
        </w:rPr>
        <w:tab/>
        <w:t>Approche atteindre chaque District</w:t>
      </w:r>
    </w:p>
    <w:p w:rsidR="00000000" w:rsidRDefault="00000000">
      <w:pPr>
        <w:pStyle w:val="SingleTxtG"/>
        <w:tabs>
          <w:tab w:val="left" w:pos="2835"/>
        </w:tabs>
        <w:rPr>
          <w:lang w:val="fr-FR"/>
        </w:rPr>
      </w:pPr>
      <w:r>
        <w:rPr>
          <w:lang w:val="fr-FR"/>
        </w:rPr>
        <w:t>AGEMAD</w:t>
      </w:r>
      <w:r>
        <w:rPr>
          <w:lang w:val="fr-FR"/>
        </w:rPr>
        <w:tab/>
        <w:t>Amélioration de la gestion des éducations à Madagascar</w:t>
      </w:r>
    </w:p>
    <w:p w:rsidR="00000000" w:rsidRDefault="00000000">
      <w:pPr>
        <w:pStyle w:val="SingleTxtG"/>
        <w:tabs>
          <w:tab w:val="left" w:pos="2835"/>
        </w:tabs>
        <w:rPr>
          <w:lang w:val="fr-FR"/>
        </w:rPr>
      </w:pPr>
      <w:r>
        <w:rPr>
          <w:lang w:val="fr-FR"/>
        </w:rPr>
        <w:t>AGR</w:t>
      </w:r>
      <w:r>
        <w:rPr>
          <w:lang w:val="fr-FR"/>
        </w:rPr>
        <w:tab/>
        <w:t>Activité Génératrice de Revenu</w:t>
      </w:r>
    </w:p>
    <w:p w:rsidR="00000000" w:rsidRDefault="00000000">
      <w:pPr>
        <w:pStyle w:val="SingleTxtG"/>
        <w:tabs>
          <w:tab w:val="left" w:pos="2835"/>
        </w:tabs>
        <w:rPr>
          <w:lang w:val="fr-FR"/>
        </w:rPr>
      </w:pPr>
      <w:r>
        <w:rPr>
          <w:lang w:val="fr-FR"/>
        </w:rPr>
        <w:t>AJESAIA</w:t>
      </w:r>
      <w:r>
        <w:rPr>
          <w:lang w:val="fr-FR"/>
        </w:rPr>
        <w:tab/>
        <w:t>Association des jeunes sportifs de l’avenir inter-arrondissement</w:t>
      </w:r>
    </w:p>
    <w:p w:rsidR="00000000" w:rsidRDefault="00000000">
      <w:pPr>
        <w:pStyle w:val="SingleTxtG"/>
        <w:tabs>
          <w:tab w:val="left" w:pos="2835"/>
        </w:tabs>
        <w:rPr>
          <w:lang w:val="fr-FR"/>
        </w:rPr>
      </w:pPr>
      <w:r>
        <w:rPr>
          <w:lang w:val="fr-FR"/>
        </w:rPr>
        <w:t>AMIT</w:t>
      </w:r>
      <w:r>
        <w:rPr>
          <w:lang w:val="fr-FR"/>
        </w:rPr>
        <w:tab/>
        <w:t>Association médicale inter-entreprise de Tananarive</w:t>
      </w:r>
    </w:p>
    <w:p w:rsidR="00000000" w:rsidRDefault="00000000">
      <w:pPr>
        <w:pStyle w:val="SingleTxtG"/>
        <w:tabs>
          <w:tab w:val="left" w:pos="2835"/>
        </w:tabs>
        <w:ind w:left="2835" w:hanging="1701"/>
        <w:rPr>
          <w:lang w:val="fr-FR"/>
        </w:rPr>
      </w:pPr>
      <w:r>
        <w:rPr>
          <w:lang w:val="fr-FR"/>
        </w:rPr>
        <w:t>APRAM</w:t>
      </w:r>
      <w:r>
        <w:rPr>
          <w:lang w:val="fr-FR"/>
        </w:rPr>
        <w:tab/>
        <w:t>Association des prêtres, religieuses et religieux d’Afrique et de Madagascar</w:t>
      </w:r>
    </w:p>
    <w:p w:rsidR="00000000" w:rsidRDefault="00000000">
      <w:pPr>
        <w:pStyle w:val="SingleTxtG"/>
        <w:tabs>
          <w:tab w:val="left" w:pos="2835"/>
        </w:tabs>
        <w:rPr>
          <w:lang w:val="fr-FR"/>
        </w:rPr>
      </w:pPr>
      <w:r>
        <w:rPr>
          <w:lang w:val="fr-FR"/>
        </w:rPr>
        <w:t>Ar.</w:t>
      </w:r>
      <w:r>
        <w:rPr>
          <w:lang w:val="fr-FR"/>
        </w:rPr>
        <w:tab/>
        <w:t>ariary</w:t>
      </w:r>
    </w:p>
    <w:p w:rsidR="00000000" w:rsidRDefault="00000000">
      <w:pPr>
        <w:pStyle w:val="SingleTxtG"/>
        <w:tabs>
          <w:tab w:val="left" w:pos="2835"/>
        </w:tabs>
        <w:rPr>
          <w:lang w:val="fr-FR"/>
        </w:rPr>
      </w:pPr>
      <w:r>
        <w:rPr>
          <w:lang w:val="fr-FR"/>
        </w:rPr>
        <w:t>ARV</w:t>
      </w:r>
      <w:r>
        <w:rPr>
          <w:lang w:val="fr-FR"/>
        </w:rPr>
        <w:tab/>
        <w:t>Antirétroviral</w:t>
      </w:r>
    </w:p>
    <w:p w:rsidR="00000000" w:rsidRDefault="00000000">
      <w:pPr>
        <w:pStyle w:val="SingleTxtG"/>
        <w:tabs>
          <w:tab w:val="left" w:pos="2835"/>
        </w:tabs>
        <w:rPr>
          <w:lang w:val="fr-FR"/>
        </w:rPr>
      </w:pPr>
      <w:r>
        <w:rPr>
          <w:lang w:val="fr-FR"/>
        </w:rPr>
        <w:t>ASPE</w:t>
      </w:r>
      <w:r>
        <w:rPr>
          <w:lang w:val="fr-FR"/>
        </w:rPr>
        <w:tab/>
        <w:t>Association pour la sauvegarde et la protection des enfants</w:t>
      </w:r>
    </w:p>
    <w:p w:rsidR="00000000" w:rsidRDefault="00000000">
      <w:pPr>
        <w:pStyle w:val="SingleTxtG"/>
        <w:tabs>
          <w:tab w:val="left" w:pos="2835"/>
        </w:tabs>
        <w:rPr>
          <w:lang w:val="fr-FR"/>
        </w:rPr>
      </w:pPr>
      <w:r>
        <w:rPr>
          <w:lang w:val="fr-FR"/>
        </w:rPr>
        <w:t>ATT</w:t>
      </w:r>
      <w:r>
        <w:rPr>
          <w:lang w:val="fr-FR"/>
        </w:rPr>
        <w:tab/>
        <w:t>Vaccin anti-tétanique</w:t>
      </w:r>
    </w:p>
    <w:p w:rsidR="00000000" w:rsidRDefault="00000000">
      <w:pPr>
        <w:pStyle w:val="SingleTxtG"/>
        <w:tabs>
          <w:tab w:val="left" w:pos="2835"/>
        </w:tabs>
        <w:rPr>
          <w:lang w:val="fr-FR"/>
        </w:rPr>
      </w:pPr>
      <w:r>
        <w:rPr>
          <w:lang w:val="fr-FR"/>
        </w:rPr>
        <w:t>BAD</w:t>
      </w:r>
      <w:r>
        <w:rPr>
          <w:lang w:val="fr-FR"/>
        </w:rPr>
        <w:tab/>
        <w:t>Banque africaine pour le développement</w:t>
      </w:r>
    </w:p>
    <w:p w:rsidR="00000000" w:rsidRDefault="00000000">
      <w:pPr>
        <w:pStyle w:val="SingleTxtG"/>
        <w:tabs>
          <w:tab w:val="left" w:pos="2835"/>
        </w:tabs>
        <w:rPr>
          <w:lang w:val="fr-FR"/>
        </w:rPr>
      </w:pPr>
      <w:r>
        <w:rPr>
          <w:lang w:val="fr-FR"/>
        </w:rPr>
        <w:t>BCG</w:t>
      </w:r>
      <w:r>
        <w:rPr>
          <w:lang w:val="fr-FR"/>
        </w:rPr>
        <w:tab/>
        <w:t>Bacille de Calmette et de Guérin</w:t>
      </w:r>
    </w:p>
    <w:p w:rsidR="00000000" w:rsidRDefault="00000000">
      <w:pPr>
        <w:pStyle w:val="SingleTxtG"/>
        <w:tabs>
          <w:tab w:val="left" w:pos="2835"/>
        </w:tabs>
        <w:rPr>
          <w:lang w:val="fr-FR"/>
        </w:rPr>
      </w:pPr>
      <w:r>
        <w:rPr>
          <w:lang w:val="fr-FR"/>
        </w:rPr>
        <w:t>BCR</w:t>
      </w:r>
      <w:r>
        <w:rPr>
          <w:lang w:val="fr-FR"/>
        </w:rPr>
        <w:tab/>
        <w:t>Bureau du Coordinateur Résident des Nations Unies</w:t>
      </w:r>
    </w:p>
    <w:p w:rsidR="00000000" w:rsidRDefault="00000000">
      <w:pPr>
        <w:pStyle w:val="SingleTxtG"/>
        <w:tabs>
          <w:tab w:val="left" w:pos="2835"/>
        </w:tabs>
        <w:rPr>
          <w:lang w:val="fr-FR"/>
        </w:rPr>
      </w:pPr>
      <w:r>
        <w:rPr>
          <w:lang w:val="fr-FR"/>
        </w:rPr>
        <w:t>BEPC</w:t>
      </w:r>
      <w:r>
        <w:rPr>
          <w:lang w:val="fr-FR"/>
        </w:rPr>
        <w:tab/>
        <w:t>Brevet d’études du premier cycle</w:t>
      </w:r>
    </w:p>
    <w:p w:rsidR="00000000" w:rsidRDefault="00000000">
      <w:pPr>
        <w:pStyle w:val="SingleTxtG"/>
        <w:tabs>
          <w:tab w:val="left" w:pos="2835"/>
        </w:tabs>
        <w:rPr>
          <w:lang w:val="fr-FR"/>
        </w:rPr>
      </w:pPr>
      <w:r>
        <w:rPr>
          <w:lang w:val="fr-FR"/>
        </w:rPr>
        <w:t>BIT/IPEC</w:t>
      </w:r>
      <w:r>
        <w:rPr>
          <w:lang w:val="fr-FR"/>
        </w:rPr>
        <w:tab/>
        <w:t xml:space="preserve">Bureau international du Travail/ International Program on the </w:t>
      </w:r>
      <w:r>
        <w:rPr>
          <w:lang w:val="fr-FR"/>
        </w:rPr>
        <w:tab/>
        <w:t>Elimination of Child Labour</w:t>
      </w:r>
    </w:p>
    <w:p w:rsidR="00000000" w:rsidRDefault="00000000">
      <w:pPr>
        <w:pStyle w:val="SingleTxtG"/>
        <w:tabs>
          <w:tab w:val="left" w:pos="2835"/>
        </w:tabs>
        <w:rPr>
          <w:lang w:val="fr-FR"/>
        </w:rPr>
      </w:pPr>
      <w:r>
        <w:rPr>
          <w:lang w:val="fr-FR"/>
        </w:rPr>
        <w:t>BNGRC</w:t>
      </w:r>
      <w:r>
        <w:rPr>
          <w:lang w:val="fr-FR"/>
        </w:rPr>
        <w:tab/>
        <w:t>Bureau national de gestion des risques et catastrophes</w:t>
      </w:r>
    </w:p>
    <w:p w:rsidR="00000000" w:rsidRDefault="00000000">
      <w:pPr>
        <w:pStyle w:val="SingleTxtG"/>
        <w:tabs>
          <w:tab w:val="left" w:pos="2835"/>
        </w:tabs>
        <w:rPr>
          <w:lang w:val="fr-FR"/>
        </w:rPr>
      </w:pPr>
      <w:r>
        <w:rPr>
          <w:lang w:val="fr-FR"/>
        </w:rPr>
        <w:t>CAGS</w:t>
      </w:r>
      <w:r>
        <w:rPr>
          <w:lang w:val="fr-FR"/>
        </w:rPr>
        <w:tab/>
        <w:t>Coordination d’appui au secrétaire général</w:t>
      </w:r>
    </w:p>
    <w:p w:rsidR="00000000" w:rsidRDefault="00000000">
      <w:pPr>
        <w:pStyle w:val="SingleTxtG"/>
        <w:tabs>
          <w:tab w:val="left" w:pos="2835"/>
        </w:tabs>
        <w:rPr>
          <w:lang w:val="fr-FR"/>
        </w:rPr>
      </w:pPr>
      <w:r>
        <w:rPr>
          <w:lang w:val="fr-FR"/>
        </w:rPr>
        <w:t>CAP</w:t>
      </w:r>
      <w:r>
        <w:rPr>
          <w:lang w:val="fr-FR"/>
        </w:rPr>
        <w:tab/>
        <w:t>Certificat d’aptitude professionnel</w:t>
      </w:r>
    </w:p>
    <w:p w:rsidR="00000000" w:rsidRDefault="00000000">
      <w:pPr>
        <w:pStyle w:val="SingleTxtG"/>
        <w:tabs>
          <w:tab w:val="left" w:pos="2835"/>
        </w:tabs>
        <w:rPr>
          <w:lang w:val="fr-FR"/>
        </w:rPr>
      </w:pPr>
      <w:r>
        <w:rPr>
          <w:lang w:val="fr-FR"/>
        </w:rPr>
        <w:t>CBM</w:t>
      </w:r>
      <w:r>
        <w:rPr>
          <w:lang w:val="fr-FR"/>
        </w:rPr>
        <w:tab/>
        <w:t>Centre de biophysique moléculaire</w:t>
      </w:r>
    </w:p>
    <w:p w:rsidR="00000000" w:rsidRDefault="00000000">
      <w:pPr>
        <w:pStyle w:val="SingleTxtG"/>
        <w:tabs>
          <w:tab w:val="left" w:pos="2835"/>
        </w:tabs>
        <w:rPr>
          <w:lang w:val="fr-FR"/>
        </w:rPr>
      </w:pPr>
      <w:r>
        <w:rPr>
          <w:lang w:val="fr-FR"/>
        </w:rPr>
        <w:t>CCJ</w:t>
      </w:r>
      <w:r>
        <w:rPr>
          <w:lang w:val="fr-FR"/>
        </w:rPr>
        <w:tab/>
        <w:t>Conseil communal de jeune</w:t>
      </w:r>
    </w:p>
    <w:p w:rsidR="00000000" w:rsidRDefault="00000000">
      <w:pPr>
        <w:pStyle w:val="SingleTxtG"/>
        <w:tabs>
          <w:tab w:val="left" w:pos="2835"/>
        </w:tabs>
        <w:rPr>
          <w:lang w:val="fr-FR"/>
        </w:rPr>
      </w:pPr>
      <w:r>
        <w:rPr>
          <w:lang w:val="fr-FR"/>
        </w:rPr>
        <w:t>CCJOI</w:t>
      </w:r>
      <w:r>
        <w:rPr>
          <w:lang w:val="fr-FR"/>
        </w:rPr>
        <w:tab/>
        <w:t>Conseil citoyen des jeunes de l’océan Indien</w:t>
      </w:r>
    </w:p>
    <w:p w:rsidR="00000000" w:rsidRDefault="00000000">
      <w:pPr>
        <w:pStyle w:val="SingleTxtG"/>
        <w:tabs>
          <w:tab w:val="left" w:pos="2835"/>
        </w:tabs>
        <w:rPr>
          <w:lang w:val="fr-FR"/>
        </w:rPr>
      </w:pPr>
      <w:r>
        <w:rPr>
          <w:lang w:val="fr-FR"/>
        </w:rPr>
        <w:t>CCL</w:t>
      </w:r>
      <w:r>
        <w:rPr>
          <w:lang w:val="fr-FR"/>
        </w:rPr>
        <w:tab/>
        <w:t>Caisse compétitives locale</w:t>
      </w:r>
    </w:p>
    <w:p w:rsidR="00000000" w:rsidRDefault="00000000">
      <w:pPr>
        <w:pStyle w:val="SingleTxtG"/>
        <w:tabs>
          <w:tab w:val="left" w:pos="2835"/>
        </w:tabs>
        <w:rPr>
          <w:lang w:val="fr-FR"/>
        </w:rPr>
      </w:pPr>
      <w:r>
        <w:rPr>
          <w:lang w:val="fr-FR"/>
        </w:rPr>
        <w:t>CDMT</w:t>
      </w:r>
      <w:r>
        <w:rPr>
          <w:lang w:val="fr-FR"/>
        </w:rPr>
        <w:tab/>
        <w:t>Cadre des dépenses à moyen terme</w:t>
      </w:r>
    </w:p>
    <w:p w:rsidR="00000000" w:rsidRDefault="00000000">
      <w:pPr>
        <w:pStyle w:val="SingleTxtG"/>
        <w:tabs>
          <w:tab w:val="left" w:pos="2835"/>
        </w:tabs>
        <w:rPr>
          <w:lang w:val="fr-FR"/>
        </w:rPr>
      </w:pPr>
      <w:r>
        <w:rPr>
          <w:lang w:val="fr-FR"/>
        </w:rPr>
        <w:t>CE</w:t>
      </w:r>
      <w:r>
        <w:rPr>
          <w:lang w:val="fr-FR"/>
        </w:rPr>
        <w:tab/>
        <w:t>Collège d’excellence</w:t>
      </w:r>
    </w:p>
    <w:p w:rsidR="00000000" w:rsidRDefault="00000000">
      <w:pPr>
        <w:pStyle w:val="SingleTxtG"/>
        <w:tabs>
          <w:tab w:val="left" w:pos="2835"/>
        </w:tabs>
        <w:rPr>
          <w:lang w:val="fr-FR"/>
        </w:rPr>
      </w:pPr>
      <w:r>
        <w:rPr>
          <w:lang w:val="fr-FR"/>
        </w:rPr>
        <w:t>CEG</w:t>
      </w:r>
      <w:r>
        <w:rPr>
          <w:lang w:val="fr-FR"/>
        </w:rPr>
        <w:tab/>
        <w:t>Collège d’enseignement général</w:t>
      </w:r>
    </w:p>
    <w:p w:rsidR="00000000" w:rsidRDefault="00000000">
      <w:pPr>
        <w:pStyle w:val="SingleTxtG"/>
        <w:tabs>
          <w:tab w:val="left" w:pos="2835"/>
        </w:tabs>
        <w:rPr>
          <w:lang w:val="fr-FR"/>
        </w:rPr>
      </w:pPr>
      <w:r>
        <w:rPr>
          <w:lang w:val="fr-FR"/>
        </w:rPr>
        <w:t>CEPE</w:t>
      </w:r>
      <w:r>
        <w:rPr>
          <w:lang w:val="fr-FR"/>
        </w:rPr>
        <w:tab/>
        <w:t>Certificat d’études primaires élémentaires</w:t>
      </w:r>
    </w:p>
    <w:p w:rsidR="00000000" w:rsidRDefault="00000000">
      <w:pPr>
        <w:pStyle w:val="SingleTxtG"/>
        <w:tabs>
          <w:tab w:val="left" w:pos="2835"/>
        </w:tabs>
        <w:rPr>
          <w:lang w:val="fr-FR"/>
        </w:rPr>
      </w:pPr>
      <w:r>
        <w:rPr>
          <w:lang w:val="fr-FR"/>
        </w:rPr>
        <w:t>CFA</w:t>
      </w:r>
      <w:r>
        <w:rPr>
          <w:lang w:val="fr-FR"/>
        </w:rPr>
        <w:tab/>
        <w:t>Centre de formation artisanale</w:t>
      </w:r>
    </w:p>
    <w:p w:rsidR="00000000" w:rsidRDefault="00000000">
      <w:pPr>
        <w:pStyle w:val="SingleTxtG"/>
        <w:tabs>
          <w:tab w:val="left" w:pos="2835"/>
        </w:tabs>
        <w:rPr>
          <w:lang w:val="fr-FR"/>
        </w:rPr>
      </w:pPr>
      <w:r>
        <w:rPr>
          <w:lang w:val="fr-FR"/>
        </w:rPr>
        <w:t>CFP</w:t>
      </w:r>
      <w:r>
        <w:rPr>
          <w:lang w:val="fr-FR"/>
        </w:rPr>
        <w:tab/>
        <w:t>Collège de formation technique et professionnelle</w:t>
      </w:r>
    </w:p>
    <w:p w:rsidR="00000000" w:rsidRDefault="00000000">
      <w:pPr>
        <w:pStyle w:val="SingleTxtG"/>
        <w:tabs>
          <w:tab w:val="left" w:pos="2835"/>
        </w:tabs>
        <w:rPr>
          <w:lang w:val="fr-FR"/>
        </w:rPr>
      </w:pPr>
      <w:r>
        <w:rPr>
          <w:lang w:val="fr-FR"/>
        </w:rPr>
        <w:t>CHD</w:t>
      </w:r>
      <w:r>
        <w:rPr>
          <w:lang w:val="fr-FR"/>
        </w:rPr>
        <w:tab/>
        <w:t>Centre hospitalier de district</w:t>
      </w:r>
    </w:p>
    <w:p w:rsidR="00000000" w:rsidRDefault="00000000">
      <w:pPr>
        <w:pStyle w:val="SingleTxtG"/>
        <w:tabs>
          <w:tab w:val="left" w:pos="2835"/>
        </w:tabs>
        <w:rPr>
          <w:lang w:val="fr-FR"/>
        </w:rPr>
      </w:pPr>
      <w:r>
        <w:rPr>
          <w:lang w:val="fr-FR"/>
        </w:rPr>
        <w:t>CHR</w:t>
      </w:r>
      <w:r>
        <w:rPr>
          <w:lang w:val="fr-FR"/>
        </w:rPr>
        <w:tab/>
        <w:t>Centre hospitalier régional</w:t>
      </w:r>
    </w:p>
    <w:p w:rsidR="00000000" w:rsidRDefault="00000000">
      <w:pPr>
        <w:pStyle w:val="SingleTxtG"/>
        <w:tabs>
          <w:tab w:val="left" w:pos="2835"/>
        </w:tabs>
        <w:rPr>
          <w:lang w:val="fr-FR"/>
        </w:rPr>
      </w:pPr>
      <w:r>
        <w:rPr>
          <w:lang w:val="fr-FR"/>
        </w:rPr>
        <w:t>CHU</w:t>
      </w:r>
      <w:r>
        <w:rPr>
          <w:lang w:val="fr-FR"/>
        </w:rPr>
        <w:tab/>
        <w:t>Centre hospitalier universitaire</w:t>
      </w:r>
    </w:p>
    <w:p w:rsidR="00000000" w:rsidRDefault="00000000">
      <w:pPr>
        <w:pStyle w:val="SingleTxtG"/>
        <w:tabs>
          <w:tab w:val="left" w:pos="2835"/>
        </w:tabs>
        <w:rPr>
          <w:lang w:val="fr-FR"/>
        </w:rPr>
      </w:pPr>
      <w:r>
        <w:rPr>
          <w:lang w:val="fr-FR"/>
        </w:rPr>
        <w:t>CISCO</w:t>
      </w:r>
      <w:r>
        <w:rPr>
          <w:lang w:val="fr-FR"/>
        </w:rPr>
        <w:tab/>
        <w:t>Circonscription scolaire</w:t>
      </w:r>
    </w:p>
    <w:p w:rsidR="00000000" w:rsidRDefault="00000000">
      <w:pPr>
        <w:pStyle w:val="SingleTxtG"/>
        <w:tabs>
          <w:tab w:val="left" w:pos="2835"/>
        </w:tabs>
        <w:rPr>
          <w:lang w:val="fr-FR"/>
        </w:rPr>
      </w:pPr>
      <w:r>
        <w:rPr>
          <w:lang w:val="fr-FR"/>
        </w:rPr>
        <w:t>CITE</w:t>
      </w:r>
      <w:r>
        <w:rPr>
          <w:lang w:val="fr-FR"/>
        </w:rPr>
        <w:tab/>
        <w:t>Centre d’information technique et économique</w:t>
      </w:r>
    </w:p>
    <w:p w:rsidR="00000000" w:rsidRDefault="00000000">
      <w:pPr>
        <w:pStyle w:val="SingleTxtG"/>
        <w:tabs>
          <w:tab w:val="left" w:pos="2835"/>
        </w:tabs>
        <w:rPr>
          <w:lang w:val="fr-FR"/>
        </w:rPr>
      </w:pPr>
      <w:r>
        <w:rPr>
          <w:lang w:val="fr-FR"/>
        </w:rPr>
        <w:t>CLAC</w:t>
      </w:r>
      <w:r>
        <w:rPr>
          <w:lang w:val="fr-FR"/>
        </w:rPr>
        <w:tab/>
        <w:t>Centres de lecture et d’animation culturelle</w:t>
      </w:r>
    </w:p>
    <w:p w:rsidR="00000000" w:rsidRDefault="00000000">
      <w:pPr>
        <w:pStyle w:val="SingleTxtG"/>
        <w:tabs>
          <w:tab w:val="left" w:pos="2835"/>
        </w:tabs>
        <w:rPr>
          <w:lang w:val="fr-FR"/>
        </w:rPr>
      </w:pPr>
      <w:r>
        <w:rPr>
          <w:lang w:val="fr-FR"/>
        </w:rPr>
        <w:t>CLIC</w:t>
      </w:r>
      <w:r>
        <w:rPr>
          <w:lang w:val="fr-FR"/>
        </w:rPr>
        <w:tab/>
        <w:t>Centre de lecture d’information et de culture</w:t>
      </w:r>
    </w:p>
    <w:p w:rsidR="00000000" w:rsidRDefault="00000000">
      <w:pPr>
        <w:pStyle w:val="SingleTxtG"/>
        <w:tabs>
          <w:tab w:val="left" w:pos="2835"/>
        </w:tabs>
        <w:ind w:left="2835" w:hanging="1701"/>
        <w:rPr>
          <w:lang w:val="fr-FR"/>
        </w:rPr>
      </w:pPr>
      <w:r>
        <w:rPr>
          <w:lang w:val="fr-FR"/>
        </w:rPr>
        <w:t>CMDPE</w:t>
      </w:r>
      <w:r>
        <w:rPr>
          <w:lang w:val="fr-FR"/>
        </w:rPr>
        <w:tab/>
        <w:t>Comite multisectoriel pour les droits et protection de l’enfant</w:t>
      </w:r>
      <w:r>
        <w:rPr>
          <w:lang w:val="fr-FR"/>
        </w:rPr>
        <w:br/>
        <w:t>Diego Suarez</w:t>
      </w:r>
    </w:p>
    <w:p w:rsidR="00000000" w:rsidRDefault="00000000">
      <w:pPr>
        <w:pStyle w:val="SingleTxtG"/>
        <w:tabs>
          <w:tab w:val="left" w:pos="2835"/>
        </w:tabs>
        <w:rPr>
          <w:lang w:val="fr-FR"/>
        </w:rPr>
      </w:pPr>
      <w:r>
        <w:rPr>
          <w:lang w:val="fr-FR"/>
        </w:rPr>
        <w:t>CnaPS</w:t>
      </w:r>
      <w:r>
        <w:rPr>
          <w:lang w:val="fr-FR"/>
        </w:rPr>
        <w:tab/>
        <w:t>Caisse Nationale de Prévoyance Sociale</w:t>
      </w:r>
    </w:p>
    <w:p w:rsidR="00000000" w:rsidRDefault="00000000">
      <w:pPr>
        <w:pStyle w:val="SingleTxtG"/>
        <w:tabs>
          <w:tab w:val="left" w:pos="2835"/>
        </w:tabs>
        <w:rPr>
          <w:lang w:val="fr-FR"/>
        </w:rPr>
      </w:pPr>
      <w:r>
        <w:rPr>
          <w:lang w:val="fr-FR"/>
        </w:rPr>
        <w:t>CNGRC</w:t>
      </w:r>
      <w:r>
        <w:rPr>
          <w:lang w:val="fr-FR"/>
        </w:rPr>
        <w:tab/>
        <w:t>Conseil national de gestion des risques et des catastrophes</w:t>
      </w:r>
    </w:p>
    <w:p w:rsidR="00000000" w:rsidRDefault="00000000">
      <w:pPr>
        <w:pStyle w:val="SingleTxtG"/>
        <w:tabs>
          <w:tab w:val="left" w:pos="2835"/>
        </w:tabs>
        <w:rPr>
          <w:lang w:val="fr-FR"/>
        </w:rPr>
      </w:pPr>
      <w:r>
        <w:rPr>
          <w:lang w:val="fr-FR"/>
        </w:rPr>
        <w:t>CNLS</w:t>
      </w:r>
      <w:r>
        <w:rPr>
          <w:lang w:val="fr-FR"/>
        </w:rPr>
        <w:tab/>
        <w:t>Comité national de lutte contre le sida</w:t>
      </w:r>
    </w:p>
    <w:p w:rsidR="00000000" w:rsidRDefault="00000000">
      <w:pPr>
        <w:pStyle w:val="SingleTxtG"/>
        <w:tabs>
          <w:tab w:val="left" w:pos="2835"/>
        </w:tabs>
        <w:rPr>
          <w:lang w:val="fr-FR"/>
        </w:rPr>
      </w:pPr>
      <w:r>
        <w:rPr>
          <w:lang w:val="fr-FR"/>
        </w:rPr>
        <w:t>CNLTE</w:t>
      </w:r>
      <w:r>
        <w:rPr>
          <w:lang w:val="fr-FR"/>
        </w:rPr>
        <w:tab/>
        <w:t>Comité nationale de lutte contre le travail des enfants</w:t>
      </w:r>
    </w:p>
    <w:p w:rsidR="00000000" w:rsidRDefault="00000000">
      <w:pPr>
        <w:pStyle w:val="SingleTxtG"/>
        <w:tabs>
          <w:tab w:val="left" w:pos="2835"/>
        </w:tabs>
        <w:rPr>
          <w:lang w:val="fr-FR"/>
        </w:rPr>
      </w:pPr>
      <w:r>
        <w:rPr>
          <w:lang w:val="fr-FR"/>
        </w:rPr>
        <w:t>CNS</w:t>
      </w:r>
      <w:r>
        <w:rPr>
          <w:lang w:val="fr-FR"/>
        </w:rPr>
        <w:tab/>
        <w:t>Comptes nationaux de la santé</w:t>
      </w:r>
    </w:p>
    <w:p w:rsidR="00000000" w:rsidRDefault="00000000">
      <w:pPr>
        <w:pStyle w:val="SingleTxtG"/>
        <w:tabs>
          <w:tab w:val="left" w:pos="2835"/>
        </w:tabs>
        <w:rPr>
          <w:lang w:val="fr-FR"/>
        </w:rPr>
      </w:pPr>
      <w:r>
        <w:rPr>
          <w:lang w:val="fr-FR"/>
        </w:rPr>
        <w:t>CNTEMAD</w:t>
      </w:r>
      <w:r>
        <w:rPr>
          <w:lang w:val="fr-FR"/>
        </w:rPr>
        <w:tab/>
        <w:t>Centre national de télé-enseignement de Madagascar</w:t>
      </w:r>
    </w:p>
    <w:p w:rsidR="00000000" w:rsidRDefault="00000000">
      <w:pPr>
        <w:pStyle w:val="SingleTxtG"/>
        <w:tabs>
          <w:tab w:val="left" w:pos="2835"/>
        </w:tabs>
        <w:rPr>
          <w:lang w:val="fr-FR"/>
        </w:rPr>
      </w:pPr>
      <w:r>
        <w:rPr>
          <w:lang w:val="fr-FR"/>
        </w:rPr>
        <w:t>COI</w:t>
      </w:r>
      <w:r>
        <w:rPr>
          <w:lang w:val="fr-FR"/>
        </w:rPr>
        <w:tab/>
        <w:t>Commission de l’océan Indien</w:t>
      </w:r>
    </w:p>
    <w:p w:rsidR="00000000" w:rsidRDefault="00000000">
      <w:pPr>
        <w:pStyle w:val="SingleTxtG"/>
        <w:tabs>
          <w:tab w:val="left" w:pos="2835"/>
        </w:tabs>
        <w:rPr>
          <w:lang w:val="fr-FR"/>
        </w:rPr>
      </w:pPr>
      <w:r>
        <w:rPr>
          <w:lang w:val="fr-FR"/>
        </w:rPr>
        <w:t>CONABEX</w:t>
      </w:r>
      <w:r>
        <w:rPr>
          <w:lang w:val="fr-FR"/>
        </w:rPr>
        <w:tab/>
        <w:t>Commission nationale des bourses extérieures</w:t>
      </w:r>
    </w:p>
    <w:p w:rsidR="00000000" w:rsidRDefault="00000000">
      <w:pPr>
        <w:pStyle w:val="SingleTxtG"/>
        <w:tabs>
          <w:tab w:val="left" w:pos="2835"/>
        </w:tabs>
        <w:rPr>
          <w:lang w:val="fr-FR"/>
        </w:rPr>
      </w:pPr>
      <w:r>
        <w:rPr>
          <w:lang w:val="fr-FR"/>
        </w:rPr>
        <w:t>CPGU</w:t>
      </w:r>
      <w:r>
        <w:rPr>
          <w:lang w:val="fr-FR"/>
        </w:rPr>
        <w:tab/>
        <w:t>Cellule de gestion et de prévention des urgences</w:t>
      </w:r>
    </w:p>
    <w:p w:rsidR="00000000" w:rsidRDefault="00000000">
      <w:pPr>
        <w:pStyle w:val="SingleTxtG"/>
        <w:tabs>
          <w:tab w:val="left" w:pos="2835"/>
        </w:tabs>
        <w:rPr>
          <w:lang w:val="fr-FR"/>
        </w:rPr>
      </w:pPr>
      <w:r>
        <w:rPr>
          <w:lang w:val="fr-FR"/>
        </w:rPr>
        <w:t>CPN</w:t>
      </w:r>
      <w:r>
        <w:rPr>
          <w:lang w:val="fr-FR"/>
        </w:rPr>
        <w:tab/>
        <w:t>Consultation pré-natale</w:t>
      </w:r>
    </w:p>
    <w:p w:rsidR="00000000" w:rsidRDefault="00000000">
      <w:pPr>
        <w:pStyle w:val="SingleTxtG"/>
        <w:tabs>
          <w:tab w:val="left" w:pos="2835"/>
        </w:tabs>
        <w:rPr>
          <w:lang w:val="fr-FR"/>
        </w:rPr>
      </w:pPr>
      <w:r>
        <w:rPr>
          <w:lang w:val="fr-FR"/>
        </w:rPr>
        <w:t>CRDE</w:t>
      </w:r>
      <w:r>
        <w:rPr>
          <w:lang w:val="fr-FR"/>
        </w:rPr>
        <w:tab/>
        <w:t>Commission de reforme du droit des enfants</w:t>
      </w:r>
    </w:p>
    <w:p w:rsidR="00000000" w:rsidRDefault="00000000">
      <w:pPr>
        <w:pStyle w:val="SingleTxtG"/>
        <w:tabs>
          <w:tab w:val="left" w:pos="2835"/>
        </w:tabs>
        <w:rPr>
          <w:lang w:val="fr-FR"/>
        </w:rPr>
      </w:pPr>
      <w:r>
        <w:rPr>
          <w:lang w:val="fr-FR"/>
        </w:rPr>
        <w:t xml:space="preserve">CRENA </w:t>
      </w:r>
      <w:r>
        <w:rPr>
          <w:lang w:val="fr-FR"/>
        </w:rPr>
        <w:tab/>
        <w:t>Centre de réhabilitation nutritionnelle ambulatoire</w:t>
      </w:r>
    </w:p>
    <w:p w:rsidR="00000000" w:rsidRDefault="00000000">
      <w:pPr>
        <w:pStyle w:val="SingleTxtG"/>
        <w:tabs>
          <w:tab w:val="left" w:pos="2835"/>
        </w:tabs>
        <w:rPr>
          <w:lang w:val="fr-FR"/>
        </w:rPr>
      </w:pPr>
      <w:r>
        <w:rPr>
          <w:lang w:val="fr-FR"/>
        </w:rPr>
        <w:t>CRENI</w:t>
      </w:r>
      <w:r>
        <w:rPr>
          <w:lang w:val="fr-FR"/>
        </w:rPr>
        <w:tab/>
        <w:t>Centre de réhabilitation nutritionnelle intensive</w:t>
      </w:r>
    </w:p>
    <w:p w:rsidR="00000000" w:rsidRDefault="00000000">
      <w:pPr>
        <w:pStyle w:val="SingleTxtG"/>
        <w:tabs>
          <w:tab w:val="left" w:pos="2835"/>
        </w:tabs>
        <w:rPr>
          <w:lang w:val="fr-FR"/>
        </w:rPr>
      </w:pPr>
      <w:r>
        <w:rPr>
          <w:lang w:val="fr-FR"/>
        </w:rPr>
        <w:t>CRIC</w:t>
      </w:r>
      <w:r>
        <w:rPr>
          <w:lang w:val="fr-FR"/>
        </w:rPr>
        <w:tab/>
        <w:t>Comité de réflexion des intervenants en catastrophe</w:t>
      </w:r>
    </w:p>
    <w:p w:rsidR="00000000" w:rsidRDefault="00000000">
      <w:pPr>
        <w:pStyle w:val="SingleTxtG"/>
        <w:tabs>
          <w:tab w:val="left" w:pos="2835"/>
        </w:tabs>
        <w:rPr>
          <w:lang w:val="fr-FR"/>
        </w:rPr>
      </w:pPr>
      <w:r>
        <w:rPr>
          <w:lang w:val="fr-FR"/>
        </w:rPr>
        <w:t>CRINFP</w:t>
      </w:r>
      <w:r>
        <w:rPr>
          <w:lang w:val="fr-FR"/>
        </w:rPr>
        <w:tab/>
        <w:t>Centre régional de l’institut national de formation pédagogique</w:t>
      </w:r>
    </w:p>
    <w:p w:rsidR="00000000" w:rsidRDefault="00000000">
      <w:pPr>
        <w:pStyle w:val="SingleTxtG"/>
        <w:tabs>
          <w:tab w:val="left" w:pos="2835"/>
        </w:tabs>
        <w:rPr>
          <w:lang w:val="fr-FR"/>
        </w:rPr>
      </w:pPr>
      <w:r>
        <w:rPr>
          <w:lang w:val="fr-FR"/>
        </w:rPr>
        <w:t>CRLTE</w:t>
      </w:r>
      <w:r>
        <w:rPr>
          <w:lang w:val="fr-FR"/>
        </w:rPr>
        <w:tab/>
        <w:t>Comité régional de lutte contre le travail des enfants</w:t>
      </w:r>
    </w:p>
    <w:p w:rsidR="00000000" w:rsidRDefault="00000000">
      <w:pPr>
        <w:pStyle w:val="SingleTxtG"/>
        <w:tabs>
          <w:tab w:val="left" w:pos="2835"/>
        </w:tabs>
        <w:rPr>
          <w:lang w:val="fr-FR"/>
        </w:rPr>
      </w:pPr>
      <w:r>
        <w:rPr>
          <w:lang w:val="fr-FR"/>
        </w:rPr>
        <w:t>CRMM</w:t>
      </w:r>
      <w:r>
        <w:rPr>
          <w:lang w:val="fr-FR"/>
        </w:rPr>
        <w:tab/>
        <w:t>Centre de rééducation motrice de Madagascar</w:t>
      </w:r>
    </w:p>
    <w:p w:rsidR="00000000" w:rsidRDefault="00000000">
      <w:pPr>
        <w:pStyle w:val="SingleTxtG"/>
        <w:tabs>
          <w:tab w:val="left" w:pos="2835"/>
        </w:tabs>
        <w:rPr>
          <w:lang w:val="fr-FR"/>
        </w:rPr>
      </w:pPr>
      <w:r>
        <w:rPr>
          <w:lang w:val="fr-FR"/>
        </w:rPr>
        <w:t>CRS</w:t>
      </w:r>
      <w:r>
        <w:rPr>
          <w:lang w:val="fr-FR"/>
        </w:rPr>
        <w:tab/>
        <w:t>Catholic Relief Service</w:t>
      </w:r>
    </w:p>
    <w:p w:rsidR="00000000" w:rsidRDefault="00000000">
      <w:pPr>
        <w:pStyle w:val="SingleTxtG"/>
        <w:tabs>
          <w:tab w:val="left" w:pos="2835"/>
        </w:tabs>
        <w:rPr>
          <w:lang w:val="fr-FR"/>
        </w:rPr>
      </w:pPr>
      <w:r>
        <w:rPr>
          <w:lang w:val="fr-FR"/>
        </w:rPr>
        <w:t>CSB I et II</w:t>
      </w:r>
      <w:r>
        <w:rPr>
          <w:lang w:val="fr-FR"/>
        </w:rPr>
        <w:tab/>
        <w:t>Centre de santé de base niveau i et niveau ii</w:t>
      </w:r>
    </w:p>
    <w:p w:rsidR="00000000" w:rsidRDefault="00000000">
      <w:pPr>
        <w:pStyle w:val="SingleTxtG"/>
        <w:tabs>
          <w:tab w:val="left" w:pos="2835"/>
        </w:tabs>
        <w:rPr>
          <w:lang w:val="fr-FR"/>
        </w:rPr>
      </w:pPr>
      <w:r>
        <w:rPr>
          <w:lang w:val="fr-FR"/>
        </w:rPr>
        <w:t>CTD</w:t>
      </w:r>
      <w:r>
        <w:rPr>
          <w:lang w:val="fr-FR"/>
        </w:rPr>
        <w:tab/>
        <w:t>Collectivités territoriales décentralisées</w:t>
      </w:r>
    </w:p>
    <w:p w:rsidR="00000000" w:rsidRDefault="00000000">
      <w:pPr>
        <w:pStyle w:val="SingleTxtG"/>
        <w:tabs>
          <w:tab w:val="left" w:pos="2835"/>
        </w:tabs>
        <w:rPr>
          <w:lang w:val="fr-FR"/>
        </w:rPr>
      </w:pPr>
      <w:r>
        <w:rPr>
          <w:lang w:val="fr-FR"/>
        </w:rPr>
        <w:t>DDC</w:t>
      </w:r>
      <w:r>
        <w:rPr>
          <w:lang w:val="fr-FR"/>
        </w:rPr>
        <w:tab/>
        <w:t>Direction de développement des curricula</w:t>
      </w:r>
    </w:p>
    <w:p w:rsidR="00000000" w:rsidRDefault="00000000">
      <w:pPr>
        <w:pStyle w:val="SingleTxtG"/>
        <w:tabs>
          <w:tab w:val="left" w:pos="2835"/>
        </w:tabs>
        <w:rPr>
          <w:lang w:val="fr-FR"/>
        </w:rPr>
      </w:pPr>
      <w:r>
        <w:rPr>
          <w:lang w:val="fr-FR"/>
        </w:rPr>
        <w:t>DDSS</w:t>
      </w:r>
      <w:r>
        <w:rPr>
          <w:lang w:val="fr-FR"/>
        </w:rPr>
        <w:tab/>
        <w:t>Direction de la démographie et des statistiques sociales</w:t>
      </w:r>
    </w:p>
    <w:p w:rsidR="00000000" w:rsidRDefault="00000000">
      <w:pPr>
        <w:pStyle w:val="SingleTxtG"/>
        <w:tabs>
          <w:tab w:val="left" w:pos="2835"/>
        </w:tabs>
        <w:rPr>
          <w:lang w:val="fr-FR"/>
        </w:rPr>
      </w:pPr>
      <w:r>
        <w:rPr>
          <w:lang w:val="fr-FR"/>
        </w:rPr>
        <w:t>DGAP</w:t>
      </w:r>
      <w:r>
        <w:rPr>
          <w:lang w:val="fr-FR"/>
        </w:rPr>
        <w:tab/>
        <w:t>Direction générale de l’administration pénitentiaire</w:t>
      </w:r>
    </w:p>
    <w:p w:rsidR="00000000" w:rsidRDefault="00000000">
      <w:pPr>
        <w:pStyle w:val="SingleTxtG"/>
        <w:tabs>
          <w:tab w:val="left" w:pos="2835"/>
        </w:tabs>
        <w:rPr>
          <w:lang w:val="fr-FR"/>
        </w:rPr>
      </w:pPr>
      <w:r>
        <w:rPr>
          <w:lang w:val="fr-FR"/>
        </w:rPr>
        <w:t>DGPS</w:t>
      </w:r>
      <w:r>
        <w:rPr>
          <w:lang w:val="fr-FR"/>
        </w:rPr>
        <w:tab/>
        <w:t>Direction générale de la protection sociale</w:t>
      </w:r>
    </w:p>
    <w:p w:rsidR="00000000" w:rsidRDefault="00000000">
      <w:pPr>
        <w:pStyle w:val="SingleTxtG"/>
        <w:tabs>
          <w:tab w:val="left" w:pos="2835"/>
        </w:tabs>
        <w:rPr>
          <w:lang w:val="fr-FR"/>
        </w:rPr>
      </w:pPr>
      <w:r>
        <w:rPr>
          <w:lang w:val="fr-FR"/>
        </w:rPr>
        <w:t>DIH</w:t>
      </w:r>
      <w:r>
        <w:rPr>
          <w:lang w:val="fr-FR"/>
        </w:rPr>
        <w:tab/>
        <w:t>Droit international humanitaire</w:t>
      </w:r>
    </w:p>
    <w:p w:rsidR="00000000" w:rsidRDefault="00000000">
      <w:pPr>
        <w:pStyle w:val="SingleTxtG"/>
        <w:tabs>
          <w:tab w:val="left" w:pos="2835"/>
        </w:tabs>
        <w:rPr>
          <w:lang w:val="fr-FR"/>
        </w:rPr>
      </w:pPr>
      <w:r>
        <w:rPr>
          <w:lang w:val="fr-FR"/>
        </w:rPr>
        <w:t>DIJE</w:t>
      </w:r>
      <w:r>
        <w:rPr>
          <w:lang w:val="fr-FR"/>
        </w:rPr>
        <w:tab/>
        <w:t>Développement intégral du jeune enfant</w:t>
      </w:r>
    </w:p>
    <w:p w:rsidR="00000000" w:rsidRDefault="00000000">
      <w:pPr>
        <w:pStyle w:val="SingleTxtG"/>
        <w:tabs>
          <w:tab w:val="left" w:pos="2835"/>
        </w:tabs>
        <w:ind w:left="2835" w:hanging="1701"/>
        <w:rPr>
          <w:lang w:val="fr-FR"/>
        </w:rPr>
      </w:pPr>
      <w:r>
        <w:rPr>
          <w:lang w:val="fr-FR"/>
        </w:rPr>
        <w:t>DIRESEB</w:t>
      </w:r>
      <w:r>
        <w:rPr>
          <w:lang w:val="fr-FR"/>
        </w:rPr>
        <w:tab/>
      </w:r>
      <w:r>
        <w:rPr>
          <w:lang w:val="fr-FR"/>
        </w:rPr>
        <w:tab/>
        <w:t>Directions provinciales de l’enseignement secondaire et de l’éducation de base</w:t>
      </w:r>
    </w:p>
    <w:p w:rsidR="00000000" w:rsidRDefault="00000000">
      <w:pPr>
        <w:pStyle w:val="SingleTxtG"/>
        <w:tabs>
          <w:tab w:val="left" w:pos="2835"/>
        </w:tabs>
        <w:rPr>
          <w:lang w:val="fr-FR"/>
        </w:rPr>
      </w:pPr>
      <w:r>
        <w:rPr>
          <w:lang w:val="fr-FR"/>
        </w:rPr>
        <w:t>DLIST</w:t>
      </w:r>
      <w:r>
        <w:rPr>
          <w:lang w:val="fr-FR"/>
        </w:rPr>
        <w:tab/>
        <w:t>Direction de lutte contre les infections sexuellement transmissibles</w:t>
      </w:r>
    </w:p>
    <w:p w:rsidR="00000000" w:rsidRDefault="00000000">
      <w:pPr>
        <w:pStyle w:val="SingleTxtG"/>
        <w:tabs>
          <w:tab w:val="left" w:pos="2835"/>
        </w:tabs>
        <w:rPr>
          <w:lang w:val="fr-FR"/>
        </w:rPr>
      </w:pPr>
      <w:r>
        <w:rPr>
          <w:lang w:val="fr-FR"/>
        </w:rPr>
        <w:t>DPFE</w:t>
      </w:r>
      <w:r>
        <w:rPr>
          <w:lang w:val="fr-FR"/>
        </w:rPr>
        <w:tab/>
        <w:t>Direction de protection de la famille et de l’enfant</w:t>
      </w:r>
    </w:p>
    <w:p w:rsidR="00000000" w:rsidRDefault="00000000">
      <w:pPr>
        <w:pStyle w:val="SingleTxtG"/>
        <w:tabs>
          <w:tab w:val="left" w:pos="2835"/>
        </w:tabs>
        <w:rPr>
          <w:lang w:val="fr-FR"/>
        </w:rPr>
      </w:pPr>
      <w:r>
        <w:rPr>
          <w:lang w:val="fr-FR"/>
        </w:rPr>
        <w:t>DPMPM</w:t>
      </w:r>
      <w:r>
        <w:rPr>
          <w:lang w:val="fr-FR"/>
        </w:rPr>
        <w:tab/>
        <w:t>Division de la police des mœurs et de la protection des mineurs</w:t>
      </w:r>
    </w:p>
    <w:p w:rsidR="00000000" w:rsidRDefault="00000000">
      <w:pPr>
        <w:pStyle w:val="SingleTxtG"/>
        <w:tabs>
          <w:tab w:val="left" w:pos="2835"/>
        </w:tabs>
        <w:rPr>
          <w:lang w:val="fr-FR"/>
        </w:rPr>
      </w:pPr>
      <w:r>
        <w:rPr>
          <w:lang w:val="fr-FR"/>
        </w:rPr>
        <w:t>DREN</w:t>
      </w:r>
      <w:r>
        <w:rPr>
          <w:lang w:val="fr-FR"/>
        </w:rPr>
        <w:tab/>
        <w:t>Direction régionale de l’éducation nationale</w:t>
      </w:r>
    </w:p>
    <w:p w:rsidR="00000000" w:rsidRDefault="00000000">
      <w:pPr>
        <w:pStyle w:val="SingleTxtG"/>
        <w:tabs>
          <w:tab w:val="left" w:pos="2835"/>
        </w:tabs>
        <w:rPr>
          <w:lang w:val="fr-FR"/>
        </w:rPr>
      </w:pPr>
      <w:r>
        <w:rPr>
          <w:lang w:val="fr-FR"/>
        </w:rPr>
        <w:t xml:space="preserve">DSM </w:t>
      </w:r>
      <w:r>
        <w:rPr>
          <w:lang w:val="fr-FR"/>
        </w:rPr>
        <w:tab/>
        <w:t>Direction des statistiques des ménages</w:t>
      </w:r>
    </w:p>
    <w:p w:rsidR="00000000" w:rsidRDefault="00000000">
      <w:pPr>
        <w:pStyle w:val="SingleTxtG"/>
        <w:tabs>
          <w:tab w:val="left" w:pos="2835"/>
        </w:tabs>
        <w:rPr>
          <w:lang w:val="fr-FR"/>
        </w:rPr>
      </w:pPr>
      <w:r>
        <w:rPr>
          <w:lang w:val="fr-FR"/>
        </w:rPr>
        <w:t>DSRP</w:t>
      </w:r>
      <w:r>
        <w:rPr>
          <w:lang w:val="fr-FR"/>
        </w:rPr>
        <w:tab/>
        <w:t xml:space="preserve">Document stratégique pour la réduction de la pauvreté </w:t>
      </w:r>
    </w:p>
    <w:p w:rsidR="00000000" w:rsidRDefault="00000000">
      <w:pPr>
        <w:pStyle w:val="SingleTxtG"/>
        <w:tabs>
          <w:tab w:val="left" w:pos="2835"/>
        </w:tabs>
        <w:rPr>
          <w:lang w:val="fr-FR"/>
        </w:rPr>
      </w:pPr>
      <w:r>
        <w:rPr>
          <w:lang w:val="fr-FR"/>
        </w:rPr>
        <w:t>DSY</w:t>
      </w:r>
      <w:r>
        <w:rPr>
          <w:lang w:val="fr-FR"/>
        </w:rPr>
        <w:tab/>
        <w:t>Direction des synthèses économiques</w:t>
      </w:r>
    </w:p>
    <w:p w:rsidR="00000000" w:rsidRDefault="00000000">
      <w:pPr>
        <w:pStyle w:val="SingleTxtG"/>
        <w:tabs>
          <w:tab w:val="left" w:pos="2835"/>
        </w:tabs>
        <w:rPr>
          <w:lang w:val="fr-FR"/>
        </w:rPr>
      </w:pPr>
      <w:r>
        <w:rPr>
          <w:lang w:val="fr-FR"/>
        </w:rPr>
        <w:t>DTC</w:t>
      </w:r>
      <w:r>
        <w:rPr>
          <w:lang w:val="fr-FR"/>
        </w:rPr>
        <w:tab/>
        <w:t>Vaccin contre la diphtérie, le tétanos et le coqueluche</w:t>
      </w:r>
    </w:p>
    <w:p w:rsidR="00000000" w:rsidRDefault="00000000">
      <w:pPr>
        <w:pStyle w:val="SingleTxtG"/>
        <w:tabs>
          <w:tab w:val="left" w:pos="2835"/>
        </w:tabs>
        <w:rPr>
          <w:lang w:val="fr-FR"/>
        </w:rPr>
      </w:pPr>
      <w:r>
        <w:rPr>
          <w:lang w:val="fr-FR"/>
        </w:rPr>
        <w:t>DTIC</w:t>
      </w:r>
      <w:r>
        <w:rPr>
          <w:lang w:val="fr-FR"/>
        </w:rPr>
        <w:tab/>
        <w:t>Direction des technologies de l’information et de la communication</w:t>
      </w:r>
    </w:p>
    <w:p w:rsidR="00000000" w:rsidRDefault="00000000">
      <w:pPr>
        <w:pStyle w:val="SingleTxtG"/>
        <w:tabs>
          <w:tab w:val="left" w:pos="2835"/>
        </w:tabs>
        <w:rPr>
          <w:lang w:val="fr-FR"/>
        </w:rPr>
      </w:pPr>
      <w:r>
        <w:rPr>
          <w:lang w:val="fr-FR"/>
        </w:rPr>
        <w:t>ECAR</w:t>
      </w:r>
      <w:r>
        <w:rPr>
          <w:lang w:val="fr-FR"/>
        </w:rPr>
        <w:tab/>
        <w:t>Église catholique romaine</w:t>
      </w:r>
    </w:p>
    <w:p w:rsidR="00000000" w:rsidRDefault="00000000">
      <w:pPr>
        <w:pStyle w:val="SingleTxtG"/>
        <w:tabs>
          <w:tab w:val="left" w:pos="2835"/>
        </w:tabs>
        <w:rPr>
          <w:lang w:val="fr-FR"/>
        </w:rPr>
      </w:pPr>
      <w:r>
        <w:rPr>
          <w:lang w:val="fr-FR"/>
        </w:rPr>
        <w:t>ECC</w:t>
      </w:r>
      <w:r>
        <w:rPr>
          <w:lang w:val="fr-FR"/>
        </w:rPr>
        <w:tab/>
        <w:t>Éducation à la citoyenneté et au civisme</w:t>
      </w:r>
    </w:p>
    <w:p w:rsidR="00000000" w:rsidRDefault="00000000">
      <w:pPr>
        <w:pStyle w:val="SingleTxtG"/>
        <w:tabs>
          <w:tab w:val="left" w:pos="2835"/>
        </w:tabs>
        <w:rPr>
          <w:lang w:val="fr-FR"/>
        </w:rPr>
      </w:pPr>
      <w:r>
        <w:rPr>
          <w:lang w:val="fr-FR"/>
        </w:rPr>
        <w:t>EDS</w:t>
      </w:r>
      <w:r>
        <w:rPr>
          <w:lang w:val="fr-FR"/>
        </w:rPr>
        <w:tab/>
        <w:t>Enquête démographique et de santé</w:t>
      </w:r>
    </w:p>
    <w:p w:rsidR="00000000" w:rsidRDefault="00000000">
      <w:pPr>
        <w:pStyle w:val="SingleTxtG"/>
        <w:tabs>
          <w:tab w:val="left" w:pos="2835"/>
        </w:tabs>
        <w:ind w:left="2835" w:hanging="1701"/>
        <w:rPr>
          <w:lang w:val="fr-FR"/>
        </w:rPr>
      </w:pPr>
      <w:r>
        <w:rPr>
          <w:lang w:val="fr-FR"/>
        </w:rPr>
        <w:t>EDSMD II et III</w:t>
      </w:r>
      <w:r>
        <w:rPr>
          <w:lang w:val="fr-FR"/>
        </w:rPr>
        <w:tab/>
        <w:t>Deuxième et troisième enquêtes démographiques et de santé de Madagascar</w:t>
      </w:r>
    </w:p>
    <w:p w:rsidR="00000000" w:rsidRDefault="00000000">
      <w:pPr>
        <w:pStyle w:val="SingleTxtG"/>
        <w:tabs>
          <w:tab w:val="left" w:pos="2835"/>
        </w:tabs>
        <w:rPr>
          <w:lang w:val="fr-FR"/>
        </w:rPr>
      </w:pPr>
      <w:r>
        <w:rPr>
          <w:lang w:val="fr-FR"/>
        </w:rPr>
        <w:t>EGN</w:t>
      </w:r>
      <w:r>
        <w:rPr>
          <w:lang w:val="fr-FR"/>
        </w:rPr>
        <w:tab/>
        <w:t>École de la gendarmerie nationale</w:t>
      </w:r>
    </w:p>
    <w:p w:rsidR="00000000" w:rsidRDefault="00000000">
      <w:pPr>
        <w:pStyle w:val="SingleTxtG"/>
        <w:tabs>
          <w:tab w:val="left" w:pos="2835"/>
        </w:tabs>
        <w:rPr>
          <w:lang w:val="fr-FR"/>
        </w:rPr>
      </w:pPr>
      <w:r>
        <w:rPr>
          <w:lang w:val="fr-FR"/>
        </w:rPr>
        <w:t>EHTP</w:t>
      </w:r>
      <w:r>
        <w:rPr>
          <w:lang w:val="fr-FR"/>
        </w:rPr>
        <w:tab/>
        <w:t>Esclavage humain et le trafic de personnes</w:t>
      </w:r>
    </w:p>
    <w:p w:rsidR="00000000" w:rsidRDefault="00000000">
      <w:pPr>
        <w:pStyle w:val="SingleTxtG"/>
        <w:tabs>
          <w:tab w:val="left" w:pos="2835"/>
        </w:tabs>
        <w:ind w:left="2835" w:hanging="1701"/>
        <w:rPr>
          <w:lang w:val="fr-FR"/>
        </w:rPr>
      </w:pPr>
      <w:r>
        <w:rPr>
          <w:lang w:val="fr-FR"/>
        </w:rPr>
        <w:t>EKA</w:t>
      </w:r>
      <w:r>
        <w:rPr>
          <w:lang w:val="fr-FR"/>
        </w:rPr>
        <w:tab/>
        <w:t>Ezaka Kopia ho an’ny Ankizy (Opération de délivrance de jugements supplétifs de naissance pour les enfants)</w:t>
      </w:r>
    </w:p>
    <w:p w:rsidR="00000000" w:rsidRDefault="00000000">
      <w:pPr>
        <w:pStyle w:val="SingleTxtG"/>
        <w:tabs>
          <w:tab w:val="left" w:pos="2835"/>
        </w:tabs>
        <w:rPr>
          <w:lang w:val="fr-FR"/>
        </w:rPr>
      </w:pPr>
      <w:r>
        <w:rPr>
          <w:lang w:val="fr-FR"/>
        </w:rPr>
        <w:t>ENDS</w:t>
      </w:r>
      <w:r>
        <w:rPr>
          <w:lang w:val="fr-FR"/>
        </w:rPr>
        <w:tab/>
        <w:t>Enquête nationale démographique et sanitaire</w:t>
      </w:r>
    </w:p>
    <w:p w:rsidR="00000000" w:rsidRDefault="00000000">
      <w:pPr>
        <w:pStyle w:val="SingleTxtG"/>
        <w:tabs>
          <w:tab w:val="left" w:pos="2835"/>
        </w:tabs>
        <w:rPr>
          <w:lang w:val="fr-FR"/>
        </w:rPr>
      </w:pPr>
      <w:r>
        <w:rPr>
          <w:lang w:val="fr-FR"/>
        </w:rPr>
        <w:t>ENF</w:t>
      </w:r>
      <w:r>
        <w:rPr>
          <w:lang w:val="fr-FR"/>
        </w:rPr>
        <w:tab/>
        <w:t>Enseignant non fonctionnaire</w:t>
      </w:r>
    </w:p>
    <w:p w:rsidR="00000000" w:rsidRDefault="00000000">
      <w:pPr>
        <w:pStyle w:val="SingleTxtG"/>
        <w:tabs>
          <w:tab w:val="left" w:pos="2835"/>
        </w:tabs>
        <w:rPr>
          <w:lang w:val="fr-FR"/>
        </w:rPr>
      </w:pPr>
      <w:r>
        <w:rPr>
          <w:lang w:val="fr-FR"/>
        </w:rPr>
        <w:t>ENTE</w:t>
      </w:r>
      <w:r>
        <w:rPr>
          <w:lang w:val="fr-FR"/>
        </w:rPr>
        <w:tab/>
        <w:t>Enquête nationale sur le travail des enfants</w:t>
      </w:r>
    </w:p>
    <w:p w:rsidR="00000000" w:rsidRDefault="00000000">
      <w:pPr>
        <w:pStyle w:val="SingleTxtG"/>
        <w:tabs>
          <w:tab w:val="left" w:pos="2835"/>
        </w:tabs>
        <w:rPr>
          <w:lang w:val="fr-FR"/>
        </w:rPr>
      </w:pPr>
      <w:r>
        <w:rPr>
          <w:lang w:val="fr-FR"/>
        </w:rPr>
        <w:t>EPM</w:t>
      </w:r>
      <w:r>
        <w:rPr>
          <w:lang w:val="fr-FR"/>
        </w:rPr>
        <w:tab/>
        <w:t>Enquête permanente auprès des ménages</w:t>
      </w:r>
    </w:p>
    <w:p w:rsidR="00000000" w:rsidRDefault="00000000">
      <w:pPr>
        <w:pStyle w:val="SingleTxtG"/>
        <w:tabs>
          <w:tab w:val="left" w:pos="2835"/>
        </w:tabs>
        <w:rPr>
          <w:lang w:val="fr-FR"/>
        </w:rPr>
      </w:pPr>
      <w:r>
        <w:rPr>
          <w:lang w:val="fr-FR"/>
        </w:rPr>
        <w:t>EPP</w:t>
      </w:r>
      <w:r>
        <w:rPr>
          <w:lang w:val="fr-FR"/>
        </w:rPr>
        <w:tab/>
        <w:t>École primaire publique</w:t>
      </w:r>
    </w:p>
    <w:p w:rsidR="00000000" w:rsidRDefault="00000000">
      <w:pPr>
        <w:pStyle w:val="SingleTxtG"/>
        <w:tabs>
          <w:tab w:val="left" w:pos="2835"/>
        </w:tabs>
        <w:rPr>
          <w:lang w:val="fr-FR"/>
        </w:rPr>
      </w:pPr>
      <w:r>
        <w:rPr>
          <w:lang w:val="fr-FR"/>
        </w:rPr>
        <w:t>EPT</w:t>
      </w:r>
      <w:r>
        <w:rPr>
          <w:lang w:val="fr-FR"/>
        </w:rPr>
        <w:tab/>
        <w:t>Éducation pour tous</w:t>
      </w:r>
    </w:p>
    <w:p w:rsidR="00000000" w:rsidRDefault="00000000">
      <w:pPr>
        <w:pStyle w:val="SingleTxtG"/>
        <w:tabs>
          <w:tab w:val="left" w:pos="2835"/>
        </w:tabs>
        <w:rPr>
          <w:lang w:val="fr-FR"/>
        </w:rPr>
      </w:pPr>
      <w:r>
        <w:rPr>
          <w:lang w:val="fr-FR"/>
        </w:rPr>
        <w:t>ESB</w:t>
      </w:r>
      <w:r>
        <w:rPr>
          <w:lang w:val="fr-FR"/>
        </w:rPr>
        <w:tab/>
        <w:t>Enquête de surveillance biologique</w:t>
      </w:r>
    </w:p>
    <w:p w:rsidR="00000000" w:rsidRDefault="00000000">
      <w:pPr>
        <w:pStyle w:val="SingleTxtG"/>
        <w:tabs>
          <w:tab w:val="left" w:pos="2835"/>
        </w:tabs>
        <w:rPr>
          <w:lang w:val="fr-FR"/>
        </w:rPr>
      </w:pPr>
      <w:r>
        <w:rPr>
          <w:lang w:val="fr-FR"/>
        </w:rPr>
        <w:t>ESC</w:t>
      </w:r>
      <w:r>
        <w:rPr>
          <w:lang w:val="fr-FR"/>
        </w:rPr>
        <w:tab/>
        <w:t>Enquête de surveillance comportementale</w:t>
      </w:r>
    </w:p>
    <w:p w:rsidR="00000000" w:rsidRDefault="00000000">
      <w:pPr>
        <w:pStyle w:val="SingleTxtG"/>
        <w:tabs>
          <w:tab w:val="left" w:pos="2835"/>
        </w:tabs>
        <w:rPr>
          <w:lang w:val="fr-FR"/>
        </w:rPr>
      </w:pPr>
      <w:r>
        <w:rPr>
          <w:lang w:val="fr-FR"/>
        </w:rPr>
        <w:t>ESDC</w:t>
      </w:r>
      <w:r>
        <w:rPr>
          <w:lang w:val="fr-FR"/>
        </w:rPr>
        <w:tab/>
        <w:t>Enseignement secondaire du deuxième cycle</w:t>
      </w:r>
    </w:p>
    <w:p w:rsidR="00000000" w:rsidRDefault="00000000">
      <w:pPr>
        <w:pStyle w:val="SingleTxtG"/>
        <w:tabs>
          <w:tab w:val="left" w:pos="2835"/>
        </w:tabs>
        <w:rPr>
          <w:lang w:val="fr-FR"/>
        </w:rPr>
      </w:pPr>
      <w:r>
        <w:rPr>
          <w:lang w:val="fr-FR"/>
        </w:rPr>
        <w:t>ESE</w:t>
      </w:r>
      <w:r>
        <w:rPr>
          <w:lang w:val="fr-FR"/>
        </w:rPr>
        <w:tab/>
        <w:t>Exploitation sexuelle des enfants</w:t>
      </w:r>
    </w:p>
    <w:p w:rsidR="00000000" w:rsidRDefault="00000000">
      <w:pPr>
        <w:pStyle w:val="SingleTxtG"/>
        <w:tabs>
          <w:tab w:val="left" w:pos="2835"/>
        </w:tabs>
        <w:rPr>
          <w:lang w:val="fr-FR"/>
        </w:rPr>
      </w:pPr>
      <w:r>
        <w:rPr>
          <w:lang w:val="fr-FR"/>
        </w:rPr>
        <w:t>ESEB</w:t>
      </w:r>
      <w:r>
        <w:rPr>
          <w:lang w:val="fr-FR"/>
        </w:rPr>
        <w:tab/>
        <w:t>Enseignement secondaire et éducation de base</w:t>
      </w:r>
    </w:p>
    <w:p w:rsidR="00000000" w:rsidRDefault="00000000">
      <w:pPr>
        <w:pStyle w:val="SingleTxtG"/>
        <w:tabs>
          <w:tab w:val="left" w:pos="2835"/>
        </w:tabs>
        <w:rPr>
          <w:lang w:val="fr-FR"/>
        </w:rPr>
      </w:pPr>
      <w:r>
        <w:rPr>
          <w:lang w:val="fr-FR"/>
        </w:rPr>
        <w:t>ESEC</w:t>
      </w:r>
      <w:r>
        <w:rPr>
          <w:lang w:val="fr-FR"/>
        </w:rPr>
        <w:tab/>
        <w:t>Enfants sexuellement exploités à des fins commerciales</w:t>
      </w:r>
    </w:p>
    <w:p w:rsidR="00000000" w:rsidRDefault="00000000">
      <w:pPr>
        <w:pStyle w:val="SingleTxtG"/>
        <w:tabs>
          <w:tab w:val="left" w:pos="2835"/>
        </w:tabs>
        <w:rPr>
          <w:lang w:val="fr-FR"/>
        </w:rPr>
      </w:pPr>
      <w:r>
        <w:rPr>
          <w:lang w:val="fr-FR"/>
        </w:rPr>
        <w:t>ESGN</w:t>
      </w:r>
      <w:r>
        <w:rPr>
          <w:lang w:val="fr-FR"/>
        </w:rPr>
        <w:tab/>
        <w:t>École supérieure de la gendarmerie nationale</w:t>
      </w:r>
    </w:p>
    <w:p w:rsidR="00000000" w:rsidRDefault="00000000">
      <w:pPr>
        <w:pStyle w:val="SingleTxtG"/>
        <w:tabs>
          <w:tab w:val="left" w:pos="2835"/>
        </w:tabs>
        <w:rPr>
          <w:lang w:val="fr-FR"/>
        </w:rPr>
      </w:pPr>
      <w:r>
        <w:rPr>
          <w:lang w:val="fr-FR"/>
        </w:rPr>
        <w:t>ESPC</w:t>
      </w:r>
      <w:r>
        <w:rPr>
          <w:lang w:val="fr-FR"/>
        </w:rPr>
        <w:tab/>
        <w:t>Enseignement secondaire du premier cycle</w:t>
      </w:r>
    </w:p>
    <w:p w:rsidR="00000000" w:rsidRDefault="00000000">
      <w:pPr>
        <w:pStyle w:val="SingleTxtG"/>
        <w:tabs>
          <w:tab w:val="left" w:pos="2835"/>
        </w:tabs>
        <w:rPr>
          <w:lang w:val="fr-FR"/>
        </w:rPr>
      </w:pPr>
      <w:r>
        <w:rPr>
          <w:lang w:val="fr-FR"/>
        </w:rPr>
        <w:t>ETP</w:t>
      </w:r>
      <w:r>
        <w:rPr>
          <w:lang w:val="fr-FR"/>
        </w:rPr>
        <w:tab/>
        <w:t>Enseignement technique et professionnel</w:t>
      </w:r>
    </w:p>
    <w:p w:rsidR="00000000" w:rsidRDefault="00000000">
      <w:pPr>
        <w:pStyle w:val="SingleTxtG"/>
        <w:tabs>
          <w:tab w:val="left" w:pos="2835"/>
        </w:tabs>
        <w:rPr>
          <w:lang w:val="fr-FR"/>
        </w:rPr>
      </w:pPr>
      <w:r>
        <w:rPr>
          <w:lang w:val="fr-FR"/>
        </w:rPr>
        <w:t>EVF</w:t>
      </w:r>
      <w:r>
        <w:rPr>
          <w:lang w:val="fr-FR"/>
        </w:rPr>
        <w:tab/>
        <w:t>Éducation à la vie familiale</w:t>
      </w:r>
    </w:p>
    <w:p w:rsidR="00000000" w:rsidRDefault="00000000">
      <w:pPr>
        <w:pStyle w:val="SingleTxtG"/>
        <w:tabs>
          <w:tab w:val="left" w:pos="2835"/>
        </w:tabs>
        <w:ind w:left="2835" w:hanging="1701"/>
        <w:rPr>
          <w:lang w:val="fr-FR"/>
        </w:rPr>
      </w:pPr>
      <w:r>
        <w:rPr>
          <w:lang w:val="fr-FR"/>
        </w:rPr>
        <w:t>FAF</w:t>
      </w:r>
      <w:r>
        <w:rPr>
          <w:lang w:val="fr-FR"/>
        </w:rPr>
        <w:tab/>
        <w:t>Fiaraha-miombon’Antoka ho amin’ny Fampandrosoana (Partenariat pour le développement)</w:t>
      </w:r>
    </w:p>
    <w:p w:rsidR="00000000" w:rsidRDefault="00000000">
      <w:pPr>
        <w:pStyle w:val="SingleTxtG"/>
        <w:tabs>
          <w:tab w:val="left" w:pos="2835"/>
        </w:tabs>
        <w:rPr>
          <w:lang w:val="fr-FR"/>
        </w:rPr>
      </w:pPr>
      <w:r>
        <w:rPr>
          <w:lang w:val="fr-FR"/>
        </w:rPr>
        <w:t>FANOME</w:t>
      </w:r>
      <w:r>
        <w:rPr>
          <w:lang w:val="fr-FR"/>
        </w:rPr>
        <w:tab/>
        <w:t>Fonds d’Approvisionnement non-stop des médicaments</w:t>
      </w:r>
    </w:p>
    <w:p w:rsidR="00000000" w:rsidRDefault="00000000">
      <w:pPr>
        <w:pStyle w:val="SingleTxtG"/>
        <w:tabs>
          <w:tab w:val="left" w:pos="2835"/>
        </w:tabs>
        <w:rPr>
          <w:lang w:val="en-GB"/>
        </w:rPr>
      </w:pPr>
      <w:r>
        <w:rPr>
          <w:lang w:val="en-GB"/>
        </w:rPr>
        <w:t>FARITANY</w:t>
      </w:r>
      <w:r>
        <w:rPr>
          <w:lang w:val="en-GB"/>
        </w:rPr>
        <w:tab/>
        <w:t>Province</w:t>
      </w:r>
    </w:p>
    <w:p w:rsidR="00000000" w:rsidRDefault="00000000">
      <w:pPr>
        <w:pStyle w:val="SingleTxtG"/>
        <w:tabs>
          <w:tab w:val="left" w:pos="2835"/>
        </w:tabs>
        <w:rPr>
          <w:lang w:val="en-GB"/>
        </w:rPr>
      </w:pPr>
      <w:r>
        <w:rPr>
          <w:lang w:val="en-GB"/>
        </w:rPr>
        <w:t>FAWE</w:t>
      </w:r>
      <w:r>
        <w:rPr>
          <w:lang w:val="en-GB"/>
        </w:rPr>
        <w:tab/>
        <w:t>Forum for African Women Education</w:t>
      </w:r>
    </w:p>
    <w:p w:rsidR="00000000" w:rsidRDefault="00000000">
      <w:pPr>
        <w:pStyle w:val="SingleTxtG"/>
        <w:tabs>
          <w:tab w:val="left" w:pos="2835"/>
        </w:tabs>
        <w:ind w:left="2835" w:hanging="1701"/>
        <w:rPr>
          <w:lang w:val="en-GB"/>
        </w:rPr>
      </w:pPr>
      <w:r>
        <w:rPr>
          <w:lang w:val="en-GB"/>
        </w:rPr>
        <w:t>FIKRIFAMA</w:t>
      </w:r>
      <w:r>
        <w:rPr>
          <w:lang w:val="en-GB"/>
        </w:rPr>
        <w:tab/>
        <w:t>Fifanampiana Kristianina ho an’ny Fampandrosoana eto Madagasikara</w:t>
      </w:r>
    </w:p>
    <w:p w:rsidR="00000000" w:rsidRDefault="00000000">
      <w:pPr>
        <w:pStyle w:val="SingleTxtG"/>
        <w:tabs>
          <w:tab w:val="left" w:pos="2835"/>
        </w:tabs>
        <w:rPr>
          <w:lang w:val="fr-FR"/>
        </w:rPr>
      </w:pPr>
      <w:r>
        <w:rPr>
          <w:lang w:val="fr-FR"/>
        </w:rPr>
        <w:t>FIRAISANA</w:t>
      </w:r>
      <w:r>
        <w:rPr>
          <w:lang w:val="fr-FR"/>
        </w:rPr>
        <w:tab/>
        <w:t>Commune</w:t>
      </w:r>
    </w:p>
    <w:p w:rsidR="00000000" w:rsidRDefault="00000000">
      <w:pPr>
        <w:pStyle w:val="SingleTxtG"/>
        <w:tabs>
          <w:tab w:val="left" w:pos="2835"/>
        </w:tabs>
        <w:rPr>
          <w:lang w:val="fr-FR"/>
        </w:rPr>
      </w:pPr>
      <w:r>
        <w:rPr>
          <w:lang w:val="fr-FR"/>
        </w:rPr>
        <w:t>FISA</w:t>
      </w:r>
      <w:r>
        <w:rPr>
          <w:lang w:val="fr-FR"/>
        </w:rPr>
        <w:tab/>
        <w:t>Fianakaviana Sambatra (Association pour le bien-être de la famille)</w:t>
      </w:r>
    </w:p>
    <w:p w:rsidR="00000000" w:rsidRDefault="00000000">
      <w:pPr>
        <w:pStyle w:val="SingleTxtG"/>
        <w:tabs>
          <w:tab w:val="left" w:pos="2835"/>
        </w:tabs>
        <w:rPr>
          <w:lang w:val="fr-FR"/>
        </w:rPr>
      </w:pPr>
      <w:r>
        <w:rPr>
          <w:lang w:val="fr-FR"/>
        </w:rPr>
        <w:t>FIVONDRONANA</w:t>
      </w:r>
      <w:r>
        <w:rPr>
          <w:lang w:val="fr-FR"/>
        </w:rPr>
        <w:tab/>
        <w:t>District</w:t>
      </w:r>
    </w:p>
    <w:p w:rsidR="00000000" w:rsidRDefault="00000000">
      <w:pPr>
        <w:pStyle w:val="SingleTxtG"/>
        <w:tabs>
          <w:tab w:val="left" w:pos="2835"/>
        </w:tabs>
        <w:rPr>
          <w:lang w:val="fr-FR"/>
        </w:rPr>
      </w:pPr>
      <w:r>
        <w:rPr>
          <w:lang w:val="fr-FR"/>
        </w:rPr>
        <w:t>FJKM</w:t>
      </w:r>
      <w:r>
        <w:rPr>
          <w:lang w:val="fr-FR"/>
        </w:rPr>
        <w:tab/>
        <w:t>Fiangonan’i Jesoa Kristy eto Madagasikara</w:t>
      </w:r>
    </w:p>
    <w:p w:rsidR="00000000" w:rsidRDefault="00000000">
      <w:pPr>
        <w:pStyle w:val="SingleTxtG"/>
        <w:tabs>
          <w:tab w:val="left" w:pos="2835"/>
        </w:tabs>
        <w:rPr>
          <w:lang w:val="es-ES_tradnl"/>
        </w:rPr>
      </w:pPr>
      <w:r>
        <w:rPr>
          <w:lang w:val="es-ES_tradnl"/>
        </w:rPr>
        <w:t>FMG</w:t>
      </w:r>
      <w:r>
        <w:rPr>
          <w:lang w:val="es-ES_tradnl"/>
        </w:rPr>
        <w:tab/>
        <w:t>Franc Malagasy</w:t>
      </w:r>
    </w:p>
    <w:p w:rsidR="00000000" w:rsidRDefault="00000000">
      <w:pPr>
        <w:pStyle w:val="SingleTxtG"/>
        <w:tabs>
          <w:tab w:val="left" w:pos="2835"/>
        </w:tabs>
        <w:rPr>
          <w:lang w:val="es-ES_tradnl"/>
        </w:rPr>
      </w:pPr>
      <w:r>
        <w:rPr>
          <w:lang w:val="es-ES_tradnl"/>
        </w:rPr>
        <w:t>FMM</w:t>
      </w:r>
      <w:r>
        <w:rPr>
          <w:lang w:val="es-ES_tradnl"/>
        </w:rPr>
        <w:tab/>
        <w:t>Federasionan’ny Marenina eto Madagasikara</w:t>
      </w:r>
    </w:p>
    <w:p w:rsidR="00000000" w:rsidRDefault="00000000">
      <w:pPr>
        <w:pStyle w:val="SingleTxtG"/>
        <w:tabs>
          <w:tab w:val="left" w:pos="2835"/>
        </w:tabs>
        <w:rPr>
          <w:lang w:val="fr-FR"/>
        </w:rPr>
      </w:pPr>
      <w:r>
        <w:rPr>
          <w:lang w:val="fr-FR"/>
        </w:rPr>
        <w:t xml:space="preserve">FNUAP </w:t>
      </w:r>
      <w:r>
        <w:rPr>
          <w:lang w:val="fr-FR"/>
        </w:rPr>
        <w:tab/>
        <w:t>Fonds des Nations Unies pour la Population</w:t>
      </w:r>
    </w:p>
    <w:p w:rsidR="00000000" w:rsidRDefault="00000000">
      <w:pPr>
        <w:pStyle w:val="SingleTxtG"/>
        <w:tabs>
          <w:tab w:val="left" w:pos="2835"/>
        </w:tabs>
        <w:rPr>
          <w:lang w:val="fr-FR"/>
        </w:rPr>
      </w:pPr>
      <w:r>
        <w:rPr>
          <w:lang w:val="fr-FR"/>
        </w:rPr>
        <w:t>FOFAJA</w:t>
      </w:r>
      <w:r>
        <w:rPr>
          <w:lang w:val="fr-FR"/>
        </w:rPr>
        <w:tab/>
        <w:t>Foibe Fanabeazana ny Jamba</w:t>
      </w:r>
    </w:p>
    <w:p w:rsidR="00000000" w:rsidRDefault="00000000">
      <w:pPr>
        <w:pStyle w:val="SingleTxtG"/>
        <w:tabs>
          <w:tab w:val="left" w:pos="2835"/>
        </w:tabs>
        <w:rPr>
          <w:lang w:val="fr-FR"/>
        </w:rPr>
      </w:pPr>
      <w:r>
        <w:rPr>
          <w:lang w:val="fr-FR"/>
        </w:rPr>
        <w:t>FOKONTANY</w:t>
      </w:r>
      <w:r>
        <w:rPr>
          <w:lang w:val="fr-FR"/>
        </w:rPr>
        <w:tab/>
        <w:t>Quartier (la plus petite subdivision administrative à Madagascar)</w:t>
      </w:r>
    </w:p>
    <w:p w:rsidR="00000000" w:rsidRDefault="00000000">
      <w:pPr>
        <w:pStyle w:val="SingleTxtG"/>
        <w:tabs>
          <w:tab w:val="left" w:pos="2835"/>
        </w:tabs>
        <w:ind w:left="2835" w:hanging="1701"/>
        <w:rPr>
          <w:lang w:val="fr-FR"/>
        </w:rPr>
      </w:pPr>
      <w:r>
        <w:rPr>
          <w:lang w:val="fr-FR"/>
        </w:rPr>
        <w:t>FRAM</w:t>
      </w:r>
      <w:r>
        <w:rPr>
          <w:lang w:val="fr-FR"/>
        </w:rPr>
        <w:tab/>
        <w:t>Fikambanan’ny Ray Aman-drenin’ny Mpianatra (Association des parents d’élèves)</w:t>
      </w:r>
    </w:p>
    <w:p w:rsidR="00000000" w:rsidRDefault="00000000">
      <w:pPr>
        <w:pStyle w:val="SingleTxtG"/>
        <w:tabs>
          <w:tab w:val="left" w:pos="2835"/>
        </w:tabs>
        <w:rPr>
          <w:lang w:val="fr-FR"/>
        </w:rPr>
      </w:pPr>
      <w:r>
        <w:rPr>
          <w:lang w:val="fr-FR"/>
        </w:rPr>
        <w:t>FTP</w:t>
      </w:r>
      <w:r>
        <w:rPr>
          <w:lang w:val="fr-FR"/>
        </w:rPr>
        <w:tab/>
        <w:t>Formation technique et professionnelle</w:t>
      </w:r>
    </w:p>
    <w:p w:rsidR="00000000" w:rsidRDefault="00000000">
      <w:pPr>
        <w:pStyle w:val="SingleTxtG"/>
        <w:tabs>
          <w:tab w:val="left" w:pos="2835"/>
        </w:tabs>
        <w:rPr>
          <w:lang w:val="fr-FR"/>
        </w:rPr>
      </w:pPr>
      <w:r>
        <w:rPr>
          <w:lang w:val="fr-FR"/>
        </w:rPr>
        <w:t>GRC</w:t>
      </w:r>
      <w:r>
        <w:rPr>
          <w:lang w:val="fr-FR"/>
        </w:rPr>
        <w:tab/>
        <w:t>Gestion des risques et catastrophes</w:t>
      </w:r>
    </w:p>
    <w:p w:rsidR="00000000" w:rsidRDefault="00000000">
      <w:pPr>
        <w:pStyle w:val="SingleTxtG"/>
        <w:tabs>
          <w:tab w:val="left" w:pos="2835"/>
        </w:tabs>
        <w:rPr>
          <w:lang w:val="fr-FR"/>
        </w:rPr>
      </w:pPr>
      <w:r>
        <w:rPr>
          <w:lang w:val="fr-FR"/>
        </w:rPr>
        <w:t>GTIC</w:t>
      </w:r>
      <w:r>
        <w:rPr>
          <w:lang w:val="fr-FR"/>
        </w:rPr>
        <w:tab/>
        <w:t>Groupe de travail interdisciplinaire de coordination</w:t>
      </w:r>
    </w:p>
    <w:p w:rsidR="00000000" w:rsidRDefault="00000000">
      <w:pPr>
        <w:pStyle w:val="SingleTxtG"/>
        <w:tabs>
          <w:tab w:val="left" w:pos="2835"/>
        </w:tabs>
        <w:ind w:left="2835" w:hanging="1701"/>
        <w:rPr>
          <w:lang w:val="fr-FR"/>
        </w:rPr>
      </w:pPr>
      <w:r>
        <w:rPr>
          <w:lang w:val="fr-FR"/>
        </w:rPr>
        <w:t>HIAKA</w:t>
      </w:r>
      <w:r>
        <w:rPr>
          <w:lang w:val="fr-FR"/>
        </w:rPr>
        <w:tab/>
        <w:t>Hetsika iadiana amin’ny kitrotro sy ny aretina mpahazo ny ankizy (Opération de vaccination contre la rougeole et les maladies infantiles)</w:t>
      </w:r>
    </w:p>
    <w:p w:rsidR="00000000" w:rsidRDefault="00000000">
      <w:pPr>
        <w:pStyle w:val="SingleTxtG"/>
        <w:tabs>
          <w:tab w:val="left" w:pos="2835"/>
        </w:tabs>
        <w:rPr>
          <w:lang w:val="en-GB"/>
        </w:rPr>
      </w:pPr>
      <w:r>
        <w:rPr>
          <w:lang w:val="en-GB"/>
        </w:rPr>
        <w:t>HIP</w:t>
      </w:r>
      <w:r>
        <w:rPr>
          <w:lang w:val="en-GB"/>
        </w:rPr>
        <w:tab/>
        <w:t>Hygiene Improvement Project</w:t>
      </w:r>
    </w:p>
    <w:p w:rsidR="00000000" w:rsidRDefault="00000000">
      <w:pPr>
        <w:pStyle w:val="SingleTxtG"/>
        <w:tabs>
          <w:tab w:val="left" w:pos="2835"/>
        </w:tabs>
        <w:rPr>
          <w:lang w:val="en-GB"/>
        </w:rPr>
      </w:pPr>
      <w:r>
        <w:rPr>
          <w:lang w:val="en-GB"/>
        </w:rPr>
        <w:t>IAPB</w:t>
      </w:r>
      <w:r>
        <w:rPr>
          <w:lang w:val="en-GB"/>
        </w:rPr>
        <w:tab/>
        <w:t>International Agency for the Prevention of Blindness</w:t>
      </w:r>
    </w:p>
    <w:p w:rsidR="00000000" w:rsidRDefault="00000000">
      <w:pPr>
        <w:pStyle w:val="SingleTxtG"/>
        <w:tabs>
          <w:tab w:val="left" w:pos="2835"/>
        </w:tabs>
        <w:rPr>
          <w:lang w:val="fr-FR"/>
        </w:rPr>
      </w:pPr>
      <w:r>
        <w:rPr>
          <w:lang w:val="fr-FR"/>
        </w:rPr>
        <w:t>ICCO</w:t>
      </w:r>
      <w:r>
        <w:rPr>
          <w:lang w:val="fr-FR"/>
        </w:rPr>
        <w:tab/>
        <w:t>Organisation inter-églises de coopération au développement</w:t>
      </w:r>
    </w:p>
    <w:p w:rsidR="00000000" w:rsidRDefault="00000000">
      <w:pPr>
        <w:pStyle w:val="SingleTxtG"/>
        <w:tabs>
          <w:tab w:val="left" w:pos="2835"/>
        </w:tabs>
        <w:rPr>
          <w:lang w:val="fr-FR"/>
        </w:rPr>
      </w:pPr>
      <w:r>
        <w:rPr>
          <w:lang w:val="fr-FR"/>
        </w:rPr>
        <w:t>IDH</w:t>
      </w:r>
      <w:r>
        <w:rPr>
          <w:lang w:val="fr-FR"/>
        </w:rPr>
        <w:tab/>
        <w:t>Indicateur de développement humain</w:t>
      </w:r>
    </w:p>
    <w:p w:rsidR="00000000" w:rsidRDefault="00000000">
      <w:pPr>
        <w:pStyle w:val="SingleTxtG"/>
        <w:tabs>
          <w:tab w:val="left" w:pos="2835"/>
        </w:tabs>
        <w:rPr>
          <w:lang w:val="fr-FR"/>
        </w:rPr>
      </w:pPr>
      <w:r>
        <w:rPr>
          <w:lang w:val="fr-FR"/>
        </w:rPr>
        <w:t>IEC</w:t>
      </w:r>
      <w:r>
        <w:rPr>
          <w:lang w:val="fr-FR"/>
        </w:rPr>
        <w:tab/>
        <w:t>Information éducation-communication</w:t>
      </w:r>
    </w:p>
    <w:p w:rsidR="00000000" w:rsidRDefault="00000000">
      <w:pPr>
        <w:pStyle w:val="SingleTxtG"/>
        <w:tabs>
          <w:tab w:val="left" w:pos="2835"/>
        </w:tabs>
        <w:rPr>
          <w:lang w:val="fr-FR"/>
        </w:rPr>
      </w:pPr>
      <w:r>
        <w:rPr>
          <w:lang w:val="fr-FR"/>
        </w:rPr>
        <w:t>IFIRP</w:t>
      </w:r>
      <w:r>
        <w:rPr>
          <w:lang w:val="fr-FR"/>
        </w:rPr>
        <w:tab/>
        <w:t>Instituts de formation interrégionaux des paramédicaux</w:t>
      </w:r>
    </w:p>
    <w:p w:rsidR="00000000" w:rsidRDefault="00000000">
      <w:pPr>
        <w:pStyle w:val="SingleTxtG"/>
        <w:tabs>
          <w:tab w:val="left" w:pos="2835"/>
        </w:tabs>
        <w:rPr>
          <w:lang w:val="fr-FR"/>
        </w:rPr>
      </w:pPr>
      <w:r>
        <w:rPr>
          <w:lang w:val="fr-FR"/>
        </w:rPr>
        <w:t>INFP</w:t>
      </w:r>
      <w:r>
        <w:rPr>
          <w:lang w:val="fr-FR"/>
        </w:rPr>
        <w:tab/>
        <w:t>Institut national de formation pédagogique</w:t>
      </w:r>
    </w:p>
    <w:p w:rsidR="00000000" w:rsidRDefault="00000000">
      <w:pPr>
        <w:pStyle w:val="SingleTxtG"/>
        <w:tabs>
          <w:tab w:val="left" w:pos="2835"/>
        </w:tabs>
        <w:rPr>
          <w:lang w:val="fr-FR"/>
        </w:rPr>
      </w:pPr>
      <w:r>
        <w:rPr>
          <w:lang w:val="fr-FR"/>
        </w:rPr>
        <w:t>INSCAE</w:t>
      </w:r>
      <w:r>
        <w:rPr>
          <w:lang w:val="fr-FR"/>
        </w:rPr>
        <w:tab/>
        <w:t>Institut national des sciences de l’administration de l’entreprise</w:t>
      </w:r>
    </w:p>
    <w:p w:rsidR="00000000" w:rsidRDefault="00000000">
      <w:pPr>
        <w:pStyle w:val="SingleTxtG"/>
        <w:tabs>
          <w:tab w:val="left" w:pos="2835"/>
        </w:tabs>
        <w:rPr>
          <w:lang w:val="fr-FR"/>
        </w:rPr>
      </w:pPr>
      <w:r>
        <w:rPr>
          <w:lang w:val="fr-FR"/>
        </w:rPr>
        <w:t>INSPC</w:t>
      </w:r>
      <w:r>
        <w:rPr>
          <w:lang w:val="fr-FR"/>
        </w:rPr>
        <w:tab/>
        <w:t>Institut national de santé publique et communautaire</w:t>
      </w:r>
    </w:p>
    <w:p w:rsidR="00000000" w:rsidRDefault="00000000">
      <w:pPr>
        <w:pStyle w:val="SingleTxtG"/>
        <w:tabs>
          <w:tab w:val="left" w:pos="2835"/>
        </w:tabs>
        <w:rPr>
          <w:lang w:val="fr-FR"/>
        </w:rPr>
      </w:pPr>
      <w:r>
        <w:rPr>
          <w:lang w:val="fr-FR"/>
        </w:rPr>
        <w:t xml:space="preserve">INSTAT </w:t>
      </w:r>
      <w:r>
        <w:rPr>
          <w:lang w:val="fr-FR"/>
        </w:rPr>
        <w:tab/>
        <w:t>Institut national de la statistique</w:t>
      </w:r>
    </w:p>
    <w:p w:rsidR="00000000" w:rsidRDefault="00000000">
      <w:pPr>
        <w:pStyle w:val="SingleTxtG"/>
        <w:tabs>
          <w:tab w:val="left" w:pos="2835"/>
        </w:tabs>
        <w:rPr>
          <w:lang w:val="fr-FR"/>
        </w:rPr>
      </w:pPr>
      <w:r>
        <w:rPr>
          <w:lang w:val="fr-FR"/>
        </w:rPr>
        <w:t>IOSTM</w:t>
      </w:r>
      <w:r>
        <w:rPr>
          <w:lang w:val="fr-FR"/>
        </w:rPr>
        <w:tab/>
        <w:t>Institut d’odontostomatologie tropicale de Mahajanga</w:t>
      </w:r>
    </w:p>
    <w:p w:rsidR="00000000" w:rsidRDefault="00000000">
      <w:pPr>
        <w:pStyle w:val="SingleTxtG"/>
        <w:tabs>
          <w:tab w:val="left" w:pos="2835"/>
        </w:tabs>
        <w:rPr>
          <w:lang w:val="fr-FR"/>
        </w:rPr>
      </w:pPr>
      <w:r>
        <w:rPr>
          <w:lang w:val="fr-FR"/>
        </w:rPr>
        <w:t>IRA</w:t>
      </w:r>
      <w:r>
        <w:rPr>
          <w:lang w:val="fr-FR"/>
        </w:rPr>
        <w:tab/>
        <w:t>Infection respiratoire aigüe</w:t>
      </w:r>
    </w:p>
    <w:p w:rsidR="00000000" w:rsidRDefault="00000000">
      <w:pPr>
        <w:pStyle w:val="SingleTxtG"/>
        <w:tabs>
          <w:tab w:val="left" w:pos="2835"/>
        </w:tabs>
        <w:rPr>
          <w:lang w:val="fr-FR"/>
        </w:rPr>
      </w:pPr>
      <w:r>
        <w:rPr>
          <w:lang w:val="fr-FR"/>
        </w:rPr>
        <w:t>ISCAM</w:t>
      </w:r>
      <w:r>
        <w:rPr>
          <w:lang w:val="fr-FR"/>
        </w:rPr>
        <w:tab/>
        <w:t>Institut supérieur de la communication des affaires et du management</w:t>
      </w:r>
    </w:p>
    <w:p w:rsidR="00000000" w:rsidRDefault="00000000">
      <w:pPr>
        <w:pStyle w:val="SingleTxtG"/>
        <w:tabs>
          <w:tab w:val="left" w:pos="2835"/>
        </w:tabs>
        <w:rPr>
          <w:lang w:val="fr-FR"/>
        </w:rPr>
      </w:pPr>
      <w:r>
        <w:rPr>
          <w:lang w:val="fr-FR"/>
        </w:rPr>
        <w:t>ISDH</w:t>
      </w:r>
      <w:r>
        <w:rPr>
          <w:lang w:val="fr-FR"/>
        </w:rPr>
        <w:tab/>
        <w:t>Indicateur sexospécifique du développement humain</w:t>
      </w:r>
    </w:p>
    <w:p w:rsidR="00000000" w:rsidRDefault="00000000">
      <w:pPr>
        <w:pStyle w:val="SingleTxtG"/>
        <w:tabs>
          <w:tab w:val="left" w:pos="2835"/>
        </w:tabs>
        <w:rPr>
          <w:lang w:val="fr-FR"/>
        </w:rPr>
      </w:pPr>
      <w:r>
        <w:rPr>
          <w:lang w:val="fr-FR"/>
        </w:rPr>
        <w:t>ISF</w:t>
      </w:r>
      <w:r>
        <w:rPr>
          <w:lang w:val="fr-FR"/>
        </w:rPr>
        <w:tab/>
        <w:t>Indice synthétique de fécondité</w:t>
      </w:r>
    </w:p>
    <w:p w:rsidR="00000000" w:rsidRDefault="00000000">
      <w:pPr>
        <w:pStyle w:val="SingleTxtG"/>
        <w:tabs>
          <w:tab w:val="left" w:pos="2835"/>
        </w:tabs>
        <w:rPr>
          <w:lang w:val="fr-FR"/>
        </w:rPr>
      </w:pPr>
      <w:r>
        <w:rPr>
          <w:lang w:val="fr-FR"/>
        </w:rPr>
        <w:t>ISPM</w:t>
      </w:r>
      <w:r>
        <w:rPr>
          <w:lang w:val="fr-FR"/>
        </w:rPr>
        <w:tab/>
        <w:t>Institut supérieur polytechnique de Madagascar</w:t>
      </w:r>
    </w:p>
    <w:p w:rsidR="00000000" w:rsidRDefault="00000000">
      <w:pPr>
        <w:pStyle w:val="SingleTxtG"/>
        <w:tabs>
          <w:tab w:val="left" w:pos="2835"/>
        </w:tabs>
        <w:rPr>
          <w:lang w:val="fr-FR"/>
        </w:rPr>
      </w:pPr>
      <w:r>
        <w:rPr>
          <w:lang w:val="fr-FR"/>
        </w:rPr>
        <w:t>IST</w:t>
      </w:r>
      <w:r>
        <w:rPr>
          <w:lang w:val="fr-FR"/>
        </w:rPr>
        <w:tab/>
        <w:t>Institut supérieur de technologie</w:t>
      </w:r>
    </w:p>
    <w:p w:rsidR="00000000" w:rsidRDefault="00000000">
      <w:pPr>
        <w:pStyle w:val="SingleTxtG"/>
        <w:tabs>
          <w:tab w:val="left" w:pos="2835"/>
        </w:tabs>
        <w:rPr>
          <w:lang w:val="fr-FR"/>
        </w:rPr>
      </w:pPr>
      <w:r>
        <w:rPr>
          <w:lang w:val="fr-FR"/>
        </w:rPr>
        <w:t xml:space="preserve">IST </w:t>
      </w:r>
      <w:r>
        <w:rPr>
          <w:lang w:val="fr-FR"/>
        </w:rPr>
        <w:tab/>
        <w:t>Infection sexuellement transmissible</w:t>
      </w:r>
    </w:p>
    <w:p w:rsidR="00000000" w:rsidRDefault="00000000">
      <w:pPr>
        <w:pStyle w:val="SingleTxtG"/>
        <w:tabs>
          <w:tab w:val="left" w:pos="2835"/>
        </w:tabs>
        <w:rPr>
          <w:lang w:val="fr-FR"/>
        </w:rPr>
      </w:pPr>
      <w:r>
        <w:rPr>
          <w:lang w:val="fr-FR"/>
        </w:rPr>
        <w:t>IST</w:t>
      </w:r>
      <w:r>
        <w:rPr>
          <w:lang w:val="fr-FR"/>
        </w:rPr>
        <w:tab/>
        <w:t>Institut supérieur de technologies</w:t>
      </w:r>
    </w:p>
    <w:p w:rsidR="00000000" w:rsidRDefault="00000000">
      <w:pPr>
        <w:pStyle w:val="SingleTxtG"/>
        <w:tabs>
          <w:tab w:val="left" w:pos="2835"/>
        </w:tabs>
        <w:rPr>
          <w:lang w:val="fr-FR"/>
        </w:rPr>
      </w:pPr>
      <w:r>
        <w:rPr>
          <w:lang w:val="fr-FR"/>
        </w:rPr>
        <w:t>JSI</w:t>
      </w:r>
      <w:r>
        <w:rPr>
          <w:lang w:val="fr-FR"/>
        </w:rPr>
        <w:tab/>
        <w:t>John Snow International ou Jereo Salama Isika</w:t>
      </w:r>
    </w:p>
    <w:p w:rsidR="00000000" w:rsidRDefault="00000000">
      <w:pPr>
        <w:pStyle w:val="SingleTxtG"/>
        <w:tabs>
          <w:tab w:val="left" w:pos="2835"/>
        </w:tabs>
        <w:rPr>
          <w:lang w:val="fr-FR"/>
        </w:rPr>
      </w:pPr>
      <w:r>
        <w:rPr>
          <w:lang w:val="fr-FR"/>
        </w:rPr>
        <w:t>LGW</w:t>
      </w:r>
      <w:r>
        <w:rPr>
          <w:lang w:val="fr-FR"/>
        </w:rPr>
        <w:tab/>
        <w:t>Life Giving Water</w:t>
      </w:r>
    </w:p>
    <w:p w:rsidR="00000000" w:rsidRDefault="00000000">
      <w:pPr>
        <w:pStyle w:val="SingleTxtG"/>
        <w:tabs>
          <w:tab w:val="left" w:pos="2835"/>
        </w:tabs>
        <w:rPr>
          <w:lang w:val="fr-FR"/>
        </w:rPr>
      </w:pPr>
      <w:r>
        <w:rPr>
          <w:lang w:val="fr-FR"/>
        </w:rPr>
        <w:t>LP2D</w:t>
      </w:r>
      <w:r>
        <w:rPr>
          <w:lang w:val="fr-FR"/>
        </w:rPr>
        <w:tab/>
        <w:t>Lettre de politique pour la décentralisation et la déconcentration</w:t>
      </w:r>
    </w:p>
    <w:p w:rsidR="00000000" w:rsidRDefault="00000000">
      <w:pPr>
        <w:pStyle w:val="SingleTxtG"/>
        <w:tabs>
          <w:tab w:val="left" w:pos="2835"/>
        </w:tabs>
        <w:rPr>
          <w:lang w:val="fr-FR"/>
        </w:rPr>
      </w:pPr>
      <w:r>
        <w:rPr>
          <w:lang w:val="fr-FR"/>
        </w:rPr>
        <w:t>LTP</w:t>
      </w:r>
      <w:r>
        <w:rPr>
          <w:lang w:val="fr-FR"/>
        </w:rPr>
        <w:tab/>
        <w:t>Lycée technique et professionnel</w:t>
      </w:r>
    </w:p>
    <w:p w:rsidR="00000000" w:rsidRDefault="00000000">
      <w:pPr>
        <w:pStyle w:val="SingleTxtG"/>
        <w:tabs>
          <w:tab w:val="left" w:pos="2835"/>
        </w:tabs>
        <w:rPr>
          <w:lang w:val="fr-FR"/>
        </w:rPr>
      </w:pPr>
      <w:r>
        <w:rPr>
          <w:lang w:val="fr-FR"/>
        </w:rPr>
        <w:t>MAP</w:t>
      </w:r>
      <w:r>
        <w:rPr>
          <w:lang w:val="fr-FR"/>
        </w:rPr>
        <w:tab/>
        <w:t>Madagascar Action Plan</w:t>
      </w:r>
    </w:p>
    <w:p w:rsidR="00000000" w:rsidRDefault="00000000">
      <w:pPr>
        <w:pStyle w:val="SingleTxtG"/>
        <w:tabs>
          <w:tab w:val="left" w:pos="2835"/>
        </w:tabs>
        <w:rPr>
          <w:lang w:val="en-GB"/>
        </w:rPr>
      </w:pPr>
      <w:r>
        <w:rPr>
          <w:lang w:val="en-GB"/>
        </w:rPr>
        <w:t>MBB</w:t>
      </w:r>
      <w:r>
        <w:rPr>
          <w:lang w:val="en-GB"/>
        </w:rPr>
        <w:tab/>
        <w:t>Marginal Budgeting for Bottlenecks</w:t>
      </w:r>
    </w:p>
    <w:p w:rsidR="00000000" w:rsidRDefault="00000000">
      <w:pPr>
        <w:pStyle w:val="SingleTxtG"/>
        <w:tabs>
          <w:tab w:val="left" w:pos="2835"/>
        </w:tabs>
        <w:rPr>
          <w:lang w:val="en-GB"/>
        </w:rPr>
      </w:pPr>
      <w:r>
        <w:rPr>
          <w:lang w:val="en-GB"/>
        </w:rPr>
        <w:t>MBS</w:t>
      </w:r>
      <w:r>
        <w:rPr>
          <w:lang w:val="en-GB"/>
        </w:rPr>
        <w:tab/>
        <w:t>Malagasy Broadcasting System</w:t>
      </w:r>
    </w:p>
    <w:p w:rsidR="00000000" w:rsidRDefault="00000000">
      <w:pPr>
        <w:pStyle w:val="SingleTxtG"/>
        <w:tabs>
          <w:tab w:val="left" w:pos="2835"/>
        </w:tabs>
        <w:rPr>
          <w:lang w:val="fr-FR"/>
        </w:rPr>
      </w:pPr>
      <w:r>
        <w:rPr>
          <w:lang w:val="fr-FR"/>
        </w:rPr>
        <w:t>MCA</w:t>
      </w:r>
      <w:r>
        <w:rPr>
          <w:lang w:val="fr-FR"/>
        </w:rPr>
        <w:tab/>
        <w:t>Millenium Challenge Account</w:t>
      </w:r>
    </w:p>
    <w:p w:rsidR="00000000" w:rsidRDefault="00000000">
      <w:pPr>
        <w:pStyle w:val="SingleTxtG"/>
        <w:tabs>
          <w:tab w:val="left" w:pos="2835"/>
        </w:tabs>
        <w:rPr>
          <w:lang w:val="fr-FR"/>
        </w:rPr>
      </w:pPr>
      <w:r>
        <w:rPr>
          <w:lang w:val="fr-FR"/>
        </w:rPr>
        <w:t>MDAT</w:t>
      </w:r>
      <w:r>
        <w:rPr>
          <w:lang w:val="fr-FR"/>
        </w:rPr>
        <w:tab/>
        <w:t>Ministère de la décentralisation et de l’aménagement du territoire</w:t>
      </w:r>
    </w:p>
    <w:p w:rsidR="00000000" w:rsidRDefault="00000000">
      <w:pPr>
        <w:pStyle w:val="SingleTxtG"/>
        <w:tabs>
          <w:tab w:val="left" w:pos="2835"/>
        </w:tabs>
        <w:rPr>
          <w:lang w:val="fr-FR"/>
        </w:rPr>
      </w:pPr>
      <w:r>
        <w:rPr>
          <w:lang w:val="fr-FR"/>
        </w:rPr>
        <w:t>MDN</w:t>
      </w:r>
      <w:r>
        <w:rPr>
          <w:lang w:val="fr-FR"/>
        </w:rPr>
        <w:tab/>
        <w:t>Ministère de la défense nationale</w:t>
      </w:r>
    </w:p>
    <w:p w:rsidR="00000000" w:rsidRDefault="00000000">
      <w:pPr>
        <w:pStyle w:val="SingleTxtG"/>
        <w:tabs>
          <w:tab w:val="left" w:pos="2835"/>
        </w:tabs>
        <w:rPr>
          <w:lang w:val="fr-FR"/>
        </w:rPr>
      </w:pPr>
      <w:r>
        <w:rPr>
          <w:lang w:val="fr-FR"/>
        </w:rPr>
        <w:t>MENRS</w:t>
      </w:r>
      <w:r>
        <w:rPr>
          <w:lang w:val="fr-FR"/>
        </w:rPr>
        <w:tab/>
        <w:t>Ministère de l’éducation nationale et de la recherche scientifique</w:t>
      </w:r>
    </w:p>
    <w:p w:rsidR="00000000" w:rsidRDefault="00000000">
      <w:pPr>
        <w:pStyle w:val="SingleTxtG"/>
        <w:tabs>
          <w:tab w:val="left" w:pos="2835"/>
        </w:tabs>
        <w:rPr>
          <w:lang w:val="fr-FR"/>
        </w:rPr>
      </w:pPr>
      <w:r>
        <w:rPr>
          <w:lang w:val="fr-FR"/>
        </w:rPr>
        <w:t>MFPTLS</w:t>
      </w:r>
      <w:r>
        <w:rPr>
          <w:lang w:val="fr-FR"/>
        </w:rPr>
        <w:tab/>
        <w:t>Ministère de la fonction publique, du travail et des lois sociales</w:t>
      </w:r>
    </w:p>
    <w:p w:rsidR="00000000" w:rsidRDefault="00000000">
      <w:pPr>
        <w:pStyle w:val="SingleTxtG"/>
        <w:tabs>
          <w:tab w:val="left" w:pos="2835"/>
        </w:tabs>
        <w:rPr>
          <w:lang w:val="fr-FR"/>
        </w:rPr>
      </w:pPr>
      <w:r>
        <w:rPr>
          <w:lang w:val="fr-FR"/>
        </w:rPr>
        <w:t>MICS</w:t>
      </w:r>
      <w:r>
        <w:rPr>
          <w:lang w:val="fr-FR"/>
        </w:rPr>
        <w:tab/>
        <w:t>Multiple Indicator Cluster Survey</w:t>
      </w:r>
    </w:p>
    <w:p w:rsidR="00000000" w:rsidRDefault="00000000">
      <w:pPr>
        <w:pStyle w:val="SingleTxtG"/>
        <w:tabs>
          <w:tab w:val="left" w:pos="2835"/>
        </w:tabs>
        <w:rPr>
          <w:lang w:val="fr-FR"/>
        </w:rPr>
      </w:pPr>
      <w:r>
        <w:rPr>
          <w:lang w:val="fr-FR"/>
        </w:rPr>
        <w:t>MII</w:t>
      </w:r>
      <w:r>
        <w:rPr>
          <w:lang w:val="fr-FR"/>
        </w:rPr>
        <w:tab/>
        <w:t>Moustiquaire imprégné d’insecticide</w:t>
      </w:r>
    </w:p>
    <w:p w:rsidR="00000000" w:rsidRDefault="00000000">
      <w:pPr>
        <w:pStyle w:val="SingleTxtG"/>
        <w:tabs>
          <w:tab w:val="left" w:pos="2835"/>
        </w:tabs>
        <w:rPr>
          <w:lang w:val="fr-FR"/>
        </w:rPr>
      </w:pPr>
      <w:r>
        <w:rPr>
          <w:lang w:val="fr-FR"/>
        </w:rPr>
        <w:t>MINESEB</w:t>
      </w:r>
      <w:r>
        <w:rPr>
          <w:lang w:val="fr-FR"/>
        </w:rPr>
        <w:tab/>
        <w:t>Ministère de l’enseignement secondaire et de l’éducation de base</w:t>
      </w:r>
    </w:p>
    <w:p w:rsidR="00000000" w:rsidRDefault="00000000">
      <w:pPr>
        <w:pStyle w:val="SingleTxtG"/>
        <w:tabs>
          <w:tab w:val="left" w:pos="2835"/>
        </w:tabs>
        <w:rPr>
          <w:lang w:val="fr-FR"/>
        </w:rPr>
      </w:pPr>
      <w:r>
        <w:rPr>
          <w:lang w:val="fr-FR"/>
        </w:rPr>
        <w:t>MININTER</w:t>
      </w:r>
      <w:r>
        <w:rPr>
          <w:lang w:val="fr-FR"/>
        </w:rPr>
        <w:tab/>
        <w:t>Ministère de l’intérieur</w:t>
      </w:r>
    </w:p>
    <w:p w:rsidR="00000000" w:rsidRDefault="00000000">
      <w:pPr>
        <w:pStyle w:val="SingleTxtG"/>
        <w:tabs>
          <w:tab w:val="left" w:pos="2835"/>
        </w:tabs>
        <w:rPr>
          <w:lang w:val="fr-FR"/>
        </w:rPr>
      </w:pPr>
      <w:r>
        <w:rPr>
          <w:lang w:val="fr-FR"/>
        </w:rPr>
        <w:t>MINJUS</w:t>
      </w:r>
      <w:r>
        <w:rPr>
          <w:lang w:val="fr-FR"/>
        </w:rPr>
        <w:tab/>
        <w:t>Ministère de la justice</w:t>
      </w:r>
    </w:p>
    <w:p w:rsidR="00000000" w:rsidRDefault="00000000">
      <w:pPr>
        <w:pStyle w:val="SingleTxtG"/>
        <w:tabs>
          <w:tab w:val="left" w:pos="2835"/>
        </w:tabs>
        <w:rPr>
          <w:lang w:val="fr-FR"/>
        </w:rPr>
      </w:pPr>
      <w:r>
        <w:rPr>
          <w:lang w:val="fr-FR"/>
        </w:rPr>
        <w:t>MIRA</w:t>
      </w:r>
      <w:r>
        <w:rPr>
          <w:lang w:val="fr-FR"/>
        </w:rPr>
        <w:tab/>
        <w:t>Ministère de l’intérieur et de la réforme administrative</w:t>
      </w:r>
    </w:p>
    <w:p w:rsidR="00000000" w:rsidRDefault="00000000">
      <w:pPr>
        <w:pStyle w:val="SingleTxtG"/>
        <w:tabs>
          <w:tab w:val="left" w:pos="2835"/>
        </w:tabs>
        <w:rPr>
          <w:lang w:val="fr-FR"/>
        </w:rPr>
      </w:pPr>
      <w:r>
        <w:rPr>
          <w:lang w:val="fr-FR"/>
        </w:rPr>
        <w:t xml:space="preserve">MSPFPS </w:t>
      </w:r>
      <w:r>
        <w:rPr>
          <w:lang w:val="fr-FR"/>
        </w:rPr>
        <w:tab/>
        <w:t xml:space="preserve">Ministère de la santé, du planning familial et de la protection sociale </w:t>
      </w:r>
    </w:p>
    <w:p w:rsidR="00000000" w:rsidRDefault="00000000">
      <w:pPr>
        <w:pStyle w:val="SingleTxtG"/>
        <w:tabs>
          <w:tab w:val="left" w:pos="2835"/>
        </w:tabs>
        <w:rPr>
          <w:lang w:val="fr-FR"/>
        </w:rPr>
      </w:pPr>
      <w:r>
        <w:rPr>
          <w:lang w:val="fr-FR"/>
        </w:rPr>
        <w:t>MST</w:t>
      </w:r>
      <w:r>
        <w:rPr>
          <w:lang w:val="fr-FR"/>
        </w:rPr>
        <w:tab/>
        <w:t>Maladies sexuellement transmissibles</w:t>
      </w:r>
    </w:p>
    <w:p w:rsidR="00000000" w:rsidRDefault="00000000">
      <w:pPr>
        <w:pStyle w:val="SingleTxtG"/>
        <w:tabs>
          <w:tab w:val="left" w:pos="2835"/>
        </w:tabs>
        <w:rPr>
          <w:lang w:val="fr-FR"/>
        </w:rPr>
      </w:pPr>
      <w:r>
        <w:rPr>
          <w:lang w:val="fr-FR"/>
        </w:rPr>
        <w:t>MTM</w:t>
      </w:r>
      <w:r>
        <w:rPr>
          <w:lang w:val="fr-FR"/>
        </w:rPr>
        <w:tab/>
        <w:t>Ministère des transports et de la météorologie</w:t>
      </w:r>
    </w:p>
    <w:p w:rsidR="00000000" w:rsidRDefault="00000000">
      <w:pPr>
        <w:pStyle w:val="SingleTxtG"/>
        <w:tabs>
          <w:tab w:val="left" w:pos="2835"/>
        </w:tabs>
        <w:rPr>
          <w:lang w:val="fr-FR"/>
        </w:rPr>
      </w:pPr>
      <w:r>
        <w:rPr>
          <w:lang w:val="fr-FR"/>
        </w:rPr>
        <w:t>NC</w:t>
      </w:r>
      <w:r>
        <w:rPr>
          <w:lang w:val="fr-FR"/>
        </w:rPr>
        <w:tab/>
        <w:t>Non classées</w:t>
      </w:r>
    </w:p>
    <w:p w:rsidR="00000000" w:rsidRDefault="00000000">
      <w:pPr>
        <w:pStyle w:val="SingleTxtG"/>
        <w:tabs>
          <w:tab w:val="left" w:pos="2835"/>
        </w:tabs>
        <w:rPr>
          <w:lang w:val="fr-FR"/>
        </w:rPr>
      </w:pPr>
      <w:r>
        <w:rPr>
          <w:lang w:val="fr-FR"/>
        </w:rPr>
        <w:t>ND</w:t>
      </w:r>
      <w:r>
        <w:rPr>
          <w:lang w:val="fr-FR"/>
        </w:rPr>
        <w:tab/>
        <w:t>Non déterminé</w:t>
      </w:r>
    </w:p>
    <w:p w:rsidR="00000000" w:rsidRDefault="00000000">
      <w:pPr>
        <w:pStyle w:val="SingleTxtG"/>
        <w:tabs>
          <w:tab w:val="left" w:pos="2835"/>
        </w:tabs>
        <w:rPr>
          <w:lang w:val="fr-FR"/>
        </w:rPr>
      </w:pPr>
      <w:r>
        <w:rPr>
          <w:lang w:val="fr-FR"/>
        </w:rPr>
        <w:t>NTIC</w:t>
      </w:r>
      <w:r>
        <w:rPr>
          <w:lang w:val="fr-FR"/>
        </w:rPr>
        <w:tab/>
        <w:t>Nouvelles technologies de l’information et de la communication</w:t>
      </w:r>
    </w:p>
    <w:p w:rsidR="00000000" w:rsidRDefault="00000000">
      <w:pPr>
        <w:pStyle w:val="SingleTxtG"/>
        <w:tabs>
          <w:tab w:val="left" w:pos="2835"/>
        </w:tabs>
        <w:rPr>
          <w:lang w:val="fr-FR"/>
        </w:rPr>
      </w:pPr>
      <w:r>
        <w:rPr>
          <w:lang w:val="fr-FR"/>
        </w:rPr>
        <w:t>OCHA</w:t>
      </w:r>
      <w:r>
        <w:rPr>
          <w:lang w:val="fr-FR"/>
        </w:rPr>
        <w:tab/>
        <w:t>Bureau de coordination des affaires humanitaires</w:t>
      </w:r>
    </w:p>
    <w:p w:rsidR="00000000" w:rsidRDefault="00000000">
      <w:pPr>
        <w:pStyle w:val="SingleTxtG"/>
        <w:tabs>
          <w:tab w:val="left" w:pos="2835"/>
        </w:tabs>
        <w:rPr>
          <w:lang w:val="fr-FR"/>
        </w:rPr>
      </w:pPr>
      <w:r>
        <w:rPr>
          <w:lang w:val="fr-FR"/>
        </w:rPr>
        <w:t>ODEROI</w:t>
      </w:r>
      <w:r>
        <w:rPr>
          <w:lang w:val="fr-FR"/>
        </w:rPr>
        <w:tab/>
        <w:t>Observatoire des droits de l’enfant de la région de l’océan Indien</w:t>
      </w:r>
    </w:p>
    <w:p w:rsidR="00000000" w:rsidRDefault="00000000">
      <w:pPr>
        <w:pStyle w:val="SingleTxtG"/>
        <w:tabs>
          <w:tab w:val="left" w:pos="2835"/>
        </w:tabs>
        <w:rPr>
          <w:lang w:val="fr-FR"/>
        </w:rPr>
      </w:pPr>
      <w:r>
        <w:rPr>
          <w:lang w:val="fr-FR"/>
        </w:rPr>
        <w:t>OEMC</w:t>
      </w:r>
      <w:r>
        <w:rPr>
          <w:lang w:val="fr-FR"/>
        </w:rPr>
        <w:tab/>
        <w:t>Office de l’éducation de masse et du civisme</w:t>
      </w:r>
    </w:p>
    <w:p w:rsidR="00000000" w:rsidRDefault="00000000">
      <w:pPr>
        <w:pStyle w:val="SingleTxtG"/>
        <w:tabs>
          <w:tab w:val="left" w:pos="2835"/>
        </w:tabs>
        <w:rPr>
          <w:lang w:val="fr-FR"/>
        </w:rPr>
      </w:pPr>
      <w:r>
        <w:rPr>
          <w:lang w:val="fr-FR"/>
        </w:rPr>
        <w:t>OEV</w:t>
      </w:r>
      <w:r>
        <w:rPr>
          <w:lang w:val="fr-FR"/>
        </w:rPr>
        <w:tab/>
        <w:t>Orphelin et enfant vulnérable</w:t>
      </w:r>
    </w:p>
    <w:p w:rsidR="00000000" w:rsidRDefault="00000000">
      <w:pPr>
        <w:pStyle w:val="SingleTxtG"/>
        <w:tabs>
          <w:tab w:val="left" w:pos="2835"/>
        </w:tabs>
        <w:rPr>
          <w:lang w:val="fr-FR"/>
        </w:rPr>
      </w:pPr>
      <w:r>
        <w:rPr>
          <w:lang w:val="fr-FR"/>
        </w:rPr>
        <w:t>OFNALAT</w:t>
      </w:r>
      <w:r>
        <w:rPr>
          <w:lang w:val="fr-FR"/>
        </w:rPr>
        <w:tab/>
        <w:t>Office national de lutte anti-tabac</w:t>
      </w:r>
    </w:p>
    <w:p w:rsidR="00000000" w:rsidRDefault="00000000">
      <w:pPr>
        <w:pStyle w:val="SingleTxtG"/>
        <w:tabs>
          <w:tab w:val="left" w:pos="2835"/>
        </w:tabs>
        <w:rPr>
          <w:lang w:val="fr-FR"/>
        </w:rPr>
      </w:pPr>
      <w:r>
        <w:rPr>
          <w:lang w:val="fr-FR"/>
        </w:rPr>
        <w:t>OICLD</w:t>
      </w:r>
      <w:r>
        <w:rPr>
          <w:lang w:val="fr-FR"/>
        </w:rPr>
        <w:tab/>
        <w:t>Organe interministériel de coordination de la lutte contre la drogue</w:t>
      </w:r>
    </w:p>
    <w:p w:rsidR="00000000" w:rsidRDefault="00000000">
      <w:pPr>
        <w:pStyle w:val="SingleTxtG"/>
        <w:tabs>
          <w:tab w:val="left" w:pos="2835"/>
        </w:tabs>
        <w:rPr>
          <w:lang w:val="fr-FR"/>
        </w:rPr>
      </w:pPr>
      <w:r>
        <w:rPr>
          <w:lang w:val="fr-FR"/>
        </w:rPr>
        <w:t>OIT</w:t>
      </w:r>
      <w:r>
        <w:rPr>
          <w:lang w:val="fr-FR"/>
        </w:rPr>
        <w:tab/>
        <w:t>Organisation internationale du Travail</w:t>
      </w:r>
    </w:p>
    <w:p w:rsidR="00000000" w:rsidRDefault="00000000">
      <w:pPr>
        <w:pStyle w:val="SingleTxtG"/>
        <w:tabs>
          <w:tab w:val="left" w:pos="2835"/>
        </w:tabs>
        <w:rPr>
          <w:lang w:val="fr-FR"/>
        </w:rPr>
      </w:pPr>
      <w:r>
        <w:rPr>
          <w:lang w:val="fr-FR"/>
        </w:rPr>
        <w:t>OMD</w:t>
      </w:r>
      <w:r>
        <w:rPr>
          <w:lang w:val="fr-FR"/>
        </w:rPr>
        <w:tab/>
        <w:t>Objectifs du millénaire pour le développement</w:t>
      </w:r>
    </w:p>
    <w:p w:rsidR="00000000" w:rsidRDefault="00000000">
      <w:pPr>
        <w:pStyle w:val="SingleTxtG"/>
        <w:tabs>
          <w:tab w:val="left" w:pos="2835"/>
        </w:tabs>
        <w:rPr>
          <w:lang w:val="fr-FR"/>
        </w:rPr>
      </w:pPr>
      <w:r>
        <w:rPr>
          <w:lang w:val="fr-FR"/>
        </w:rPr>
        <w:t>OMS</w:t>
      </w:r>
      <w:r>
        <w:rPr>
          <w:lang w:val="fr-FR"/>
        </w:rPr>
        <w:tab/>
        <w:t>Organisation mondiale de la santé</w:t>
      </w:r>
    </w:p>
    <w:p w:rsidR="00000000" w:rsidRDefault="00000000">
      <w:pPr>
        <w:pStyle w:val="SingleTxtG"/>
        <w:tabs>
          <w:tab w:val="left" w:pos="2835"/>
        </w:tabs>
        <w:rPr>
          <w:lang w:val="fr-FR"/>
        </w:rPr>
      </w:pPr>
      <w:r>
        <w:rPr>
          <w:lang w:val="fr-FR"/>
        </w:rPr>
        <w:t>ONC</w:t>
      </w:r>
      <w:r>
        <w:rPr>
          <w:lang w:val="fr-FR"/>
        </w:rPr>
        <w:tab/>
        <w:t>Office national de la culture</w:t>
      </w:r>
    </w:p>
    <w:p w:rsidR="00000000" w:rsidRDefault="00000000">
      <w:pPr>
        <w:pStyle w:val="SingleTxtG"/>
        <w:tabs>
          <w:tab w:val="left" w:pos="2835"/>
        </w:tabs>
        <w:rPr>
          <w:lang w:val="fr-FR"/>
        </w:rPr>
      </w:pPr>
      <w:r>
        <w:rPr>
          <w:lang w:val="fr-FR"/>
        </w:rPr>
        <w:t>ONEP</w:t>
      </w:r>
      <w:r>
        <w:rPr>
          <w:lang w:val="fr-FR"/>
        </w:rPr>
        <w:tab/>
        <w:t>Office national de l’enseignement privé</w:t>
      </w:r>
    </w:p>
    <w:p w:rsidR="00000000" w:rsidRDefault="00000000">
      <w:pPr>
        <w:pStyle w:val="SingleTxtG"/>
        <w:tabs>
          <w:tab w:val="left" w:pos="2835"/>
        </w:tabs>
        <w:rPr>
          <w:lang w:val="fr-FR"/>
        </w:rPr>
      </w:pPr>
      <w:r>
        <w:rPr>
          <w:lang w:val="fr-FR"/>
        </w:rPr>
        <w:t>ONG</w:t>
      </w:r>
      <w:r>
        <w:rPr>
          <w:lang w:val="fr-FR"/>
        </w:rPr>
        <w:tab/>
        <w:t>Organisation non gouvernementale</w:t>
      </w:r>
    </w:p>
    <w:p w:rsidR="00000000" w:rsidRDefault="00000000">
      <w:pPr>
        <w:pStyle w:val="SingleTxtG"/>
        <w:tabs>
          <w:tab w:val="left" w:pos="2835"/>
        </w:tabs>
        <w:rPr>
          <w:lang w:val="fr-FR"/>
        </w:rPr>
      </w:pPr>
      <w:r>
        <w:rPr>
          <w:lang w:val="fr-FR"/>
        </w:rPr>
        <w:t>ONN</w:t>
      </w:r>
      <w:r>
        <w:rPr>
          <w:lang w:val="fr-FR"/>
        </w:rPr>
        <w:tab/>
        <w:t>Office national de nutrition</w:t>
      </w:r>
    </w:p>
    <w:p w:rsidR="00000000" w:rsidRDefault="00000000">
      <w:pPr>
        <w:pStyle w:val="SingleTxtG"/>
        <w:tabs>
          <w:tab w:val="left" w:pos="2835"/>
        </w:tabs>
        <w:rPr>
          <w:lang w:val="fr-FR"/>
        </w:rPr>
      </w:pPr>
      <w:r>
        <w:rPr>
          <w:lang w:val="fr-FR"/>
        </w:rPr>
        <w:t>OPPS</w:t>
      </w:r>
      <w:r>
        <w:rPr>
          <w:lang w:val="fr-FR"/>
        </w:rPr>
        <w:tab/>
        <w:t>Œuvres péri et para scolaires</w:t>
      </w:r>
    </w:p>
    <w:p w:rsidR="00000000" w:rsidRDefault="00000000">
      <w:pPr>
        <w:pStyle w:val="SingleTxtG"/>
        <w:tabs>
          <w:tab w:val="left" w:pos="2835"/>
        </w:tabs>
        <w:rPr>
          <w:lang w:val="fr-FR"/>
        </w:rPr>
      </w:pPr>
      <w:r>
        <w:rPr>
          <w:lang w:val="fr-FR"/>
        </w:rPr>
        <w:t>OREP</w:t>
      </w:r>
      <w:r>
        <w:rPr>
          <w:lang w:val="fr-FR"/>
        </w:rPr>
        <w:tab/>
        <w:t>Office régional de l’enseignement privé</w:t>
      </w:r>
    </w:p>
    <w:p w:rsidR="00000000" w:rsidRDefault="00000000">
      <w:pPr>
        <w:pStyle w:val="SingleTxtG"/>
        <w:tabs>
          <w:tab w:val="left" w:pos="2835"/>
        </w:tabs>
        <w:rPr>
          <w:lang w:val="fr-FR"/>
        </w:rPr>
      </w:pPr>
      <w:r>
        <w:rPr>
          <w:lang w:val="fr-FR"/>
        </w:rPr>
        <w:t>ORTE</w:t>
      </w:r>
      <w:r>
        <w:rPr>
          <w:lang w:val="fr-FR"/>
        </w:rPr>
        <w:tab/>
        <w:t>Observatoire régional du travail des enfants</w:t>
      </w:r>
    </w:p>
    <w:p w:rsidR="00000000" w:rsidRDefault="00000000">
      <w:pPr>
        <w:pStyle w:val="SingleTxtG"/>
        <w:tabs>
          <w:tab w:val="left" w:pos="2835"/>
        </w:tabs>
        <w:rPr>
          <w:lang w:val="fr-FR"/>
        </w:rPr>
      </w:pPr>
      <w:r>
        <w:rPr>
          <w:lang w:val="fr-FR"/>
        </w:rPr>
        <w:t>OSTIE</w:t>
      </w:r>
      <w:r>
        <w:rPr>
          <w:lang w:val="fr-FR"/>
        </w:rPr>
        <w:tab/>
        <w:t>Organisation sanitaire tananarivienne inter-entreprises</w:t>
      </w:r>
    </w:p>
    <w:p w:rsidR="00000000" w:rsidRDefault="00000000">
      <w:pPr>
        <w:pStyle w:val="SingleTxtG"/>
        <w:tabs>
          <w:tab w:val="left" w:pos="2835"/>
        </w:tabs>
        <w:rPr>
          <w:lang w:val="fr-FR"/>
        </w:rPr>
      </w:pPr>
      <w:r>
        <w:rPr>
          <w:lang w:val="fr-FR"/>
        </w:rPr>
        <w:t>PACTE</w:t>
      </w:r>
      <w:r>
        <w:rPr>
          <w:lang w:val="fr-FR"/>
        </w:rPr>
        <w:tab/>
        <w:t>Prévention, abolition, contrôle du travail des enfants</w:t>
      </w:r>
    </w:p>
    <w:p w:rsidR="00000000" w:rsidRDefault="00000000">
      <w:pPr>
        <w:pStyle w:val="SingleTxtG"/>
        <w:tabs>
          <w:tab w:val="left" w:pos="2835"/>
        </w:tabs>
        <w:ind w:left="2835" w:hanging="1701"/>
        <w:rPr>
          <w:lang w:val="fr-FR"/>
        </w:rPr>
      </w:pPr>
      <w:r>
        <w:rPr>
          <w:lang w:val="fr-FR"/>
        </w:rPr>
        <w:t>PAEAR</w:t>
      </w:r>
      <w:r>
        <w:rPr>
          <w:lang w:val="fr-FR"/>
        </w:rPr>
        <w:tab/>
        <w:t>Programme alimentation en eau potable et assainissement en milieu rural</w:t>
      </w:r>
    </w:p>
    <w:p w:rsidR="00000000" w:rsidRDefault="00000000">
      <w:pPr>
        <w:pStyle w:val="SingleTxtG"/>
        <w:tabs>
          <w:tab w:val="left" w:pos="2835"/>
        </w:tabs>
        <w:ind w:left="2835" w:hanging="1701"/>
        <w:rPr>
          <w:lang w:val="fr-FR"/>
        </w:rPr>
      </w:pPr>
      <w:r>
        <w:rPr>
          <w:lang w:val="fr-FR"/>
        </w:rPr>
        <w:t>PANVE</w:t>
      </w:r>
      <w:r>
        <w:rPr>
          <w:lang w:val="fr-FR"/>
        </w:rPr>
        <w:tab/>
        <w:t>Plan d’action national de la lutte contre la violence à l’égard des enfants</w:t>
      </w:r>
    </w:p>
    <w:p w:rsidR="00000000" w:rsidRDefault="00000000">
      <w:pPr>
        <w:pStyle w:val="SingleTxtG"/>
        <w:tabs>
          <w:tab w:val="left" w:pos="2835"/>
        </w:tabs>
        <w:rPr>
          <w:lang w:val="fr-FR"/>
        </w:rPr>
      </w:pPr>
      <w:r>
        <w:rPr>
          <w:lang w:val="fr-FR"/>
        </w:rPr>
        <w:t>PASEC</w:t>
      </w:r>
      <w:r>
        <w:rPr>
          <w:lang w:val="fr-FR"/>
        </w:rPr>
        <w:tab/>
        <w:t>Programme d’analyse des systèmes éducatifs de la Confemen</w:t>
      </w:r>
    </w:p>
    <w:p w:rsidR="00000000" w:rsidRDefault="00000000">
      <w:pPr>
        <w:pStyle w:val="SingleTxtG"/>
        <w:tabs>
          <w:tab w:val="left" w:pos="2835"/>
        </w:tabs>
        <w:rPr>
          <w:lang w:val="fr-FR"/>
        </w:rPr>
      </w:pPr>
      <w:r>
        <w:rPr>
          <w:lang w:val="fr-FR"/>
        </w:rPr>
        <w:t>PCIME</w:t>
      </w:r>
      <w:r>
        <w:rPr>
          <w:lang w:val="fr-FR"/>
        </w:rPr>
        <w:tab/>
        <w:t>Prise en charge intégrée de la mère et de l’enfant</w:t>
      </w:r>
    </w:p>
    <w:p w:rsidR="00000000" w:rsidRDefault="00000000">
      <w:pPr>
        <w:pStyle w:val="SingleTxtG"/>
        <w:tabs>
          <w:tab w:val="left" w:pos="2835"/>
        </w:tabs>
        <w:rPr>
          <w:lang w:val="fr-FR"/>
        </w:rPr>
      </w:pPr>
      <w:r>
        <w:rPr>
          <w:lang w:val="fr-FR"/>
        </w:rPr>
        <w:t>PDSS</w:t>
      </w:r>
      <w:r>
        <w:rPr>
          <w:lang w:val="fr-FR"/>
        </w:rPr>
        <w:tab/>
        <w:t>Projet de développement du secteur santé</w:t>
      </w:r>
    </w:p>
    <w:p w:rsidR="00000000" w:rsidRDefault="00000000">
      <w:pPr>
        <w:pStyle w:val="SingleTxtG"/>
        <w:tabs>
          <w:tab w:val="left" w:pos="2835"/>
        </w:tabs>
        <w:rPr>
          <w:lang w:val="fr-FR"/>
        </w:rPr>
      </w:pPr>
      <w:r>
        <w:rPr>
          <w:lang w:val="fr-FR"/>
        </w:rPr>
        <w:t>PEV</w:t>
      </w:r>
      <w:r>
        <w:rPr>
          <w:lang w:val="fr-FR"/>
        </w:rPr>
        <w:tab/>
        <w:t>Programme élargi de vaccination</w:t>
      </w:r>
    </w:p>
    <w:p w:rsidR="00000000" w:rsidRDefault="00000000">
      <w:pPr>
        <w:pStyle w:val="SingleTxtG"/>
        <w:tabs>
          <w:tab w:val="left" w:pos="2835"/>
        </w:tabs>
        <w:rPr>
          <w:lang w:val="fr-FR"/>
        </w:rPr>
      </w:pPr>
      <w:r>
        <w:rPr>
          <w:lang w:val="fr-FR"/>
        </w:rPr>
        <w:t>PF</w:t>
      </w:r>
      <w:r>
        <w:rPr>
          <w:lang w:val="fr-FR"/>
        </w:rPr>
        <w:tab/>
        <w:t>Planification familiale</w:t>
      </w:r>
    </w:p>
    <w:p w:rsidR="00000000" w:rsidRDefault="00000000">
      <w:pPr>
        <w:pStyle w:val="SingleTxtG"/>
        <w:tabs>
          <w:tab w:val="left" w:pos="2835"/>
        </w:tabs>
        <w:rPr>
          <w:lang w:val="fr-FR"/>
        </w:rPr>
      </w:pPr>
      <w:r>
        <w:rPr>
          <w:lang w:val="fr-FR"/>
        </w:rPr>
        <w:t>PFTE</w:t>
      </w:r>
      <w:r>
        <w:rPr>
          <w:lang w:val="fr-FR"/>
        </w:rPr>
        <w:tab/>
        <w:t>Pires formes du travail des enfants</w:t>
      </w:r>
    </w:p>
    <w:p w:rsidR="00000000" w:rsidRDefault="00000000">
      <w:pPr>
        <w:pStyle w:val="SingleTxtG"/>
        <w:tabs>
          <w:tab w:val="left" w:pos="2835"/>
        </w:tabs>
        <w:rPr>
          <w:lang w:val="fr-FR"/>
        </w:rPr>
      </w:pPr>
      <w:r>
        <w:rPr>
          <w:lang w:val="fr-FR"/>
        </w:rPr>
        <w:t>PGE</w:t>
      </w:r>
      <w:r>
        <w:rPr>
          <w:lang w:val="fr-FR"/>
        </w:rPr>
        <w:tab/>
        <w:t>Politique générale de l’État</w:t>
      </w:r>
    </w:p>
    <w:p w:rsidR="00000000" w:rsidRDefault="00000000">
      <w:pPr>
        <w:pStyle w:val="SingleTxtG"/>
        <w:tabs>
          <w:tab w:val="left" w:pos="2835"/>
        </w:tabs>
        <w:rPr>
          <w:lang w:val="fr-FR"/>
        </w:rPr>
      </w:pPr>
      <w:r>
        <w:rPr>
          <w:lang w:val="fr-FR"/>
        </w:rPr>
        <w:t>PN2D</w:t>
      </w:r>
      <w:r>
        <w:rPr>
          <w:lang w:val="fr-FR"/>
        </w:rPr>
        <w:tab/>
        <w:t>Programme national cadre de décentralisation et concentration</w:t>
      </w:r>
    </w:p>
    <w:p w:rsidR="00000000" w:rsidRDefault="00000000">
      <w:pPr>
        <w:pStyle w:val="SingleTxtG"/>
        <w:tabs>
          <w:tab w:val="left" w:pos="2835"/>
        </w:tabs>
        <w:rPr>
          <w:lang w:val="fr-FR"/>
        </w:rPr>
      </w:pPr>
      <w:r>
        <w:rPr>
          <w:lang w:val="fr-FR"/>
        </w:rPr>
        <w:t>PNALTE</w:t>
      </w:r>
      <w:r>
        <w:rPr>
          <w:lang w:val="fr-FR"/>
        </w:rPr>
        <w:tab/>
        <w:t>Plan national d’action contre le travail des enfants</w:t>
      </w:r>
    </w:p>
    <w:p w:rsidR="00000000" w:rsidRDefault="00000000">
      <w:pPr>
        <w:pStyle w:val="SingleTxtG"/>
        <w:tabs>
          <w:tab w:val="left" w:pos="2835"/>
        </w:tabs>
        <w:rPr>
          <w:lang w:val="fr-FR"/>
        </w:rPr>
      </w:pPr>
      <w:r>
        <w:rPr>
          <w:lang w:val="fr-FR"/>
        </w:rPr>
        <w:t>PNAN</w:t>
      </w:r>
      <w:r>
        <w:rPr>
          <w:lang w:val="fr-FR"/>
        </w:rPr>
        <w:tab/>
        <w:t>Plan national d’action pour la nutrition</w:t>
      </w:r>
    </w:p>
    <w:p w:rsidR="00000000" w:rsidRDefault="00000000">
      <w:pPr>
        <w:pStyle w:val="SingleTxtG"/>
        <w:tabs>
          <w:tab w:val="left" w:pos="2835"/>
        </w:tabs>
        <w:rPr>
          <w:lang w:val="fr-FR"/>
        </w:rPr>
      </w:pPr>
      <w:r>
        <w:rPr>
          <w:lang w:val="fr-FR"/>
        </w:rPr>
        <w:t>PIB</w:t>
      </w:r>
      <w:r>
        <w:rPr>
          <w:lang w:val="fr-FR"/>
        </w:rPr>
        <w:tab/>
        <w:t>Produit intérieur brut</w:t>
      </w:r>
    </w:p>
    <w:p w:rsidR="00000000" w:rsidRDefault="00000000">
      <w:pPr>
        <w:pStyle w:val="SingleTxtG"/>
        <w:tabs>
          <w:tab w:val="left" w:pos="2835"/>
        </w:tabs>
        <w:rPr>
          <w:lang w:val="fr-FR"/>
        </w:rPr>
      </w:pPr>
      <w:r>
        <w:rPr>
          <w:lang w:val="fr-FR"/>
        </w:rPr>
        <w:t>PIP</w:t>
      </w:r>
      <w:r>
        <w:rPr>
          <w:lang w:val="fr-FR"/>
        </w:rPr>
        <w:tab/>
        <w:t>Programme d’investissements publics</w:t>
      </w:r>
    </w:p>
    <w:p w:rsidR="00000000" w:rsidRDefault="00000000">
      <w:pPr>
        <w:pStyle w:val="SingleTxtG"/>
        <w:tabs>
          <w:tab w:val="left" w:pos="2835"/>
        </w:tabs>
        <w:rPr>
          <w:lang w:val="fr-FR"/>
        </w:rPr>
      </w:pPr>
      <w:r>
        <w:rPr>
          <w:lang w:val="fr-FR"/>
        </w:rPr>
        <w:t>PME/PMI</w:t>
      </w:r>
      <w:r>
        <w:rPr>
          <w:lang w:val="fr-FR"/>
        </w:rPr>
        <w:tab/>
        <w:t>Petites et moyennes entreprises/petites et moyennes industries</w:t>
      </w:r>
    </w:p>
    <w:p w:rsidR="00000000" w:rsidRDefault="00000000">
      <w:pPr>
        <w:pStyle w:val="SingleTxtG"/>
        <w:tabs>
          <w:tab w:val="left" w:pos="2835"/>
        </w:tabs>
        <w:rPr>
          <w:lang w:val="fr-FR"/>
        </w:rPr>
      </w:pPr>
      <w:r>
        <w:rPr>
          <w:lang w:val="fr-FR"/>
        </w:rPr>
        <w:t>PNLS</w:t>
      </w:r>
      <w:r>
        <w:rPr>
          <w:lang w:val="fr-FR"/>
        </w:rPr>
        <w:tab/>
        <w:t>Programme national de lutte contre le sida</w:t>
      </w:r>
    </w:p>
    <w:p w:rsidR="00000000" w:rsidRDefault="00000000">
      <w:pPr>
        <w:pStyle w:val="SingleTxtG"/>
        <w:tabs>
          <w:tab w:val="left" w:pos="2835"/>
        </w:tabs>
        <w:rPr>
          <w:lang w:val="fr-FR"/>
        </w:rPr>
      </w:pPr>
      <w:r>
        <w:rPr>
          <w:lang w:val="fr-FR"/>
        </w:rPr>
        <w:t>PNNC</w:t>
      </w:r>
      <w:r>
        <w:rPr>
          <w:lang w:val="fr-FR"/>
        </w:rPr>
        <w:tab/>
        <w:t>Programme national de nutrition communautaire</w:t>
      </w:r>
    </w:p>
    <w:p w:rsidR="00000000" w:rsidRDefault="00000000">
      <w:pPr>
        <w:pStyle w:val="SingleTxtG"/>
        <w:tabs>
          <w:tab w:val="left" w:pos="2835"/>
        </w:tabs>
        <w:rPr>
          <w:lang w:val="fr-FR"/>
        </w:rPr>
      </w:pPr>
      <w:r>
        <w:rPr>
          <w:lang w:val="fr-FR"/>
        </w:rPr>
        <w:t>PNPF</w:t>
      </w:r>
      <w:r>
        <w:rPr>
          <w:lang w:val="fr-FR"/>
        </w:rPr>
        <w:tab/>
        <w:t>Politique nationale pour la promotion de la femme</w:t>
      </w:r>
    </w:p>
    <w:p w:rsidR="00000000" w:rsidRDefault="00000000">
      <w:pPr>
        <w:pStyle w:val="SingleTxtG"/>
        <w:tabs>
          <w:tab w:val="left" w:pos="2835"/>
        </w:tabs>
        <w:rPr>
          <w:lang w:val="fr-FR"/>
        </w:rPr>
      </w:pPr>
      <w:r>
        <w:rPr>
          <w:lang w:val="fr-FR"/>
        </w:rPr>
        <w:t>PNUD</w:t>
      </w:r>
      <w:r>
        <w:rPr>
          <w:lang w:val="fr-FR"/>
        </w:rPr>
        <w:tab/>
        <w:t>Programme des Nations Unies pour le développement</w:t>
      </w:r>
    </w:p>
    <w:p w:rsidR="00000000" w:rsidRDefault="00000000">
      <w:pPr>
        <w:pStyle w:val="SingleTxtG"/>
        <w:tabs>
          <w:tab w:val="left" w:pos="2835"/>
        </w:tabs>
        <w:rPr>
          <w:lang w:val="fr-FR"/>
        </w:rPr>
      </w:pPr>
      <w:r>
        <w:rPr>
          <w:lang w:val="fr-FR"/>
        </w:rPr>
        <w:t>PPA</w:t>
      </w:r>
      <w:r>
        <w:rPr>
          <w:lang w:val="fr-FR"/>
        </w:rPr>
        <w:tab/>
        <w:t>Parité des pouvoirs d’achat</w:t>
      </w:r>
    </w:p>
    <w:p w:rsidR="00000000" w:rsidRDefault="00000000">
      <w:pPr>
        <w:pStyle w:val="SingleTxtG"/>
        <w:tabs>
          <w:tab w:val="left" w:pos="2835"/>
        </w:tabs>
        <w:rPr>
          <w:lang w:val="fr-FR"/>
        </w:rPr>
      </w:pPr>
      <w:r>
        <w:rPr>
          <w:lang w:val="fr-FR"/>
        </w:rPr>
        <w:t>PPN</w:t>
      </w:r>
      <w:r>
        <w:rPr>
          <w:lang w:val="fr-FR"/>
        </w:rPr>
        <w:tab/>
        <w:t xml:space="preserve">Produit de première nécessité </w:t>
      </w:r>
    </w:p>
    <w:p w:rsidR="00000000" w:rsidRDefault="00000000">
      <w:pPr>
        <w:pStyle w:val="SingleTxtG"/>
        <w:tabs>
          <w:tab w:val="left" w:pos="2835"/>
        </w:tabs>
        <w:rPr>
          <w:lang w:val="fr-FR"/>
        </w:rPr>
      </w:pPr>
      <w:r>
        <w:rPr>
          <w:lang w:val="fr-FR"/>
        </w:rPr>
        <w:t>PPP</w:t>
      </w:r>
      <w:r>
        <w:rPr>
          <w:lang w:val="fr-FR"/>
        </w:rPr>
        <w:tab/>
        <w:t>Partenariat public privé</w:t>
      </w:r>
    </w:p>
    <w:p w:rsidR="00000000" w:rsidRDefault="00000000">
      <w:pPr>
        <w:pStyle w:val="SingleTxtG"/>
        <w:tabs>
          <w:tab w:val="left" w:pos="2835"/>
        </w:tabs>
        <w:rPr>
          <w:lang w:val="fr-FR"/>
        </w:rPr>
      </w:pPr>
      <w:r>
        <w:rPr>
          <w:lang w:val="fr-FR"/>
        </w:rPr>
        <w:t>PRD</w:t>
      </w:r>
      <w:r>
        <w:rPr>
          <w:lang w:val="fr-FR"/>
        </w:rPr>
        <w:tab/>
        <w:t>Plan régional de développement</w:t>
      </w:r>
    </w:p>
    <w:p w:rsidR="00000000" w:rsidRDefault="00000000">
      <w:pPr>
        <w:pStyle w:val="SingleTxtG"/>
        <w:tabs>
          <w:tab w:val="left" w:pos="2835"/>
        </w:tabs>
        <w:rPr>
          <w:lang w:val="fr-FR"/>
        </w:rPr>
      </w:pPr>
      <w:r>
        <w:rPr>
          <w:lang w:val="fr-FR"/>
        </w:rPr>
        <w:t>PSN</w:t>
      </w:r>
      <w:r>
        <w:rPr>
          <w:lang w:val="fr-FR"/>
        </w:rPr>
        <w:tab/>
        <w:t>Plan stratégique national</w:t>
      </w:r>
    </w:p>
    <w:p w:rsidR="00000000" w:rsidRDefault="00000000">
      <w:pPr>
        <w:pStyle w:val="SingleTxtG"/>
        <w:tabs>
          <w:tab w:val="left" w:pos="2835"/>
        </w:tabs>
        <w:rPr>
          <w:lang w:val="fr-FR"/>
        </w:rPr>
      </w:pPr>
      <w:r>
        <w:rPr>
          <w:lang w:val="fr-FR"/>
        </w:rPr>
        <w:t>PTME</w:t>
      </w:r>
      <w:r>
        <w:rPr>
          <w:lang w:val="fr-FR"/>
        </w:rPr>
        <w:tab/>
        <w:t>Prévention de la transmission mère-enfant</w:t>
      </w:r>
    </w:p>
    <w:p w:rsidR="00000000" w:rsidRDefault="00000000">
      <w:pPr>
        <w:pStyle w:val="SingleTxtG"/>
        <w:tabs>
          <w:tab w:val="left" w:pos="2835"/>
        </w:tabs>
        <w:rPr>
          <w:lang w:val="fr-FR"/>
        </w:rPr>
      </w:pPr>
      <w:r>
        <w:rPr>
          <w:lang w:val="fr-FR"/>
        </w:rPr>
        <w:t>PVVIH</w:t>
      </w:r>
      <w:r>
        <w:rPr>
          <w:lang w:val="fr-FR"/>
        </w:rPr>
        <w:tab/>
        <w:t>Personne vivant avec le VIH</w:t>
      </w:r>
    </w:p>
    <w:p w:rsidR="00000000" w:rsidRDefault="00000000">
      <w:pPr>
        <w:pStyle w:val="SingleTxtG"/>
        <w:tabs>
          <w:tab w:val="left" w:pos="2835"/>
        </w:tabs>
        <w:rPr>
          <w:lang w:val="fr-FR"/>
        </w:rPr>
      </w:pPr>
      <w:r>
        <w:rPr>
          <w:lang w:val="fr-FR"/>
        </w:rPr>
        <w:t>RGPH</w:t>
      </w:r>
      <w:r>
        <w:rPr>
          <w:lang w:val="fr-FR"/>
        </w:rPr>
        <w:tab/>
        <w:t>Recensement général de la population et de l’habitat</w:t>
      </w:r>
    </w:p>
    <w:p w:rsidR="00000000" w:rsidRDefault="00000000">
      <w:pPr>
        <w:pStyle w:val="SingleTxtG"/>
        <w:tabs>
          <w:tab w:val="left" w:pos="2835"/>
        </w:tabs>
        <w:rPr>
          <w:lang w:val="fr-FR"/>
        </w:rPr>
      </w:pPr>
      <w:r>
        <w:rPr>
          <w:lang w:val="fr-FR"/>
        </w:rPr>
        <w:t>RNDH</w:t>
      </w:r>
      <w:r>
        <w:rPr>
          <w:lang w:val="fr-FR"/>
        </w:rPr>
        <w:tab/>
        <w:t>Rapport national sur le développement humain</w:t>
      </w:r>
    </w:p>
    <w:p w:rsidR="00000000" w:rsidRDefault="00000000">
      <w:pPr>
        <w:pStyle w:val="SingleTxtG"/>
        <w:tabs>
          <w:tab w:val="left" w:pos="2835"/>
        </w:tabs>
        <w:rPr>
          <w:lang w:val="fr-FR"/>
        </w:rPr>
      </w:pPr>
      <w:r>
        <w:rPr>
          <w:lang w:val="fr-FR"/>
        </w:rPr>
        <w:t>RNM</w:t>
      </w:r>
      <w:r>
        <w:rPr>
          <w:lang w:val="fr-FR"/>
        </w:rPr>
        <w:tab/>
        <w:t>Radio nationale malgache</w:t>
      </w:r>
    </w:p>
    <w:p w:rsidR="00000000" w:rsidRDefault="00000000">
      <w:pPr>
        <w:pStyle w:val="SingleTxtG"/>
        <w:tabs>
          <w:tab w:val="left" w:pos="2835"/>
        </w:tabs>
        <w:rPr>
          <w:lang w:val="fr-FR"/>
        </w:rPr>
      </w:pPr>
      <w:r>
        <w:rPr>
          <w:lang w:val="fr-FR"/>
        </w:rPr>
        <w:t>RRI</w:t>
      </w:r>
      <w:r>
        <w:rPr>
          <w:lang w:val="fr-FR"/>
        </w:rPr>
        <w:tab/>
        <w:t>Rapid Result Initiative</w:t>
      </w:r>
    </w:p>
    <w:p w:rsidR="00000000" w:rsidRDefault="00000000">
      <w:pPr>
        <w:pStyle w:val="SingleTxtG"/>
        <w:tabs>
          <w:tab w:val="left" w:pos="2835"/>
        </w:tabs>
        <w:rPr>
          <w:lang w:val="fr-FR"/>
        </w:rPr>
      </w:pPr>
      <w:r>
        <w:rPr>
          <w:lang w:val="fr-FR"/>
        </w:rPr>
        <w:t>RTA</w:t>
      </w:r>
      <w:r>
        <w:rPr>
          <w:lang w:val="fr-FR"/>
        </w:rPr>
        <w:tab/>
        <w:t>Radio Télévision Analamanga</w:t>
      </w:r>
    </w:p>
    <w:p w:rsidR="00000000" w:rsidRDefault="00000000">
      <w:pPr>
        <w:pStyle w:val="SingleTxtG"/>
        <w:tabs>
          <w:tab w:val="left" w:pos="2835"/>
        </w:tabs>
        <w:rPr>
          <w:lang w:val="es-ES_tradnl"/>
        </w:rPr>
      </w:pPr>
      <w:r>
        <w:rPr>
          <w:lang w:val="es-ES_tradnl"/>
        </w:rPr>
        <w:t>SALFA</w:t>
      </w:r>
      <w:r>
        <w:rPr>
          <w:lang w:val="es-ES_tradnl"/>
        </w:rPr>
        <w:tab/>
        <w:t xml:space="preserve">Sampan’Asa Loterana momba ny Fahasalamana </w:t>
      </w:r>
    </w:p>
    <w:p w:rsidR="00000000" w:rsidRDefault="00000000">
      <w:pPr>
        <w:pStyle w:val="SingleTxtG"/>
        <w:tabs>
          <w:tab w:val="left" w:pos="2835"/>
        </w:tabs>
        <w:ind w:left="2835" w:hanging="1701"/>
        <w:rPr>
          <w:lang w:val="fr-FR"/>
        </w:rPr>
      </w:pPr>
      <w:r>
        <w:rPr>
          <w:lang w:val="fr-FR"/>
        </w:rPr>
        <w:t>SEECALINE</w:t>
      </w:r>
      <w:r>
        <w:rPr>
          <w:lang w:val="fr-FR"/>
        </w:rPr>
        <w:tab/>
        <w:t>Surveillance et éducation des écoles et des communautés en matière d’alimentation et de nutrition élargie</w:t>
      </w:r>
    </w:p>
    <w:p w:rsidR="00000000" w:rsidRDefault="00000000">
      <w:pPr>
        <w:pStyle w:val="SingleTxtG"/>
        <w:tabs>
          <w:tab w:val="left" w:pos="2835"/>
        </w:tabs>
        <w:rPr>
          <w:lang w:val="fr-FR"/>
        </w:rPr>
      </w:pPr>
      <w:r>
        <w:rPr>
          <w:lang w:val="fr-FR"/>
        </w:rPr>
        <w:t xml:space="preserve">SGRPS </w:t>
      </w:r>
      <w:r>
        <w:rPr>
          <w:lang w:val="fr-FR"/>
        </w:rPr>
        <w:tab/>
        <w:t>Stratégie de gestion des risques et de protection sociale</w:t>
      </w:r>
      <w:r>
        <w:rPr>
          <w:lang w:val="fr-FR"/>
        </w:rPr>
        <w:tab/>
      </w:r>
    </w:p>
    <w:p w:rsidR="00000000" w:rsidRDefault="00000000">
      <w:pPr>
        <w:pStyle w:val="SingleTxtG"/>
        <w:tabs>
          <w:tab w:val="left" w:pos="2835"/>
        </w:tabs>
        <w:rPr>
          <w:lang w:val="en-GB"/>
        </w:rPr>
      </w:pPr>
      <w:r>
        <w:rPr>
          <w:lang w:val="en-GB"/>
        </w:rPr>
        <w:t>SIMPOC</w:t>
      </w:r>
      <w:r>
        <w:rPr>
          <w:lang w:val="en-GB"/>
        </w:rPr>
        <w:tab/>
        <w:t>Statistical Information and Monitoring Program on Child Labour</w:t>
      </w:r>
    </w:p>
    <w:p w:rsidR="00000000" w:rsidRDefault="00000000">
      <w:pPr>
        <w:pStyle w:val="SingleTxtG"/>
        <w:tabs>
          <w:tab w:val="left" w:pos="2835"/>
        </w:tabs>
        <w:rPr>
          <w:lang w:val="fr-FR"/>
        </w:rPr>
      </w:pPr>
      <w:r>
        <w:rPr>
          <w:lang w:val="fr-FR"/>
        </w:rPr>
        <w:t>SNDS</w:t>
      </w:r>
      <w:r>
        <w:rPr>
          <w:lang w:val="fr-FR"/>
        </w:rPr>
        <w:tab/>
        <w:t>Stratégie nationale de développement de la statistique</w:t>
      </w:r>
    </w:p>
    <w:p w:rsidR="00000000" w:rsidRDefault="00000000">
      <w:pPr>
        <w:pStyle w:val="SingleTxtG"/>
        <w:tabs>
          <w:tab w:val="left" w:pos="2835"/>
        </w:tabs>
        <w:rPr>
          <w:lang w:val="fr-FR"/>
        </w:rPr>
      </w:pPr>
      <w:r>
        <w:rPr>
          <w:lang w:val="fr-FR"/>
        </w:rPr>
        <w:t>SNISE</w:t>
      </w:r>
      <w:r>
        <w:rPr>
          <w:lang w:val="fr-FR"/>
        </w:rPr>
        <w:tab/>
        <w:t>Système national intégré de suivi du MAP</w:t>
      </w:r>
    </w:p>
    <w:p w:rsidR="00000000" w:rsidRDefault="00000000">
      <w:pPr>
        <w:pStyle w:val="SingleTxtG"/>
        <w:tabs>
          <w:tab w:val="left" w:pos="2835"/>
        </w:tabs>
        <w:rPr>
          <w:lang w:val="fr-FR"/>
        </w:rPr>
      </w:pPr>
      <w:r>
        <w:rPr>
          <w:lang w:val="fr-FR"/>
        </w:rPr>
        <w:t>SRA</w:t>
      </w:r>
      <w:r>
        <w:rPr>
          <w:lang w:val="fr-FR"/>
        </w:rPr>
        <w:tab/>
        <w:t>Santé de reproduction des adolescents</w:t>
      </w:r>
    </w:p>
    <w:p w:rsidR="00000000" w:rsidRDefault="00000000">
      <w:pPr>
        <w:pStyle w:val="SingleTxtG"/>
        <w:tabs>
          <w:tab w:val="left" w:pos="2835"/>
        </w:tabs>
        <w:rPr>
          <w:lang w:val="fr-FR"/>
        </w:rPr>
      </w:pPr>
      <w:r>
        <w:rPr>
          <w:lang w:val="fr-FR"/>
        </w:rPr>
        <w:t>SSD</w:t>
      </w:r>
      <w:r>
        <w:rPr>
          <w:lang w:val="fr-FR"/>
        </w:rPr>
        <w:tab/>
        <w:t>Service de santé de District</w:t>
      </w:r>
    </w:p>
    <w:p w:rsidR="00000000" w:rsidRDefault="00000000">
      <w:pPr>
        <w:pStyle w:val="SingleTxtG"/>
        <w:tabs>
          <w:tab w:val="left" w:pos="2835"/>
        </w:tabs>
        <w:rPr>
          <w:lang w:val="fr-FR"/>
        </w:rPr>
      </w:pPr>
      <w:r>
        <w:rPr>
          <w:lang w:val="fr-FR"/>
        </w:rPr>
        <w:t>SSME</w:t>
      </w:r>
      <w:r>
        <w:rPr>
          <w:lang w:val="fr-FR"/>
        </w:rPr>
        <w:tab/>
        <w:t>Semaine de la santé de la mère et de l’enfant</w:t>
      </w:r>
    </w:p>
    <w:p w:rsidR="00000000" w:rsidRDefault="00000000">
      <w:pPr>
        <w:pStyle w:val="SingleTxtG"/>
        <w:tabs>
          <w:tab w:val="left" w:pos="2835"/>
        </w:tabs>
        <w:rPr>
          <w:lang w:val="fr-FR"/>
        </w:rPr>
      </w:pPr>
      <w:r>
        <w:rPr>
          <w:lang w:val="fr-FR"/>
        </w:rPr>
        <w:t>SSN</w:t>
      </w:r>
      <w:r>
        <w:rPr>
          <w:lang w:val="fr-FR"/>
        </w:rPr>
        <w:tab/>
        <w:t>Système statistique national</w:t>
      </w:r>
    </w:p>
    <w:p w:rsidR="00000000" w:rsidRDefault="00000000">
      <w:pPr>
        <w:pStyle w:val="SingleTxtG"/>
        <w:tabs>
          <w:tab w:val="left" w:pos="2835"/>
        </w:tabs>
        <w:rPr>
          <w:lang w:val="fr-FR"/>
        </w:rPr>
      </w:pPr>
      <w:r>
        <w:rPr>
          <w:lang w:val="fr-FR"/>
        </w:rPr>
        <w:t>TDCI</w:t>
      </w:r>
      <w:r>
        <w:rPr>
          <w:lang w:val="fr-FR"/>
        </w:rPr>
        <w:tab/>
        <w:t>Troubles dus à la carence en iode</w:t>
      </w:r>
    </w:p>
    <w:p w:rsidR="00000000" w:rsidRDefault="00000000">
      <w:pPr>
        <w:pStyle w:val="SingleTxtG"/>
        <w:tabs>
          <w:tab w:val="left" w:pos="2835"/>
        </w:tabs>
        <w:rPr>
          <w:lang w:val="fr-FR"/>
        </w:rPr>
      </w:pPr>
      <w:r>
        <w:rPr>
          <w:lang w:val="fr-FR"/>
        </w:rPr>
        <w:t>tds</w:t>
      </w:r>
      <w:r>
        <w:rPr>
          <w:lang w:val="fr-FR"/>
        </w:rPr>
        <w:tab/>
        <w:t>travailleur de sexe</w:t>
      </w:r>
    </w:p>
    <w:p w:rsidR="00000000" w:rsidRDefault="00000000">
      <w:pPr>
        <w:pStyle w:val="SingleTxtG"/>
        <w:tabs>
          <w:tab w:val="left" w:pos="2835"/>
        </w:tabs>
        <w:rPr>
          <w:lang w:val="fr-FR"/>
        </w:rPr>
      </w:pPr>
      <w:r>
        <w:rPr>
          <w:lang w:val="fr-FR"/>
        </w:rPr>
        <w:t>TPI</w:t>
      </w:r>
      <w:r>
        <w:rPr>
          <w:lang w:val="fr-FR"/>
        </w:rPr>
        <w:tab/>
        <w:t>Traitement préventif intermittent</w:t>
      </w:r>
    </w:p>
    <w:p w:rsidR="00000000" w:rsidRDefault="00000000">
      <w:pPr>
        <w:pStyle w:val="SingleTxtG"/>
        <w:tabs>
          <w:tab w:val="left" w:pos="2835"/>
        </w:tabs>
        <w:rPr>
          <w:lang w:val="fr-FR"/>
        </w:rPr>
      </w:pPr>
      <w:r>
        <w:rPr>
          <w:lang w:val="fr-FR"/>
        </w:rPr>
        <w:t>UAT</w:t>
      </w:r>
      <w:r>
        <w:rPr>
          <w:lang w:val="fr-FR"/>
        </w:rPr>
        <w:tab/>
        <w:t>Unité d’appui technique</w:t>
      </w:r>
    </w:p>
    <w:p w:rsidR="00000000" w:rsidRDefault="00000000">
      <w:pPr>
        <w:pStyle w:val="SingleTxtG"/>
        <w:tabs>
          <w:tab w:val="left" w:pos="2835"/>
        </w:tabs>
        <w:rPr>
          <w:lang w:val="fr-FR"/>
        </w:rPr>
      </w:pPr>
      <w:r>
        <w:rPr>
          <w:lang w:val="fr-FR"/>
        </w:rPr>
        <w:t>UCP</w:t>
      </w:r>
      <w:r>
        <w:rPr>
          <w:lang w:val="fr-FR"/>
        </w:rPr>
        <w:tab/>
        <w:t>Unités de coordination de projet</w:t>
      </w:r>
    </w:p>
    <w:p w:rsidR="00000000" w:rsidRDefault="00000000">
      <w:pPr>
        <w:pStyle w:val="SingleTxtG"/>
        <w:tabs>
          <w:tab w:val="left" w:pos="2835"/>
        </w:tabs>
        <w:rPr>
          <w:lang w:val="fr-FR"/>
        </w:rPr>
      </w:pPr>
      <w:r>
        <w:rPr>
          <w:lang w:val="fr-FR"/>
        </w:rPr>
        <w:t>UE</w:t>
      </w:r>
      <w:r>
        <w:rPr>
          <w:lang w:val="fr-FR"/>
        </w:rPr>
        <w:tab/>
        <w:t>Union européenne</w:t>
      </w:r>
    </w:p>
    <w:p w:rsidR="00000000" w:rsidRDefault="00000000">
      <w:pPr>
        <w:pStyle w:val="SingleTxtG"/>
        <w:tabs>
          <w:tab w:val="left" w:pos="2835"/>
        </w:tabs>
        <w:rPr>
          <w:lang w:val="fr-FR"/>
        </w:rPr>
      </w:pPr>
      <w:r>
        <w:rPr>
          <w:lang w:val="fr-FR"/>
        </w:rPr>
        <w:t>UNAHM</w:t>
      </w:r>
      <w:r>
        <w:rPr>
          <w:lang w:val="fr-FR"/>
        </w:rPr>
        <w:tab/>
        <w:t>Union nationale des associations des handicapés de Madagascar</w:t>
      </w:r>
    </w:p>
    <w:p w:rsidR="00000000" w:rsidRDefault="00000000">
      <w:pPr>
        <w:pStyle w:val="SingleTxtG"/>
        <w:tabs>
          <w:tab w:val="left" w:pos="2835"/>
        </w:tabs>
        <w:rPr>
          <w:lang w:val="en-GB"/>
        </w:rPr>
      </w:pPr>
      <w:r>
        <w:rPr>
          <w:lang w:val="en-GB"/>
        </w:rPr>
        <w:t>UNDAF</w:t>
      </w:r>
      <w:r>
        <w:rPr>
          <w:lang w:val="en-GB"/>
        </w:rPr>
        <w:tab/>
        <w:t>United Nations Development Assistance Framework</w:t>
      </w:r>
    </w:p>
    <w:p w:rsidR="00000000" w:rsidRDefault="00000000">
      <w:pPr>
        <w:pStyle w:val="SingleTxtG"/>
        <w:tabs>
          <w:tab w:val="left" w:pos="2835"/>
        </w:tabs>
        <w:ind w:left="2835" w:hanging="1701"/>
        <w:rPr>
          <w:lang w:val="fr-FR"/>
        </w:rPr>
      </w:pPr>
      <w:r>
        <w:rPr>
          <w:lang w:val="fr-FR"/>
        </w:rPr>
        <w:t>UNESCO</w:t>
      </w:r>
      <w:r>
        <w:rPr>
          <w:lang w:val="fr-FR"/>
        </w:rPr>
        <w:tab/>
        <w:t>Organisation des Nations Unies pour l’éducation, la science et la culture</w:t>
      </w:r>
    </w:p>
    <w:p w:rsidR="00000000" w:rsidRDefault="00000000">
      <w:pPr>
        <w:pStyle w:val="SingleTxtG"/>
        <w:tabs>
          <w:tab w:val="left" w:pos="2835"/>
        </w:tabs>
        <w:rPr>
          <w:lang w:val="fr-FR"/>
        </w:rPr>
      </w:pPr>
      <w:r>
        <w:rPr>
          <w:lang w:val="fr-FR"/>
        </w:rPr>
        <w:t>UNICEF</w:t>
      </w:r>
      <w:r>
        <w:rPr>
          <w:lang w:val="fr-FR"/>
        </w:rPr>
        <w:tab/>
        <w:t>Fonds des Nations Unies pour l’enfance</w:t>
      </w:r>
    </w:p>
    <w:p w:rsidR="00000000" w:rsidRDefault="00000000">
      <w:pPr>
        <w:pStyle w:val="SingleTxtG"/>
        <w:tabs>
          <w:tab w:val="left" w:pos="2835"/>
        </w:tabs>
        <w:rPr>
          <w:lang w:val="fr-FR"/>
        </w:rPr>
      </w:pPr>
      <w:r>
        <w:rPr>
          <w:lang w:val="fr-FR"/>
        </w:rPr>
        <w:t>UNMDH</w:t>
      </w:r>
      <w:r>
        <w:rPr>
          <w:lang w:val="fr-FR"/>
        </w:rPr>
        <w:tab/>
        <w:t>Union nationale malagasy des droits humains</w:t>
      </w:r>
    </w:p>
    <w:p w:rsidR="00000000" w:rsidRDefault="00000000">
      <w:pPr>
        <w:pStyle w:val="SingleTxtG"/>
        <w:tabs>
          <w:tab w:val="left" w:pos="2835"/>
        </w:tabs>
        <w:rPr>
          <w:lang w:val="en-GB"/>
        </w:rPr>
      </w:pPr>
      <w:r>
        <w:rPr>
          <w:lang w:val="en-GB"/>
        </w:rPr>
        <w:t>USAID</w:t>
      </w:r>
      <w:r>
        <w:rPr>
          <w:lang w:val="en-GB"/>
        </w:rPr>
        <w:tab/>
        <w:t>United States Agency for International Development</w:t>
      </w:r>
    </w:p>
    <w:p w:rsidR="00000000" w:rsidRDefault="00000000">
      <w:pPr>
        <w:pStyle w:val="SingleTxtG"/>
        <w:tabs>
          <w:tab w:val="left" w:pos="2835"/>
        </w:tabs>
        <w:rPr>
          <w:lang w:val="en-GB"/>
        </w:rPr>
      </w:pPr>
      <w:r>
        <w:rPr>
          <w:lang w:val="en-GB"/>
        </w:rPr>
        <w:t>USD</w:t>
      </w:r>
      <w:r>
        <w:rPr>
          <w:lang w:val="en-GB"/>
        </w:rPr>
        <w:tab/>
        <w:t>Dollar américain</w:t>
      </w:r>
    </w:p>
    <w:p w:rsidR="00000000" w:rsidRDefault="00000000">
      <w:pPr>
        <w:pStyle w:val="SingleTxtG"/>
        <w:tabs>
          <w:tab w:val="left" w:pos="2835"/>
        </w:tabs>
        <w:rPr>
          <w:lang w:val="en-GB"/>
        </w:rPr>
      </w:pPr>
      <w:r>
        <w:rPr>
          <w:lang w:val="en-GB"/>
        </w:rPr>
        <w:t>VAR</w:t>
      </w:r>
      <w:r>
        <w:rPr>
          <w:lang w:val="en-GB"/>
        </w:rPr>
        <w:tab/>
        <w:t>Vaccin anti-rougeole</w:t>
      </w:r>
    </w:p>
    <w:p w:rsidR="00000000" w:rsidRDefault="00000000">
      <w:pPr>
        <w:pStyle w:val="SingleTxtG"/>
        <w:tabs>
          <w:tab w:val="left" w:pos="2835"/>
        </w:tabs>
        <w:rPr>
          <w:lang w:val="fr-FR"/>
        </w:rPr>
      </w:pPr>
      <w:r>
        <w:rPr>
          <w:lang w:val="fr-FR"/>
        </w:rPr>
        <w:t>VAT</w:t>
      </w:r>
      <w:r>
        <w:rPr>
          <w:lang w:val="fr-FR"/>
        </w:rPr>
        <w:tab/>
        <w:t>Vaccin anti-tétanique</w:t>
      </w:r>
    </w:p>
    <w:p w:rsidR="00000000" w:rsidRDefault="00000000">
      <w:pPr>
        <w:pStyle w:val="SingleTxtG"/>
        <w:tabs>
          <w:tab w:val="left" w:pos="2835"/>
        </w:tabs>
        <w:ind w:left="2835" w:hanging="1701"/>
        <w:rPr>
          <w:lang w:val="fr-FR"/>
        </w:rPr>
      </w:pPr>
      <w:r>
        <w:rPr>
          <w:lang w:val="fr-FR"/>
        </w:rPr>
        <w:t>VIH/sida</w:t>
      </w:r>
      <w:r>
        <w:rPr>
          <w:lang w:val="fr-FR"/>
        </w:rPr>
        <w:tab/>
        <w:t>Virus de l’immunodéficience humaine- syndrome de l’immunodéficience acquise</w:t>
      </w:r>
    </w:p>
    <w:p w:rsidR="00000000" w:rsidRDefault="00000000">
      <w:pPr>
        <w:pStyle w:val="HChG"/>
        <w:rPr>
          <w:lang w:val="fr-FR"/>
        </w:rPr>
      </w:pPr>
      <w:r>
        <w:rPr>
          <w:lang w:val="fr-FR"/>
        </w:rPr>
        <w:br w:type="page"/>
      </w:r>
      <w:r>
        <w:rPr>
          <w:lang w:val="fr-FR"/>
        </w:rPr>
        <w:tab/>
      </w:r>
      <w:r>
        <w:rPr>
          <w:lang w:val="fr-FR"/>
        </w:rPr>
        <w:tab/>
      </w:r>
      <w:bookmarkStart w:id="8" w:name="_Toc260298194"/>
      <w:r>
        <w:rPr>
          <w:lang w:val="fr-FR"/>
        </w:rPr>
        <w:t>Première partie</w:t>
      </w:r>
      <w:bookmarkStart w:id="9" w:name="_Toc193274975"/>
      <w:bookmarkStart w:id="10" w:name="_Toc195947130"/>
      <w:bookmarkStart w:id="11" w:name="_Toc195958773"/>
      <w:bookmarkStart w:id="12" w:name="_Toc206414472"/>
      <w:bookmarkStart w:id="13" w:name="_Toc206460315"/>
      <w:bookmarkStart w:id="14" w:name="_Toc206460647"/>
      <w:bookmarkStart w:id="15" w:name="_Toc206461369"/>
      <w:bookmarkStart w:id="16" w:name="_Toc206476163"/>
      <w:bookmarkStart w:id="17" w:name="_Toc207788698"/>
      <w:bookmarkStart w:id="18" w:name="_Toc211835369"/>
      <w:bookmarkEnd w:id="8"/>
    </w:p>
    <w:p w:rsidR="00000000" w:rsidRDefault="00000000">
      <w:pPr>
        <w:pStyle w:val="HChG"/>
        <w:rPr>
          <w:lang w:val="fr-FR"/>
        </w:rPr>
      </w:pPr>
      <w:r>
        <w:rPr>
          <w:lang w:val="fr-FR"/>
        </w:rPr>
        <w:tab/>
      </w:r>
      <w:r>
        <w:rPr>
          <w:lang w:val="fr-FR"/>
        </w:rPr>
        <w:tab/>
      </w:r>
      <w:bookmarkStart w:id="19" w:name="_Toc260298195"/>
      <w:r>
        <w:rPr>
          <w:lang w:val="fr-FR"/>
        </w:rPr>
        <w:t>Introduction</w:t>
      </w:r>
      <w:bookmarkEnd w:id="9"/>
      <w:bookmarkEnd w:id="10"/>
      <w:bookmarkEnd w:id="11"/>
      <w:bookmarkEnd w:id="19"/>
      <w:r>
        <w:rPr>
          <w:lang w:val="fr-FR"/>
        </w:rPr>
        <w:t> </w:t>
      </w:r>
    </w:p>
    <w:p w:rsidR="00000000" w:rsidRDefault="00000000">
      <w:pPr>
        <w:pStyle w:val="H1G"/>
        <w:rPr>
          <w:lang w:val="fr-FR"/>
        </w:rPr>
      </w:pPr>
      <w:r>
        <w:rPr>
          <w:lang w:val="fr-FR"/>
        </w:rPr>
        <w:tab/>
      </w:r>
      <w:bookmarkStart w:id="20" w:name="_Toc260298196"/>
      <w:r>
        <w:rPr>
          <w:lang w:val="fr-FR"/>
        </w:rPr>
        <w:t>A.</w:t>
      </w:r>
      <w:r>
        <w:rPr>
          <w:lang w:val="fr-FR"/>
        </w:rPr>
        <w:tab/>
        <w:t>Méthodologie et processus de consultation suivis pour l’établissement du rapport</w:t>
      </w:r>
      <w:bookmarkEnd w:id="12"/>
      <w:bookmarkEnd w:id="13"/>
      <w:bookmarkEnd w:id="14"/>
      <w:bookmarkEnd w:id="15"/>
      <w:bookmarkEnd w:id="16"/>
      <w:bookmarkEnd w:id="17"/>
      <w:bookmarkEnd w:id="18"/>
      <w:bookmarkEnd w:id="20"/>
    </w:p>
    <w:p w:rsidR="00000000" w:rsidRDefault="00000000">
      <w:pPr>
        <w:pStyle w:val="SingleTxtG"/>
        <w:rPr>
          <w:lang w:val="fr-FR"/>
        </w:rPr>
      </w:pPr>
      <w:r>
        <w:rPr>
          <w:lang w:val="fr-FR"/>
        </w:rPr>
        <w:t>1.</w:t>
      </w:r>
      <w:r>
        <w:rPr>
          <w:lang w:val="fr-FR"/>
        </w:rPr>
        <w:tab/>
        <w:t>Madagascar a ratifié sans réserve la Convention relative aux droits de l’enfant en 1991 et les deux protocoles facultatifs</w:t>
      </w:r>
      <w:r>
        <w:rPr>
          <w:rStyle w:val="FootnoteReference"/>
        </w:rPr>
        <w:footnoteReference w:id="3"/>
      </w:r>
      <w:r>
        <w:rPr>
          <w:lang w:val="fr-FR"/>
        </w:rPr>
        <w:t xml:space="preserve"> en 2004.</w:t>
      </w:r>
    </w:p>
    <w:p w:rsidR="00000000" w:rsidRDefault="00000000">
      <w:pPr>
        <w:pStyle w:val="SingleTxtG"/>
        <w:rPr>
          <w:lang w:val="fr-FR"/>
        </w:rPr>
      </w:pPr>
      <w:r>
        <w:rPr>
          <w:lang w:val="fr-FR"/>
        </w:rPr>
        <w:t>2.</w:t>
      </w:r>
      <w:r>
        <w:rPr>
          <w:lang w:val="fr-FR"/>
        </w:rPr>
        <w:tab/>
        <w:t>Le rapport initial des autorités gouvernementales malgaches sur l’application de la Convention a été adressé au Comité des droits de l’enfant en avril 1993. Le Comité a adopté, le 14 octobre 1994, des conclusions et des recommandations adressées à la République de Madagascar.</w:t>
      </w:r>
    </w:p>
    <w:p w:rsidR="00000000" w:rsidRDefault="00000000">
      <w:pPr>
        <w:pStyle w:val="SingleTxtG"/>
        <w:rPr>
          <w:lang w:val="fr-FR"/>
        </w:rPr>
      </w:pPr>
      <w:r>
        <w:rPr>
          <w:lang w:val="fr-FR"/>
        </w:rPr>
        <w:t>3.</w:t>
      </w:r>
      <w:r>
        <w:rPr>
          <w:lang w:val="fr-FR"/>
        </w:rPr>
        <w:tab/>
        <w:t xml:space="preserve">Le premier rapport périodique présenté en février 2001, a été examiné en 2002. Les observations finales du Comité des droits de l’enfant ont été rendues en 2003. Dans ses observations finales le Comité recommandait à l’État malgache, compte tenu des retards accumulés, de présenter son troisième et quatrième rapport en avril 2008 (CRC/C/15/Add.218, par. 72). </w:t>
      </w:r>
      <w:bookmarkStart w:id="21" w:name="_Toc193274976"/>
      <w:bookmarkStart w:id="22" w:name="_Toc195947131"/>
      <w:bookmarkStart w:id="23" w:name="_Toc195958774"/>
    </w:p>
    <w:p w:rsidR="00000000" w:rsidRDefault="00000000">
      <w:pPr>
        <w:pStyle w:val="H1G"/>
      </w:pPr>
      <w:bookmarkStart w:id="24" w:name="_Toc206414473"/>
      <w:r>
        <w:rPr>
          <w:lang w:val="fr-FR"/>
        </w:rPr>
        <w:tab/>
      </w:r>
      <w:bookmarkStart w:id="25" w:name="_Toc260298197"/>
      <w:r>
        <w:rPr>
          <w:lang w:val="fr-FR"/>
        </w:rPr>
        <w:t>B.</w:t>
      </w:r>
      <w:r>
        <w:rPr>
          <w:lang w:val="fr-FR"/>
        </w:rPr>
        <w:tab/>
      </w:r>
      <w:r>
        <w:t>Processus d’élaboration du rapport</w:t>
      </w:r>
      <w:bookmarkEnd w:id="21"/>
      <w:bookmarkEnd w:id="22"/>
      <w:bookmarkEnd w:id="23"/>
      <w:bookmarkEnd w:id="24"/>
      <w:bookmarkEnd w:id="25"/>
    </w:p>
    <w:p w:rsidR="00000000" w:rsidRDefault="00000000">
      <w:pPr>
        <w:pStyle w:val="SingleTxtG"/>
        <w:rPr>
          <w:lang w:val="fr-FR"/>
        </w:rPr>
      </w:pPr>
      <w:r>
        <w:rPr>
          <w:lang w:val="fr-FR"/>
        </w:rPr>
        <w:t>4.</w:t>
      </w:r>
      <w:r>
        <w:rPr>
          <w:lang w:val="fr-FR"/>
        </w:rPr>
        <w:tab/>
        <w:t xml:space="preserve"> Le présent rapport a été élaboré conformément à l’article 64 de la Convention et des résolutions finales du Comité des droits de l’enfant. Il couvre la période 2003-2008.</w:t>
      </w:r>
    </w:p>
    <w:p w:rsidR="00000000" w:rsidRDefault="00000000">
      <w:pPr>
        <w:pStyle w:val="SingleTxtG"/>
        <w:rPr>
          <w:lang w:val="fr-FR"/>
        </w:rPr>
      </w:pPr>
      <w:r>
        <w:rPr>
          <w:lang w:val="fr-FR"/>
        </w:rPr>
        <w:t>5.</w:t>
      </w:r>
      <w:r>
        <w:rPr>
          <w:lang w:val="fr-FR"/>
        </w:rPr>
        <w:tab/>
        <w:t>Il convient au préalable de noter que pour remédier au retard de présentation de ses rapports d’application des instruments internationaux liés aux droits humains qu’il a ratifiés, le Gouvernement, sur initiative du Ministère de la justice et du Ministère des affaires étrangères, a mis en place un comité chargé de la rédaction de rapports initiaux et périodiques liés aux instruments internationaux sur les droits humains.</w:t>
      </w:r>
    </w:p>
    <w:p w:rsidR="00000000" w:rsidRDefault="00000000">
      <w:pPr>
        <w:pStyle w:val="SingleTxtG"/>
        <w:rPr>
          <w:lang w:val="fr-FR"/>
        </w:rPr>
      </w:pPr>
      <w:r>
        <w:rPr>
          <w:lang w:val="fr-FR"/>
        </w:rPr>
        <w:t>6.</w:t>
      </w:r>
      <w:r>
        <w:rPr>
          <w:lang w:val="fr-FR"/>
        </w:rPr>
        <w:tab/>
        <w:t xml:space="preserve"> Créé par arrêté interministériel n° 18600 du 30 octobre 2003, ce comité est composé de Représentants des Ministères de la justice, des affaires étrangères, de la santé, du planning familial et de la protection sociale, de l’éducation, de la sécurité publique, des finances et du budget représenté par l’Institut national de la statistique et des représentants d’ONG des droits de l’homme issus des régions.</w:t>
      </w:r>
    </w:p>
    <w:p w:rsidR="00000000" w:rsidRDefault="00000000">
      <w:pPr>
        <w:pStyle w:val="SingleTxtG"/>
        <w:rPr>
          <w:lang w:val="fr-FR"/>
        </w:rPr>
      </w:pPr>
      <w:r>
        <w:rPr>
          <w:lang w:val="fr-FR"/>
        </w:rPr>
        <w:t>7.</w:t>
      </w:r>
      <w:r>
        <w:rPr>
          <w:lang w:val="fr-FR"/>
        </w:rPr>
        <w:tab/>
        <w:t>Le Comité de rédaction est chargé de:</w:t>
      </w:r>
    </w:p>
    <w:p w:rsidR="00000000" w:rsidRDefault="00000000">
      <w:pPr>
        <w:pStyle w:val="Bullet1G"/>
        <w:rPr>
          <w:lang w:val="fr-FR"/>
        </w:rPr>
      </w:pPr>
      <w:r>
        <w:rPr>
          <w:lang w:val="fr-FR"/>
        </w:rPr>
        <w:t>Rattraper les retards dans la présentation des rapports auprès des organes de suivi des traités onusiens;</w:t>
      </w:r>
    </w:p>
    <w:p w:rsidR="00000000" w:rsidRDefault="00000000">
      <w:pPr>
        <w:pStyle w:val="Bullet1G"/>
        <w:rPr>
          <w:lang w:val="fr-FR"/>
        </w:rPr>
      </w:pPr>
      <w:r>
        <w:rPr>
          <w:lang w:val="fr-FR"/>
        </w:rPr>
        <w:t>Collecter les données nécessaires à la rédaction des rapports initiaux et périodiques;</w:t>
      </w:r>
    </w:p>
    <w:p w:rsidR="00000000" w:rsidRDefault="00000000">
      <w:pPr>
        <w:pStyle w:val="Bullet1G"/>
        <w:rPr>
          <w:lang w:val="fr-FR"/>
        </w:rPr>
      </w:pPr>
      <w:r>
        <w:rPr>
          <w:lang w:val="fr-FR"/>
        </w:rPr>
        <w:t>Rédiger les rapports initiaux et périodiques et participer à la soutenance de ces rapports lors de leur examen par les comités concernés.</w:t>
      </w:r>
    </w:p>
    <w:p w:rsidR="00000000" w:rsidRDefault="00000000">
      <w:pPr>
        <w:pStyle w:val="SingleTxtG"/>
        <w:rPr>
          <w:lang w:val="fr-FR"/>
        </w:rPr>
      </w:pPr>
      <w:r>
        <w:rPr>
          <w:lang w:val="fr-FR"/>
        </w:rPr>
        <w:t>8.</w:t>
      </w:r>
      <w:r>
        <w:rPr>
          <w:lang w:val="fr-FR"/>
        </w:rPr>
        <w:tab/>
        <w:t>Il est à souligner que l’élaboration du présent rapport a bénéficié de l’appui technique et financier de la part de l’Union européenne, du PNUD et de l’UNICEF. Pour rassembler les informations nécessaires à l’élaboration du présent rapport, des consultations successives regroupant les représentants de départements ministériels concernés avec les représentants de la société civile, ont été organisées au niveau local, régional et national. Les consultations se sont déroulées selon le calendrier ci-dessous:</w:t>
      </w:r>
    </w:p>
    <w:p w:rsidR="00000000" w:rsidRDefault="00000000">
      <w:pPr>
        <w:pStyle w:val="SingleTxtG"/>
        <w:jc w:val="left"/>
        <w:rPr>
          <w:b/>
        </w:rPr>
      </w:pPr>
      <w:bookmarkStart w:id="26" w:name="_Toc260298198"/>
      <w:r>
        <w:t>Tableau 1</w:t>
      </w:r>
      <w:r>
        <w:rPr>
          <w:b/>
        </w:rPr>
        <w:br/>
        <w:t>Les consultations organisées pour l’élaboration du rapport au Comité des droits de l’enfant</w:t>
      </w:r>
      <w:bookmarkEnd w:id="26"/>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456"/>
        <w:gridCol w:w="2457"/>
        <w:gridCol w:w="2457"/>
      </w:tblGrid>
      <w:tr w:rsidR="00000000">
        <w:tc>
          <w:tcPr>
            <w:tcW w:w="2456" w:type="dxa"/>
            <w:tcBorders>
              <w:top w:val="single" w:sz="4" w:space="0" w:color="auto"/>
              <w:bottom w:val="single" w:sz="12" w:space="0" w:color="auto"/>
            </w:tcBorders>
            <w:shd w:val="clear" w:color="auto" w:fill="auto"/>
            <w:vAlign w:val="bottom"/>
          </w:tcPr>
          <w:p w:rsidR="00000000" w:rsidRDefault="00000000">
            <w:pPr>
              <w:spacing w:before="80" w:after="80" w:line="200" w:lineRule="exact"/>
              <w:ind w:right="113"/>
              <w:rPr>
                <w:i/>
                <w:iCs/>
                <w:sz w:val="16"/>
                <w:szCs w:val="16"/>
                <w:lang w:val="en-US"/>
              </w:rPr>
            </w:pPr>
            <w:r>
              <w:rPr>
                <w:i/>
                <w:iCs/>
                <w:sz w:val="16"/>
                <w:szCs w:val="16"/>
                <w:lang w:val="en-US"/>
              </w:rPr>
              <w:t>Activités</w:t>
            </w:r>
          </w:p>
        </w:tc>
        <w:tc>
          <w:tcPr>
            <w:tcW w:w="2457" w:type="dxa"/>
            <w:tcBorders>
              <w:top w:val="single" w:sz="4" w:space="0" w:color="auto"/>
              <w:bottom w:val="single" w:sz="12" w:space="0" w:color="auto"/>
            </w:tcBorders>
            <w:shd w:val="clear" w:color="auto" w:fill="auto"/>
            <w:vAlign w:val="bottom"/>
          </w:tcPr>
          <w:p w:rsidR="00000000" w:rsidRDefault="00000000">
            <w:pPr>
              <w:spacing w:before="80" w:after="80" w:line="200" w:lineRule="exact"/>
              <w:ind w:right="113"/>
              <w:rPr>
                <w:i/>
                <w:iCs/>
                <w:sz w:val="16"/>
                <w:szCs w:val="16"/>
                <w:lang w:val="en-US"/>
              </w:rPr>
            </w:pPr>
            <w:r>
              <w:rPr>
                <w:i/>
                <w:iCs/>
                <w:sz w:val="16"/>
                <w:szCs w:val="16"/>
                <w:lang w:val="en-US"/>
              </w:rPr>
              <w:t>Dates</w:t>
            </w:r>
          </w:p>
        </w:tc>
        <w:tc>
          <w:tcPr>
            <w:tcW w:w="2457" w:type="dxa"/>
            <w:tcBorders>
              <w:top w:val="single" w:sz="4" w:space="0" w:color="auto"/>
              <w:bottom w:val="single" w:sz="12" w:space="0" w:color="auto"/>
            </w:tcBorders>
            <w:shd w:val="clear" w:color="auto" w:fill="auto"/>
            <w:vAlign w:val="bottom"/>
          </w:tcPr>
          <w:p w:rsidR="00000000" w:rsidRDefault="00000000">
            <w:pPr>
              <w:spacing w:before="80" w:after="80" w:line="200" w:lineRule="exact"/>
              <w:ind w:right="113"/>
              <w:rPr>
                <w:i/>
                <w:iCs/>
                <w:sz w:val="16"/>
                <w:szCs w:val="16"/>
                <w:lang w:val="en-US"/>
              </w:rPr>
            </w:pPr>
            <w:r>
              <w:rPr>
                <w:i/>
                <w:iCs/>
                <w:sz w:val="16"/>
                <w:szCs w:val="16"/>
                <w:lang w:val="en-US"/>
              </w:rPr>
              <w:t>Lieux</w:t>
            </w:r>
          </w:p>
        </w:tc>
      </w:tr>
      <w:tr w:rsidR="00000000">
        <w:tc>
          <w:tcPr>
            <w:tcW w:w="2456" w:type="dxa"/>
            <w:tcBorders>
              <w:top w:val="single" w:sz="12" w:space="0" w:color="auto"/>
            </w:tcBorders>
            <w:shd w:val="clear" w:color="auto" w:fill="auto"/>
          </w:tcPr>
          <w:p w:rsidR="00000000" w:rsidRDefault="00000000">
            <w:pPr>
              <w:spacing w:before="40" w:after="120"/>
              <w:ind w:right="113"/>
              <w:rPr>
                <w:sz w:val="18"/>
                <w:szCs w:val="18"/>
                <w:lang w:val="en-US"/>
              </w:rPr>
            </w:pPr>
            <w:r>
              <w:rPr>
                <w:sz w:val="18"/>
                <w:szCs w:val="18"/>
                <w:lang w:val="en-US"/>
              </w:rPr>
              <w:t>Atelier du CRRIPDH</w:t>
            </w:r>
          </w:p>
        </w:tc>
        <w:tc>
          <w:tcPr>
            <w:tcW w:w="2457" w:type="dxa"/>
            <w:tcBorders>
              <w:top w:val="single" w:sz="12" w:space="0" w:color="auto"/>
            </w:tcBorders>
            <w:shd w:val="clear" w:color="auto" w:fill="auto"/>
            <w:vAlign w:val="bottom"/>
          </w:tcPr>
          <w:p w:rsidR="00000000" w:rsidRDefault="00000000">
            <w:pPr>
              <w:spacing w:before="40" w:after="120"/>
              <w:ind w:right="113"/>
              <w:jc w:val="right"/>
              <w:rPr>
                <w:lang w:val="en-US"/>
              </w:rPr>
            </w:pPr>
            <w:r>
              <w:rPr>
                <w:lang w:val="en-US"/>
              </w:rPr>
              <w:t>24 février- 5 mars 2007</w:t>
            </w:r>
          </w:p>
        </w:tc>
        <w:tc>
          <w:tcPr>
            <w:tcW w:w="2457" w:type="dxa"/>
            <w:tcBorders>
              <w:top w:val="single" w:sz="12" w:space="0" w:color="auto"/>
            </w:tcBorders>
            <w:shd w:val="clear" w:color="auto" w:fill="auto"/>
            <w:vAlign w:val="bottom"/>
          </w:tcPr>
          <w:p w:rsidR="00000000" w:rsidRDefault="00000000">
            <w:pPr>
              <w:spacing w:before="40" w:after="120"/>
              <w:ind w:right="113"/>
              <w:jc w:val="right"/>
              <w:rPr>
                <w:lang w:val="en-US"/>
              </w:rPr>
            </w:pPr>
            <w:r>
              <w:rPr>
                <w:lang w:val="en-US"/>
              </w:rPr>
              <w:t>Toamasina</w:t>
            </w:r>
          </w:p>
        </w:tc>
      </w:tr>
      <w:tr w:rsidR="00000000">
        <w:tc>
          <w:tcPr>
            <w:tcW w:w="2456" w:type="dxa"/>
            <w:shd w:val="clear" w:color="auto" w:fill="auto"/>
          </w:tcPr>
          <w:p w:rsidR="00000000" w:rsidRDefault="00000000">
            <w:pPr>
              <w:spacing w:before="40" w:after="120"/>
              <w:rPr>
                <w:sz w:val="18"/>
                <w:szCs w:val="18"/>
                <w:lang w:val="en-US"/>
              </w:rPr>
            </w:pPr>
            <w:r>
              <w:rPr>
                <w:sz w:val="18"/>
                <w:szCs w:val="18"/>
                <w:lang w:val="en-US"/>
              </w:rPr>
              <w:t>Table ronde Droit coutumier</w:t>
            </w:r>
          </w:p>
        </w:tc>
        <w:tc>
          <w:tcPr>
            <w:tcW w:w="2457" w:type="dxa"/>
            <w:shd w:val="clear" w:color="auto" w:fill="auto"/>
            <w:vAlign w:val="bottom"/>
          </w:tcPr>
          <w:p w:rsidR="00000000" w:rsidRDefault="00000000">
            <w:pPr>
              <w:spacing w:before="40" w:after="120"/>
              <w:jc w:val="right"/>
              <w:rPr>
                <w:lang w:val="en-US"/>
              </w:rPr>
            </w:pPr>
            <w:r>
              <w:rPr>
                <w:lang w:val="en-US"/>
              </w:rPr>
              <w:t>18 mars 2007</w:t>
            </w:r>
          </w:p>
        </w:tc>
        <w:tc>
          <w:tcPr>
            <w:tcW w:w="2457" w:type="dxa"/>
            <w:shd w:val="clear" w:color="auto" w:fill="auto"/>
            <w:vAlign w:val="bottom"/>
          </w:tcPr>
          <w:p w:rsidR="00000000" w:rsidRDefault="00000000">
            <w:pPr>
              <w:spacing w:before="40" w:after="120"/>
              <w:jc w:val="right"/>
              <w:rPr>
                <w:lang w:val="en-US"/>
              </w:rPr>
            </w:pPr>
            <w:r>
              <w:rPr>
                <w:lang w:val="en-US"/>
              </w:rPr>
              <w:t>Antananarivo</w:t>
            </w:r>
          </w:p>
        </w:tc>
      </w:tr>
      <w:tr w:rsidR="00000000">
        <w:tc>
          <w:tcPr>
            <w:tcW w:w="2456" w:type="dxa"/>
            <w:shd w:val="clear" w:color="auto" w:fill="auto"/>
          </w:tcPr>
          <w:p w:rsidR="00000000" w:rsidRDefault="00000000">
            <w:pPr>
              <w:spacing w:before="40" w:after="120"/>
              <w:rPr>
                <w:sz w:val="18"/>
                <w:szCs w:val="18"/>
                <w:lang w:val="en-US"/>
              </w:rPr>
            </w:pPr>
            <w:r>
              <w:rPr>
                <w:sz w:val="18"/>
                <w:szCs w:val="18"/>
                <w:lang w:val="en-US"/>
              </w:rPr>
              <w:t>Consultation régionale − Région DIANA</w:t>
            </w:r>
          </w:p>
        </w:tc>
        <w:tc>
          <w:tcPr>
            <w:tcW w:w="2457" w:type="dxa"/>
            <w:shd w:val="clear" w:color="auto" w:fill="auto"/>
            <w:vAlign w:val="bottom"/>
          </w:tcPr>
          <w:p w:rsidR="00000000" w:rsidRDefault="00000000">
            <w:pPr>
              <w:spacing w:before="40" w:after="120"/>
              <w:jc w:val="right"/>
              <w:rPr>
                <w:lang w:val="en-US"/>
              </w:rPr>
            </w:pPr>
            <w:r>
              <w:rPr>
                <w:lang w:val="en-US"/>
              </w:rPr>
              <w:t>20-21 mars 2007</w:t>
            </w:r>
          </w:p>
        </w:tc>
        <w:tc>
          <w:tcPr>
            <w:tcW w:w="2457" w:type="dxa"/>
            <w:shd w:val="clear" w:color="auto" w:fill="auto"/>
            <w:vAlign w:val="bottom"/>
          </w:tcPr>
          <w:p w:rsidR="00000000" w:rsidRDefault="00000000">
            <w:pPr>
              <w:spacing w:before="40" w:after="120"/>
              <w:jc w:val="right"/>
              <w:rPr>
                <w:lang w:val="en-US"/>
              </w:rPr>
            </w:pPr>
            <w:r>
              <w:rPr>
                <w:lang w:val="en-US"/>
              </w:rPr>
              <w:t>Antsiranana</w:t>
            </w:r>
          </w:p>
        </w:tc>
      </w:tr>
      <w:tr w:rsidR="00000000">
        <w:tc>
          <w:tcPr>
            <w:tcW w:w="2456" w:type="dxa"/>
            <w:shd w:val="clear" w:color="auto" w:fill="auto"/>
          </w:tcPr>
          <w:p w:rsidR="00000000" w:rsidRDefault="00000000">
            <w:pPr>
              <w:spacing w:before="40" w:after="120"/>
              <w:rPr>
                <w:sz w:val="18"/>
                <w:szCs w:val="18"/>
                <w:lang w:val="fr-FR"/>
              </w:rPr>
            </w:pPr>
            <w:r>
              <w:rPr>
                <w:sz w:val="18"/>
                <w:szCs w:val="18"/>
                <w:lang w:val="fr-FR"/>
              </w:rPr>
              <w:t>Atelier sectoriel Santé et protection sociale</w:t>
            </w:r>
          </w:p>
        </w:tc>
        <w:tc>
          <w:tcPr>
            <w:tcW w:w="2457" w:type="dxa"/>
            <w:shd w:val="clear" w:color="auto" w:fill="auto"/>
            <w:vAlign w:val="bottom"/>
          </w:tcPr>
          <w:p w:rsidR="00000000" w:rsidRDefault="00000000">
            <w:pPr>
              <w:spacing w:before="40" w:after="120"/>
              <w:jc w:val="right"/>
              <w:rPr>
                <w:lang w:val="en-US"/>
              </w:rPr>
            </w:pPr>
            <w:r>
              <w:rPr>
                <w:lang w:val="en-US"/>
              </w:rPr>
              <w:t>25 mars 2007</w:t>
            </w:r>
          </w:p>
        </w:tc>
        <w:tc>
          <w:tcPr>
            <w:tcW w:w="2457" w:type="dxa"/>
            <w:shd w:val="clear" w:color="auto" w:fill="auto"/>
            <w:vAlign w:val="bottom"/>
          </w:tcPr>
          <w:p w:rsidR="00000000" w:rsidRDefault="00000000">
            <w:pPr>
              <w:spacing w:before="40" w:after="120"/>
              <w:jc w:val="right"/>
              <w:rPr>
                <w:lang w:val="en-US"/>
              </w:rPr>
            </w:pPr>
            <w:r>
              <w:rPr>
                <w:lang w:val="en-US"/>
              </w:rPr>
              <w:t>Antananarivo</w:t>
            </w:r>
          </w:p>
        </w:tc>
      </w:tr>
      <w:tr w:rsidR="00000000">
        <w:tc>
          <w:tcPr>
            <w:tcW w:w="2456" w:type="dxa"/>
            <w:shd w:val="clear" w:color="auto" w:fill="auto"/>
          </w:tcPr>
          <w:p w:rsidR="00000000" w:rsidRDefault="00000000">
            <w:pPr>
              <w:spacing w:before="40" w:after="120"/>
              <w:rPr>
                <w:sz w:val="18"/>
                <w:szCs w:val="18"/>
                <w:lang w:val="en-US"/>
              </w:rPr>
            </w:pPr>
            <w:r>
              <w:rPr>
                <w:sz w:val="18"/>
                <w:szCs w:val="18"/>
                <w:lang w:val="en-US"/>
              </w:rPr>
              <w:t>Consultation régionale − Région ANOSY</w:t>
            </w:r>
          </w:p>
        </w:tc>
        <w:tc>
          <w:tcPr>
            <w:tcW w:w="2457" w:type="dxa"/>
            <w:shd w:val="clear" w:color="auto" w:fill="auto"/>
            <w:vAlign w:val="bottom"/>
          </w:tcPr>
          <w:p w:rsidR="00000000" w:rsidRDefault="00000000">
            <w:pPr>
              <w:spacing w:before="40" w:after="120"/>
              <w:jc w:val="right"/>
              <w:rPr>
                <w:lang w:val="en-US"/>
              </w:rPr>
            </w:pPr>
            <w:r>
              <w:rPr>
                <w:lang w:val="en-US"/>
              </w:rPr>
              <w:t>27-28 mars 2007</w:t>
            </w:r>
          </w:p>
        </w:tc>
        <w:tc>
          <w:tcPr>
            <w:tcW w:w="2457" w:type="dxa"/>
            <w:shd w:val="clear" w:color="auto" w:fill="auto"/>
            <w:vAlign w:val="bottom"/>
          </w:tcPr>
          <w:p w:rsidR="00000000" w:rsidRDefault="00000000">
            <w:pPr>
              <w:spacing w:before="40" w:after="120"/>
              <w:jc w:val="right"/>
              <w:rPr>
                <w:lang w:val="en-US"/>
              </w:rPr>
            </w:pPr>
            <w:r>
              <w:rPr>
                <w:lang w:val="en-US"/>
              </w:rPr>
              <w:t>Taolagnaro</w:t>
            </w:r>
          </w:p>
        </w:tc>
      </w:tr>
      <w:tr w:rsidR="00000000">
        <w:tc>
          <w:tcPr>
            <w:tcW w:w="2456" w:type="dxa"/>
            <w:shd w:val="clear" w:color="auto" w:fill="auto"/>
          </w:tcPr>
          <w:p w:rsidR="00000000" w:rsidRDefault="00000000">
            <w:pPr>
              <w:spacing w:before="40" w:after="120"/>
              <w:rPr>
                <w:sz w:val="18"/>
                <w:szCs w:val="18"/>
                <w:lang w:val="en-US"/>
              </w:rPr>
            </w:pPr>
            <w:r>
              <w:rPr>
                <w:sz w:val="18"/>
                <w:szCs w:val="18"/>
                <w:lang w:val="en-US"/>
              </w:rPr>
              <w:t>Atelier sectoriel éducation</w:t>
            </w:r>
          </w:p>
        </w:tc>
        <w:tc>
          <w:tcPr>
            <w:tcW w:w="2457" w:type="dxa"/>
            <w:shd w:val="clear" w:color="auto" w:fill="auto"/>
            <w:vAlign w:val="bottom"/>
          </w:tcPr>
          <w:p w:rsidR="00000000" w:rsidRDefault="00000000">
            <w:pPr>
              <w:spacing w:before="40" w:after="120"/>
              <w:jc w:val="right"/>
              <w:rPr>
                <w:lang w:val="en-US"/>
              </w:rPr>
            </w:pPr>
            <w:r>
              <w:rPr>
                <w:lang w:val="en-US"/>
              </w:rPr>
              <w:t>1 avril 2007</w:t>
            </w:r>
          </w:p>
        </w:tc>
        <w:tc>
          <w:tcPr>
            <w:tcW w:w="2457" w:type="dxa"/>
            <w:shd w:val="clear" w:color="auto" w:fill="auto"/>
            <w:vAlign w:val="bottom"/>
          </w:tcPr>
          <w:p w:rsidR="00000000" w:rsidRDefault="00000000">
            <w:pPr>
              <w:spacing w:before="40" w:after="120"/>
              <w:jc w:val="right"/>
              <w:rPr>
                <w:lang w:val="en-US"/>
              </w:rPr>
            </w:pPr>
            <w:r>
              <w:rPr>
                <w:lang w:val="en-US"/>
              </w:rPr>
              <w:t>Antananarivo</w:t>
            </w:r>
          </w:p>
        </w:tc>
      </w:tr>
      <w:tr w:rsidR="00000000">
        <w:tc>
          <w:tcPr>
            <w:tcW w:w="2456" w:type="dxa"/>
            <w:shd w:val="clear" w:color="auto" w:fill="auto"/>
          </w:tcPr>
          <w:p w:rsidR="00000000" w:rsidRDefault="00000000">
            <w:pPr>
              <w:spacing w:before="40" w:after="120"/>
              <w:rPr>
                <w:sz w:val="18"/>
                <w:szCs w:val="18"/>
                <w:lang w:val="fr-FR"/>
              </w:rPr>
            </w:pPr>
            <w:r>
              <w:rPr>
                <w:sz w:val="18"/>
                <w:szCs w:val="18"/>
                <w:lang w:val="fr-FR"/>
              </w:rPr>
              <w:t>Table ronde justice des mineurs</w:t>
            </w:r>
          </w:p>
        </w:tc>
        <w:tc>
          <w:tcPr>
            <w:tcW w:w="2457" w:type="dxa"/>
            <w:shd w:val="clear" w:color="auto" w:fill="auto"/>
            <w:vAlign w:val="bottom"/>
          </w:tcPr>
          <w:p w:rsidR="00000000" w:rsidRDefault="00000000">
            <w:pPr>
              <w:spacing w:before="40" w:after="120"/>
              <w:jc w:val="right"/>
              <w:rPr>
                <w:lang w:val="en-US"/>
              </w:rPr>
            </w:pPr>
            <w:r>
              <w:rPr>
                <w:lang w:val="en-US"/>
              </w:rPr>
              <w:t>4 avril 2007</w:t>
            </w:r>
          </w:p>
        </w:tc>
        <w:tc>
          <w:tcPr>
            <w:tcW w:w="2457" w:type="dxa"/>
            <w:shd w:val="clear" w:color="auto" w:fill="auto"/>
            <w:vAlign w:val="bottom"/>
          </w:tcPr>
          <w:p w:rsidR="00000000" w:rsidRDefault="00000000">
            <w:pPr>
              <w:spacing w:before="40" w:after="120"/>
              <w:jc w:val="right"/>
              <w:rPr>
                <w:lang w:val="en-US"/>
              </w:rPr>
            </w:pPr>
            <w:r>
              <w:rPr>
                <w:lang w:val="en-US"/>
              </w:rPr>
              <w:t>Antananarivo</w:t>
            </w:r>
          </w:p>
        </w:tc>
      </w:tr>
      <w:tr w:rsidR="00000000">
        <w:tc>
          <w:tcPr>
            <w:tcW w:w="2456" w:type="dxa"/>
            <w:shd w:val="clear" w:color="auto" w:fill="auto"/>
          </w:tcPr>
          <w:p w:rsidR="00000000" w:rsidRDefault="00000000">
            <w:pPr>
              <w:spacing w:before="40" w:after="120"/>
              <w:rPr>
                <w:sz w:val="18"/>
                <w:szCs w:val="18"/>
                <w:lang w:val="fr-FR"/>
              </w:rPr>
            </w:pPr>
            <w:r>
              <w:rPr>
                <w:sz w:val="18"/>
                <w:szCs w:val="18"/>
                <w:lang w:val="fr-FR"/>
              </w:rPr>
              <w:t xml:space="preserve">Atelier sectoriel Protection de l’enfant contre la violence </w:t>
            </w:r>
          </w:p>
        </w:tc>
        <w:tc>
          <w:tcPr>
            <w:tcW w:w="2457" w:type="dxa"/>
            <w:shd w:val="clear" w:color="auto" w:fill="auto"/>
            <w:vAlign w:val="bottom"/>
          </w:tcPr>
          <w:p w:rsidR="00000000" w:rsidRDefault="00000000">
            <w:pPr>
              <w:spacing w:before="40" w:after="120"/>
              <w:jc w:val="right"/>
              <w:rPr>
                <w:lang w:val="en-US"/>
              </w:rPr>
            </w:pPr>
            <w:r>
              <w:rPr>
                <w:lang w:val="en-US"/>
              </w:rPr>
              <w:t>3 avril 2007</w:t>
            </w:r>
          </w:p>
        </w:tc>
        <w:tc>
          <w:tcPr>
            <w:tcW w:w="2457" w:type="dxa"/>
            <w:shd w:val="clear" w:color="auto" w:fill="auto"/>
            <w:vAlign w:val="bottom"/>
          </w:tcPr>
          <w:p w:rsidR="00000000" w:rsidRDefault="00000000">
            <w:pPr>
              <w:spacing w:before="40" w:after="120"/>
              <w:jc w:val="right"/>
              <w:rPr>
                <w:lang w:val="en-US"/>
              </w:rPr>
            </w:pPr>
            <w:r>
              <w:rPr>
                <w:lang w:val="en-US"/>
              </w:rPr>
              <w:t>Antananarivo</w:t>
            </w:r>
          </w:p>
        </w:tc>
      </w:tr>
      <w:tr w:rsidR="00000000">
        <w:tc>
          <w:tcPr>
            <w:tcW w:w="2456" w:type="dxa"/>
            <w:shd w:val="clear" w:color="auto" w:fill="auto"/>
          </w:tcPr>
          <w:p w:rsidR="00000000" w:rsidRDefault="00000000">
            <w:pPr>
              <w:spacing w:before="40" w:after="120"/>
              <w:rPr>
                <w:sz w:val="18"/>
                <w:szCs w:val="18"/>
                <w:lang w:val="en-US"/>
              </w:rPr>
            </w:pPr>
            <w:r>
              <w:rPr>
                <w:sz w:val="18"/>
                <w:szCs w:val="18"/>
                <w:lang w:val="en-US"/>
              </w:rPr>
              <w:t>Table ronde Media</w:t>
            </w:r>
          </w:p>
        </w:tc>
        <w:tc>
          <w:tcPr>
            <w:tcW w:w="2457" w:type="dxa"/>
            <w:shd w:val="clear" w:color="auto" w:fill="auto"/>
            <w:vAlign w:val="bottom"/>
          </w:tcPr>
          <w:p w:rsidR="00000000" w:rsidRDefault="00000000">
            <w:pPr>
              <w:spacing w:before="40" w:after="120"/>
              <w:jc w:val="right"/>
              <w:rPr>
                <w:lang w:val="en-US"/>
              </w:rPr>
            </w:pPr>
            <w:r>
              <w:rPr>
                <w:lang w:val="en-US"/>
              </w:rPr>
              <w:t>4 avril 2007</w:t>
            </w:r>
          </w:p>
        </w:tc>
        <w:tc>
          <w:tcPr>
            <w:tcW w:w="2457" w:type="dxa"/>
            <w:shd w:val="clear" w:color="auto" w:fill="auto"/>
            <w:vAlign w:val="bottom"/>
          </w:tcPr>
          <w:p w:rsidR="00000000" w:rsidRDefault="00000000">
            <w:pPr>
              <w:spacing w:before="40" w:after="120"/>
              <w:jc w:val="right"/>
              <w:rPr>
                <w:lang w:val="en-US"/>
              </w:rPr>
            </w:pPr>
            <w:r>
              <w:rPr>
                <w:lang w:val="en-US"/>
              </w:rPr>
              <w:t>Antananarivo</w:t>
            </w:r>
          </w:p>
        </w:tc>
      </w:tr>
      <w:tr w:rsidR="00000000">
        <w:tc>
          <w:tcPr>
            <w:tcW w:w="2456" w:type="dxa"/>
            <w:shd w:val="clear" w:color="auto" w:fill="auto"/>
          </w:tcPr>
          <w:p w:rsidR="00000000" w:rsidRDefault="00000000">
            <w:pPr>
              <w:spacing w:before="40" w:after="120"/>
              <w:rPr>
                <w:sz w:val="18"/>
                <w:szCs w:val="18"/>
                <w:lang w:val="fr-FR"/>
              </w:rPr>
            </w:pPr>
            <w:r>
              <w:rPr>
                <w:sz w:val="18"/>
                <w:szCs w:val="18"/>
                <w:lang w:val="fr-FR"/>
              </w:rPr>
              <w:t>Atelier sectoriel Protection de l’enfant contre l’exploitation par le travail et sécurité sociale</w:t>
            </w:r>
          </w:p>
        </w:tc>
        <w:tc>
          <w:tcPr>
            <w:tcW w:w="2457" w:type="dxa"/>
            <w:shd w:val="clear" w:color="auto" w:fill="auto"/>
            <w:vAlign w:val="bottom"/>
          </w:tcPr>
          <w:p w:rsidR="00000000" w:rsidRDefault="00000000">
            <w:pPr>
              <w:spacing w:before="40" w:after="120"/>
              <w:jc w:val="right"/>
              <w:rPr>
                <w:lang w:val="en-US"/>
              </w:rPr>
            </w:pPr>
            <w:r>
              <w:rPr>
                <w:lang w:val="en-US"/>
              </w:rPr>
              <w:t>7 avril 2007</w:t>
            </w:r>
          </w:p>
        </w:tc>
        <w:tc>
          <w:tcPr>
            <w:tcW w:w="2457" w:type="dxa"/>
            <w:shd w:val="clear" w:color="auto" w:fill="auto"/>
            <w:vAlign w:val="bottom"/>
          </w:tcPr>
          <w:p w:rsidR="00000000" w:rsidRDefault="00000000">
            <w:pPr>
              <w:spacing w:before="40" w:after="120"/>
              <w:jc w:val="right"/>
              <w:rPr>
                <w:lang w:val="en-US"/>
              </w:rPr>
            </w:pPr>
            <w:r>
              <w:rPr>
                <w:lang w:val="en-US"/>
              </w:rPr>
              <w:t>Antananarivo</w:t>
            </w:r>
          </w:p>
        </w:tc>
      </w:tr>
      <w:tr w:rsidR="00000000">
        <w:tc>
          <w:tcPr>
            <w:tcW w:w="2456" w:type="dxa"/>
            <w:shd w:val="clear" w:color="auto" w:fill="auto"/>
          </w:tcPr>
          <w:p w:rsidR="00000000" w:rsidRDefault="00000000">
            <w:pPr>
              <w:spacing w:before="40" w:after="120"/>
              <w:rPr>
                <w:sz w:val="18"/>
                <w:szCs w:val="18"/>
                <w:lang w:val="en-US"/>
              </w:rPr>
            </w:pPr>
            <w:r>
              <w:rPr>
                <w:sz w:val="18"/>
                <w:szCs w:val="18"/>
                <w:lang w:val="en-US"/>
              </w:rPr>
              <w:t>Atelier sectoriel VIH/sida</w:t>
            </w:r>
          </w:p>
        </w:tc>
        <w:tc>
          <w:tcPr>
            <w:tcW w:w="2457" w:type="dxa"/>
            <w:shd w:val="clear" w:color="auto" w:fill="auto"/>
            <w:vAlign w:val="bottom"/>
          </w:tcPr>
          <w:p w:rsidR="00000000" w:rsidRDefault="00000000">
            <w:pPr>
              <w:spacing w:before="40" w:after="120"/>
              <w:jc w:val="right"/>
              <w:rPr>
                <w:lang w:val="en-US"/>
              </w:rPr>
            </w:pPr>
            <w:r>
              <w:rPr>
                <w:lang w:val="en-US"/>
              </w:rPr>
              <w:t>7 avril 2007</w:t>
            </w:r>
          </w:p>
        </w:tc>
        <w:tc>
          <w:tcPr>
            <w:tcW w:w="2457" w:type="dxa"/>
            <w:shd w:val="clear" w:color="auto" w:fill="auto"/>
            <w:vAlign w:val="bottom"/>
          </w:tcPr>
          <w:p w:rsidR="00000000" w:rsidRDefault="00000000">
            <w:pPr>
              <w:spacing w:before="40" w:after="120"/>
              <w:jc w:val="right"/>
              <w:rPr>
                <w:lang w:val="en-US"/>
              </w:rPr>
            </w:pPr>
            <w:r>
              <w:rPr>
                <w:lang w:val="en-US"/>
              </w:rPr>
              <w:t>Antananarivo</w:t>
            </w:r>
          </w:p>
        </w:tc>
      </w:tr>
      <w:tr w:rsidR="00000000">
        <w:tc>
          <w:tcPr>
            <w:tcW w:w="2456" w:type="dxa"/>
            <w:shd w:val="clear" w:color="auto" w:fill="auto"/>
          </w:tcPr>
          <w:p w:rsidR="00000000" w:rsidRDefault="00000000">
            <w:pPr>
              <w:spacing w:before="40" w:after="120"/>
              <w:rPr>
                <w:sz w:val="18"/>
                <w:szCs w:val="18"/>
                <w:lang w:val="en-US"/>
              </w:rPr>
            </w:pPr>
            <w:r>
              <w:rPr>
                <w:sz w:val="18"/>
                <w:szCs w:val="18"/>
                <w:lang w:val="en-US"/>
              </w:rPr>
              <w:t>Pré Validation finale</w:t>
            </w:r>
            <w:r>
              <w:rPr>
                <w:i/>
                <w:sz w:val="18"/>
                <w:szCs w:val="18"/>
                <w:vertAlign w:val="superscript"/>
                <w:lang w:val="en-US"/>
              </w:rPr>
              <w:t>a</w:t>
            </w:r>
          </w:p>
        </w:tc>
        <w:tc>
          <w:tcPr>
            <w:tcW w:w="2457" w:type="dxa"/>
            <w:shd w:val="clear" w:color="auto" w:fill="auto"/>
            <w:vAlign w:val="bottom"/>
          </w:tcPr>
          <w:p w:rsidR="00000000" w:rsidRDefault="00000000">
            <w:pPr>
              <w:spacing w:before="40" w:after="120"/>
              <w:jc w:val="right"/>
              <w:rPr>
                <w:lang w:val="en-US"/>
              </w:rPr>
            </w:pPr>
            <w:r>
              <w:rPr>
                <w:lang w:val="en-US"/>
              </w:rPr>
              <w:t>14 avril 2007</w:t>
            </w:r>
          </w:p>
        </w:tc>
        <w:tc>
          <w:tcPr>
            <w:tcW w:w="2457" w:type="dxa"/>
            <w:shd w:val="clear" w:color="auto" w:fill="auto"/>
            <w:vAlign w:val="bottom"/>
          </w:tcPr>
          <w:p w:rsidR="00000000" w:rsidRDefault="00000000">
            <w:pPr>
              <w:spacing w:before="40" w:after="120"/>
              <w:jc w:val="right"/>
              <w:rPr>
                <w:lang w:val="en-US"/>
              </w:rPr>
            </w:pPr>
            <w:r>
              <w:rPr>
                <w:lang w:val="en-US"/>
              </w:rPr>
              <w:t>Antananarivo</w:t>
            </w:r>
          </w:p>
        </w:tc>
      </w:tr>
      <w:tr w:rsidR="00000000">
        <w:tc>
          <w:tcPr>
            <w:tcW w:w="2456" w:type="dxa"/>
            <w:tcBorders>
              <w:bottom w:val="single" w:sz="12" w:space="0" w:color="auto"/>
            </w:tcBorders>
            <w:shd w:val="clear" w:color="auto" w:fill="auto"/>
          </w:tcPr>
          <w:p w:rsidR="00000000" w:rsidRDefault="00000000">
            <w:pPr>
              <w:spacing w:before="40" w:after="120"/>
              <w:rPr>
                <w:sz w:val="18"/>
                <w:szCs w:val="18"/>
                <w:lang w:val="en-US"/>
              </w:rPr>
            </w:pPr>
            <w:r>
              <w:rPr>
                <w:sz w:val="18"/>
                <w:szCs w:val="18"/>
                <w:lang w:val="en-US"/>
              </w:rPr>
              <w:t>Finalisation redaction par CRRIPDH</w:t>
            </w:r>
          </w:p>
        </w:tc>
        <w:tc>
          <w:tcPr>
            <w:tcW w:w="2457" w:type="dxa"/>
            <w:tcBorders>
              <w:bottom w:val="single" w:sz="12" w:space="0" w:color="auto"/>
            </w:tcBorders>
            <w:shd w:val="clear" w:color="auto" w:fill="auto"/>
            <w:vAlign w:val="bottom"/>
          </w:tcPr>
          <w:p w:rsidR="00000000" w:rsidRDefault="00000000">
            <w:pPr>
              <w:spacing w:before="40" w:after="120"/>
              <w:jc w:val="right"/>
              <w:rPr>
                <w:lang w:val="en-US"/>
              </w:rPr>
            </w:pPr>
          </w:p>
        </w:tc>
        <w:tc>
          <w:tcPr>
            <w:tcW w:w="2457" w:type="dxa"/>
            <w:tcBorders>
              <w:bottom w:val="single" w:sz="12" w:space="0" w:color="auto"/>
            </w:tcBorders>
            <w:shd w:val="clear" w:color="auto" w:fill="auto"/>
            <w:vAlign w:val="bottom"/>
          </w:tcPr>
          <w:p w:rsidR="00000000" w:rsidRDefault="00000000">
            <w:pPr>
              <w:spacing w:before="40" w:after="120"/>
              <w:jc w:val="right"/>
              <w:rPr>
                <w:lang w:val="en-US"/>
              </w:rPr>
            </w:pPr>
          </w:p>
        </w:tc>
      </w:tr>
    </w:tbl>
    <w:p w:rsidR="00000000" w:rsidRDefault="00000000">
      <w:pPr>
        <w:pStyle w:val="SingleTxtG"/>
        <w:spacing w:before="120"/>
        <w:ind w:firstLine="170"/>
        <w:rPr>
          <w:i/>
          <w:iCs/>
          <w:sz w:val="18"/>
          <w:szCs w:val="18"/>
          <w:lang w:val="fr-FR"/>
        </w:rPr>
      </w:pPr>
      <w:r>
        <w:rPr>
          <w:i/>
          <w:iCs/>
          <w:sz w:val="18"/>
          <w:szCs w:val="18"/>
          <w:vertAlign w:val="superscript"/>
          <w:lang w:val="fr-FR"/>
        </w:rPr>
        <w:t xml:space="preserve">a </w:t>
      </w:r>
      <w:r>
        <w:rPr>
          <w:sz w:val="18"/>
          <w:szCs w:val="18"/>
          <w:lang w:val="fr-FR"/>
        </w:rPr>
        <w:t xml:space="preserve">L’objectif était d’établir un rapport avalisé par toutes les parties prenantes au niveau national. </w:t>
      </w:r>
      <w:bookmarkStart w:id="27" w:name="_Toc193274977"/>
      <w:bookmarkStart w:id="28" w:name="_Toc195947132"/>
      <w:bookmarkStart w:id="29" w:name="_Toc195958775"/>
      <w:bookmarkStart w:id="30" w:name="_Toc206414474"/>
      <w:bookmarkStart w:id="31" w:name="_Toc206460316"/>
      <w:bookmarkStart w:id="32" w:name="_Toc206460648"/>
      <w:bookmarkStart w:id="33" w:name="_Toc206461370"/>
      <w:bookmarkStart w:id="34" w:name="_Toc206476164"/>
      <w:bookmarkStart w:id="35" w:name="_Toc207788699"/>
      <w:bookmarkStart w:id="36" w:name="_Toc211835370"/>
    </w:p>
    <w:p w:rsidR="00000000" w:rsidRDefault="00000000">
      <w:pPr>
        <w:pStyle w:val="HChG"/>
        <w:rPr>
          <w:lang w:val="fr-FR"/>
        </w:rPr>
      </w:pPr>
      <w:bookmarkStart w:id="37" w:name="_Toc211926677"/>
      <w:r>
        <w:rPr>
          <w:lang w:val="fr-FR"/>
        </w:rPr>
        <w:tab/>
      </w:r>
      <w:bookmarkStart w:id="38" w:name="_Toc260298199"/>
      <w:r>
        <w:rPr>
          <w:lang w:val="fr-FR"/>
        </w:rPr>
        <w:t>I.</w:t>
      </w:r>
      <w:r>
        <w:rPr>
          <w:lang w:val="fr-FR"/>
        </w:rPr>
        <w:tab/>
        <w:t>Contexte général du pays</w:t>
      </w:r>
      <w:bookmarkEnd w:id="27"/>
      <w:bookmarkEnd w:id="28"/>
      <w:bookmarkEnd w:id="29"/>
      <w:bookmarkEnd w:id="30"/>
      <w:bookmarkEnd w:id="31"/>
      <w:bookmarkEnd w:id="32"/>
      <w:bookmarkEnd w:id="33"/>
      <w:bookmarkEnd w:id="34"/>
      <w:bookmarkEnd w:id="35"/>
      <w:bookmarkEnd w:id="36"/>
      <w:bookmarkEnd w:id="37"/>
      <w:bookmarkEnd w:id="38"/>
    </w:p>
    <w:p w:rsidR="00000000" w:rsidRDefault="00000000">
      <w:pPr>
        <w:pStyle w:val="H1G"/>
        <w:rPr>
          <w:lang w:val="fr-FR"/>
        </w:rPr>
      </w:pPr>
      <w:bookmarkStart w:id="39" w:name="_Toc193274978"/>
      <w:bookmarkStart w:id="40" w:name="_Toc195947133"/>
      <w:bookmarkStart w:id="41" w:name="_Toc195958776"/>
      <w:bookmarkStart w:id="42" w:name="_Toc206414475"/>
      <w:bookmarkStart w:id="43" w:name="_Toc206460317"/>
      <w:bookmarkStart w:id="44" w:name="_Toc206460649"/>
      <w:bookmarkStart w:id="45" w:name="_Toc206461371"/>
      <w:bookmarkStart w:id="46" w:name="_Toc206476165"/>
      <w:bookmarkStart w:id="47" w:name="_Toc207788700"/>
      <w:bookmarkStart w:id="48" w:name="_Toc211835371"/>
      <w:bookmarkStart w:id="49" w:name="_Toc211926678"/>
      <w:r>
        <w:rPr>
          <w:lang w:val="fr-FR"/>
        </w:rPr>
        <w:tab/>
      </w:r>
      <w:bookmarkStart w:id="50" w:name="_Toc260298200"/>
      <w:r>
        <w:rPr>
          <w:lang w:val="fr-FR"/>
        </w:rPr>
        <w:t>A.</w:t>
      </w:r>
      <w:r>
        <w:rPr>
          <w:lang w:val="fr-FR"/>
        </w:rPr>
        <w:tab/>
        <w:t>Situation démographique</w:t>
      </w:r>
      <w:bookmarkEnd w:id="39"/>
      <w:bookmarkEnd w:id="40"/>
      <w:bookmarkEnd w:id="41"/>
      <w:bookmarkEnd w:id="42"/>
      <w:bookmarkEnd w:id="43"/>
      <w:bookmarkEnd w:id="44"/>
      <w:bookmarkEnd w:id="45"/>
      <w:bookmarkEnd w:id="46"/>
      <w:bookmarkEnd w:id="47"/>
      <w:bookmarkEnd w:id="48"/>
      <w:bookmarkEnd w:id="49"/>
      <w:bookmarkEnd w:id="50"/>
    </w:p>
    <w:p w:rsidR="00000000" w:rsidRDefault="00000000">
      <w:pPr>
        <w:pStyle w:val="SingleTxtG"/>
        <w:rPr>
          <w:lang w:val="fr-FR"/>
        </w:rPr>
      </w:pPr>
      <w:r>
        <w:rPr>
          <w:lang w:val="fr-FR"/>
        </w:rPr>
        <w:t>9.</w:t>
      </w:r>
      <w:r>
        <w:rPr>
          <w:lang w:val="fr-FR"/>
        </w:rPr>
        <w:tab/>
        <w:t xml:space="preserve">Depuis la présentation du précédent rapport (CRC/C/70/Add.18), la population malgache a connu une augmentation en nombre. Comme le montre le tableau ci-dessous, la population est passée de 16 441 000 individus en 2003 à 18 866 000 en 2008 avec un taux de croissance stabilisé à 2,8 %. </w:t>
      </w:r>
    </w:p>
    <w:p w:rsidR="00000000" w:rsidRDefault="00000000">
      <w:pPr>
        <w:spacing w:after="120"/>
        <w:ind w:left="1134" w:right="1134"/>
        <w:rPr>
          <w:b/>
          <w:bCs/>
        </w:rPr>
      </w:pPr>
      <w:r>
        <w:rPr>
          <w:lang w:val="fr-FR"/>
        </w:rPr>
        <w:br w:type="page"/>
      </w:r>
      <w:bookmarkStart w:id="51" w:name="_Toc206414476"/>
      <w:bookmarkStart w:id="52" w:name="_Toc260298201"/>
      <w:r>
        <w:rPr>
          <w:bCs/>
        </w:rPr>
        <w:t>Tableau 2</w:t>
      </w:r>
      <w:r>
        <w:rPr>
          <w:b/>
          <w:bCs/>
        </w:rPr>
        <w:br/>
        <w:t>Estimation de la population malgache selon le sexe selon le sexe et les milieux de résiden</w:t>
      </w:r>
      <w:r>
        <w:rPr>
          <w:b/>
          <w:bCs/>
        </w:rPr>
        <w:t>c</w:t>
      </w:r>
      <w:r>
        <w:rPr>
          <w:b/>
          <w:bCs/>
        </w:rPr>
        <w:t>e de 1993 à 2008</w:t>
      </w:r>
      <w:bookmarkEnd w:id="51"/>
      <w:bookmarkEnd w:id="52"/>
    </w:p>
    <w:p w:rsidR="00000000" w:rsidRDefault="00000000">
      <w:pPr>
        <w:spacing w:after="120"/>
        <w:jc w:val="right"/>
        <w:rPr>
          <w:i/>
          <w:lang w:val="fr-FR"/>
        </w:rPr>
      </w:pPr>
      <w:r>
        <w:rPr>
          <w:i/>
          <w:lang w:val="fr-FR"/>
        </w:rPr>
        <w:t>Unité: millier</w:t>
      </w:r>
    </w:p>
    <w:tbl>
      <w:tblPr>
        <w:tblStyle w:val="TableGrid"/>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938"/>
        <w:gridCol w:w="940"/>
        <w:gridCol w:w="939"/>
        <w:gridCol w:w="939"/>
        <w:gridCol w:w="132"/>
        <w:gridCol w:w="938"/>
        <w:gridCol w:w="938"/>
        <w:gridCol w:w="938"/>
        <w:gridCol w:w="123"/>
        <w:gridCol w:w="938"/>
        <w:gridCol w:w="938"/>
        <w:gridCol w:w="938"/>
      </w:tblGrid>
      <w:tr w:rsidR="00000000">
        <w:tc>
          <w:tcPr>
            <w:tcW w:w="938" w:type="dxa"/>
            <w:tcBorders>
              <w:top w:val="single" w:sz="4" w:space="0" w:color="auto"/>
            </w:tcBorders>
            <w:shd w:val="clear" w:color="auto" w:fill="auto"/>
            <w:vAlign w:val="bottom"/>
          </w:tcPr>
          <w:p w:rsidR="00000000" w:rsidRDefault="00000000">
            <w:pPr>
              <w:spacing w:before="80" w:after="80" w:line="200" w:lineRule="exact"/>
              <w:rPr>
                <w:i/>
                <w:sz w:val="16"/>
              </w:rPr>
            </w:pPr>
          </w:p>
        </w:tc>
        <w:tc>
          <w:tcPr>
            <w:tcW w:w="2818" w:type="dxa"/>
            <w:gridSpan w:val="3"/>
            <w:tcBorders>
              <w:top w:val="single" w:sz="4" w:space="0" w:color="auto"/>
            </w:tcBorders>
            <w:shd w:val="clear" w:color="auto" w:fill="auto"/>
            <w:vAlign w:val="bottom"/>
          </w:tcPr>
          <w:p w:rsidR="00000000" w:rsidRDefault="00000000">
            <w:pPr>
              <w:spacing w:before="80" w:after="80" w:line="200" w:lineRule="exact"/>
              <w:jc w:val="center"/>
              <w:rPr>
                <w:i/>
                <w:sz w:val="16"/>
              </w:rPr>
            </w:pPr>
            <w:r>
              <w:rPr>
                <w:i/>
                <w:sz w:val="16"/>
              </w:rPr>
              <w:t>Ensemble</w:t>
            </w:r>
          </w:p>
        </w:tc>
        <w:tc>
          <w:tcPr>
            <w:tcW w:w="132" w:type="dxa"/>
            <w:tcBorders>
              <w:top w:val="single" w:sz="4" w:space="0" w:color="auto"/>
            </w:tcBorders>
            <w:shd w:val="clear" w:color="auto" w:fill="auto"/>
            <w:vAlign w:val="bottom"/>
          </w:tcPr>
          <w:p w:rsidR="00000000" w:rsidRDefault="00000000">
            <w:pPr>
              <w:spacing w:before="80" w:after="80" w:line="200" w:lineRule="exact"/>
              <w:jc w:val="right"/>
              <w:rPr>
                <w:i/>
                <w:sz w:val="16"/>
              </w:rPr>
            </w:pPr>
          </w:p>
        </w:tc>
        <w:tc>
          <w:tcPr>
            <w:tcW w:w="2814" w:type="dxa"/>
            <w:gridSpan w:val="3"/>
            <w:tcBorders>
              <w:top w:val="single" w:sz="4" w:space="0" w:color="auto"/>
            </w:tcBorders>
            <w:shd w:val="clear" w:color="auto" w:fill="auto"/>
            <w:vAlign w:val="bottom"/>
          </w:tcPr>
          <w:p w:rsidR="00000000" w:rsidRDefault="00000000">
            <w:pPr>
              <w:spacing w:before="80" w:after="80" w:line="200" w:lineRule="exact"/>
              <w:jc w:val="center"/>
              <w:rPr>
                <w:i/>
                <w:sz w:val="16"/>
              </w:rPr>
            </w:pPr>
            <w:r>
              <w:rPr>
                <w:i/>
                <w:sz w:val="16"/>
              </w:rPr>
              <w:t>Milieu urbain</w:t>
            </w:r>
          </w:p>
        </w:tc>
        <w:tc>
          <w:tcPr>
            <w:tcW w:w="123" w:type="dxa"/>
            <w:tcBorders>
              <w:top w:val="single" w:sz="4" w:space="0" w:color="auto"/>
            </w:tcBorders>
            <w:shd w:val="clear" w:color="auto" w:fill="auto"/>
            <w:vAlign w:val="bottom"/>
          </w:tcPr>
          <w:p w:rsidR="00000000" w:rsidRDefault="00000000">
            <w:pPr>
              <w:spacing w:before="80" w:after="80" w:line="200" w:lineRule="exact"/>
              <w:jc w:val="right"/>
              <w:rPr>
                <w:i/>
                <w:sz w:val="16"/>
              </w:rPr>
            </w:pPr>
          </w:p>
        </w:tc>
        <w:tc>
          <w:tcPr>
            <w:tcW w:w="2814" w:type="dxa"/>
            <w:gridSpan w:val="3"/>
            <w:tcBorders>
              <w:top w:val="single" w:sz="4" w:space="0" w:color="auto"/>
            </w:tcBorders>
            <w:shd w:val="clear" w:color="auto" w:fill="auto"/>
            <w:vAlign w:val="bottom"/>
          </w:tcPr>
          <w:p w:rsidR="00000000" w:rsidRDefault="00000000">
            <w:pPr>
              <w:spacing w:before="80" w:after="80" w:line="200" w:lineRule="exact"/>
              <w:jc w:val="center"/>
              <w:rPr>
                <w:i/>
                <w:sz w:val="16"/>
              </w:rPr>
            </w:pPr>
            <w:r>
              <w:rPr>
                <w:i/>
                <w:sz w:val="16"/>
              </w:rPr>
              <w:t>Milieu rural</w:t>
            </w:r>
          </w:p>
        </w:tc>
      </w:tr>
      <w:tr w:rsidR="00000000">
        <w:tc>
          <w:tcPr>
            <w:tcW w:w="938" w:type="dxa"/>
            <w:tcBorders>
              <w:bottom w:val="single" w:sz="12" w:space="0" w:color="auto"/>
            </w:tcBorders>
            <w:shd w:val="clear" w:color="auto" w:fill="auto"/>
            <w:vAlign w:val="bottom"/>
          </w:tcPr>
          <w:p w:rsidR="00000000" w:rsidRDefault="00000000">
            <w:pPr>
              <w:spacing w:before="80" w:after="80" w:line="200" w:lineRule="exact"/>
              <w:rPr>
                <w:i/>
                <w:sz w:val="16"/>
              </w:rPr>
            </w:pPr>
            <w:r>
              <w:rPr>
                <w:i/>
                <w:sz w:val="16"/>
              </w:rPr>
              <w:t>Année</w:t>
            </w:r>
          </w:p>
        </w:tc>
        <w:tc>
          <w:tcPr>
            <w:tcW w:w="940" w:type="dxa"/>
            <w:tcBorders>
              <w:bottom w:val="single" w:sz="12" w:space="0" w:color="auto"/>
            </w:tcBorders>
            <w:shd w:val="clear" w:color="auto" w:fill="auto"/>
            <w:vAlign w:val="bottom"/>
          </w:tcPr>
          <w:p w:rsidR="00000000" w:rsidRDefault="00000000">
            <w:pPr>
              <w:spacing w:before="80" w:after="80" w:line="200" w:lineRule="exact"/>
              <w:jc w:val="right"/>
              <w:rPr>
                <w:i/>
                <w:sz w:val="16"/>
              </w:rPr>
            </w:pPr>
            <w:r>
              <w:rPr>
                <w:i/>
                <w:sz w:val="16"/>
              </w:rPr>
              <w:t>Total</w:t>
            </w:r>
          </w:p>
        </w:tc>
        <w:tc>
          <w:tcPr>
            <w:tcW w:w="939" w:type="dxa"/>
            <w:tcBorders>
              <w:bottom w:val="single" w:sz="12" w:space="0" w:color="auto"/>
            </w:tcBorders>
            <w:shd w:val="clear" w:color="auto" w:fill="auto"/>
            <w:vAlign w:val="bottom"/>
          </w:tcPr>
          <w:p w:rsidR="00000000" w:rsidRDefault="00000000">
            <w:pPr>
              <w:spacing w:before="80" w:after="80" w:line="200" w:lineRule="exact"/>
              <w:jc w:val="right"/>
              <w:rPr>
                <w:i/>
                <w:sz w:val="16"/>
              </w:rPr>
            </w:pPr>
            <w:r>
              <w:rPr>
                <w:i/>
                <w:sz w:val="16"/>
              </w:rPr>
              <w:t>Hommes</w:t>
            </w:r>
          </w:p>
        </w:tc>
        <w:tc>
          <w:tcPr>
            <w:tcW w:w="939" w:type="dxa"/>
            <w:tcBorders>
              <w:bottom w:val="single" w:sz="12" w:space="0" w:color="auto"/>
            </w:tcBorders>
            <w:shd w:val="clear" w:color="auto" w:fill="auto"/>
            <w:vAlign w:val="bottom"/>
          </w:tcPr>
          <w:p w:rsidR="00000000" w:rsidRDefault="00000000">
            <w:pPr>
              <w:spacing w:before="80" w:after="80" w:line="200" w:lineRule="exact"/>
              <w:jc w:val="right"/>
              <w:rPr>
                <w:i/>
                <w:sz w:val="16"/>
              </w:rPr>
            </w:pPr>
            <w:r>
              <w:rPr>
                <w:i/>
                <w:sz w:val="16"/>
              </w:rPr>
              <w:t>Femmes</w:t>
            </w:r>
          </w:p>
        </w:tc>
        <w:tc>
          <w:tcPr>
            <w:tcW w:w="132" w:type="dxa"/>
            <w:tcBorders>
              <w:bottom w:val="single" w:sz="12" w:space="0" w:color="auto"/>
            </w:tcBorders>
            <w:shd w:val="clear" w:color="auto" w:fill="auto"/>
            <w:vAlign w:val="bottom"/>
          </w:tcPr>
          <w:p w:rsidR="00000000" w:rsidRDefault="00000000">
            <w:pPr>
              <w:spacing w:before="80" w:after="80" w:line="200" w:lineRule="exact"/>
              <w:jc w:val="right"/>
              <w:rPr>
                <w:i/>
                <w:sz w:val="16"/>
              </w:rPr>
            </w:pPr>
          </w:p>
        </w:tc>
        <w:tc>
          <w:tcPr>
            <w:tcW w:w="938" w:type="dxa"/>
            <w:tcBorders>
              <w:bottom w:val="single" w:sz="12" w:space="0" w:color="auto"/>
            </w:tcBorders>
            <w:shd w:val="clear" w:color="auto" w:fill="auto"/>
            <w:vAlign w:val="bottom"/>
          </w:tcPr>
          <w:p w:rsidR="00000000" w:rsidRDefault="00000000">
            <w:pPr>
              <w:spacing w:before="80" w:after="80" w:line="200" w:lineRule="exact"/>
              <w:jc w:val="right"/>
              <w:rPr>
                <w:i/>
                <w:sz w:val="16"/>
              </w:rPr>
            </w:pPr>
            <w:r>
              <w:rPr>
                <w:i/>
                <w:sz w:val="16"/>
              </w:rPr>
              <w:t>Total</w:t>
            </w:r>
          </w:p>
        </w:tc>
        <w:tc>
          <w:tcPr>
            <w:tcW w:w="938" w:type="dxa"/>
            <w:tcBorders>
              <w:bottom w:val="single" w:sz="12" w:space="0" w:color="auto"/>
            </w:tcBorders>
            <w:shd w:val="clear" w:color="auto" w:fill="auto"/>
            <w:vAlign w:val="bottom"/>
          </w:tcPr>
          <w:p w:rsidR="00000000" w:rsidRDefault="00000000">
            <w:pPr>
              <w:spacing w:before="80" w:after="80" w:line="200" w:lineRule="exact"/>
              <w:jc w:val="right"/>
              <w:rPr>
                <w:i/>
                <w:sz w:val="16"/>
              </w:rPr>
            </w:pPr>
            <w:r>
              <w:rPr>
                <w:i/>
                <w:sz w:val="16"/>
              </w:rPr>
              <w:t>Hommes</w:t>
            </w:r>
          </w:p>
        </w:tc>
        <w:tc>
          <w:tcPr>
            <w:tcW w:w="938" w:type="dxa"/>
            <w:tcBorders>
              <w:bottom w:val="single" w:sz="12" w:space="0" w:color="auto"/>
            </w:tcBorders>
            <w:shd w:val="clear" w:color="auto" w:fill="auto"/>
            <w:vAlign w:val="bottom"/>
          </w:tcPr>
          <w:p w:rsidR="00000000" w:rsidRDefault="00000000">
            <w:pPr>
              <w:spacing w:before="80" w:after="80" w:line="200" w:lineRule="exact"/>
              <w:jc w:val="right"/>
              <w:rPr>
                <w:i/>
                <w:sz w:val="16"/>
              </w:rPr>
            </w:pPr>
            <w:r>
              <w:rPr>
                <w:i/>
                <w:sz w:val="16"/>
              </w:rPr>
              <w:t>Femmes</w:t>
            </w:r>
          </w:p>
        </w:tc>
        <w:tc>
          <w:tcPr>
            <w:tcW w:w="123" w:type="dxa"/>
            <w:tcBorders>
              <w:bottom w:val="single" w:sz="12" w:space="0" w:color="auto"/>
            </w:tcBorders>
            <w:shd w:val="clear" w:color="auto" w:fill="auto"/>
            <w:vAlign w:val="bottom"/>
          </w:tcPr>
          <w:p w:rsidR="00000000" w:rsidRDefault="00000000">
            <w:pPr>
              <w:spacing w:before="80" w:after="80" w:line="200" w:lineRule="exact"/>
              <w:jc w:val="right"/>
              <w:rPr>
                <w:i/>
                <w:sz w:val="16"/>
              </w:rPr>
            </w:pPr>
          </w:p>
        </w:tc>
        <w:tc>
          <w:tcPr>
            <w:tcW w:w="938" w:type="dxa"/>
            <w:tcBorders>
              <w:bottom w:val="single" w:sz="12" w:space="0" w:color="auto"/>
            </w:tcBorders>
            <w:shd w:val="clear" w:color="auto" w:fill="auto"/>
            <w:vAlign w:val="bottom"/>
          </w:tcPr>
          <w:p w:rsidR="00000000" w:rsidRDefault="00000000">
            <w:pPr>
              <w:spacing w:before="80" w:after="80" w:line="200" w:lineRule="exact"/>
              <w:jc w:val="right"/>
              <w:rPr>
                <w:i/>
                <w:sz w:val="16"/>
              </w:rPr>
            </w:pPr>
            <w:r>
              <w:rPr>
                <w:i/>
                <w:sz w:val="16"/>
              </w:rPr>
              <w:t>Total</w:t>
            </w:r>
          </w:p>
        </w:tc>
        <w:tc>
          <w:tcPr>
            <w:tcW w:w="938" w:type="dxa"/>
            <w:tcBorders>
              <w:bottom w:val="single" w:sz="12" w:space="0" w:color="auto"/>
            </w:tcBorders>
            <w:shd w:val="clear" w:color="auto" w:fill="auto"/>
            <w:vAlign w:val="bottom"/>
          </w:tcPr>
          <w:p w:rsidR="00000000" w:rsidRDefault="00000000">
            <w:pPr>
              <w:spacing w:before="80" w:after="80" w:line="200" w:lineRule="exact"/>
              <w:jc w:val="right"/>
              <w:rPr>
                <w:i/>
                <w:sz w:val="16"/>
              </w:rPr>
            </w:pPr>
            <w:r>
              <w:rPr>
                <w:i/>
                <w:sz w:val="16"/>
              </w:rPr>
              <w:t xml:space="preserve">Hommes </w:t>
            </w:r>
          </w:p>
        </w:tc>
        <w:tc>
          <w:tcPr>
            <w:tcW w:w="938" w:type="dxa"/>
            <w:tcBorders>
              <w:bottom w:val="single" w:sz="12" w:space="0" w:color="auto"/>
            </w:tcBorders>
            <w:shd w:val="clear" w:color="auto" w:fill="auto"/>
            <w:vAlign w:val="bottom"/>
          </w:tcPr>
          <w:p w:rsidR="00000000" w:rsidRDefault="00000000">
            <w:pPr>
              <w:spacing w:before="80" w:after="80" w:line="200" w:lineRule="exact"/>
              <w:jc w:val="right"/>
              <w:rPr>
                <w:i/>
                <w:sz w:val="16"/>
              </w:rPr>
            </w:pPr>
            <w:r>
              <w:rPr>
                <w:i/>
                <w:sz w:val="16"/>
              </w:rPr>
              <w:t>Femmes</w:t>
            </w:r>
          </w:p>
        </w:tc>
      </w:tr>
      <w:tr w:rsidR="00000000">
        <w:tc>
          <w:tcPr>
            <w:tcW w:w="938" w:type="dxa"/>
            <w:tcBorders>
              <w:top w:val="single" w:sz="12" w:space="0" w:color="auto"/>
            </w:tcBorders>
            <w:shd w:val="clear" w:color="auto" w:fill="auto"/>
          </w:tcPr>
          <w:p w:rsidR="00000000" w:rsidRDefault="00000000">
            <w:pPr>
              <w:spacing w:before="40" w:after="40" w:line="220" w:lineRule="exact"/>
              <w:rPr>
                <w:sz w:val="18"/>
                <w:lang w:val="fr-FR"/>
              </w:rPr>
            </w:pPr>
            <w:r>
              <w:rPr>
                <w:sz w:val="18"/>
                <w:lang w:val="fr-FR"/>
              </w:rPr>
              <w:t>1993</w:t>
            </w:r>
          </w:p>
        </w:tc>
        <w:tc>
          <w:tcPr>
            <w:tcW w:w="940" w:type="dxa"/>
            <w:tcBorders>
              <w:top w:val="single" w:sz="12" w:space="0" w:color="auto"/>
            </w:tcBorders>
            <w:shd w:val="clear" w:color="auto" w:fill="auto"/>
            <w:vAlign w:val="bottom"/>
          </w:tcPr>
          <w:p w:rsidR="00000000" w:rsidRDefault="00000000">
            <w:pPr>
              <w:jc w:val="right"/>
              <w:rPr>
                <w:bCs/>
                <w:sz w:val="18"/>
                <w:szCs w:val="18"/>
                <w:lang w:val="en-US"/>
              </w:rPr>
            </w:pPr>
            <w:r>
              <w:rPr>
                <w:bCs/>
                <w:sz w:val="18"/>
                <w:szCs w:val="18"/>
                <w:lang w:val="en-US"/>
              </w:rPr>
              <w:t>12 210</w:t>
            </w:r>
          </w:p>
        </w:tc>
        <w:tc>
          <w:tcPr>
            <w:tcW w:w="939" w:type="dxa"/>
            <w:tcBorders>
              <w:top w:val="single" w:sz="12" w:space="0" w:color="auto"/>
            </w:tcBorders>
            <w:shd w:val="clear" w:color="auto" w:fill="auto"/>
            <w:vAlign w:val="bottom"/>
          </w:tcPr>
          <w:p w:rsidR="00000000" w:rsidRDefault="00000000">
            <w:pPr>
              <w:jc w:val="right"/>
              <w:rPr>
                <w:bCs/>
                <w:sz w:val="18"/>
                <w:szCs w:val="18"/>
                <w:lang w:val="en-US"/>
              </w:rPr>
            </w:pPr>
            <w:r>
              <w:rPr>
                <w:bCs/>
                <w:sz w:val="18"/>
                <w:szCs w:val="18"/>
                <w:lang w:val="en-US"/>
              </w:rPr>
              <w:t>6 074</w:t>
            </w:r>
          </w:p>
        </w:tc>
        <w:tc>
          <w:tcPr>
            <w:tcW w:w="939" w:type="dxa"/>
            <w:tcBorders>
              <w:top w:val="single" w:sz="12" w:space="0" w:color="auto"/>
            </w:tcBorders>
            <w:shd w:val="clear" w:color="auto" w:fill="auto"/>
            <w:vAlign w:val="bottom"/>
          </w:tcPr>
          <w:p w:rsidR="00000000" w:rsidRDefault="00000000">
            <w:pPr>
              <w:jc w:val="right"/>
              <w:rPr>
                <w:bCs/>
                <w:sz w:val="18"/>
                <w:szCs w:val="18"/>
                <w:lang w:val="en-US"/>
              </w:rPr>
            </w:pPr>
            <w:r>
              <w:rPr>
                <w:bCs/>
                <w:sz w:val="18"/>
                <w:szCs w:val="18"/>
                <w:lang w:val="en-US"/>
              </w:rPr>
              <w:t>6 136</w:t>
            </w:r>
          </w:p>
        </w:tc>
        <w:tc>
          <w:tcPr>
            <w:tcW w:w="132" w:type="dxa"/>
            <w:tcBorders>
              <w:top w:val="single" w:sz="12" w:space="0" w:color="auto"/>
            </w:tcBorders>
            <w:shd w:val="clear" w:color="auto" w:fill="auto"/>
            <w:vAlign w:val="bottom"/>
          </w:tcPr>
          <w:p w:rsidR="00000000" w:rsidRDefault="00000000">
            <w:pPr>
              <w:spacing w:before="40" w:after="40" w:line="220" w:lineRule="exact"/>
              <w:jc w:val="right"/>
              <w:rPr>
                <w:sz w:val="18"/>
                <w:szCs w:val="18"/>
              </w:rPr>
            </w:pPr>
          </w:p>
        </w:tc>
        <w:tc>
          <w:tcPr>
            <w:tcW w:w="938" w:type="dxa"/>
            <w:tcBorders>
              <w:top w:val="single" w:sz="12" w:space="0" w:color="auto"/>
            </w:tcBorders>
            <w:shd w:val="clear" w:color="auto" w:fill="auto"/>
            <w:vAlign w:val="bottom"/>
          </w:tcPr>
          <w:p w:rsidR="00000000" w:rsidRDefault="00000000">
            <w:pPr>
              <w:jc w:val="right"/>
              <w:rPr>
                <w:bCs/>
                <w:sz w:val="18"/>
                <w:szCs w:val="18"/>
                <w:lang w:val="en-US"/>
              </w:rPr>
            </w:pPr>
            <w:r>
              <w:rPr>
                <w:bCs/>
                <w:sz w:val="18"/>
                <w:szCs w:val="18"/>
                <w:lang w:val="en-US"/>
              </w:rPr>
              <w:t>4 327</w:t>
            </w:r>
          </w:p>
        </w:tc>
        <w:tc>
          <w:tcPr>
            <w:tcW w:w="938" w:type="dxa"/>
            <w:tcBorders>
              <w:top w:val="single" w:sz="12" w:space="0" w:color="auto"/>
            </w:tcBorders>
            <w:shd w:val="clear" w:color="auto" w:fill="auto"/>
            <w:vAlign w:val="bottom"/>
          </w:tcPr>
          <w:p w:rsidR="00000000" w:rsidRDefault="00000000">
            <w:pPr>
              <w:jc w:val="right"/>
              <w:rPr>
                <w:bCs/>
                <w:sz w:val="18"/>
                <w:szCs w:val="18"/>
                <w:lang w:val="en-US"/>
              </w:rPr>
            </w:pPr>
            <w:r>
              <w:rPr>
                <w:bCs/>
                <w:sz w:val="18"/>
                <w:szCs w:val="18"/>
                <w:lang w:val="en-US"/>
              </w:rPr>
              <w:t>2 124</w:t>
            </w:r>
          </w:p>
        </w:tc>
        <w:tc>
          <w:tcPr>
            <w:tcW w:w="938" w:type="dxa"/>
            <w:tcBorders>
              <w:top w:val="single" w:sz="12" w:space="0" w:color="auto"/>
            </w:tcBorders>
            <w:shd w:val="clear" w:color="auto" w:fill="auto"/>
            <w:vAlign w:val="bottom"/>
          </w:tcPr>
          <w:p w:rsidR="00000000" w:rsidRDefault="00000000">
            <w:pPr>
              <w:jc w:val="right"/>
              <w:rPr>
                <w:bCs/>
                <w:sz w:val="18"/>
                <w:szCs w:val="18"/>
                <w:lang w:val="en-US"/>
              </w:rPr>
            </w:pPr>
            <w:r>
              <w:rPr>
                <w:bCs/>
                <w:sz w:val="18"/>
                <w:szCs w:val="18"/>
                <w:lang w:val="en-US"/>
              </w:rPr>
              <w:t>2 203</w:t>
            </w:r>
          </w:p>
        </w:tc>
        <w:tc>
          <w:tcPr>
            <w:tcW w:w="123" w:type="dxa"/>
            <w:tcBorders>
              <w:top w:val="single" w:sz="12" w:space="0" w:color="auto"/>
            </w:tcBorders>
            <w:shd w:val="clear" w:color="auto" w:fill="auto"/>
            <w:vAlign w:val="bottom"/>
          </w:tcPr>
          <w:p w:rsidR="00000000" w:rsidRDefault="00000000">
            <w:pPr>
              <w:spacing w:before="40" w:after="40" w:line="220" w:lineRule="exact"/>
              <w:jc w:val="right"/>
              <w:rPr>
                <w:sz w:val="18"/>
                <w:szCs w:val="18"/>
              </w:rPr>
            </w:pPr>
          </w:p>
        </w:tc>
        <w:tc>
          <w:tcPr>
            <w:tcW w:w="938" w:type="dxa"/>
            <w:tcBorders>
              <w:top w:val="single" w:sz="12" w:space="0" w:color="auto"/>
            </w:tcBorders>
            <w:shd w:val="clear" w:color="auto" w:fill="auto"/>
            <w:vAlign w:val="bottom"/>
          </w:tcPr>
          <w:p w:rsidR="00000000" w:rsidRDefault="00000000">
            <w:pPr>
              <w:jc w:val="right"/>
              <w:rPr>
                <w:bCs/>
                <w:sz w:val="18"/>
                <w:szCs w:val="18"/>
                <w:lang w:val="en-US"/>
              </w:rPr>
            </w:pPr>
            <w:r>
              <w:rPr>
                <w:bCs/>
                <w:sz w:val="18"/>
                <w:szCs w:val="18"/>
                <w:lang w:val="en-US"/>
              </w:rPr>
              <w:t>7 883</w:t>
            </w:r>
          </w:p>
        </w:tc>
        <w:tc>
          <w:tcPr>
            <w:tcW w:w="938" w:type="dxa"/>
            <w:tcBorders>
              <w:top w:val="single" w:sz="12" w:space="0" w:color="auto"/>
            </w:tcBorders>
            <w:shd w:val="clear" w:color="auto" w:fill="auto"/>
            <w:vAlign w:val="bottom"/>
          </w:tcPr>
          <w:p w:rsidR="00000000" w:rsidRDefault="00000000">
            <w:pPr>
              <w:jc w:val="right"/>
              <w:rPr>
                <w:bCs/>
                <w:sz w:val="18"/>
                <w:szCs w:val="18"/>
                <w:lang w:val="en-US"/>
              </w:rPr>
            </w:pPr>
            <w:r>
              <w:rPr>
                <w:bCs/>
                <w:sz w:val="18"/>
                <w:szCs w:val="18"/>
                <w:lang w:val="en-US"/>
              </w:rPr>
              <w:t>3 950</w:t>
            </w:r>
          </w:p>
        </w:tc>
        <w:tc>
          <w:tcPr>
            <w:tcW w:w="938" w:type="dxa"/>
            <w:tcBorders>
              <w:top w:val="single" w:sz="12" w:space="0" w:color="auto"/>
            </w:tcBorders>
            <w:shd w:val="clear" w:color="auto" w:fill="auto"/>
            <w:vAlign w:val="bottom"/>
          </w:tcPr>
          <w:p w:rsidR="00000000" w:rsidRDefault="00000000">
            <w:pPr>
              <w:jc w:val="right"/>
              <w:rPr>
                <w:bCs/>
                <w:sz w:val="18"/>
                <w:szCs w:val="18"/>
                <w:lang w:val="en-US"/>
              </w:rPr>
            </w:pPr>
            <w:r>
              <w:rPr>
                <w:bCs/>
                <w:sz w:val="18"/>
                <w:szCs w:val="18"/>
                <w:lang w:val="en-US"/>
              </w:rPr>
              <w:t>3 933</w:t>
            </w:r>
          </w:p>
        </w:tc>
      </w:tr>
      <w:tr w:rsidR="00000000">
        <w:tc>
          <w:tcPr>
            <w:tcW w:w="938" w:type="dxa"/>
            <w:shd w:val="clear" w:color="auto" w:fill="auto"/>
          </w:tcPr>
          <w:p w:rsidR="00000000" w:rsidRDefault="00000000">
            <w:pPr>
              <w:spacing w:before="40" w:after="40" w:line="220" w:lineRule="exact"/>
              <w:rPr>
                <w:sz w:val="18"/>
                <w:lang w:val="fr-FR"/>
              </w:rPr>
            </w:pPr>
            <w:r>
              <w:rPr>
                <w:sz w:val="18"/>
                <w:lang w:val="fr-FR"/>
              </w:rPr>
              <w:t>2003</w:t>
            </w:r>
          </w:p>
        </w:tc>
        <w:tc>
          <w:tcPr>
            <w:tcW w:w="940" w:type="dxa"/>
            <w:shd w:val="clear" w:color="auto" w:fill="auto"/>
            <w:vAlign w:val="bottom"/>
          </w:tcPr>
          <w:p w:rsidR="00000000" w:rsidRDefault="00000000">
            <w:pPr>
              <w:jc w:val="right"/>
              <w:rPr>
                <w:bCs/>
                <w:sz w:val="18"/>
                <w:szCs w:val="18"/>
                <w:lang w:val="en-US"/>
              </w:rPr>
            </w:pPr>
            <w:r>
              <w:rPr>
                <w:bCs/>
                <w:sz w:val="18"/>
                <w:szCs w:val="18"/>
                <w:lang w:val="en-US"/>
              </w:rPr>
              <w:t>16 441</w:t>
            </w:r>
          </w:p>
        </w:tc>
        <w:tc>
          <w:tcPr>
            <w:tcW w:w="939" w:type="dxa"/>
            <w:shd w:val="clear" w:color="auto" w:fill="auto"/>
            <w:vAlign w:val="bottom"/>
          </w:tcPr>
          <w:p w:rsidR="00000000" w:rsidRDefault="00000000">
            <w:pPr>
              <w:jc w:val="right"/>
              <w:rPr>
                <w:bCs/>
                <w:sz w:val="18"/>
                <w:szCs w:val="18"/>
                <w:lang w:val="en-US"/>
              </w:rPr>
            </w:pPr>
            <w:r>
              <w:rPr>
                <w:bCs/>
                <w:sz w:val="18"/>
                <w:szCs w:val="18"/>
                <w:lang w:val="en-US"/>
              </w:rPr>
              <w:t>8 211</w:t>
            </w:r>
          </w:p>
        </w:tc>
        <w:tc>
          <w:tcPr>
            <w:tcW w:w="939" w:type="dxa"/>
            <w:shd w:val="clear" w:color="auto" w:fill="auto"/>
            <w:vAlign w:val="bottom"/>
          </w:tcPr>
          <w:p w:rsidR="00000000" w:rsidRDefault="00000000">
            <w:pPr>
              <w:jc w:val="right"/>
              <w:rPr>
                <w:bCs/>
                <w:sz w:val="18"/>
                <w:szCs w:val="18"/>
                <w:lang w:val="en-US"/>
              </w:rPr>
            </w:pPr>
            <w:r>
              <w:rPr>
                <w:bCs/>
                <w:sz w:val="18"/>
                <w:szCs w:val="18"/>
                <w:lang w:val="en-US"/>
              </w:rPr>
              <w:t>8 230</w:t>
            </w:r>
          </w:p>
        </w:tc>
        <w:tc>
          <w:tcPr>
            <w:tcW w:w="132" w:type="dxa"/>
            <w:shd w:val="clear" w:color="auto" w:fill="auto"/>
            <w:vAlign w:val="bottom"/>
          </w:tcPr>
          <w:p w:rsidR="00000000" w:rsidRDefault="00000000">
            <w:pPr>
              <w:spacing w:before="40" w:after="40" w:line="220" w:lineRule="exact"/>
              <w:jc w:val="right"/>
              <w:rPr>
                <w:sz w:val="18"/>
                <w:szCs w:val="18"/>
              </w:rPr>
            </w:pPr>
          </w:p>
        </w:tc>
        <w:tc>
          <w:tcPr>
            <w:tcW w:w="938" w:type="dxa"/>
            <w:shd w:val="clear" w:color="auto" w:fill="auto"/>
            <w:vAlign w:val="bottom"/>
          </w:tcPr>
          <w:p w:rsidR="00000000" w:rsidRDefault="00000000">
            <w:pPr>
              <w:jc w:val="right"/>
              <w:rPr>
                <w:bCs/>
                <w:sz w:val="18"/>
                <w:szCs w:val="18"/>
                <w:lang w:val="en-US"/>
              </w:rPr>
            </w:pPr>
            <w:r>
              <w:rPr>
                <w:bCs/>
                <w:sz w:val="18"/>
                <w:szCs w:val="18"/>
                <w:lang w:val="en-US"/>
              </w:rPr>
              <w:t>4 544</w:t>
            </w:r>
          </w:p>
        </w:tc>
        <w:tc>
          <w:tcPr>
            <w:tcW w:w="938" w:type="dxa"/>
            <w:shd w:val="clear" w:color="auto" w:fill="auto"/>
            <w:vAlign w:val="bottom"/>
          </w:tcPr>
          <w:p w:rsidR="00000000" w:rsidRDefault="00000000">
            <w:pPr>
              <w:jc w:val="right"/>
              <w:rPr>
                <w:bCs/>
                <w:sz w:val="18"/>
                <w:szCs w:val="18"/>
                <w:lang w:val="en-US"/>
              </w:rPr>
            </w:pPr>
            <w:r>
              <w:rPr>
                <w:bCs/>
                <w:sz w:val="18"/>
                <w:szCs w:val="18"/>
                <w:lang w:val="en-US"/>
              </w:rPr>
              <w:t>2 231</w:t>
            </w:r>
          </w:p>
        </w:tc>
        <w:tc>
          <w:tcPr>
            <w:tcW w:w="938" w:type="dxa"/>
            <w:shd w:val="clear" w:color="auto" w:fill="auto"/>
            <w:vAlign w:val="bottom"/>
          </w:tcPr>
          <w:p w:rsidR="00000000" w:rsidRDefault="00000000">
            <w:pPr>
              <w:jc w:val="right"/>
              <w:rPr>
                <w:bCs/>
                <w:sz w:val="18"/>
                <w:szCs w:val="18"/>
                <w:lang w:val="en-US"/>
              </w:rPr>
            </w:pPr>
            <w:r>
              <w:rPr>
                <w:bCs/>
                <w:sz w:val="18"/>
                <w:szCs w:val="18"/>
                <w:lang w:val="en-US"/>
              </w:rPr>
              <w:t>2 313</w:t>
            </w:r>
          </w:p>
        </w:tc>
        <w:tc>
          <w:tcPr>
            <w:tcW w:w="123" w:type="dxa"/>
            <w:shd w:val="clear" w:color="auto" w:fill="auto"/>
            <w:vAlign w:val="bottom"/>
          </w:tcPr>
          <w:p w:rsidR="00000000" w:rsidRDefault="00000000">
            <w:pPr>
              <w:spacing w:before="40" w:after="40" w:line="220" w:lineRule="exact"/>
              <w:jc w:val="right"/>
              <w:rPr>
                <w:sz w:val="18"/>
                <w:szCs w:val="18"/>
              </w:rPr>
            </w:pPr>
          </w:p>
        </w:tc>
        <w:tc>
          <w:tcPr>
            <w:tcW w:w="938" w:type="dxa"/>
            <w:shd w:val="clear" w:color="auto" w:fill="auto"/>
            <w:vAlign w:val="bottom"/>
          </w:tcPr>
          <w:p w:rsidR="00000000" w:rsidRDefault="00000000">
            <w:pPr>
              <w:jc w:val="right"/>
              <w:rPr>
                <w:bCs/>
                <w:sz w:val="18"/>
                <w:szCs w:val="18"/>
                <w:lang w:val="en-US"/>
              </w:rPr>
            </w:pPr>
            <w:r>
              <w:rPr>
                <w:bCs/>
                <w:sz w:val="18"/>
                <w:szCs w:val="18"/>
                <w:lang w:val="en-US"/>
              </w:rPr>
              <w:t>11 897</w:t>
            </w:r>
          </w:p>
        </w:tc>
        <w:tc>
          <w:tcPr>
            <w:tcW w:w="938" w:type="dxa"/>
            <w:shd w:val="clear" w:color="auto" w:fill="auto"/>
            <w:vAlign w:val="bottom"/>
          </w:tcPr>
          <w:p w:rsidR="00000000" w:rsidRDefault="00000000">
            <w:pPr>
              <w:jc w:val="right"/>
              <w:rPr>
                <w:bCs/>
                <w:sz w:val="18"/>
                <w:szCs w:val="18"/>
                <w:lang w:val="en-US"/>
              </w:rPr>
            </w:pPr>
            <w:r>
              <w:rPr>
                <w:bCs/>
                <w:sz w:val="18"/>
                <w:szCs w:val="18"/>
                <w:lang w:val="en-US"/>
              </w:rPr>
              <w:t>5 980</w:t>
            </w:r>
          </w:p>
        </w:tc>
        <w:tc>
          <w:tcPr>
            <w:tcW w:w="938" w:type="dxa"/>
            <w:shd w:val="clear" w:color="auto" w:fill="auto"/>
            <w:vAlign w:val="bottom"/>
          </w:tcPr>
          <w:p w:rsidR="00000000" w:rsidRDefault="00000000">
            <w:pPr>
              <w:jc w:val="right"/>
              <w:rPr>
                <w:bCs/>
                <w:sz w:val="18"/>
                <w:szCs w:val="18"/>
                <w:lang w:val="en-US"/>
              </w:rPr>
            </w:pPr>
            <w:r>
              <w:rPr>
                <w:bCs/>
                <w:sz w:val="18"/>
                <w:szCs w:val="18"/>
                <w:lang w:val="en-US"/>
              </w:rPr>
              <w:t>5 917</w:t>
            </w:r>
          </w:p>
        </w:tc>
      </w:tr>
      <w:tr w:rsidR="00000000">
        <w:tc>
          <w:tcPr>
            <w:tcW w:w="938" w:type="dxa"/>
            <w:shd w:val="clear" w:color="auto" w:fill="auto"/>
          </w:tcPr>
          <w:p w:rsidR="00000000" w:rsidRDefault="00000000">
            <w:pPr>
              <w:spacing w:before="40" w:after="40" w:line="220" w:lineRule="exact"/>
              <w:rPr>
                <w:sz w:val="18"/>
                <w:lang w:val="fr-FR"/>
              </w:rPr>
            </w:pPr>
            <w:r>
              <w:rPr>
                <w:sz w:val="18"/>
                <w:lang w:val="fr-FR"/>
              </w:rPr>
              <w:t>2004</w:t>
            </w:r>
          </w:p>
        </w:tc>
        <w:tc>
          <w:tcPr>
            <w:tcW w:w="940" w:type="dxa"/>
            <w:shd w:val="clear" w:color="auto" w:fill="auto"/>
            <w:vAlign w:val="bottom"/>
          </w:tcPr>
          <w:p w:rsidR="00000000" w:rsidRDefault="00000000">
            <w:pPr>
              <w:jc w:val="right"/>
              <w:rPr>
                <w:bCs/>
                <w:sz w:val="18"/>
                <w:szCs w:val="18"/>
                <w:lang w:val="en-US"/>
              </w:rPr>
            </w:pPr>
            <w:r>
              <w:rPr>
                <w:bCs/>
                <w:sz w:val="18"/>
                <w:szCs w:val="18"/>
                <w:lang w:val="en-US"/>
              </w:rPr>
              <w:t>16 908</w:t>
            </w:r>
          </w:p>
        </w:tc>
        <w:tc>
          <w:tcPr>
            <w:tcW w:w="939" w:type="dxa"/>
            <w:shd w:val="clear" w:color="auto" w:fill="auto"/>
            <w:vAlign w:val="bottom"/>
          </w:tcPr>
          <w:p w:rsidR="00000000" w:rsidRDefault="00000000">
            <w:pPr>
              <w:jc w:val="right"/>
              <w:rPr>
                <w:bCs/>
                <w:sz w:val="18"/>
                <w:szCs w:val="18"/>
                <w:lang w:val="en-US"/>
              </w:rPr>
            </w:pPr>
            <w:r>
              <w:rPr>
                <w:bCs/>
                <w:sz w:val="18"/>
                <w:szCs w:val="18"/>
                <w:lang w:val="en-US"/>
              </w:rPr>
              <w:t>8 447</w:t>
            </w:r>
          </w:p>
        </w:tc>
        <w:tc>
          <w:tcPr>
            <w:tcW w:w="939" w:type="dxa"/>
            <w:shd w:val="clear" w:color="auto" w:fill="auto"/>
            <w:vAlign w:val="bottom"/>
          </w:tcPr>
          <w:p w:rsidR="00000000" w:rsidRDefault="00000000">
            <w:pPr>
              <w:jc w:val="right"/>
              <w:rPr>
                <w:bCs/>
                <w:sz w:val="18"/>
                <w:szCs w:val="18"/>
                <w:lang w:val="en-US"/>
              </w:rPr>
            </w:pPr>
            <w:r>
              <w:rPr>
                <w:bCs/>
                <w:sz w:val="18"/>
                <w:szCs w:val="18"/>
                <w:lang w:val="en-US"/>
              </w:rPr>
              <w:t>8 461</w:t>
            </w:r>
          </w:p>
        </w:tc>
        <w:tc>
          <w:tcPr>
            <w:tcW w:w="132" w:type="dxa"/>
            <w:shd w:val="clear" w:color="auto" w:fill="auto"/>
            <w:vAlign w:val="bottom"/>
          </w:tcPr>
          <w:p w:rsidR="00000000" w:rsidRDefault="00000000">
            <w:pPr>
              <w:spacing w:before="40" w:after="40" w:line="220" w:lineRule="exact"/>
              <w:jc w:val="right"/>
              <w:rPr>
                <w:sz w:val="18"/>
                <w:szCs w:val="18"/>
              </w:rPr>
            </w:pPr>
          </w:p>
        </w:tc>
        <w:tc>
          <w:tcPr>
            <w:tcW w:w="938" w:type="dxa"/>
            <w:shd w:val="clear" w:color="auto" w:fill="auto"/>
            <w:vAlign w:val="bottom"/>
          </w:tcPr>
          <w:p w:rsidR="00000000" w:rsidRDefault="00000000">
            <w:pPr>
              <w:jc w:val="right"/>
              <w:rPr>
                <w:bCs/>
                <w:sz w:val="18"/>
                <w:szCs w:val="18"/>
                <w:lang w:val="en-US"/>
              </w:rPr>
            </w:pPr>
            <w:r>
              <w:rPr>
                <w:bCs/>
                <w:sz w:val="18"/>
                <w:szCs w:val="18"/>
                <w:lang w:val="en-US"/>
              </w:rPr>
              <w:t>4 770</w:t>
            </w:r>
          </w:p>
        </w:tc>
        <w:tc>
          <w:tcPr>
            <w:tcW w:w="938" w:type="dxa"/>
            <w:shd w:val="clear" w:color="auto" w:fill="auto"/>
            <w:vAlign w:val="bottom"/>
          </w:tcPr>
          <w:p w:rsidR="00000000" w:rsidRDefault="00000000">
            <w:pPr>
              <w:jc w:val="right"/>
              <w:rPr>
                <w:bCs/>
                <w:sz w:val="18"/>
                <w:szCs w:val="18"/>
                <w:lang w:val="en-US"/>
              </w:rPr>
            </w:pPr>
            <w:r>
              <w:rPr>
                <w:bCs/>
                <w:sz w:val="18"/>
                <w:szCs w:val="18"/>
                <w:lang w:val="en-US"/>
              </w:rPr>
              <w:t>2 343</w:t>
            </w:r>
          </w:p>
        </w:tc>
        <w:tc>
          <w:tcPr>
            <w:tcW w:w="938" w:type="dxa"/>
            <w:shd w:val="clear" w:color="auto" w:fill="auto"/>
            <w:vAlign w:val="bottom"/>
          </w:tcPr>
          <w:p w:rsidR="00000000" w:rsidRDefault="00000000">
            <w:pPr>
              <w:jc w:val="right"/>
              <w:rPr>
                <w:bCs/>
                <w:sz w:val="18"/>
                <w:szCs w:val="18"/>
                <w:lang w:val="en-US"/>
              </w:rPr>
            </w:pPr>
            <w:r>
              <w:rPr>
                <w:bCs/>
                <w:sz w:val="18"/>
                <w:szCs w:val="18"/>
                <w:lang w:val="en-US"/>
              </w:rPr>
              <w:t>2 427</w:t>
            </w:r>
          </w:p>
        </w:tc>
        <w:tc>
          <w:tcPr>
            <w:tcW w:w="123" w:type="dxa"/>
            <w:shd w:val="clear" w:color="auto" w:fill="auto"/>
            <w:vAlign w:val="bottom"/>
          </w:tcPr>
          <w:p w:rsidR="00000000" w:rsidRDefault="00000000">
            <w:pPr>
              <w:spacing w:before="40" w:after="40" w:line="220" w:lineRule="exact"/>
              <w:jc w:val="right"/>
              <w:rPr>
                <w:sz w:val="18"/>
                <w:szCs w:val="18"/>
              </w:rPr>
            </w:pPr>
          </w:p>
        </w:tc>
        <w:tc>
          <w:tcPr>
            <w:tcW w:w="938" w:type="dxa"/>
            <w:shd w:val="clear" w:color="auto" w:fill="auto"/>
            <w:vAlign w:val="bottom"/>
          </w:tcPr>
          <w:p w:rsidR="00000000" w:rsidRDefault="00000000">
            <w:pPr>
              <w:jc w:val="right"/>
              <w:rPr>
                <w:bCs/>
                <w:sz w:val="18"/>
                <w:szCs w:val="18"/>
                <w:lang w:val="en-US"/>
              </w:rPr>
            </w:pPr>
            <w:r>
              <w:rPr>
                <w:bCs/>
                <w:sz w:val="18"/>
                <w:szCs w:val="18"/>
                <w:lang w:val="en-US"/>
              </w:rPr>
              <w:t>12 138</w:t>
            </w:r>
          </w:p>
        </w:tc>
        <w:tc>
          <w:tcPr>
            <w:tcW w:w="938" w:type="dxa"/>
            <w:shd w:val="clear" w:color="auto" w:fill="auto"/>
            <w:vAlign w:val="bottom"/>
          </w:tcPr>
          <w:p w:rsidR="00000000" w:rsidRDefault="00000000">
            <w:pPr>
              <w:jc w:val="right"/>
              <w:rPr>
                <w:bCs/>
                <w:sz w:val="18"/>
                <w:szCs w:val="18"/>
                <w:lang w:val="en-US"/>
              </w:rPr>
            </w:pPr>
            <w:r>
              <w:rPr>
                <w:bCs/>
                <w:sz w:val="18"/>
                <w:szCs w:val="18"/>
                <w:lang w:val="en-US"/>
              </w:rPr>
              <w:t>6 104</w:t>
            </w:r>
          </w:p>
        </w:tc>
        <w:tc>
          <w:tcPr>
            <w:tcW w:w="938" w:type="dxa"/>
            <w:shd w:val="clear" w:color="auto" w:fill="auto"/>
            <w:vAlign w:val="bottom"/>
          </w:tcPr>
          <w:p w:rsidR="00000000" w:rsidRDefault="00000000">
            <w:pPr>
              <w:jc w:val="right"/>
              <w:rPr>
                <w:bCs/>
                <w:sz w:val="18"/>
                <w:szCs w:val="18"/>
                <w:lang w:val="en-US"/>
              </w:rPr>
            </w:pPr>
            <w:r>
              <w:rPr>
                <w:bCs/>
                <w:sz w:val="18"/>
                <w:szCs w:val="18"/>
                <w:lang w:val="en-US"/>
              </w:rPr>
              <w:t>6 034</w:t>
            </w:r>
          </w:p>
        </w:tc>
      </w:tr>
      <w:tr w:rsidR="00000000">
        <w:tc>
          <w:tcPr>
            <w:tcW w:w="938" w:type="dxa"/>
            <w:shd w:val="clear" w:color="auto" w:fill="auto"/>
          </w:tcPr>
          <w:p w:rsidR="00000000" w:rsidRDefault="00000000">
            <w:pPr>
              <w:spacing w:before="40" w:after="40" w:line="220" w:lineRule="exact"/>
              <w:rPr>
                <w:sz w:val="18"/>
                <w:lang w:val="fr-FR"/>
              </w:rPr>
            </w:pPr>
            <w:r>
              <w:rPr>
                <w:sz w:val="18"/>
                <w:lang w:val="fr-FR"/>
              </w:rPr>
              <w:t>2005</w:t>
            </w:r>
          </w:p>
        </w:tc>
        <w:tc>
          <w:tcPr>
            <w:tcW w:w="940" w:type="dxa"/>
            <w:shd w:val="clear" w:color="auto" w:fill="auto"/>
            <w:vAlign w:val="bottom"/>
          </w:tcPr>
          <w:p w:rsidR="00000000" w:rsidRDefault="00000000">
            <w:pPr>
              <w:jc w:val="right"/>
              <w:rPr>
                <w:bCs/>
                <w:sz w:val="18"/>
                <w:szCs w:val="18"/>
                <w:lang w:val="en-US"/>
              </w:rPr>
            </w:pPr>
            <w:r>
              <w:rPr>
                <w:bCs/>
                <w:sz w:val="18"/>
                <w:szCs w:val="18"/>
                <w:lang w:val="en-US"/>
              </w:rPr>
              <w:t>17 382</w:t>
            </w:r>
          </w:p>
        </w:tc>
        <w:tc>
          <w:tcPr>
            <w:tcW w:w="939" w:type="dxa"/>
            <w:shd w:val="clear" w:color="auto" w:fill="auto"/>
            <w:vAlign w:val="bottom"/>
          </w:tcPr>
          <w:p w:rsidR="00000000" w:rsidRDefault="00000000">
            <w:pPr>
              <w:jc w:val="right"/>
              <w:rPr>
                <w:bCs/>
                <w:sz w:val="18"/>
                <w:szCs w:val="18"/>
                <w:lang w:val="en-US"/>
              </w:rPr>
            </w:pPr>
            <w:r>
              <w:rPr>
                <w:bCs/>
                <w:sz w:val="18"/>
                <w:szCs w:val="18"/>
                <w:lang w:val="en-US"/>
              </w:rPr>
              <w:t>8 686</w:t>
            </w:r>
          </w:p>
        </w:tc>
        <w:tc>
          <w:tcPr>
            <w:tcW w:w="939" w:type="dxa"/>
            <w:shd w:val="clear" w:color="auto" w:fill="auto"/>
            <w:vAlign w:val="bottom"/>
          </w:tcPr>
          <w:p w:rsidR="00000000" w:rsidRDefault="00000000">
            <w:pPr>
              <w:jc w:val="right"/>
              <w:rPr>
                <w:bCs/>
                <w:sz w:val="18"/>
                <w:szCs w:val="18"/>
                <w:lang w:val="en-US"/>
              </w:rPr>
            </w:pPr>
            <w:r>
              <w:rPr>
                <w:bCs/>
                <w:sz w:val="18"/>
                <w:szCs w:val="18"/>
                <w:lang w:val="en-US"/>
              </w:rPr>
              <w:t>8 696</w:t>
            </w:r>
          </w:p>
        </w:tc>
        <w:tc>
          <w:tcPr>
            <w:tcW w:w="132" w:type="dxa"/>
            <w:shd w:val="clear" w:color="auto" w:fill="auto"/>
            <w:vAlign w:val="bottom"/>
          </w:tcPr>
          <w:p w:rsidR="00000000" w:rsidRDefault="00000000">
            <w:pPr>
              <w:spacing w:before="40" w:after="40" w:line="220" w:lineRule="exact"/>
              <w:jc w:val="right"/>
              <w:rPr>
                <w:sz w:val="18"/>
                <w:szCs w:val="18"/>
              </w:rPr>
            </w:pPr>
          </w:p>
        </w:tc>
        <w:tc>
          <w:tcPr>
            <w:tcW w:w="938" w:type="dxa"/>
            <w:shd w:val="clear" w:color="auto" w:fill="auto"/>
            <w:vAlign w:val="bottom"/>
          </w:tcPr>
          <w:p w:rsidR="00000000" w:rsidRDefault="00000000">
            <w:pPr>
              <w:jc w:val="right"/>
              <w:rPr>
                <w:bCs/>
                <w:sz w:val="18"/>
                <w:szCs w:val="18"/>
                <w:lang w:val="en-US"/>
              </w:rPr>
            </w:pPr>
            <w:r>
              <w:rPr>
                <w:bCs/>
                <w:sz w:val="18"/>
                <w:szCs w:val="18"/>
                <w:lang w:val="en-US"/>
              </w:rPr>
              <w:t>5 005</w:t>
            </w:r>
          </w:p>
        </w:tc>
        <w:tc>
          <w:tcPr>
            <w:tcW w:w="938" w:type="dxa"/>
            <w:shd w:val="clear" w:color="auto" w:fill="auto"/>
            <w:vAlign w:val="bottom"/>
          </w:tcPr>
          <w:p w:rsidR="00000000" w:rsidRDefault="00000000">
            <w:pPr>
              <w:jc w:val="right"/>
              <w:rPr>
                <w:bCs/>
                <w:sz w:val="18"/>
                <w:szCs w:val="18"/>
                <w:lang w:val="en-US"/>
              </w:rPr>
            </w:pPr>
            <w:r>
              <w:rPr>
                <w:bCs/>
                <w:sz w:val="18"/>
                <w:szCs w:val="18"/>
                <w:lang w:val="en-US"/>
              </w:rPr>
              <w:t>2 460</w:t>
            </w:r>
          </w:p>
        </w:tc>
        <w:tc>
          <w:tcPr>
            <w:tcW w:w="938" w:type="dxa"/>
            <w:shd w:val="clear" w:color="auto" w:fill="auto"/>
            <w:vAlign w:val="bottom"/>
          </w:tcPr>
          <w:p w:rsidR="00000000" w:rsidRDefault="00000000">
            <w:pPr>
              <w:jc w:val="right"/>
              <w:rPr>
                <w:bCs/>
                <w:sz w:val="18"/>
                <w:szCs w:val="18"/>
                <w:lang w:val="en-US"/>
              </w:rPr>
            </w:pPr>
            <w:r>
              <w:rPr>
                <w:bCs/>
                <w:sz w:val="18"/>
                <w:szCs w:val="18"/>
                <w:lang w:val="en-US"/>
              </w:rPr>
              <w:t>2 546</w:t>
            </w:r>
          </w:p>
        </w:tc>
        <w:tc>
          <w:tcPr>
            <w:tcW w:w="123" w:type="dxa"/>
            <w:shd w:val="clear" w:color="auto" w:fill="auto"/>
            <w:vAlign w:val="bottom"/>
          </w:tcPr>
          <w:p w:rsidR="00000000" w:rsidRDefault="00000000">
            <w:pPr>
              <w:spacing w:before="40" w:after="40" w:line="220" w:lineRule="exact"/>
              <w:jc w:val="right"/>
              <w:rPr>
                <w:sz w:val="18"/>
                <w:szCs w:val="18"/>
              </w:rPr>
            </w:pPr>
          </w:p>
        </w:tc>
        <w:tc>
          <w:tcPr>
            <w:tcW w:w="938" w:type="dxa"/>
            <w:shd w:val="clear" w:color="auto" w:fill="auto"/>
            <w:vAlign w:val="bottom"/>
          </w:tcPr>
          <w:p w:rsidR="00000000" w:rsidRDefault="00000000">
            <w:pPr>
              <w:jc w:val="right"/>
              <w:rPr>
                <w:bCs/>
                <w:sz w:val="18"/>
                <w:szCs w:val="18"/>
                <w:lang w:val="en-US"/>
              </w:rPr>
            </w:pPr>
            <w:r>
              <w:rPr>
                <w:bCs/>
                <w:sz w:val="18"/>
                <w:szCs w:val="18"/>
                <w:lang w:val="en-US"/>
              </w:rPr>
              <w:t>12 377</w:t>
            </w:r>
          </w:p>
        </w:tc>
        <w:tc>
          <w:tcPr>
            <w:tcW w:w="938" w:type="dxa"/>
            <w:shd w:val="clear" w:color="auto" w:fill="auto"/>
            <w:vAlign w:val="bottom"/>
          </w:tcPr>
          <w:p w:rsidR="00000000" w:rsidRDefault="00000000">
            <w:pPr>
              <w:jc w:val="right"/>
              <w:rPr>
                <w:bCs/>
                <w:sz w:val="18"/>
                <w:szCs w:val="18"/>
                <w:lang w:val="en-US"/>
              </w:rPr>
            </w:pPr>
            <w:r>
              <w:rPr>
                <w:bCs/>
                <w:sz w:val="18"/>
                <w:szCs w:val="18"/>
                <w:lang w:val="en-US"/>
              </w:rPr>
              <w:t>6 226</w:t>
            </w:r>
          </w:p>
        </w:tc>
        <w:tc>
          <w:tcPr>
            <w:tcW w:w="938" w:type="dxa"/>
            <w:shd w:val="clear" w:color="auto" w:fill="auto"/>
            <w:vAlign w:val="bottom"/>
          </w:tcPr>
          <w:p w:rsidR="00000000" w:rsidRDefault="00000000">
            <w:pPr>
              <w:jc w:val="right"/>
              <w:rPr>
                <w:bCs/>
                <w:sz w:val="18"/>
                <w:szCs w:val="18"/>
                <w:lang w:val="en-US"/>
              </w:rPr>
            </w:pPr>
            <w:r>
              <w:rPr>
                <w:bCs/>
                <w:sz w:val="18"/>
                <w:szCs w:val="18"/>
                <w:lang w:val="en-US"/>
              </w:rPr>
              <w:t>6 150</w:t>
            </w:r>
          </w:p>
        </w:tc>
      </w:tr>
      <w:tr w:rsidR="00000000">
        <w:tc>
          <w:tcPr>
            <w:tcW w:w="938" w:type="dxa"/>
            <w:shd w:val="clear" w:color="auto" w:fill="auto"/>
          </w:tcPr>
          <w:p w:rsidR="00000000" w:rsidRDefault="00000000">
            <w:pPr>
              <w:spacing w:before="40" w:after="40" w:line="220" w:lineRule="exact"/>
              <w:rPr>
                <w:sz w:val="18"/>
                <w:lang w:val="fr-FR"/>
              </w:rPr>
            </w:pPr>
            <w:r>
              <w:rPr>
                <w:sz w:val="18"/>
                <w:lang w:val="fr-FR"/>
              </w:rPr>
              <w:t>2006</w:t>
            </w:r>
          </w:p>
        </w:tc>
        <w:tc>
          <w:tcPr>
            <w:tcW w:w="940" w:type="dxa"/>
            <w:shd w:val="clear" w:color="auto" w:fill="auto"/>
            <w:vAlign w:val="bottom"/>
          </w:tcPr>
          <w:p w:rsidR="00000000" w:rsidRDefault="00000000">
            <w:pPr>
              <w:jc w:val="right"/>
              <w:rPr>
                <w:bCs/>
                <w:sz w:val="18"/>
                <w:szCs w:val="18"/>
                <w:lang w:val="en-US"/>
              </w:rPr>
            </w:pPr>
            <w:r>
              <w:rPr>
                <w:bCs/>
                <w:sz w:val="18"/>
                <w:szCs w:val="18"/>
                <w:lang w:val="en-US"/>
              </w:rPr>
              <w:t>17 865</w:t>
            </w:r>
          </w:p>
        </w:tc>
        <w:tc>
          <w:tcPr>
            <w:tcW w:w="939" w:type="dxa"/>
            <w:shd w:val="clear" w:color="auto" w:fill="auto"/>
            <w:vAlign w:val="bottom"/>
          </w:tcPr>
          <w:p w:rsidR="00000000" w:rsidRDefault="00000000">
            <w:pPr>
              <w:jc w:val="right"/>
              <w:rPr>
                <w:bCs/>
                <w:sz w:val="18"/>
                <w:szCs w:val="18"/>
                <w:lang w:val="en-US"/>
              </w:rPr>
            </w:pPr>
            <w:r>
              <w:rPr>
                <w:bCs/>
                <w:sz w:val="18"/>
                <w:szCs w:val="18"/>
                <w:lang w:val="en-US"/>
              </w:rPr>
              <w:t>8 930</w:t>
            </w:r>
          </w:p>
        </w:tc>
        <w:tc>
          <w:tcPr>
            <w:tcW w:w="939" w:type="dxa"/>
            <w:shd w:val="clear" w:color="auto" w:fill="auto"/>
            <w:vAlign w:val="bottom"/>
          </w:tcPr>
          <w:p w:rsidR="00000000" w:rsidRDefault="00000000">
            <w:pPr>
              <w:jc w:val="right"/>
              <w:rPr>
                <w:bCs/>
                <w:sz w:val="18"/>
                <w:szCs w:val="18"/>
                <w:lang w:val="en-US"/>
              </w:rPr>
            </w:pPr>
            <w:r>
              <w:rPr>
                <w:bCs/>
                <w:sz w:val="18"/>
                <w:szCs w:val="18"/>
                <w:lang w:val="en-US"/>
              </w:rPr>
              <w:t>8 935</w:t>
            </w:r>
          </w:p>
        </w:tc>
        <w:tc>
          <w:tcPr>
            <w:tcW w:w="132" w:type="dxa"/>
            <w:shd w:val="clear" w:color="auto" w:fill="auto"/>
            <w:vAlign w:val="bottom"/>
          </w:tcPr>
          <w:p w:rsidR="00000000" w:rsidRDefault="00000000">
            <w:pPr>
              <w:spacing w:before="40" w:after="40" w:line="220" w:lineRule="exact"/>
              <w:jc w:val="right"/>
              <w:rPr>
                <w:sz w:val="18"/>
                <w:szCs w:val="18"/>
              </w:rPr>
            </w:pPr>
          </w:p>
        </w:tc>
        <w:tc>
          <w:tcPr>
            <w:tcW w:w="938" w:type="dxa"/>
            <w:shd w:val="clear" w:color="auto" w:fill="auto"/>
            <w:vAlign w:val="bottom"/>
          </w:tcPr>
          <w:p w:rsidR="00000000" w:rsidRDefault="00000000">
            <w:pPr>
              <w:jc w:val="right"/>
              <w:rPr>
                <w:bCs/>
                <w:sz w:val="18"/>
                <w:szCs w:val="18"/>
                <w:lang w:val="en-US"/>
              </w:rPr>
            </w:pPr>
            <w:r>
              <w:rPr>
                <w:bCs/>
                <w:sz w:val="18"/>
                <w:szCs w:val="18"/>
                <w:lang w:val="en-US"/>
              </w:rPr>
              <w:t>5 252</w:t>
            </w:r>
          </w:p>
        </w:tc>
        <w:tc>
          <w:tcPr>
            <w:tcW w:w="938" w:type="dxa"/>
            <w:shd w:val="clear" w:color="auto" w:fill="auto"/>
            <w:vAlign w:val="bottom"/>
          </w:tcPr>
          <w:p w:rsidR="00000000" w:rsidRDefault="00000000">
            <w:pPr>
              <w:jc w:val="right"/>
              <w:rPr>
                <w:bCs/>
                <w:sz w:val="18"/>
                <w:szCs w:val="18"/>
                <w:lang w:val="en-US"/>
              </w:rPr>
            </w:pPr>
            <w:r>
              <w:rPr>
                <w:bCs/>
                <w:sz w:val="18"/>
                <w:szCs w:val="18"/>
                <w:lang w:val="en-US"/>
              </w:rPr>
              <w:t>2 582</w:t>
            </w:r>
          </w:p>
        </w:tc>
        <w:tc>
          <w:tcPr>
            <w:tcW w:w="938" w:type="dxa"/>
            <w:shd w:val="clear" w:color="auto" w:fill="auto"/>
            <w:vAlign w:val="bottom"/>
          </w:tcPr>
          <w:p w:rsidR="00000000" w:rsidRDefault="00000000">
            <w:pPr>
              <w:jc w:val="right"/>
              <w:rPr>
                <w:bCs/>
                <w:sz w:val="18"/>
                <w:szCs w:val="18"/>
                <w:lang w:val="en-US"/>
              </w:rPr>
            </w:pPr>
            <w:r>
              <w:rPr>
                <w:bCs/>
                <w:sz w:val="18"/>
                <w:szCs w:val="18"/>
                <w:lang w:val="en-US"/>
              </w:rPr>
              <w:t>2 670</w:t>
            </w:r>
          </w:p>
        </w:tc>
        <w:tc>
          <w:tcPr>
            <w:tcW w:w="123" w:type="dxa"/>
            <w:shd w:val="clear" w:color="auto" w:fill="auto"/>
            <w:vAlign w:val="bottom"/>
          </w:tcPr>
          <w:p w:rsidR="00000000" w:rsidRDefault="00000000">
            <w:pPr>
              <w:spacing w:before="40" w:after="40" w:line="220" w:lineRule="exact"/>
              <w:jc w:val="right"/>
              <w:rPr>
                <w:sz w:val="18"/>
                <w:szCs w:val="18"/>
              </w:rPr>
            </w:pPr>
          </w:p>
        </w:tc>
        <w:tc>
          <w:tcPr>
            <w:tcW w:w="938" w:type="dxa"/>
            <w:shd w:val="clear" w:color="auto" w:fill="auto"/>
            <w:vAlign w:val="bottom"/>
          </w:tcPr>
          <w:p w:rsidR="00000000" w:rsidRDefault="00000000">
            <w:pPr>
              <w:jc w:val="right"/>
              <w:rPr>
                <w:bCs/>
                <w:sz w:val="18"/>
                <w:szCs w:val="18"/>
                <w:lang w:val="en-US"/>
              </w:rPr>
            </w:pPr>
            <w:r>
              <w:rPr>
                <w:bCs/>
                <w:sz w:val="18"/>
                <w:szCs w:val="18"/>
                <w:lang w:val="en-US"/>
              </w:rPr>
              <w:t>12 613</w:t>
            </w:r>
          </w:p>
        </w:tc>
        <w:tc>
          <w:tcPr>
            <w:tcW w:w="938" w:type="dxa"/>
            <w:shd w:val="clear" w:color="auto" w:fill="auto"/>
            <w:vAlign w:val="bottom"/>
          </w:tcPr>
          <w:p w:rsidR="00000000" w:rsidRDefault="00000000">
            <w:pPr>
              <w:jc w:val="right"/>
              <w:rPr>
                <w:bCs/>
                <w:sz w:val="18"/>
                <w:szCs w:val="18"/>
                <w:lang w:val="en-US"/>
              </w:rPr>
            </w:pPr>
            <w:r>
              <w:rPr>
                <w:bCs/>
                <w:sz w:val="18"/>
                <w:szCs w:val="18"/>
                <w:lang w:val="en-US"/>
              </w:rPr>
              <w:t>6 348</w:t>
            </w:r>
          </w:p>
        </w:tc>
        <w:tc>
          <w:tcPr>
            <w:tcW w:w="938" w:type="dxa"/>
            <w:shd w:val="clear" w:color="auto" w:fill="auto"/>
            <w:vAlign w:val="bottom"/>
          </w:tcPr>
          <w:p w:rsidR="00000000" w:rsidRDefault="00000000">
            <w:pPr>
              <w:jc w:val="right"/>
              <w:rPr>
                <w:bCs/>
                <w:sz w:val="18"/>
                <w:szCs w:val="18"/>
                <w:lang w:val="en-US"/>
              </w:rPr>
            </w:pPr>
            <w:r>
              <w:rPr>
                <w:bCs/>
                <w:sz w:val="18"/>
                <w:szCs w:val="18"/>
                <w:lang w:val="en-US"/>
              </w:rPr>
              <w:t>6 265</w:t>
            </w:r>
          </w:p>
        </w:tc>
      </w:tr>
      <w:tr w:rsidR="00000000">
        <w:tc>
          <w:tcPr>
            <w:tcW w:w="938" w:type="dxa"/>
            <w:shd w:val="clear" w:color="auto" w:fill="auto"/>
          </w:tcPr>
          <w:p w:rsidR="00000000" w:rsidRDefault="00000000">
            <w:pPr>
              <w:spacing w:before="40" w:after="40" w:line="220" w:lineRule="exact"/>
              <w:rPr>
                <w:sz w:val="18"/>
                <w:lang w:val="fr-FR"/>
              </w:rPr>
            </w:pPr>
            <w:r>
              <w:rPr>
                <w:sz w:val="18"/>
                <w:lang w:val="fr-FR"/>
              </w:rPr>
              <w:t>2007</w:t>
            </w:r>
          </w:p>
        </w:tc>
        <w:tc>
          <w:tcPr>
            <w:tcW w:w="940" w:type="dxa"/>
            <w:shd w:val="clear" w:color="auto" w:fill="auto"/>
            <w:vAlign w:val="bottom"/>
          </w:tcPr>
          <w:p w:rsidR="00000000" w:rsidRDefault="00000000">
            <w:pPr>
              <w:jc w:val="right"/>
              <w:rPr>
                <w:bCs/>
                <w:sz w:val="18"/>
                <w:szCs w:val="18"/>
                <w:lang w:val="en-US"/>
              </w:rPr>
            </w:pPr>
            <w:r>
              <w:rPr>
                <w:bCs/>
                <w:sz w:val="18"/>
                <w:szCs w:val="18"/>
                <w:lang w:val="en-US"/>
              </w:rPr>
              <w:t>18 359</w:t>
            </w:r>
          </w:p>
        </w:tc>
        <w:tc>
          <w:tcPr>
            <w:tcW w:w="939" w:type="dxa"/>
            <w:shd w:val="clear" w:color="auto" w:fill="auto"/>
            <w:vAlign w:val="bottom"/>
          </w:tcPr>
          <w:p w:rsidR="00000000" w:rsidRDefault="00000000">
            <w:pPr>
              <w:jc w:val="right"/>
              <w:rPr>
                <w:bCs/>
                <w:sz w:val="18"/>
                <w:szCs w:val="18"/>
                <w:lang w:val="en-US"/>
              </w:rPr>
            </w:pPr>
            <w:r>
              <w:rPr>
                <w:bCs/>
                <w:sz w:val="18"/>
                <w:szCs w:val="18"/>
                <w:lang w:val="en-US"/>
              </w:rPr>
              <w:t>9 180</w:t>
            </w:r>
          </w:p>
        </w:tc>
        <w:tc>
          <w:tcPr>
            <w:tcW w:w="939" w:type="dxa"/>
            <w:shd w:val="clear" w:color="auto" w:fill="auto"/>
            <w:vAlign w:val="bottom"/>
          </w:tcPr>
          <w:p w:rsidR="00000000" w:rsidRDefault="00000000">
            <w:pPr>
              <w:jc w:val="right"/>
              <w:rPr>
                <w:bCs/>
                <w:sz w:val="18"/>
                <w:szCs w:val="18"/>
                <w:lang w:val="en-US"/>
              </w:rPr>
            </w:pPr>
            <w:r>
              <w:rPr>
                <w:bCs/>
                <w:sz w:val="18"/>
                <w:szCs w:val="18"/>
                <w:lang w:val="en-US"/>
              </w:rPr>
              <w:t>9 179</w:t>
            </w:r>
          </w:p>
        </w:tc>
        <w:tc>
          <w:tcPr>
            <w:tcW w:w="132" w:type="dxa"/>
            <w:shd w:val="clear" w:color="auto" w:fill="auto"/>
            <w:vAlign w:val="bottom"/>
          </w:tcPr>
          <w:p w:rsidR="00000000" w:rsidRDefault="00000000">
            <w:pPr>
              <w:spacing w:before="40" w:after="40" w:line="220" w:lineRule="exact"/>
              <w:jc w:val="right"/>
              <w:rPr>
                <w:sz w:val="18"/>
                <w:szCs w:val="18"/>
              </w:rPr>
            </w:pPr>
          </w:p>
        </w:tc>
        <w:tc>
          <w:tcPr>
            <w:tcW w:w="938" w:type="dxa"/>
            <w:shd w:val="clear" w:color="auto" w:fill="auto"/>
            <w:vAlign w:val="bottom"/>
          </w:tcPr>
          <w:p w:rsidR="00000000" w:rsidRDefault="00000000">
            <w:pPr>
              <w:jc w:val="right"/>
              <w:rPr>
                <w:bCs/>
                <w:sz w:val="18"/>
                <w:szCs w:val="18"/>
                <w:lang w:val="en-US"/>
              </w:rPr>
            </w:pPr>
            <w:r>
              <w:rPr>
                <w:bCs/>
                <w:sz w:val="18"/>
                <w:szCs w:val="18"/>
                <w:lang w:val="en-US"/>
              </w:rPr>
              <w:t>5 511</w:t>
            </w:r>
          </w:p>
        </w:tc>
        <w:tc>
          <w:tcPr>
            <w:tcW w:w="938" w:type="dxa"/>
            <w:shd w:val="clear" w:color="auto" w:fill="auto"/>
            <w:vAlign w:val="bottom"/>
          </w:tcPr>
          <w:p w:rsidR="00000000" w:rsidRDefault="00000000">
            <w:pPr>
              <w:jc w:val="right"/>
              <w:rPr>
                <w:bCs/>
                <w:sz w:val="18"/>
                <w:szCs w:val="18"/>
                <w:lang w:val="en-US"/>
              </w:rPr>
            </w:pPr>
            <w:r>
              <w:rPr>
                <w:bCs/>
                <w:sz w:val="18"/>
                <w:szCs w:val="18"/>
                <w:lang w:val="en-US"/>
              </w:rPr>
              <w:t>2 711</w:t>
            </w:r>
          </w:p>
        </w:tc>
        <w:tc>
          <w:tcPr>
            <w:tcW w:w="938" w:type="dxa"/>
            <w:shd w:val="clear" w:color="auto" w:fill="auto"/>
            <w:vAlign w:val="bottom"/>
          </w:tcPr>
          <w:p w:rsidR="00000000" w:rsidRDefault="00000000">
            <w:pPr>
              <w:jc w:val="right"/>
              <w:rPr>
                <w:bCs/>
                <w:sz w:val="18"/>
                <w:szCs w:val="18"/>
                <w:lang w:val="en-US"/>
              </w:rPr>
            </w:pPr>
            <w:r>
              <w:rPr>
                <w:bCs/>
                <w:sz w:val="18"/>
                <w:szCs w:val="18"/>
                <w:lang w:val="en-US"/>
              </w:rPr>
              <w:t>2 801</w:t>
            </w:r>
          </w:p>
        </w:tc>
        <w:tc>
          <w:tcPr>
            <w:tcW w:w="123" w:type="dxa"/>
            <w:shd w:val="clear" w:color="auto" w:fill="auto"/>
            <w:vAlign w:val="bottom"/>
          </w:tcPr>
          <w:p w:rsidR="00000000" w:rsidRDefault="00000000">
            <w:pPr>
              <w:spacing w:before="40" w:after="40" w:line="220" w:lineRule="exact"/>
              <w:jc w:val="right"/>
              <w:rPr>
                <w:sz w:val="18"/>
                <w:szCs w:val="18"/>
              </w:rPr>
            </w:pPr>
          </w:p>
        </w:tc>
        <w:tc>
          <w:tcPr>
            <w:tcW w:w="938" w:type="dxa"/>
            <w:shd w:val="clear" w:color="auto" w:fill="auto"/>
            <w:vAlign w:val="bottom"/>
          </w:tcPr>
          <w:p w:rsidR="00000000" w:rsidRDefault="00000000">
            <w:pPr>
              <w:jc w:val="right"/>
              <w:rPr>
                <w:bCs/>
                <w:sz w:val="18"/>
                <w:szCs w:val="18"/>
                <w:lang w:val="en-US"/>
              </w:rPr>
            </w:pPr>
            <w:r>
              <w:rPr>
                <w:bCs/>
                <w:sz w:val="18"/>
                <w:szCs w:val="18"/>
                <w:lang w:val="en-US"/>
              </w:rPr>
              <w:t>12 848</w:t>
            </w:r>
          </w:p>
        </w:tc>
        <w:tc>
          <w:tcPr>
            <w:tcW w:w="938" w:type="dxa"/>
            <w:shd w:val="clear" w:color="auto" w:fill="auto"/>
            <w:vAlign w:val="bottom"/>
          </w:tcPr>
          <w:p w:rsidR="00000000" w:rsidRDefault="00000000">
            <w:pPr>
              <w:jc w:val="right"/>
              <w:rPr>
                <w:bCs/>
                <w:sz w:val="18"/>
                <w:szCs w:val="18"/>
                <w:lang w:val="en-US"/>
              </w:rPr>
            </w:pPr>
            <w:r>
              <w:rPr>
                <w:bCs/>
                <w:sz w:val="18"/>
                <w:szCs w:val="18"/>
                <w:lang w:val="en-US"/>
              </w:rPr>
              <w:t>6 469</w:t>
            </w:r>
          </w:p>
        </w:tc>
        <w:tc>
          <w:tcPr>
            <w:tcW w:w="938" w:type="dxa"/>
            <w:shd w:val="clear" w:color="auto" w:fill="auto"/>
            <w:vAlign w:val="bottom"/>
          </w:tcPr>
          <w:p w:rsidR="00000000" w:rsidRDefault="00000000">
            <w:pPr>
              <w:jc w:val="right"/>
              <w:rPr>
                <w:bCs/>
                <w:sz w:val="18"/>
                <w:szCs w:val="18"/>
                <w:lang w:val="en-US"/>
              </w:rPr>
            </w:pPr>
            <w:r>
              <w:rPr>
                <w:bCs/>
                <w:sz w:val="18"/>
                <w:szCs w:val="18"/>
                <w:lang w:val="en-US"/>
              </w:rPr>
              <w:t>6 378</w:t>
            </w:r>
          </w:p>
        </w:tc>
      </w:tr>
      <w:tr w:rsidR="00000000">
        <w:tc>
          <w:tcPr>
            <w:tcW w:w="938" w:type="dxa"/>
            <w:tcBorders>
              <w:bottom w:val="single" w:sz="12" w:space="0" w:color="auto"/>
            </w:tcBorders>
            <w:shd w:val="clear" w:color="auto" w:fill="auto"/>
          </w:tcPr>
          <w:p w:rsidR="00000000" w:rsidRDefault="00000000">
            <w:pPr>
              <w:spacing w:before="40" w:after="40" w:line="220" w:lineRule="exact"/>
              <w:rPr>
                <w:sz w:val="18"/>
                <w:lang w:val="fr-FR"/>
              </w:rPr>
            </w:pPr>
            <w:r>
              <w:rPr>
                <w:sz w:val="18"/>
                <w:lang w:val="fr-FR"/>
              </w:rPr>
              <w:t>2008</w:t>
            </w:r>
          </w:p>
        </w:tc>
        <w:tc>
          <w:tcPr>
            <w:tcW w:w="940" w:type="dxa"/>
            <w:tcBorders>
              <w:bottom w:val="single" w:sz="12" w:space="0" w:color="auto"/>
            </w:tcBorders>
            <w:shd w:val="clear" w:color="auto" w:fill="auto"/>
            <w:vAlign w:val="bottom"/>
          </w:tcPr>
          <w:p w:rsidR="00000000" w:rsidRDefault="00000000">
            <w:pPr>
              <w:jc w:val="right"/>
              <w:rPr>
                <w:bCs/>
                <w:sz w:val="18"/>
                <w:szCs w:val="18"/>
                <w:lang w:val="en-US"/>
              </w:rPr>
            </w:pPr>
            <w:r>
              <w:rPr>
                <w:bCs/>
                <w:sz w:val="18"/>
                <w:szCs w:val="18"/>
                <w:lang w:val="en-US"/>
              </w:rPr>
              <w:t>18 866</w:t>
            </w:r>
          </w:p>
        </w:tc>
        <w:tc>
          <w:tcPr>
            <w:tcW w:w="939" w:type="dxa"/>
            <w:tcBorders>
              <w:bottom w:val="single" w:sz="12" w:space="0" w:color="auto"/>
            </w:tcBorders>
            <w:shd w:val="clear" w:color="auto" w:fill="auto"/>
            <w:vAlign w:val="bottom"/>
          </w:tcPr>
          <w:p w:rsidR="00000000" w:rsidRDefault="00000000">
            <w:pPr>
              <w:jc w:val="right"/>
              <w:rPr>
                <w:bCs/>
                <w:sz w:val="18"/>
                <w:szCs w:val="18"/>
                <w:lang w:val="en-US"/>
              </w:rPr>
            </w:pPr>
            <w:r>
              <w:rPr>
                <w:bCs/>
                <w:sz w:val="18"/>
                <w:szCs w:val="18"/>
                <w:lang w:val="en-US"/>
              </w:rPr>
              <w:t>9 436</w:t>
            </w:r>
          </w:p>
        </w:tc>
        <w:tc>
          <w:tcPr>
            <w:tcW w:w="939" w:type="dxa"/>
            <w:tcBorders>
              <w:bottom w:val="single" w:sz="12" w:space="0" w:color="auto"/>
            </w:tcBorders>
            <w:shd w:val="clear" w:color="auto" w:fill="auto"/>
            <w:vAlign w:val="bottom"/>
          </w:tcPr>
          <w:p w:rsidR="00000000" w:rsidRDefault="00000000">
            <w:pPr>
              <w:jc w:val="right"/>
              <w:rPr>
                <w:bCs/>
                <w:sz w:val="18"/>
                <w:szCs w:val="18"/>
                <w:lang w:val="en-US"/>
              </w:rPr>
            </w:pPr>
            <w:r>
              <w:rPr>
                <w:bCs/>
                <w:sz w:val="18"/>
                <w:szCs w:val="18"/>
                <w:lang w:val="en-US"/>
              </w:rPr>
              <w:t>9 430</w:t>
            </w:r>
          </w:p>
        </w:tc>
        <w:tc>
          <w:tcPr>
            <w:tcW w:w="132" w:type="dxa"/>
            <w:tcBorders>
              <w:bottom w:val="single" w:sz="12" w:space="0" w:color="auto"/>
            </w:tcBorders>
            <w:shd w:val="clear" w:color="auto" w:fill="auto"/>
            <w:vAlign w:val="bottom"/>
          </w:tcPr>
          <w:p w:rsidR="00000000" w:rsidRDefault="00000000">
            <w:pPr>
              <w:spacing w:before="40" w:after="40" w:line="220" w:lineRule="exact"/>
              <w:jc w:val="right"/>
              <w:rPr>
                <w:sz w:val="18"/>
                <w:szCs w:val="18"/>
              </w:rPr>
            </w:pPr>
          </w:p>
        </w:tc>
        <w:tc>
          <w:tcPr>
            <w:tcW w:w="938" w:type="dxa"/>
            <w:tcBorders>
              <w:bottom w:val="single" w:sz="12" w:space="0" w:color="auto"/>
            </w:tcBorders>
            <w:shd w:val="clear" w:color="auto" w:fill="auto"/>
            <w:vAlign w:val="bottom"/>
          </w:tcPr>
          <w:p w:rsidR="00000000" w:rsidRDefault="00000000">
            <w:pPr>
              <w:jc w:val="right"/>
              <w:rPr>
                <w:bCs/>
                <w:sz w:val="18"/>
                <w:szCs w:val="18"/>
                <w:lang w:val="en-US"/>
              </w:rPr>
            </w:pPr>
            <w:r>
              <w:rPr>
                <w:bCs/>
                <w:sz w:val="18"/>
                <w:szCs w:val="18"/>
                <w:lang w:val="en-US"/>
              </w:rPr>
              <w:t>5 786</w:t>
            </w:r>
          </w:p>
        </w:tc>
        <w:tc>
          <w:tcPr>
            <w:tcW w:w="938" w:type="dxa"/>
            <w:tcBorders>
              <w:bottom w:val="single" w:sz="12" w:space="0" w:color="auto"/>
            </w:tcBorders>
            <w:shd w:val="clear" w:color="auto" w:fill="auto"/>
            <w:vAlign w:val="bottom"/>
          </w:tcPr>
          <w:p w:rsidR="00000000" w:rsidRDefault="00000000">
            <w:pPr>
              <w:jc w:val="right"/>
              <w:rPr>
                <w:bCs/>
                <w:sz w:val="18"/>
                <w:szCs w:val="18"/>
                <w:lang w:val="en-US"/>
              </w:rPr>
            </w:pPr>
            <w:r>
              <w:rPr>
                <w:bCs/>
                <w:sz w:val="18"/>
                <w:szCs w:val="18"/>
                <w:lang w:val="en-US"/>
              </w:rPr>
              <w:t>2 847</w:t>
            </w:r>
          </w:p>
        </w:tc>
        <w:tc>
          <w:tcPr>
            <w:tcW w:w="938" w:type="dxa"/>
            <w:tcBorders>
              <w:bottom w:val="single" w:sz="12" w:space="0" w:color="auto"/>
            </w:tcBorders>
            <w:shd w:val="clear" w:color="auto" w:fill="auto"/>
            <w:vAlign w:val="bottom"/>
          </w:tcPr>
          <w:p w:rsidR="00000000" w:rsidRDefault="00000000">
            <w:pPr>
              <w:jc w:val="right"/>
              <w:rPr>
                <w:bCs/>
                <w:sz w:val="18"/>
                <w:szCs w:val="18"/>
                <w:lang w:val="en-US"/>
              </w:rPr>
            </w:pPr>
            <w:r>
              <w:rPr>
                <w:bCs/>
                <w:sz w:val="18"/>
                <w:szCs w:val="18"/>
                <w:lang w:val="en-US"/>
              </w:rPr>
              <w:t>2 939</w:t>
            </w:r>
          </w:p>
        </w:tc>
        <w:tc>
          <w:tcPr>
            <w:tcW w:w="123" w:type="dxa"/>
            <w:tcBorders>
              <w:bottom w:val="single" w:sz="12" w:space="0" w:color="auto"/>
            </w:tcBorders>
            <w:shd w:val="clear" w:color="auto" w:fill="auto"/>
            <w:vAlign w:val="bottom"/>
          </w:tcPr>
          <w:p w:rsidR="00000000" w:rsidRDefault="00000000">
            <w:pPr>
              <w:spacing w:before="40" w:after="40" w:line="220" w:lineRule="exact"/>
              <w:jc w:val="right"/>
              <w:rPr>
                <w:sz w:val="18"/>
                <w:szCs w:val="18"/>
              </w:rPr>
            </w:pPr>
          </w:p>
        </w:tc>
        <w:tc>
          <w:tcPr>
            <w:tcW w:w="938" w:type="dxa"/>
            <w:tcBorders>
              <w:bottom w:val="single" w:sz="12" w:space="0" w:color="auto"/>
            </w:tcBorders>
            <w:shd w:val="clear" w:color="auto" w:fill="auto"/>
            <w:vAlign w:val="bottom"/>
          </w:tcPr>
          <w:p w:rsidR="00000000" w:rsidRDefault="00000000">
            <w:pPr>
              <w:jc w:val="right"/>
              <w:rPr>
                <w:bCs/>
                <w:sz w:val="18"/>
                <w:szCs w:val="18"/>
                <w:lang w:val="en-US"/>
              </w:rPr>
            </w:pPr>
            <w:r>
              <w:rPr>
                <w:bCs/>
                <w:sz w:val="18"/>
                <w:szCs w:val="18"/>
                <w:lang w:val="en-US"/>
              </w:rPr>
              <w:t>13 080</w:t>
            </w:r>
          </w:p>
        </w:tc>
        <w:tc>
          <w:tcPr>
            <w:tcW w:w="938" w:type="dxa"/>
            <w:tcBorders>
              <w:bottom w:val="single" w:sz="12" w:space="0" w:color="auto"/>
            </w:tcBorders>
            <w:shd w:val="clear" w:color="auto" w:fill="auto"/>
            <w:vAlign w:val="bottom"/>
          </w:tcPr>
          <w:p w:rsidR="00000000" w:rsidRDefault="00000000">
            <w:pPr>
              <w:jc w:val="right"/>
              <w:rPr>
                <w:bCs/>
                <w:sz w:val="18"/>
                <w:szCs w:val="18"/>
                <w:lang w:val="en-US"/>
              </w:rPr>
            </w:pPr>
            <w:r>
              <w:rPr>
                <w:bCs/>
                <w:sz w:val="18"/>
                <w:szCs w:val="18"/>
                <w:lang w:val="en-US"/>
              </w:rPr>
              <w:t>6 589</w:t>
            </w:r>
          </w:p>
        </w:tc>
        <w:tc>
          <w:tcPr>
            <w:tcW w:w="938" w:type="dxa"/>
            <w:tcBorders>
              <w:bottom w:val="single" w:sz="12" w:space="0" w:color="auto"/>
            </w:tcBorders>
            <w:shd w:val="clear" w:color="auto" w:fill="auto"/>
            <w:vAlign w:val="bottom"/>
          </w:tcPr>
          <w:p w:rsidR="00000000" w:rsidRDefault="00000000">
            <w:pPr>
              <w:jc w:val="right"/>
              <w:rPr>
                <w:bCs/>
                <w:sz w:val="18"/>
                <w:szCs w:val="18"/>
                <w:lang w:val="en-US"/>
              </w:rPr>
            </w:pPr>
            <w:r>
              <w:rPr>
                <w:bCs/>
                <w:sz w:val="18"/>
                <w:szCs w:val="18"/>
                <w:lang w:val="en-US"/>
              </w:rPr>
              <w:t>6 491</w:t>
            </w:r>
          </w:p>
        </w:tc>
      </w:tr>
    </w:tbl>
    <w:p w:rsidR="00000000" w:rsidRDefault="00000000">
      <w:pPr>
        <w:spacing w:before="120" w:after="240"/>
        <w:ind w:firstLine="170"/>
        <w:rPr>
          <w:b/>
          <w:i/>
          <w:iCs/>
          <w:sz w:val="18"/>
          <w:szCs w:val="18"/>
          <w:lang w:val="fr-FR"/>
        </w:rPr>
      </w:pPr>
      <w:r>
        <w:rPr>
          <w:i/>
          <w:iCs/>
          <w:sz w:val="18"/>
          <w:szCs w:val="18"/>
          <w:lang w:val="fr-FR"/>
        </w:rPr>
        <w:t xml:space="preserve">Source: </w:t>
      </w:r>
      <w:r>
        <w:rPr>
          <w:iCs/>
          <w:sz w:val="18"/>
          <w:szCs w:val="18"/>
          <w:lang w:val="fr-FR"/>
        </w:rPr>
        <w:t>D’après le Rapport d’analyse, vol. II, tome VIII, Perspectives et projections démographique, RGPH 1993 – DDSS −, INSTAT − 1997.</w:t>
      </w:r>
    </w:p>
    <w:p w:rsidR="00000000" w:rsidRDefault="00000000">
      <w:pPr>
        <w:pStyle w:val="SingleTxtG"/>
        <w:spacing w:before="120"/>
        <w:rPr>
          <w:lang w:val="fr-FR"/>
        </w:rPr>
      </w:pPr>
      <w:r>
        <w:rPr>
          <w:lang w:val="fr-FR"/>
        </w:rPr>
        <w:t>10.</w:t>
      </w:r>
      <w:r>
        <w:rPr>
          <w:lang w:val="fr-FR"/>
        </w:rPr>
        <w:tab/>
        <w:t>C’est une population jeune, un individu sur cinq est âgé de moins de 5 ans. Plus de la moitié de la population a moins de 20 ans. En 2008 la population totale d’enfants est estimée à 9 694 000. La proportion de femmes se situe à 50, 06 %.</w:t>
      </w:r>
      <w:bookmarkStart w:id="53" w:name="_Toc195958847"/>
    </w:p>
    <w:p w:rsidR="00000000" w:rsidRDefault="00000000">
      <w:pPr>
        <w:pStyle w:val="SingleTxtG"/>
        <w:jc w:val="left"/>
        <w:rPr>
          <w:b/>
        </w:rPr>
      </w:pPr>
      <w:bookmarkStart w:id="54" w:name="_Toc260298202"/>
      <w:bookmarkEnd w:id="53"/>
      <w:r>
        <w:t>Tableau 3</w:t>
      </w:r>
      <w:r>
        <w:br/>
      </w:r>
      <w:r>
        <w:rPr>
          <w:b/>
        </w:rPr>
        <w:t>Évolution de l’effectif de la population âgée de moins de 18 ans</w:t>
      </w:r>
      <w:bookmarkEnd w:id="54"/>
    </w:p>
    <w:p w:rsidR="00000000" w:rsidRDefault="00000000">
      <w:pPr>
        <w:spacing w:after="120"/>
        <w:jc w:val="right"/>
        <w:rPr>
          <w:i/>
          <w:iCs/>
          <w:lang w:val="en-US"/>
        </w:rPr>
      </w:pPr>
      <w:r>
        <w:rPr>
          <w:i/>
          <w:iCs/>
          <w:lang w:val="en-US"/>
        </w:rPr>
        <w:t>Unité: millier</w:t>
      </w:r>
    </w:p>
    <w:tbl>
      <w:tblPr>
        <w:tblStyle w:val="TableGrid"/>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938"/>
        <w:gridCol w:w="940"/>
        <w:gridCol w:w="939"/>
        <w:gridCol w:w="939"/>
        <w:gridCol w:w="132"/>
        <w:gridCol w:w="938"/>
        <w:gridCol w:w="938"/>
        <w:gridCol w:w="938"/>
        <w:gridCol w:w="123"/>
        <w:gridCol w:w="938"/>
        <w:gridCol w:w="938"/>
        <w:gridCol w:w="938"/>
      </w:tblGrid>
      <w:tr w:rsidR="00000000">
        <w:tc>
          <w:tcPr>
            <w:tcW w:w="938" w:type="dxa"/>
            <w:tcBorders>
              <w:top w:val="single" w:sz="4" w:space="0" w:color="auto"/>
            </w:tcBorders>
            <w:shd w:val="clear" w:color="auto" w:fill="auto"/>
            <w:vAlign w:val="bottom"/>
          </w:tcPr>
          <w:p w:rsidR="00000000" w:rsidRDefault="00000000">
            <w:pPr>
              <w:spacing w:before="80" w:after="80" w:line="200" w:lineRule="exact"/>
              <w:rPr>
                <w:i/>
                <w:sz w:val="16"/>
              </w:rPr>
            </w:pPr>
          </w:p>
        </w:tc>
        <w:tc>
          <w:tcPr>
            <w:tcW w:w="2818" w:type="dxa"/>
            <w:gridSpan w:val="3"/>
            <w:tcBorders>
              <w:top w:val="single" w:sz="4" w:space="0" w:color="auto"/>
            </w:tcBorders>
            <w:shd w:val="clear" w:color="auto" w:fill="auto"/>
            <w:vAlign w:val="bottom"/>
          </w:tcPr>
          <w:p w:rsidR="00000000" w:rsidRDefault="00000000">
            <w:pPr>
              <w:spacing w:before="80" w:after="80" w:line="200" w:lineRule="exact"/>
              <w:jc w:val="center"/>
              <w:rPr>
                <w:i/>
                <w:sz w:val="16"/>
              </w:rPr>
            </w:pPr>
            <w:r>
              <w:rPr>
                <w:i/>
                <w:sz w:val="16"/>
              </w:rPr>
              <w:t>Ensemble</w:t>
            </w:r>
          </w:p>
        </w:tc>
        <w:tc>
          <w:tcPr>
            <w:tcW w:w="132" w:type="dxa"/>
            <w:tcBorders>
              <w:top w:val="single" w:sz="4" w:space="0" w:color="auto"/>
            </w:tcBorders>
            <w:shd w:val="clear" w:color="auto" w:fill="auto"/>
            <w:vAlign w:val="bottom"/>
          </w:tcPr>
          <w:p w:rsidR="00000000" w:rsidRDefault="00000000">
            <w:pPr>
              <w:spacing w:before="80" w:after="80" w:line="200" w:lineRule="exact"/>
              <w:jc w:val="right"/>
              <w:rPr>
                <w:i/>
                <w:sz w:val="16"/>
              </w:rPr>
            </w:pPr>
          </w:p>
        </w:tc>
        <w:tc>
          <w:tcPr>
            <w:tcW w:w="2814" w:type="dxa"/>
            <w:gridSpan w:val="3"/>
            <w:tcBorders>
              <w:top w:val="single" w:sz="4" w:space="0" w:color="auto"/>
            </w:tcBorders>
            <w:shd w:val="clear" w:color="auto" w:fill="auto"/>
            <w:vAlign w:val="bottom"/>
          </w:tcPr>
          <w:p w:rsidR="00000000" w:rsidRDefault="00000000">
            <w:pPr>
              <w:spacing w:before="80" w:after="80" w:line="200" w:lineRule="exact"/>
              <w:jc w:val="center"/>
              <w:rPr>
                <w:i/>
                <w:sz w:val="16"/>
              </w:rPr>
            </w:pPr>
            <w:r>
              <w:rPr>
                <w:i/>
                <w:sz w:val="16"/>
              </w:rPr>
              <w:t>Milieu urbain</w:t>
            </w:r>
          </w:p>
        </w:tc>
        <w:tc>
          <w:tcPr>
            <w:tcW w:w="123" w:type="dxa"/>
            <w:tcBorders>
              <w:top w:val="single" w:sz="4" w:space="0" w:color="auto"/>
            </w:tcBorders>
            <w:shd w:val="clear" w:color="auto" w:fill="auto"/>
            <w:vAlign w:val="bottom"/>
          </w:tcPr>
          <w:p w:rsidR="00000000" w:rsidRDefault="00000000">
            <w:pPr>
              <w:spacing w:before="80" w:after="80" w:line="200" w:lineRule="exact"/>
              <w:jc w:val="right"/>
              <w:rPr>
                <w:i/>
                <w:sz w:val="16"/>
              </w:rPr>
            </w:pPr>
          </w:p>
        </w:tc>
        <w:tc>
          <w:tcPr>
            <w:tcW w:w="2814" w:type="dxa"/>
            <w:gridSpan w:val="3"/>
            <w:tcBorders>
              <w:top w:val="single" w:sz="4" w:space="0" w:color="auto"/>
            </w:tcBorders>
            <w:shd w:val="clear" w:color="auto" w:fill="auto"/>
            <w:vAlign w:val="bottom"/>
          </w:tcPr>
          <w:p w:rsidR="00000000" w:rsidRDefault="00000000">
            <w:pPr>
              <w:spacing w:before="80" w:after="80" w:line="200" w:lineRule="exact"/>
              <w:jc w:val="center"/>
              <w:rPr>
                <w:i/>
                <w:sz w:val="16"/>
              </w:rPr>
            </w:pPr>
            <w:r>
              <w:rPr>
                <w:i/>
                <w:sz w:val="16"/>
              </w:rPr>
              <w:t>Milieu rural</w:t>
            </w:r>
          </w:p>
        </w:tc>
      </w:tr>
      <w:tr w:rsidR="00000000">
        <w:tc>
          <w:tcPr>
            <w:tcW w:w="938" w:type="dxa"/>
            <w:tcBorders>
              <w:bottom w:val="single" w:sz="12" w:space="0" w:color="auto"/>
            </w:tcBorders>
            <w:shd w:val="clear" w:color="auto" w:fill="auto"/>
            <w:vAlign w:val="bottom"/>
          </w:tcPr>
          <w:p w:rsidR="00000000" w:rsidRDefault="00000000">
            <w:pPr>
              <w:spacing w:before="80" w:after="80" w:line="200" w:lineRule="exact"/>
              <w:rPr>
                <w:i/>
                <w:sz w:val="16"/>
              </w:rPr>
            </w:pPr>
            <w:r>
              <w:rPr>
                <w:i/>
                <w:sz w:val="16"/>
              </w:rPr>
              <w:t>Année</w:t>
            </w:r>
          </w:p>
        </w:tc>
        <w:tc>
          <w:tcPr>
            <w:tcW w:w="940" w:type="dxa"/>
            <w:tcBorders>
              <w:bottom w:val="single" w:sz="12" w:space="0" w:color="auto"/>
            </w:tcBorders>
            <w:shd w:val="clear" w:color="auto" w:fill="auto"/>
            <w:vAlign w:val="bottom"/>
          </w:tcPr>
          <w:p w:rsidR="00000000" w:rsidRDefault="00000000">
            <w:pPr>
              <w:spacing w:before="80" w:after="80" w:line="200" w:lineRule="exact"/>
              <w:jc w:val="right"/>
              <w:rPr>
                <w:i/>
                <w:sz w:val="16"/>
              </w:rPr>
            </w:pPr>
            <w:r>
              <w:rPr>
                <w:i/>
                <w:sz w:val="16"/>
              </w:rPr>
              <w:t>Total</w:t>
            </w:r>
          </w:p>
        </w:tc>
        <w:tc>
          <w:tcPr>
            <w:tcW w:w="939" w:type="dxa"/>
            <w:tcBorders>
              <w:bottom w:val="single" w:sz="12" w:space="0" w:color="auto"/>
            </w:tcBorders>
            <w:shd w:val="clear" w:color="auto" w:fill="auto"/>
            <w:vAlign w:val="bottom"/>
          </w:tcPr>
          <w:p w:rsidR="00000000" w:rsidRDefault="00000000">
            <w:pPr>
              <w:spacing w:before="80" w:after="80" w:line="200" w:lineRule="exact"/>
              <w:jc w:val="right"/>
              <w:rPr>
                <w:i/>
                <w:sz w:val="16"/>
              </w:rPr>
            </w:pPr>
            <w:r>
              <w:rPr>
                <w:i/>
                <w:sz w:val="16"/>
              </w:rPr>
              <w:t>Hommes</w:t>
            </w:r>
          </w:p>
        </w:tc>
        <w:tc>
          <w:tcPr>
            <w:tcW w:w="939" w:type="dxa"/>
            <w:tcBorders>
              <w:bottom w:val="single" w:sz="12" w:space="0" w:color="auto"/>
            </w:tcBorders>
            <w:shd w:val="clear" w:color="auto" w:fill="auto"/>
            <w:vAlign w:val="bottom"/>
          </w:tcPr>
          <w:p w:rsidR="00000000" w:rsidRDefault="00000000">
            <w:pPr>
              <w:spacing w:before="80" w:after="80" w:line="200" w:lineRule="exact"/>
              <w:jc w:val="right"/>
              <w:rPr>
                <w:i/>
                <w:sz w:val="16"/>
              </w:rPr>
            </w:pPr>
            <w:r>
              <w:rPr>
                <w:i/>
                <w:sz w:val="16"/>
              </w:rPr>
              <w:t>Femmes</w:t>
            </w:r>
          </w:p>
        </w:tc>
        <w:tc>
          <w:tcPr>
            <w:tcW w:w="132" w:type="dxa"/>
            <w:tcBorders>
              <w:bottom w:val="single" w:sz="12" w:space="0" w:color="auto"/>
            </w:tcBorders>
            <w:shd w:val="clear" w:color="auto" w:fill="auto"/>
            <w:vAlign w:val="bottom"/>
          </w:tcPr>
          <w:p w:rsidR="00000000" w:rsidRDefault="00000000">
            <w:pPr>
              <w:spacing w:before="80" w:after="80" w:line="200" w:lineRule="exact"/>
              <w:jc w:val="right"/>
              <w:rPr>
                <w:i/>
                <w:sz w:val="16"/>
              </w:rPr>
            </w:pPr>
          </w:p>
        </w:tc>
        <w:tc>
          <w:tcPr>
            <w:tcW w:w="938" w:type="dxa"/>
            <w:tcBorders>
              <w:bottom w:val="single" w:sz="12" w:space="0" w:color="auto"/>
            </w:tcBorders>
            <w:shd w:val="clear" w:color="auto" w:fill="auto"/>
            <w:vAlign w:val="bottom"/>
          </w:tcPr>
          <w:p w:rsidR="00000000" w:rsidRDefault="00000000">
            <w:pPr>
              <w:spacing w:before="80" w:after="80" w:line="200" w:lineRule="exact"/>
              <w:jc w:val="right"/>
              <w:rPr>
                <w:i/>
                <w:sz w:val="16"/>
              </w:rPr>
            </w:pPr>
            <w:r>
              <w:rPr>
                <w:i/>
                <w:sz w:val="16"/>
              </w:rPr>
              <w:t>Total</w:t>
            </w:r>
          </w:p>
        </w:tc>
        <w:tc>
          <w:tcPr>
            <w:tcW w:w="938" w:type="dxa"/>
            <w:tcBorders>
              <w:bottom w:val="single" w:sz="12" w:space="0" w:color="auto"/>
            </w:tcBorders>
            <w:shd w:val="clear" w:color="auto" w:fill="auto"/>
            <w:vAlign w:val="bottom"/>
          </w:tcPr>
          <w:p w:rsidR="00000000" w:rsidRDefault="00000000">
            <w:pPr>
              <w:spacing w:before="80" w:after="80" w:line="200" w:lineRule="exact"/>
              <w:jc w:val="right"/>
              <w:rPr>
                <w:i/>
                <w:sz w:val="16"/>
              </w:rPr>
            </w:pPr>
            <w:r>
              <w:rPr>
                <w:i/>
                <w:sz w:val="16"/>
              </w:rPr>
              <w:t>Hommes</w:t>
            </w:r>
          </w:p>
        </w:tc>
        <w:tc>
          <w:tcPr>
            <w:tcW w:w="938" w:type="dxa"/>
            <w:tcBorders>
              <w:bottom w:val="single" w:sz="12" w:space="0" w:color="auto"/>
            </w:tcBorders>
            <w:shd w:val="clear" w:color="auto" w:fill="auto"/>
            <w:vAlign w:val="bottom"/>
          </w:tcPr>
          <w:p w:rsidR="00000000" w:rsidRDefault="00000000">
            <w:pPr>
              <w:spacing w:before="80" w:after="80" w:line="200" w:lineRule="exact"/>
              <w:jc w:val="right"/>
              <w:rPr>
                <w:i/>
                <w:sz w:val="16"/>
              </w:rPr>
            </w:pPr>
            <w:r>
              <w:rPr>
                <w:i/>
                <w:sz w:val="16"/>
              </w:rPr>
              <w:t>Femmes</w:t>
            </w:r>
          </w:p>
        </w:tc>
        <w:tc>
          <w:tcPr>
            <w:tcW w:w="123" w:type="dxa"/>
            <w:tcBorders>
              <w:bottom w:val="single" w:sz="12" w:space="0" w:color="auto"/>
            </w:tcBorders>
            <w:shd w:val="clear" w:color="auto" w:fill="auto"/>
            <w:vAlign w:val="bottom"/>
          </w:tcPr>
          <w:p w:rsidR="00000000" w:rsidRDefault="00000000">
            <w:pPr>
              <w:spacing w:before="80" w:after="80" w:line="200" w:lineRule="exact"/>
              <w:jc w:val="right"/>
              <w:rPr>
                <w:i/>
                <w:sz w:val="16"/>
              </w:rPr>
            </w:pPr>
          </w:p>
        </w:tc>
        <w:tc>
          <w:tcPr>
            <w:tcW w:w="938" w:type="dxa"/>
            <w:tcBorders>
              <w:bottom w:val="single" w:sz="12" w:space="0" w:color="auto"/>
            </w:tcBorders>
            <w:shd w:val="clear" w:color="auto" w:fill="auto"/>
            <w:vAlign w:val="bottom"/>
          </w:tcPr>
          <w:p w:rsidR="00000000" w:rsidRDefault="00000000">
            <w:pPr>
              <w:spacing w:before="80" w:after="80" w:line="200" w:lineRule="exact"/>
              <w:jc w:val="right"/>
              <w:rPr>
                <w:i/>
                <w:sz w:val="16"/>
              </w:rPr>
            </w:pPr>
            <w:r>
              <w:rPr>
                <w:i/>
                <w:sz w:val="16"/>
              </w:rPr>
              <w:t>Total</w:t>
            </w:r>
          </w:p>
        </w:tc>
        <w:tc>
          <w:tcPr>
            <w:tcW w:w="938" w:type="dxa"/>
            <w:tcBorders>
              <w:bottom w:val="single" w:sz="12" w:space="0" w:color="auto"/>
            </w:tcBorders>
            <w:shd w:val="clear" w:color="auto" w:fill="auto"/>
            <w:vAlign w:val="bottom"/>
          </w:tcPr>
          <w:p w:rsidR="00000000" w:rsidRDefault="00000000">
            <w:pPr>
              <w:spacing w:before="80" w:after="80" w:line="200" w:lineRule="exact"/>
              <w:jc w:val="right"/>
              <w:rPr>
                <w:i/>
                <w:sz w:val="16"/>
              </w:rPr>
            </w:pPr>
            <w:r>
              <w:rPr>
                <w:i/>
                <w:sz w:val="16"/>
              </w:rPr>
              <w:t xml:space="preserve">Hommes </w:t>
            </w:r>
          </w:p>
        </w:tc>
        <w:tc>
          <w:tcPr>
            <w:tcW w:w="938" w:type="dxa"/>
            <w:tcBorders>
              <w:bottom w:val="single" w:sz="12" w:space="0" w:color="auto"/>
            </w:tcBorders>
            <w:shd w:val="clear" w:color="auto" w:fill="auto"/>
            <w:vAlign w:val="bottom"/>
          </w:tcPr>
          <w:p w:rsidR="00000000" w:rsidRDefault="00000000">
            <w:pPr>
              <w:spacing w:before="80" w:after="80" w:line="200" w:lineRule="exact"/>
              <w:jc w:val="right"/>
              <w:rPr>
                <w:i/>
                <w:sz w:val="16"/>
              </w:rPr>
            </w:pPr>
            <w:r>
              <w:rPr>
                <w:i/>
                <w:sz w:val="16"/>
              </w:rPr>
              <w:t>Femmes</w:t>
            </w:r>
          </w:p>
        </w:tc>
      </w:tr>
      <w:tr w:rsidR="00000000">
        <w:tc>
          <w:tcPr>
            <w:tcW w:w="938" w:type="dxa"/>
            <w:tcBorders>
              <w:top w:val="single" w:sz="12" w:space="0" w:color="auto"/>
            </w:tcBorders>
            <w:shd w:val="clear" w:color="auto" w:fill="auto"/>
          </w:tcPr>
          <w:p w:rsidR="00000000" w:rsidRDefault="00000000">
            <w:pPr>
              <w:spacing w:before="40" w:after="40" w:line="220" w:lineRule="exact"/>
              <w:rPr>
                <w:sz w:val="18"/>
                <w:lang w:val="fr-FR"/>
              </w:rPr>
            </w:pPr>
            <w:r>
              <w:rPr>
                <w:sz w:val="18"/>
                <w:lang w:val="fr-FR"/>
              </w:rPr>
              <w:t>1993</w:t>
            </w:r>
          </w:p>
        </w:tc>
        <w:tc>
          <w:tcPr>
            <w:tcW w:w="940" w:type="dxa"/>
            <w:tcBorders>
              <w:top w:val="single" w:sz="12" w:space="0" w:color="auto"/>
            </w:tcBorders>
            <w:shd w:val="clear" w:color="auto" w:fill="auto"/>
            <w:vAlign w:val="bottom"/>
          </w:tcPr>
          <w:p w:rsidR="00000000" w:rsidRDefault="00000000">
            <w:pPr>
              <w:jc w:val="right"/>
              <w:rPr>
                <w:sz w:val="18"/>
                <w:szCs w:val="18"/>
              </w:rPr>
            </w:pPr>
            <w:r>
              <w:rPr>
                <w:sz w:val="18"/>
                <w:szCs w:val="18"/>
              </w:rPr>
              <w:t>6 274</w:t>
            </w:r>
          </w:p>
        </w:tc>
        <w:tc>
          <w:tcPr>
            <w:tcW w:w="939" w:type="dxa"/>
            <w:tcBorders>
              <w:top w:val="single" w:sz="12" w:space="0" w:color="auto"/>
            </w:tcBorders>
            <w:shd w:val="clear" w:color="auto" w:fill="auto"/>
            <w:vAlign w:val="bottom"/>
          </w:tcPr>
          <w:p w:rsidR="00000000" w:rsidRDefault="00000000">
            <w:pPr>
              <w:jc w:val="right"/>
              <w:rPr>
                <w:sz w:val="18"/>
                <w:szCs w:val="18"/>
              </w:rPr>
            </w:pPr>
            <w:r>
              <w:rPr>
                <w:sz w:val="18"/>
                <w:szCs w:val="18"/>
              </w:rPr>
              <w:t>3 052</w:t>
            </w:r>
          </w:p>
        </w:tc>
        <w:tc>
          <w:tcPr>
            <w:tcW w:w="939" w:type="dxa"/>
            <w:tcBorders>
              <w:top w:val="single" w:sz="12" w:space="0" w:color="auto"/>
            </w:tcBorders>
            <w:shd w:val="clear" w:color="auto" w:fill="auto"/>
            <w:vAlign w:val="bottom"/>
          </w:tcPr>
          <w:p w:rsidR="00000000" w:rsidRDefault="00000000">
            <w:pPr>
              <w:jc w:val="right"/>
              <w:rPr>
                <w:sz w:val="18"/>
                <w:szCs w:val="18"/>
              </w:rPr>
            </w:pPr>
            <w:r>
              <w:rPr>
                <w:sz w:val="18"/>
                <w:szCs w:val="18"/>
              </w:rPr>
              <w:t>3 221</w:t>
            </w:r>
          </w:p>
        </w:tc>
        <w:tc>
          <w:tcPr>
            <w:tcW w:w="132" w:type="dxa"/>
            <w:tcBorders>
              <w:top w:val="single" w:sz="12" w:space="0" w:color="auto"/>
            </w:tcBorders>
            <w:shd w:val="clear" w:color="auto" w:fill="auto"/>
            <w:vAlign w:val="bottom"/>
          </w:tcPr>
          <w:p w:rsidR="00000000" w:rsidRDefault="00000000">
            <w:pPr>
              <w:spacing w:before="40" w:after="40" w:line="220" w:lineRule="exact"/>
              <w:jc w:val="right"/>
              <w:rPr>
                <w:sz w:val="18"/>
                <w:szCs w:val="18"/>
              </w:rPr>
            </w:pPr>
          </w:p>
        </w:tc>
        <w:tc>
          <w:tcPr>
            <w:tcW w:w="938" w:type="dxa"/>
            <w:tcBorders>
              <w:top w:val="single" w:sz="12" w:space="0" w:color="auto"/>
            </w:tcBorders>
            <w:shd w:val="clear" w:color="auto" w:fill="auto"/>
            <w:vAlign w:val="bottom"/>
          </w:tcPr>
          <w:p w:rsidR="00000000" w:rsidRDefault="00000000">
            <w:pPr>
              <w:jc w:val="right"/>
              <w:rPr>
                <w:sz w:val="18"/>
                <w:szCs w:val="18"/>
              </w:rPr>
            </w:pPr>
            <w:r>
              <w:rPr>
                <w:sz w:val="18"/>
                <w:szCs w:val="18"/>
              </w:rPr>
              <w:t>2 794</w:t>
            </w:r>
          </w:p>
        </w:tc>
        <w:tc>
          <w:tcPr>
            <w:tcW w:w="938" w:type="dxa"/>
            <w:tcBorders>
              <w:top w:val="single" w:sz="12" w:space="0" w:color="auto"/>
            </w:tcBorders>
            <w:shd w:val="clear" w:color="auto" w:fill="auto"/>
            <w:vAlign w:val="bottom"/>
          </w:tcPr>
          <w:p w:rsidR="00000000" w:rsidRDefault="00000000">
            <w:pPr>
              <w:jc w:val="right"/>
              <w:rPr>
                <w:sz w:val="18"/>
                <w:szCs w:val="18"/>
              </w:rPr>
            </w:pPr>
            <w:r>
              <w:rPr>
                <w:sz w:val="18"/>
                <w:szCs w:val="18"/>
              </w:rPr>
              <w:t>1 371</w:t>
            </w:r>
          </w:p>
        </w:tc>
        <w:tc>
          <w:tcPr>
            <w:tcW w:w="938" w:type="dxa"/>
            <w:tcBorders>
              <w:top w:val="single" w:sz="12" w:space="0" w:color="auto"/>
            </w:tcBorders>
            <w:shd w:val="clear" w:color="auto" w:fill="auto"/>
            <w:vAlign w:val="bottom"/>
          </w:tcPr>
          <w:p w:rsidR="00000000" w:rsidRDefault="00000000">
            <w:pPr>
              <w:jc w:val="right"/>
              <w:rPr>
                <w:sz w:val="18"/>
                <w:szCs w:val="18"/>
              </w:rPr>
            </w:pPr>
            <w:r>
              <w:rPr>
                <w:sz w:val="18"/>
                <w:szCs w:val="18"/>
              </w:rPr>
              <w:t>1 422</w:t>
            </w:r>
          </w:p>
        </w:tc>
        <w:tc>
          <w:tcPr>
            <w:tcW w:w="123" w:type="dxa"/>
            <w:tcBorders>
              <w:top w:val="single" w:sz="12" w:space="0" w:color="auto"/>
            </w:tcBorders>
            <w:shd w:val="clear" w:color="auto" w:fill="auto"/>
            <w:vAlign w:val="bottom"/>
          </w:tcPr>
          <w:p w:rsidR="00000000" w:rsidRDefault="00000000">
            <w:pPr>
              <w:spacing w:before="40" w:after="40" w:line="220" w:lineRule="exact"/>
              <w:jc w:val="right"/>
              <w:rPr>
                <w:sz w:val="18"/>
                <w:szCs w:val="18"/>
              </w:rPr>
            </w:pPr>
          </w:p>
        </w:tc>
        <w:tc>
          <w:tcPr>
            <w:tcW w:w="938" w:type="dxa"/>
            <w:tcBorders>
              <w:top w:val="single" w:sz="12" w:space="0" w:color="auto"/>
            </w:tcBorders>
            <w:shd w:val="clear" w:color="auto" w:fill="auto"/>
            <w:vAlign w:val="bottom"/>
          </w:tcPr>
          <w:p w:rsidR="00000000" w:rsidRDefault="00000000">
            <w:pPr>
              <w:jc w:val="right"/>
              <w:rPr>
                <w:sz w:val="18"/>
                <w:szCs w:val="18"/>
              </w:rPr>
            </w:pPr>
            <w:r>
              <w:rPr>
                <w:sz w:val="18"/>
                <w:szCs w:val="18"/>
              </w:rPr>
              <w:t>3 480</w:t>
            </w:r>
          </w:p>
        </w:tc>
        <w:tc>
          <w:tcPr>
            <w:tcW w:w="938" w:type="dxa"/>
            <w:tcBorders>
              <w:top w:val="single" w:sz="12" w:space="0" w:color="auto"/>
            </w:tcBorders>
            <w:shd w:val="clear" w:color="auto" w:fill="auto"/>
            <w:vAlign w:val="bottom"/>
          </w:tcPr>
          <w:p w:rsidR="00000000" w:rsidRDefault="00000000">
            <w:pPr>
              <w:jc w:val="right"/>
              <w:rPr>
                <w:sz w:val="18"/>
                <w:szCs w:val="18"/>
              </w:rPr>
            </w:pPr>
            <w:r>
              <w:rPr>
                <w:sz w:val="18"/>
                <w:szCs w:val="18"/>
              </w:rPr>
              <w:t>1 681</w:t>
            </w:r>
          </w:p>
        </w:tc>
        <w:tc>
          <w:tcPr>
            <w:tcW w:w="938" w:type="dxa"/>
            <w:tcBorders>
              <w:top w:val="single" w:sz="12" w:space="0" w:color="auto"/>
            </w:tcBorders>
            <w:shd w:val="clear" w:color="auto" w:fill="auto"/>
            <w:vAlign w:val="bottom"/>
          </w:tcPr>
          <w:p w:rsidR="00000000" w:rsidRDefault="00000000">
            <w:pPr>
              <w:jc w:val="right"/>
              <w:rPr>
                <w:sz w:val="18"/>
                <w:szCs w:val="18"/>
              </w:rPr>
            </w:pPr>
            <w:r>
              <w:rPr>
                <w:sz w:val="18"/>
                <w:szCs w:val="18"/>
              </w:rPr>
              <w:t>1 799</w:t>
            </w:r>
          </w:p>
        </w:tc>
      </w:tr>
      <w:tr w:rsidR="00000000">
        <w:tc>
          <w:tcPr>
            <w:tcW w:w="938" w:type="dxa"/>
            <w:shd w:val="clear" w:color="auto" w:fill="auto"/>
          </w:tcPr>
          <w:p w:rsidR="00000000" w:rsidRDefault="00000000">
            <w:pPr>
              <w:spacing w:before="40" w:after="40" w:line="220" w:lineRule="exact"/>
              <w:rPr>
                <w:sz w:val="18"/>
                <w:lang w:val="fr-FR"/>
              </w:rPr>
            </w:pPr>
            <w:r>
              <w:rPr>
                <w:sz w:val="18"/>
                <w:lang w:val="fr-FR"/>
              </w:rPr>
              <w:t>2003</w:t>
            </w:r>
          </w:p>
        </w:tc>
        <w:tc>
          <w:tcPr>
            <w:tcW w:w="940" w:type="dxa"/>
            <w:shd w:val="clear" w:color="auto" w:fill="auto"/>
            <w:vAlign w:val="bottom"/>
          </w:tcPr>
          <w:p w:rsidR="00000000" w:rsidRDefault="00000000">
            <w:pPr>
              <w:jc w:val="right"/>
              <w:rPr>
                <w:sz w:val="18"/>
                <w:szCs w:val="18"/>
              </w:rPr>
            </w:pPr>
            <w:r>
              <w:rPr>
                <w:sz w:val="18"/>
                <w:szCs w:val="18"/>
              </w:rPr>
              <w:t>8 448</w:t>
            </w:r>
          </w:p>
        </w:tc>
        <w:tc>
          <w:tcPr>
            <w:tcW w:w="939" w:type="dxa"/>
            <w:shd w:val="clear" w:color="auto" w:fill="auto"/>
            <w:vAlign w:val="bottom"/>
          </w:tcPr>
          <w:p w:rsidR="00000000" w:rsidRDefault="00000000">
            <w:pPr>
              <w:jc w:val="right"/>
              <w:rPr>
                <w:sz w:val="18"/>
                <w:szCs w:val="18"/>
              </w:rPr>
            </w:pPr>
            <w:r>
              <w:rPr>
                <w:sz w:val="18"/>
                <w:szCs w:val="18"/>
              </w:rPr>
              <w:t>4 126</w:t>
            </w:r>
          </w:p>
        </w:tc>
        <w:tc>
          <w:tcPr>
            <w:tcW w:w="939" w:type="dxa"/>
            <w:shd w:val="clear" w:color="auto" w:fill="auto"/>
            <w:vAlign w:val="bottom"/>
          </w:tcPr>
          <w:p w:rsidR="00000000" w:rsidRDefault="00000000">
            <w:pPr>
              <w:jc w:val="right"/>
              <w:rPr>
                <w:sz w:val="18"/>
                <w:szCs w:val="18"/>
              </w:rPr>
            </w:pPr>
            <w:r>
              <w:rPr>
                <w:sz w:val="18"/>
                <w:szCs w:val="18"/>
              </w:rPr>
              <w:t>4 321</w:t>
            </w:r>
          </w:p>
        </w:tc>
        <w:tc>
          <w:tcPr>
            <w:tcW w:w="132" w:type="dxa"/>
            <w:shd w:val="clear" w:color="auto" w:fill="auto"/>
            <w:vAlign w:val="bottom"/>
          </w:tcPr>
          <w:p w:rsidR="00000000" w:rsidRDefault="00000000">
            <w:pPr>
              <w:spacing w:before="40" w:after="40" w:line="220" w:lineRule="exact"/>
              <w:jc w:val="right"/>
              <w:rPr>
                <w:sz w:val="18"/>
                <w:szCs w:val="18"/>
              </w:rPr>
            </w:pPr>
          </w:p>
        </w:tc>
        <w:tc>
          <w:tcPr>
            <w:tcW w:w="938" w:type="dxa"/>
            <w:shd w:val="clear" w:color="auto" w:fill="auto"/>
            <w:vAlign w:val="bottom"/>
          </w:tcPr>
          <w:p w:rsidR="00000000" w:rsidRDefault="00000000">
            <w:pPr>
              <w:jc w:val="right"/>
              <w:rPr>
                <w:sz w:val="18"/>
                <w:szCs w:val="18"/>
              </w:rPr>
            </w:pPr>
            <w:r>
              <w:rPr>
                <w:sz w:val="18"/>
                <w:szCs w:val="18"/>
              </w:rPr>
              <w:t>2 934</w:t>
            </w:r>
          </w:p>
        </w:tc>
        <w:tc>
          <w:tcPr>
            <w:tcW w:w="938" w:type="dxa"/>
            <w:shd w:val="clear" w:color="auto" w:fill="auto"/>
            <w:vAlign w:val="bottom"/>
          </w:tcPr>
          <w:p w:rsidR="00000000" w:rsidRDefault="00000000">
            <w:pPr>
              <w:jc w:val="right"/>
              <w:rPr>
                <w:sz w:val="18"/>
                <w:szCs w:val="18"/>
              </w:rPr>
            </w:pPr>
            <w:r>
              <w:rPr>
                <w:sz w:val="18"/>
                <w:szCs w:val="18"/>
              </w:rPr>
              <w:t>1 441</w:t>
            </w:r>
          </w:p>
        </w:tc>
        <w:tc>
          <w:tcPr>
            <w:tcW w:w="938" w:type="dxa"/>
            <w:shd w:val="clear" w:color="auto" w:fill="auto"/>
            <w:vAlign w:val="bottom"/>
          </w:tcPr>
          <w:p w:rsidR="00000000" w:rsidRDefault="00000000">
            <w:pPr>
              <w:jc w:val="right"/>
              <w:rPr>
                <w:sz w:val="18"/>
                <w:szCs w:val="18"/>
              </w:rPr>
            </w:pPr>
            <w:r>
              <w:rPr>
                <w:sz w:val="18"/>
                <w:szCs w:val="18"/>
              </w:rPr>
              <w:t>1 493</w:t>
            </w:r>
          </w:p>
        </w:tc>
        <w:tc>
          <w:tcPr>
            <w:tcW w:w="123" w:type="dxa"/>
            <w:shd w:val="clear" w:color="auto" w:fill="auto"/>
            <w:vAlign w:val="bottom"/>
          </w:tcPr>
          <w:p w:rsidR="00000000" w:rsidRDefault="00000000">
            <w:pPr>
              <w:spacing w:before="40" w:after="40" w:line="220" w:lineRule="exact"/>
              <w:jc w:val="right"/>
              <w:rPr>
                <w:sz w:val="18"/>
                <w:szCs w:val="18"/>
              </w:rPr>
            </w:pPr>
          </w:p>
        </w:tc>
        <w:tc>
          <w:tcPr>
            <w:tcW w:w="938" w:type="dxa"/>
            <w:shd w:val="clear" w:color="auto" w:fill="auto"/>
            <w:vAlign w:val="bottom"/>
          </w:tcPr>
          <w:p w:rsidR="00000000" w:rsidRDefault="00000000">
            <w:pPr>
              <w:jc w:val="right"/>
              <w:rPr>
                <w:sz w:val="18"/>
                <w:szCs w:val="18"/>
              </w:rPr>
            </w:pPr>
            <w:r>
              <w:rPr>
                <w:sz w:val="18"/>
                <w:szCs w:val="18"/>
              </w:rPr>
              <w:t>5 514</w:t>
            </w:r>
          </w:p>
        </w:tc>
        <w:tc>
          <w:tcPr>
            <w:tcW w:w="938" w:type="dxa"/>
            <w:shd w:val="clear" w:color="auto" w:fill="auto"/>
            <w:vAlign w:val="bottom"/>
          </w:tcPr>
          <w:p w:rsidR="00000000" w:rsidRDefault="00000000">
            <w:pPr>
              <w:jc w:val="right"/>
              <w:rPr>
                <w:sz w:val="18"/>
                <w:szCs w:val="18"/>
              </w:rPr>
            </w:pPr>
            <w:r>
              <w:rPr>
                <w:sz w:val="18"/>
                <w:szCs w:val="18"/>
              </w:rPr>
              <w:t>2 685</w:t>
            </w:r>
          </w:p>
        </w:tc>
        <w:tc>
          <w:tcPr>
            <w:tcW w:w="938" w:type="dxa"/>
            <w:shd w:val="clear" w:color="auto" w:fill="auto"/>
            <w:vAlign w:val="bottom"/>
          </w:tcPr>
          <w:p w:rsidR="00000000" w:rsidRDefault="00000000">
            <w:pPr>
              <w:jc w:val="right"/>
              <w:rPr>
                <w:sz w:val="18"/>
                <w:szCs w:val="18"/>
              </w:rPr>
            </w:pPr>
            <w:r>
              <w:rPr>
                <w:sz w:val="18"/>
                <w:szCs w:val="18"/>
              </w:rPr>
              <w:t>2 828</w:t>
            </w:r>
          </w:p>
        </w:tc>
      </w:tr>
      <w:tr w:rsidR="00000000">
        <w:tc>
          <w:tcPr>
            <w:tcW w:w="938" w:type="dxa"/>
            <w:shd w:val="clear" w:color="auto" w:fill="auto"/>
          </w:tcPr>
          <w:p w:rsidR="00000000" w:rsidRDefault="00000000">
            <w:pPr>
              <w:spacing w:before="40" w:after="40" w:line="220" w:lineRule="exact"/>
              <w:rPr>
                <w:sz w:val="18"/>
                <w:lang w:val="fr-FR"/>
              </w:rPr>
            </w:pPr>
            <w:r>
              <w:rPr>
                <w:sz w:val="18"/>
                <w:lang w:val="fr-FR"/>
              </w:rPr>
              <w:t>2004</w:t>
            </w:r>
          </w:p>
        </w:tc>
        <w:tc>
          <w:tcPr>
            <w:tcW w:w="940" w:type="dxa"/>
            <w:shd w:val="clear" w:color="auto" w:fill="auto"/>
            <w:vAlign w:val="bottom"/>
          </w:tcPr>
          <w:p w:rsidR="00000000" w:rsidRDefault="00000000">
            <w:pPr>
              <w:jc w:val="right"/>
              <w:rPr>
                <w:sz w:val="18"/>
                <w:szCs w:val="18"/>
              </w:rPr>
            </w:pPr>
            <w:r>
              <w:rPr>
                <w:sz w:val="18"/>
                <w:szCs w:val="18"/>
              </w:rPr>
              <w:t>8 688</w:t>
            </w:r>
          </w:p>
        </w:tc>
        <w:tc>
          <w:tcPr>
            <w:tcW w:w="939" w:type="dxa"/>
            <w:shd w:val="clear" w:color="auto" w:fill="auto"/>
            <w:vAlign w:val="bottom"/>
          </w:tcPr>
          <w:p w:rsidR="00000000" w:rsidRDefault="00000000">
            <w:pPr>
              <w:jc w:val="right"/>
              <w:rPr>
                <w:sz w:val="18"/>
                <w:szCs w:val="18"/>
              </w:rPr>
            </w:pPr>
            <w:r>
              <w:rPr>
                <w:sz w:val="18"/>
                <w:szCs w:val="18"/>
              </w:rPr>
              <w:t>4 245</w:t>
            </w:r>
          </w:p>
        </w:tc>
        <w:tc>
          <w:tcPr>
            <w:tcW w:w="939" w:type="dxa"/>
            <w:shd w:val="clear" w:color="auto" w:fill="auto"/>
            <w:vAlign w:val="bottom"/>
          </w:tcPr>
          <w:p w:rsidR="00000000" w:rsidRDefault="00000000">
            <w:pPr>
              <w:jc w:val="right"/>
              <w:rPr>
                <w:sz w:val="18"/>
                <w:szCs w:val="18"/>
              </w:rPr>
            </w:pPr>
            <w:r>
              <w:rPr>
                <w:sz w:val="18"/>
                <w:szCs w:val="18"/>
              </w:rPr>
              <w:t>4 443</w:t>
            </w:r>
          </w:p>
        </w:tc>
        <w:tc>
          <w:tcPr>
            <w:tcW w:w="132" w:type="dxa"/>
            <w:shd w:val="clear" w:color="auto" w:fill="auto"/>
            <w:vAlign w:val="bottom"/>
          </w:tcPr>
          <w:p w:rsidR="00000000" w:rsidRDefault="00000000">
            <w:pPr>
              <w:spacing w:before="40" w:after="40" w:line="220" w:lineRule="exact"/>
              <w:jc w:val="right"/>
              <w:rPr>
                <w:sz w:val="18"/>
                <w:szCs w:val="18"/>
              </w:rPr>
            </w:pPr>
          </w:p>
        </w:tc>
        <w:tc>
          <w:tcPr>
            <w:tcW w:w="938" w:type="dxa"/>
            <w:shd w:val="clear" w:color="auto" w:fill="auto"/>
            <w:vAlign w:val="bottom"/>
          </w:tcPr>
          <w:p w:rsidR="00000000" w:rsidRDefault="00000000">
            <w:pPr>
              <w:jc w:val="right"/>
              <w:rPr>
                <w:sz w:val="18"/>
                <w:szCs w:val="18"/>
              </w:rPr>
            </w:pPr>
            <w:r>
              <w:rPr>
                <w:sz w:val="18"/>
                <w:szCs w:val="18"/>
              </w:rPr>
              <w:t>3 080</w:t>
            </w:r>
          </w:p>
        </w:tc>
        <w:tc>
          <w:tcPr>
            <w:tcW w:w="938" w:type="dxa"/>
            <w:shd w:val="clear" w:color="auto" w:fill="auto"/>
            <w:vAlign w:val="bottom"/>
          </w:tcPr>
          <w:p w:rsidR="00000000" w:rsidRDefault="00000000">
            <w:pPr>
              <w:jc w:val="right"/>
              <w:rPr>
                <w:sz w:val="18"/>
                <w:szCs w:val="18"/>
              </w:rPr>
            </w:pPr>
            <w:r>
              <w:rPr>
                <w:sz w:val="18"/>
                <w:szCs w:val="18"/>
              </w:rPr>
              <w:t>1 513</w:t>
            </w:r>
          </w:p>
        </w:tc>
        <w:tc>
          <w:tcPr>
            <w:tcW w:w="938" w:type="dxa"/>
            <w:shd w:val="clear" w:color="auto" w:fill="auto"/>
            <w:vAlign w:val="bottom"/>
          </w:tcPr>
          <w:p w:rsidR="00000000" w:rsidRDefault="00000000">
            <w:pPr>
              <w:jc w:val="right"/>
              <w:rPr>
                <w:sz w:val="18"/>
                <w:szCs w:val="18"/>
              </w:rPr>
            </w:pPr>
            <w:r>
              <w:rPr>
                <w:sz w:val="18"/>
                <w:szCs w:val="18"/>
              </w:rPr>
              <w:t>1 566</w:t>
            </w:r>
          </w:p>
        </w:tc>
        <w:tc>
          <w:tcPr>
            <w:tcW w:w="123" w:type="dxa"/>
            <w:shd w:val="clear" w:color="auto" w:fill="auto"/>
            <w:vAlign w:val="bottom"/>
          </w:tcPr>
          <w:p w:rsidR="00000000" w:rsidRDefault="00000000">
            <w:pPr>
              <w:spacing w:before="40" w:after="40" w:line="220" w:lineRule="exact"/>
              <w:jc w:val="right"/>
              <w:rPr>
                <w:sz w:val="18"/>
                <w:szCs w:val="18"/>
              </w:rPr>
            </w:pPr>
          </w:p>
        </w:tc>
        <w:tc>
          <w:tcPr>
            <w:tcW w:w="938" w:type="dxa"/>
            <w:shd w:val="clear" w:color="auto" w:fill="auto"/>
            <w:vAlign w:val="bottom"/>
          </w:tcPr>
          <w:p w:rsidR="00000000" w:rsidRDefault="00000000">
            <w:pPr>
              <w:jc w:val="right"/>
              <w:rPr>
                <w:sz w:val="18"/>
                <w:szCs w:val="18"/>
              </w:rPr>
            </w:pPr>
            <w:r>
              <w:rPr>
                <w:sz w:val="18"/>
                <w:szCs w:val="18"/>
              </w:rPr>
              <w:t>5 608</w:t>
            </w:r>
          </w:p>
        </w:tc>
        <w:tc>
          <w:tcPr>
            <w:tcW w:w="938" w:type="dxa"/>
            <w:shd w:val="clear" w:color="auto" w:fill="auto"/>
            <w:vAlign w:val="bottom"/>
          </w:tcPr>
          <w:p w:rsidR="00000000" w:rsidRDefault="00000000">
            <w:pPr>
              <w:jc w:val="right"/>
              <w:rPr>
                <w:sz w:val="18"/>
                <w:szCs w:val="18"/>
              </w:rPr>
            </w:pPr>
            <w:r>
              <w:rPr>
                <w:sz w:val="18"/>
                <w:szCs w:val="18"/>
              </w:rPr>
              <w:t>2 732</w:t>
            </w:r>
          </w:p>
        </w:tc>
        <w:tc>
          <w:tcPr>
            <w:tcW w:w="938" w:type="dxa"/>
            <w:shd w:val="clear" w:color="auto" w:fill="auto"/>
            <w:vAlign w:val="bottom"/>
          </w:tcPr>
          <w:p w:rsidR="00000000" w:rsidRDefault="00000000">
            <w:pPr>
              <w:jc w:val="right"/>
              <w:rPr>
                <w:sz w:val="18"/>
                <w:szCs w:val="18"/>
              </w:rPr>
            </w:pPr>
            <w:r>
              <w:rPr>
                <w:sz w:val="18"/>
                <w:szCs w:val="18"/>
              </w:rPr>
              <w:t>2 877</w:t>
            </w:r>
          </w:p>
        </w:tc>
      </w:tr>
      <w:tr w:rsidR="00000000">
        <w:tc>
          <w:tcPr>
            <w:tcW w:w="938" w:type="dxa"/>
            <w:shd w:val="clear" w:color="auto" w:fill="auto"/>
          </w:tcPr>
          <w:p w:rsidR="00000000" w:rsidRDefault="00000000">
            <w:pPr>
              <w:spacing w:before="40" w:after="40" w:line="220" w:lineRule="exact"/>
              <w:rPr>
                <w:sz w:val="18"/>
                <w:lang w:val="fr-FR"/>
              </w:rPr>
            </w:pPr>
            <w:r>
              <w:rPr>
                <w:sz w:val="18"/>
                <w:lang w:val="fr-FR"/>
              </w:rPr>
              <w:t>2005</w:t>
            </w:r>
          </w:p>
        </w:tc>
        <w:tc>
          <w:tcPr>
            <w:tcW w:w="940" w:type="dxa"/>
            <w:shd w:val="clear" w:color="auto" w:fill="auto"/>
            <w:vAlign w:val="bottom"/>
          </w:tcPr>
          <w:p w:rsidR="00000000" w:rsidRDefault="00000000">
            <w:pPr>
              <w:jc w:val="right"/>
              <w:rPr>
                <w:sz w:val="18"/>
                <w:szCs w:val="18"/>
              </w:rPr>
            </w:pPr>
            <w:r>
              <w:rPr>
                <w:sz w:val="18"/>
                <w:szCs w:val="18"/>
              </w:rPr>
              <w:t>8 931</w:t>
            </w:r>
          </w:p>
        </w:tc>
        <w:tc>
          <w:tcPr>
            <w:tcW w:w="939" w:type="dxa"/>
            <w:shd w:val="clear" w:color="auto" w:fill="auto"/>
            <w:vAlign w:val="bottom"/>
          </w:tcPr>
          <w:p w:rsidR="00000000" w:rsidRDefault="00000000">
            <w:pPr>
              <w:jc w:val="right"/>
              <w:rPr>
                <w:sz w:val="18"/>
                <w:szCs w:val="18"/>
              </w:rPr>
            </w:pPr>
            <w:r>
              <w:rPr>
                <w:sz w:val="18"/>
                <w:szCs w:val="18"/>
              </w:rPr>
              <w:t>4 365</w:t>
            </w:r>
          </w:p>
        </w:tc>
        <w:tc>
          <w:tcPr>
            <w:tcW w:w="939" w:type="dxa"/>
            <w:shd w:val="clear" w:color="auto" w:fill="auto"/>
            <w:vAlign w:val="bottom"/>
          </w:tcPr>
          <w:p w:rsidR="00000000" w:rsidRDefault="00000000">
            <w:pPr>
              <w:jc w:val="right"/>
              <w:rPr>
                <w:sz w:val="18"/>
                <w:szCs w:val="18"/>
              </w:rPr>
            </w:pPr>
            <w:r>
              <w:rPr>
                <w:sz w:val="18"/>
                <w:szCs w:val="18"/>
              </w:rPr>
              <w:t>4 566</w:t>
            </w:r>
          </w:p>
        </w:tc>
        <w:tc>
          <w:tcPr>
            <w:tcW w:w="132" w:type="dxa"/>
            <w:shd w:val="clear" w:color="auto" w:fill="auto"/>
            <w:vAlign w:val="bottom"/>
          </w:tcPr>
          <w:p w:rsidR="00000000" w:rsidRDefault="00000000">
            <w:pPr>
              <w:spacing w:before="40" w:after="40" w:line="220" w:lineRule="exact"/>
              <w:jc w:val="right"/>
              <w:rPr>
                <w:sz w:val="18"/>
                <w:szCs w:val="18"/>
              </w:rPr>
            </w:pPr>
          </w:p>
        </w:tc>
        <w:tc>
          <w:tcPr>
            <w:tcW w:w="938" w:type="dxa"/>
            <w:shd w:val="clear" w:color="auto" w:fill="auto"/>
            <w:vAlign w:val="bottom"/>
          </w:tcPr>
          <w:p w:rsidR="00000000" w:rsidRDefault="00000000">
            <w:pPr>
              <w:jc w:val="right"/>
              <w:rPr>
                <w:sz w:val="18"/>
                <w:szCs w:val="18"/>
              </w:rPr>
            </w:pPr>
            <w:r>
              <w:rPr>
                <w:sz w:val="18"/>
                <w:szCs w:val="18"/>
              </w:rPr>
              <w:t>3 231</w:t>
            </w:r>
          </w:p>
        </w:tc>
        <w:tc>
          <w:tcPr>
            <w:tcW w:w="938" w:type="dxa"/>
            <w:shd w:val="clear" w:color="auto" w:fill="auto"/>
            <w:vAlign w:val="bottom"/>
          </w:tcPr>
          <w:p w:rsidR="00000000" w:rsidRDefault="00000000">
            <w:pPr>
              <w:jc w:val="right"/>
              <w:rPr>
                <w:sz w:val="18"/>
                <w:szCs w:val="18"/>
              </w:rPr>
            </w:pPr>
            <w:r>
              <w:rPr>
                <w:sz w:val="18"/>
                <w:szCs w:val="18"/>
              </w:rPr>
              <w:t>1 589</w:t>
            </w:r>
          </w:p>
        </w:tc>
        <w:tc>
          <w:tcPr>
            <w:tcW w:w="938" w:type="dxa"/>
            <w:shd w:val="clear" w:color="auto" w:fill="auto"/>
            <w:vAlign w:val="bottom"/>
          </w:tcPr>
          <w:p w:rsidR="00000000" w:rsidRDefault="00000000">
            <w:pPr>
              <w:jc w:val="right"/>
              <w:rPr>
                <w:sz w:val="18"/>
                <w:szCs w:val="18"/>
              </w:rPr>
            </w:pPr>
            <w:r>
              <w:rPr>
                <w:sz w:val="18"/>
                <w:szCs w:val="18"/>
              </w:rPr>
              <w:t>1 643</w:t>
            </w:r>
          </w:p>
        </w:tc>
        <w:tc>
          <w:tcPr>
            <w:tcW w:w="123" w:type="dxa"/>
            <w:shd w:val="clear" w:color="auto" w:fill="auto"/>
            <w:vAlign w:val="bottom"/>
          </w:tcPr>
          <w:p w:rsidR="00000000" w:rsidRDefault="00000000">
            <w:pPr>
              <w:spacing w:before="40" w:after="40" w:line="220" w:lineRule="exact"/>
              <w:jc w:val="right"/>
              <w:rPr>
                <w:sz w:val="18"/>
                <w:szCs w:val="18"/>
              </w:rPr>
            </w:pPr>
          </w:p>
        </w:tc>
        <w:tc>
          <w:tcPr>
            <w:tcW w:w="938" w:type="dxa"/>
            <w:shd w:val="clear" w:color="auto" w:fill="auto"/>
            <w:vAlign w:val="bottom"/>
          </w:tcPr>
          <w:p w:rsidR="00000000" w:rsidRDefault="00000000">
            <w:pPr>
              <w:jc w:val="right"/>
              <w:rPr>
                <w:sz w:val="18"/>
                <w:szCs w:val="18"/>
              </w:rPr>
            </w:pPr>
            <w:r>
              <w:rPr>
                <w:sz w:val="18"/>
                <w:szCs w:val="18"/>
              </w:rPr>
              <w:t>5 700</w:t>
            </w:r>
          </w:p>
        </w:tc>
        <w:tc>
          <w:tcPr>
            <w:tcW w:w="938" w:type="dxa"/>
            <w:shd w:val="clear" w:color="auto" w:fill="auto"/>
            <w:vAlign w:val="bottom"/>
          </w:tcPr>
          <w:p w:rsidR="00000000" w:rsidRDefault="00000000">
            <w:pPr>
              <w:jc w:val="right"/>
              <w:rPr>
                <w:sz w:val="18"/>
                <w:szCs w:val="18"/>
              </w:rPr>
            </w:pPr>
            <w:r>
              <w:rPr>
                <w:sz w:val="18"/>
                <w:szCs w:val="18"/>
              </w:rPr>
              <w:t>2 776</w:t>
            </w:r>
          </w:p>
        </w:tc>
        <w:tc>
          <w:tcPr>
            <w:tcW w:w="938" w:type="dxa"/>
            <w:shd w:val="clear" w:color="auto" w:fill="auto"/>
            <w:vAlign w:val="bottom"/>
          </w:tcPr>
          <w:p w:rsidR="00000000" w:rsidRDefault="00000000">
            <w:pPr>
              <w:jc w:val="right"/>
              <w:rPr>
                <w:sz w:val="18"/>
                <w:szCs w:val="18"/>
              </w:rPr>
            </w:pPr>
            <w:r>
              <w:rPr>
                <w:sz w:val="18"/>
                <w:szCs w:val="18"/>
              </w:rPr>
              <w:t>2 923</w:t>
            </w:r>
          </w:p>
        </w:tc>
      </w:tr>
      <w:tr w:rsidR="00000000">
        <w:tc>
          <w:tcPr>
            <w:tcW w:w="938" w:type="dxa"/>
            <w:shd w:val="clear" w:color="auto" w:fill="auto"/>
          </w:tcPr>
          <w:p w:rsidR="00000000" w:rsidRDefault="00000000">
            <w:pPr>
              <w:spacing w:before="40" w:after="40" w:line="220" w:lineRule="exact"/>
              <w:rPr>
                <w:sz w:val="18"/>
                <w:lang w:val="fr-FR"/>
              </w:rPr>
            </w:pPr>
            <w:r>
              <w:rPr>
                <w:sz w:val="18"/>
                <w:lang w:val="fr-FR"/>
              </w:rPr>
              <w:t>2006</w:t>
            </w:r>
          </w:p>
        </w:tc>
        <w:tc>
          <w:tcPr>
            <w:tcW w:w="940" w:type="dxa"/>
            <w:shd w:val="clear" w:color="auto" w:fill="auto"/>
            <w:vAlign w:val="bottom"/>
          </w:tcPr>
          <w:p w:rsidR="00000000" w:rsidRDefault="00000000">
            <w:pPr>
              <w:jc w:val="right"/>
              <w:rPr>
                <w:sz w:val="18"/>
                <w:szCs w:val="18"/>
              </w:rPr>
            </w:pPr>
            <w:r>
              <w:rPr>
                <w:sz w:val="18"/>
                <w:szCs w:val="18"/>
              </w:rPr>
              <w:t>9 179</w:t>
            </w:r>
          </w:p>
        </w:tc>
        <w:tc>
          <w:tcPr>
            <w:tcW w:w="939" w:type="dxa"/>
            <w:shd w:val="clear" w:color="auto" w:fill="auto"/>
            <w:vAlign w:val="bottom"/>
          </w:tcPr>
          <w:p w:rsidR="00000000" w:rsidRDefault="00000000">
            <w:pPr>
              <w:jc w:val="right"/>
              <w:rPr>
                <w:sz w:val="18"/>
                <w:szCs w:val="18"/>
              </w:rPr>
            </w:pPr>
            <w:r>
              <w:rPr>
                <w:sz w:val="18"/>
                <w:szCs w:val="18"/>
              </w:rPr>
              <w:t>4 488</w:t>
            </w:r>
          </w:p>
        </w:tc>
        <w:tc>
          <w:tcPr>
            <w:tcW w:w="939" w:type="dxa"/>
            <w:shd w:val="clear" w:color="auto" w:fill="auto"/>
            <w:vAlign w:val="bottom"/>
          </w:tcPr>
          <w:p w:rsidR="00000000" w:rsidRDefault="00000000">
            <w:pPr>
              <w:jc w:val="right"/>
              <w:rPr>
                <w:sz w:val="18"/>
                <w:szCs w:val="18"/>
              </w:rPr>
            </w:pPr>
            <w:r>
              <w:rPr>
                <w:sz w:val="18"/>
                <w:szCs w:val="18"/>
              </w:rPr>
              <w:t>4 692</w:t>
            </w:r>
          </w:p>
        </w:tc>
        <w:tc>
          <w:tcPr>
            <w:tcW w:w="132" w:type="dxa"/>
            <w:shd w:val="clear" w:color="auto" w:fill="auto"/>
            <w:vAlign w:val="bottom"/>
          </w:tcPr>
          <w:p w:rsidR="00000000" w:rsidRDefault="00000000">
            <w:pPr>
              <w:spacing w:before="40" w:after="40" w:line="220" w:lineRule="exact"/>
              <w:jc w:val="right"/>
              <w:rPr>
                <w:sz w:val="18"/>
                <w:szCs w:val="18"/>
              </w:rPr>
            </w:pPr>
          </w:p>
        </w:tc>
        <w:tc>
          <w:tcPr>
            <w:tcW w:w="938" w:type="dxa"/>
            <w:shd w:val="clear" w:color="auto" w:fill="auto"/>
            <w:vAlign w:val="bottom"/>
          </w:tcPr>
          <w:p w:rsidR="00000000" w:rsidRDefault="00000000">
            <w:pPr>
              <w:jc w:val="right"/>
              <w:rPr>
                <w:sz w:val="18"/>
                <w:szCs w:val="18"/>
              </w:rPr>
            </w:pPr>
            <w:r>
              <w:rPr>
                <w:sz w:val="18"/>
                <w:szCs w:val="18"/>
              </w:rPr>
              <w:t>3 391</w:t>
            </w:r>
          </w:p>
        </w:tc>
        <w:tc>
          <w:tcPr>
            <w:tcW w:w="938" w:type="dxa"/>
            <w:shd w:val="clear" w:color="auto" w:fill="auto"/>
            <w:vAlign w:val="bottom"/>
          </w:tcPr>
          <w:p w:rsidR="00000000" w:rsidRDefault="00000000">
            <w:pPr>
              <w:jc w:val="right"/>
              <w:rPr>
                <w:sz w:val="18"/>
                <w:szCs w:val="18"/>
              </w:rPr>
            </w:pPr>
            <w:r>
              <w:rPr>
                <w:sz w:val="18"/>
                <w:szCs w:val="18"/>
              </w:rPr>
              <w:t>1 668</w:t>
            </w:r>
          </w:p>
        </w:tc>
        <w:tc>
          <w:tcPr>
            <w:tcW w:w="938" w:type="dxa"/>
            <w:shd w:val="clear" w:color="auto" w:fill="auto"/>
            <w:vAlign w:val="bottom"/>
          </w:tcPr>
          <w:p w:rsidR="00000000" w:rsidRDefault="00000000">
            <w:pPr>
              <w:jc w:val="right"/>
              <w:rPr>
                <w:sz w:val="18"/>
                <w:szCs w:val="18"/>
              </w:rPr>
            </w:pPr>
            <w:r>
              <w:rPr>
                <w:sz w:val="18"/>
                <w:szCs w:val="18"/>
              </w:rPr>
              <w:t>1 722</w:t>
            </w:r>
          </w:p>
        </w:tc>
        <w:tc>
          <w:tcPr>
            <w:tcW w:w="123" w:type="dxa"/>
            <w:shd w:val="clear" w:color="auto" w:fill="auto"/>
            <w:vAlign w:val="bottom"/>
          </w:tcPr>
          <w:p w:rsidR="00000000" w:rsidRDefault="00000000">
            <w:pPr>
              <w:spacing w:before="40" w:after="40" w:line="220" w:lineRule="exact"/>
              <w:jc w:val="right"/>
              <w:rPr>
                <w:sz w:val="18"/>
                <w:szCs w:val="18"/>
              </w:rPr>
            </w:pPr>
          </w:p>
        </w:tc>
        <w:tc>
          <w:tcPr>
            <w:tcW w:w="938" w:type="dxa"/>
            <w:shd w:val="clear" w:color="auto" w:fill="auto"/>
            <w:vAlign w:val="bottom"/>
          </w:tcPr>
          <w:p w:rsidR="00000000" w:rsidRDefault="00000000">
            <w:pPr>
              <w:jc w:val="right"/>
              <w:rPr>
                <w:sz w:val="18"/>
                <w:szCs w:val="18"/>
              </w:rPr>
            </w:pPr>
            <w:r>
              <w:rPr>
                <w:sz w:val="18"/>
                <w:szCs w:val="18"/>
              </w:rPr>
              <w:t>5 788</w:t>
            </w:r>
          </w:p>
        </w:tc>
        <w:tc>
          <w:tcPr>
            <w:tcW w:w="938" w:type="dxa"/>
            <w:shd w:val="clear" w:color="auto" w:fill="auto"/>
            <w:vAlign w:val="bottom"/>
          </w:tcPr>
          <w:p w:rsidR="00000000" w:rsidRDefault="00000000">
            <w:pPr>
              <w:jc w:val="right"/>
              <w:rPr>
                <w:sz w:val="18"/>
                <w:szCs w:val="18"/>
              </w:rPr>
            </w:pPr>
            <w:r>
              <w:rPr>
                <w:sz w:val="18"/>
                <w:szCs w:val="18"/>
              </w:rPr>
              <w:t>2 820</w:t>
            </w:r>
          </w:p>
        </w:tc>
        <w:tc>
          <w:tcPr>
            <w:tcW w:w="938" w:type="dxa"/>
            <w:shd w:val="clear" w:color="auto" w:fill="auto"/>
            <w:vAlign w:val="bottom"/>
          </w:tcPr>
          <w:p w:rsidR="00000000" w:rsidRDefault="00000000">
            <w:pPr>
              <w:jc w:val="right"/>
              <w:rPr>
                <w:sz w:val="18"/>
                <w:szCs w:val="18"/>
              </w:rPr>
            </w:pPr>
            <w:r>
              <w:rPr>
                <w:sz w:val="18"/>
                <w:szCs w:val="18"/>
              </w:rPr>
              <w:t>2 970</w:t>
            </w:r>
          </w:p>
        </w:tc>
      </w:tr>
      <w:tr w:rsidR="00000000">
        <w:tc>
          <w:tcPr>
            <w:tcW w:w="938" w:type="dxa"/>
            <w:shd w:val="clear" w:color="auto" w:fill="auto"/>
          </w:tcPr>
          <w:p w:rsidR="00000000" w:rsidRDefault="00000000">
            <w:pPr>
              <w:spacing w:before="40" w:after="40" w:line="220" w:lineRule="exact"/>
              <w:rPr>
                <w:sz w:val="18"/>
                <w:lang w:val="fr-FR"/>
              </w:rPr>
            </w:pPr>
            <w:r>
              <w:rPr>
                <w:sz w:val="18"/>
                <w:lang w:val="fr-FR"/>
              </w:rPr>
              <w:t>2007</w:t>
            </w:r>
          </w:p>
        </w:tc>
        <w:tc>
          <w:tcPr>
            <w:tcW w:w="940" w:type="dxa"/>
            <w:shd w:val="clear" w:color="auto" w:fill="auto"/>
            <w:vAlign w:val="bottom"/>
          </w:tcPr>
          <w:p w:rsidR="00000000" w:rsidRDefault="00000000">
            <w:pPr>
              <w:jc w:val="right"/>
              <w:rPr>
                <w:sz w:val="18"/>
                <w:szCs w:val="18"/>
              </w:rPr>
            </w:pPr>
            <w:r>
              <w:rPr>
                <w:sz w:val="18"/>
                <w:szCs w:val="18"/>
              </w:rPr>
              <w:t>9 433</w:t>
            </w:r>
          </w:p>
        </w:tc>
        <w:tc>
          <w:tcPr>
            <w:tcW w:w="939" w:type="dxa"/>
            <w:shd w:val="clear" w:color="auto" w:fill="auto"/>
            <w:vAlign w:val="bottom"/>
          </w:tcPr>
          <w:p w:rsidR="00000000" w:rsidRDefault="00000000">
            <w:pPr>
              <w:jc w:val="right"/>
              <w:rPr>
                <w:sz w:val="18"/>
                <w:szCs w:val="18"/>
              </w:rPr>
            </w:pPr>
            <w:r>
              <w:rPr>
                <w:sz w:val="18"/>
                <w:szCs w:val="18"/>
              </w:rPr>
              <w:t>4 613</w:t>
            </w:r>
          </w:p>
        </w:tc>
        <w:tc>
          <w:tcPr>
            <w:tcW w:w="939" w:type="dxa"/>
            <w:shd w:val="clear" w:color="auto" w:fill="auto"/>
            <w:vAlign w:val="bottom"/>
          </w:tcPr>
          <w:p w:rsidR="00000000" w:rsidRDefault="00000000">
            <w:pPr>
              <w:jc w:val="right"/>
              <w:rPr>
                <w:sz w:val="18"/>
                <w:szCs w:val="18"/>
              </w:rPr>
            </w:pPr>
            <w:r>
              <w:rPr>
                <w:sz w:val="18"/>
                <w:szCs w:val="18"/>
              </w:rPr>
              <w:t>4 820</w:t>
            </w:r>
          </w:p>
        </w:tc>
        <w:tc>
          <w:tcPr>
            <w:tcW w:w="132" w:type="dxa"/>
            <w:shd w:val="clear" w:color="auto" w:fill="auto"/>
            <w:vAlign w:val="bottom"/>
          </w:tcPr>
          <w:p w:rsidR="00000000" w:rsidRDefault="00000000">
            <w:pPr>
              <w:spacing w:before="40" w:after="40" w:line="220" w:lineRule="exact"/>
              <w:jc w:val="right"/>
              <w:rPr>
                <w:sz w:val="18"/>
                <w:szCs w:val="18"/>
              </w:rPr>
            </w:pPr>
          </w:p>
        </w:tc>
        <w:tc>
          <w:tcPr>
            <w:tcW w:w="938" w:type="dxa"/>
            <w:shd w:val="clear" w:color="auto" w:fill="auto"/>
            <w:vAlign w:val="bottom"/>
          </w:tcPr>
          <w:p w:rsidR="00000000" w:rsidRDefault="00000000">
            <w:pPr>
              <w:jc w:val="right"/>
              <w:rPr>
                <w:sz w:val="18"/>
                <w:szCs w:val="18"/>
              </w:rPr>
            </w:pPr>
            <w:r>
              <w:rPr>
                <w:sz w:val="18"/>
                <w:szCs w:val="18"/>
              </w:rPr>
              <w:t>3 558</w:t>
            </w:r>
          </w:p>
        </w:tc>
        <w:tc>
          <w:tcPr>
            <w:tcW w:w="938" w:type="dxa"/>
            <w:shd w:val="clear" w:color="auto" w:fill="auto"/>
            <w:vAlign w:val="bottom"/>
          </w:tcPr>
          <w:p w:rsidR="00000000" w:rsidRDefault="00000000">
            <w:pPr>
              <w:jc w:val="right"/>
              <w:rPr>
                <w:sz w:val="18"/>
                <w:szCs w:val="18"/>
              </w:rPr>
            </w:pPr>
            <w:r>
              <w:rPr>
                <w:sz w:val="18"/>
                <w:szCs w:val="18"/>
              </w:rPr>
              <w:t>1 752</w:t>
            </w:r>
          </w:p>
        </w:tc>
        <w:tc>
          <w:tcPr>
            <w:tcW w:w="938" w:type="dxa"/>
            <w:shd w:val="clear" w:color="auto" w:fill="auto"/>
            <w:vAlign w:val="bottom"/>
          </w:tcPr>
          <w:p w:rsidR="00000000" w:rsidRDefault="00000000">
            <w:pPr>
              <w:jc w:val="right"/>
              <w:rPr>
                <w:sz w:val="18"/>
                <w:szCs w:val="18"/>
              </w:rPr>
            </w:pPr>
            <w:r>
              <w:rPr>
                <w:sz w:val="18"/>
                <w:szCs w:val="18"/>
              </w:rPr>
              <w:t>1 807</w:t>
            </w:r>
          </w:p>
        </w:tc>
        <w:tc>
          <w:tcPr>
            <w:tcW w:w="123" w:type="dxa"/>
            <w:shd w:val="clear" w:color="auto" w:fill="auto"/>
            <w:vAlign w:val="bottom"/>
          </w:tcPr>
          <w:p w:rsidR="00000000" w:rsidRDefault="00000000">
            <w:pPr>
              <w:spacing w:before="40" w:after="40" w:line="220" w:lineRule="exact"/>
              <w:jc w:val="right"/>
              <w:rPr>
                <w:sz w:val="18"/>
                <w:szCs w:val="18"/>
              </w:rPr>
            </w:pPr>
          </w:p>
        </w:tc>
        <w:tc>
          <w:tcPr>
            <w:tcW w:w="938" w:type="dxa"/>
            <w:shd w:val="clear" w:color="auto" w:fill="auto"/>
            <w:vAlign w:val="bottom"/>
          </w:tcPr>
          <w:p w:rsidR="00000000" w:rsidRDefault="00000000">
            <w:pPr>
              <w:jc w:val="right"/>
              <w:rPr>
                <w:sz w:val="18"/>
                <w:szCs w:val="18"/>
              </w:rPr>
            </w:pPr>
            <w:r>
              <w:rPr>
                <w:sz w:val="18"/>
                <w:szCs w:val="18"/>
              </w:rPr>
              <w:t>5 875</w:t>
            </w:r>
          </w:p>
        </w:tc>
        <w:tc>
          <w:tcPr>
            <w:tcW w:w="938" w:type="dxa"/>
            <w:shd w:val="clear" w:color="auto" w:fill="auto"/>
            <w:vAlign w:val="bottom"/>
          </w:tcPr>
          <w:p w:rsidR="00000000" w:rsidRDefault="00000000">
            <w:pPr>
              <w:jc w:val="right"/>
              <w:rPr>
                <w:sz w:val="18"/>
                <w:szCs w:val="18"/>
              </w:rPr>
            </w:pPr>
            <w:r>
              <w:rPr>
                <w:sz w:val="18"/>
                <w:szCs w:val="18"/>
              </w:rPr>
              <w:t>2 861</w:t>
            </w:r>
          </w:p>
        </w:tc>
        <w:tc>
          <w:tcPr>
            <w:tcW w:w="938" w:type="dxa"/>
            <w:shd w:val="clear" w:color="auto" w:fill="auto"/>
            <w:vAlign w:val="bottom"/>
          </w:tcPr>
          <w:p w:rsidR="00000000" w:rsidRDefault="00000000">
            <w:pPr>
              <w:jc w:val="right"/>
              <w:rPr>
                <w:sz w:val="18"/>
                <w:szCs w:val="18"/>
              </w:rPr>
            </w:pPr>
            <w:r>
              <w:rPr>
                <w:sz w:val="18"/>
                <w:szCs w:val="18"/>
              </w:rPr>
              <w:t>3 013</w:t>
            </w:r>
          </w:p>
        </w:tc>
      </w:tr>
      <w:tr w:rsidR="00000000">
        <w:tc>
          <w:tcPr>
            <w:tcW w:w="938" w:type="dxa"/>
            <w:tcBorders>
              <w:bottom w:val="single" w:sz="12" w:space="0" w:color="auto"/>
            </w:tcBorders>
            <w:shd w:val="clear" w:color="auto" w:fill="auto"/>
          </w:tcPr>
          <w:p w:rsidR="00000000" w:rsidRDefault="00000000">
            <w:pPr>
              <w:spacing w:before="40" w:after="40" w:line="220" w:lineRule="exact"/>
              <w:rPr>
                <w:sz w:val="18"/>
                <w:lang w:val="fr-FR"/>
              </w:rPr>
            </w:pPr>
            <w:r>
              <w:rPr>
                <w:sz w:val="18"/>
                <w:lang w:val="fr-FR"/>
              </w:rPr>
              <w:t>2008</w:t>
            </w:r>
          </w:p>
        </w:tc>
        <w:tc>
          <w:tcPr>
            <w:tcW w:w="940" w:type="dxa"/>
            <w:tcBorders>
              <w:bottom w:val="single" w:sz="12" w:space="0" w:color="auto"/>
            </w:tcBorders>
            <w:shd w:val="clear" w:color="auto" w:fill="auto"/>
            <w:vAlign w:val="bottom"/>
          </w:tcPr>
          <w:p w:rsidR="00000000" w:rsidRDefault="00000000">
            <w:pPr>
              <w:jc w:val="right"/>
              <w:rPr>
                <w:sz w:val="18"/>
                <w:szCs w:val="18"/>
              </w:rPr>
            </w:pPr>
            <w:r>
              <w:rPr>
                <w:sz w:val="18"/>
                <w:szCs w:val="18"/>
              </w:rPr>
              <w:t>9 694</w:t>
            </w:r>
          </w:p>
        </w:tc>
        <w:tc>
          <w:tcPr>
            <w:tcW w:w="939" w:type="dxa"/>
            <w:tcBorders>
              <w:bottom w:val="single" w:sz="12" w:space="0" w:color="auto"/>
            </w:tcBorders>
            <w:shd w:val="clear" w:color="auto" w:fill="auto"/>
            <w:vAlign w:val="bottom"/>
          </w:tcPr>
          <w:p w:rsidR="00000000" w:rsidRDefault="00000000">
            <w:pPr>
              <w:jc w:val="right"/>
              <w:rPr>
                <w:sz w:val="18"/>
                <w:szCs w:val="18"/>
              </w:rPr>
            </w:pPr>
            <w:r>
              <w:rPr>
                <w:sz w:val="18"/>
                <w:szCs w:val="18"/>
              </w:rPr>
              <w:t>4 742</w:t>
            </w:r>
          </w:p>
        </w:tc>
        <w:tc>
          <w:tcPr>
            <w:tcW w:w="939" w:type="dxa"/>
            <w:tcBorders>
              <w:bottom w:val="single" w:sz="12" w:space="0" w:color="auto"/>
            </w:tcBorders>
            <w:shd w:val="clear" w:color="auto" w:fill="auto"/>
            <w:vAlign w:val="bottom"/>
          </w:tcPr>
          <w:p w:rsidR="00000000" w:rsidRDefault="00000000">
            <w:pPr>
              <w:jc w:val="right"/>
              <w:rPr>
                <w:sz w:val="18"/>
                <w:szCs w:val="18"/>
              </w:rPr>
            </w:pPr>
            <w:r>
              <w:rPr>
                <w:sz w:val="18"/>
                <w:szCs w:val="18"/>
              </w:rPr>
              <w:t>4 952</w:t>
            </w:r>
          </w:p>
        </w:tc>
        <w:tc>
          <w:tcPr>
            <w:tcW w:w="132" w:type="dxa"/>
            <w:tcBorders>
              <w:bottom w:val="single" w:sz="12" w:space="0" w:color="auto"/>
            </w:tcBorders>
            <w:shd w:val="clear" w:color="auto" w:fill="auto"/>
            <w:vAlign w:val="bottom"/>
          </w:tcPr>
          <w:p w:rsidR="00000000" w:rsidRDefault="00000000">
            <w:pPr>
              <w:spacing w:before="40" w:after="40" w:line="220" w:lineRule="exact"/>
              <w:jc w:val="right"/>
              <w:rPr>
                <w:sz w:val="18"/>
                <w:szCs w:val="18"/>
              </w:rPr>
            </w:pPr>
          </w:p>
        </w:tc>
        <w:tc>
          <w:tcPr>
            <w:tcW w:w="938" w:type="dxa"/>
            <w:tcBorders>
              <w:bottom w:val="single" w:sz="12" w:space="0" w:color="auto"/>
            </w:tcBorders>
            <w:shd w:val="clear" w:color="auto" w:fill="auto"/>
            <w:vAlign w:val="bottom"/>
          </w:tcPr>
          <w:p w:rsidR="00000000" w:rsidRDefault="00000000">
            <w:pPr>
              <w:jc w:val="right"/>
              <w:rPr>
                <w:sz w:val="18"/>
                <w:szCs w:val="18"/>
              </w:rPr>
            </w:pPr>
            <w:r>
              <w:rPr>
                <w:sz w:val="18"/>
                <w:szCs w:val="18"/>
              </w:rPr>
              <w:t>3 736</w:t>
            </w:r>
          </w:p>
        </w:tc>
        <w:tc>
          <w:tcPr>
            <w:tcW w:w="938" w:type="dxa"/>
            <w:tcBorders>
              <w:bottom w:val="single" w:sz="12" w:space="0" w:color="auto"/>
            </w:tcBorders>
            <w:shd w:val="clear" w:color="auto" w:fill="auto"/>
            <w:vAlign w:val="bottom"/>
          </w:tcPr>
          <w:p w:rsidR="00000000" w:rsidRDefault="00000000">
            <w:pPr>
              <w:jc w:val="right"/>
              <w:rPr>
                <w:sz w:val="18"/>
                <w:szCs w:val="18"/>
              </w:rPr>
            </w:pPr>
            <w:r>
              <w:rPr>
                <w:sz w:val="18"/>
                <w:szCs w:val="18"/>
              </w:rPr>
              <w:t>1 840</w:t>
            </w:r>
          </w:p>
        </w:tc>
        <w:tc>
          <w:tcPr>
            <w:tcW w:w="938" w:type="dxa"/>
            <w:tcBorders>
              <w:bottom w:val="single" w:sz="12" w:space="0" w:color="auto"/>
            </w:tcBorders>
            <w:shd w:val="clear" w:color="auto" w:fill="auto"/>
            <w:vAlign w:val="bottom"/>
          </w:tcPr>
          <w:p w:rsidR="00000000" w:rsidRDefault="00000000">
            <w:pPr>
              <w:jc w:val="right"/>
              <w:rPr>
                <w:sz w:val="18"/>
                <w:szCs w:val="18"/>
              </w:rPr>
            </w:pPr>
            <w:r>
              <w:rPr>
                <w:sz w:val="18"/>
                <w:szCs w:val="18"/>
              </w:rPr>
              <w:t>1 895</w:t>
            </w:r>
          </w:p>
        </w:tc>
        <w:tc>
          <w:tcPr>
            <w:tcW w:w="123" w:type="dxa"/>
            <w:tcBorders>
              <w:bottom w:val="single" w:sz="12" w:space="0" w:color="auto"/>
            </w:tcBorders>
            <w:shd w:val="clear" w:color="auto" w:fill="auto"/>
            <w:vAlign w:val="bottom"/>
          </w:tcPr>
          <w:p w:rsidR="00000000" w:rsidRDefault="00000000">
            <w:pPr>
              <w:spacing w:before="40" w:after="40" w:line="220" w:lineRule="exact"/>
              <w:jc w:val="right"/>
              <w:rPr>
                <w:sz w:val="18"/>
                <w:szCs w:val="18"/>
              </w:rPr>
            </w:pPr>
          </w:p>
        </w:tc>
        <w:tc>
          <w:tcPr>
            <w:tcW w:w="938" w:type="dxa"/>
            <w:tcBorders>
              <w:bottom w:val="single" w:sz="12" w:space="0" w:color="auto"/>
            </w:tcBorders>
            <w:shd w:val="clear" w:color="auto" w:fill="auto"/>
            <w:vAlign w:val="bottom"/>
          </w:tcPr>
          <w:p w:rsidR="00000000" w:rsidRDefault="00000000">
            <w:pPr>
              <w:jc w:val="right"/>
              <w:rPr>
                <w:sz w:val="18"/>
                <w:szCs w:val="18"/>
              </w:rPr>
            </w:pPr>
            <w:r>
              <w:rPr>
                <w:sz w:val="18"/>
                <w:szCs w:val="18"/>
              </w:rPr>
              <w:t>5 958</w:t>
            </w:r>
          </w:p>
        </w:tc>
        <w:tc>
          <w:tcPr>
            <w:tcW w:w="938" w:type="dxa"/>
            <w:tcBorders>
              <w:bottom w:val="single" w:sz="12" w:space="0" w:color="auto"/>
            </w:tcBorders>
            <w:shd w:val="clear" w:color="auto" w:fill="auto"/>
            <w:vAlign w:val="bottom"/>
          </w:tcPr>
          <w:p w:rsidR="00000000" w:rsidRDefault="00000000">
            <w:pPr>
              <w:jc w:val="right"/>
              <w:rPr>
                <w:sz w:val="18"/>
                <w:szCs w:val="18"/>
              </w:rPr>
            </w:pPr>
            <w:r>
              <w:rPr>
                <w:sz w:val="18"/>
                <w:szCs w:val="18"/>
              </w:rPr>
              <w:t>2 902</w:t>
            </w:r>
          </w:p>
        </w:tc>
        <w:tc>
          <w:tcPr>
            <w:tcW w:w="938" w:type="dxa"/>
            <w:tcBorders>
              <w:bottom w:val="single" w:sz="12" w:space="0" w:color="auto"/>
            </w:tcBorders>
            <w:shd w:val="clear" w:color="auto" w:fill="auto"/>
            <w:vAlign w:val="bottom"/>
          </w:tcPr>
          <w:p w:rsidR="00000000" w:rsidRDefault="00000000">
            <w:pPr>
              <w:jc w:val="right"/>
              <w:rPr>
                <w:sz w:val="18"/>
                <w:szCs w:val="18"/>
              </w:rPr>
            </w:pPr>
            <w:r>
              <w:rPr>
                <w:sz w:val="18"/>
                <w:szCs w:val="18"/>
              </w:rPr>
              <w:t>3 057</w:t>
            </w:r>
          </w:p>
        </w:tc>
      </w:tr>
    </w:tbl>
    <w:p w:rsidR="00000000" w:rsidRDefault="00000000">
      <w:pPr>
        <w:spacing w:before="120" w:after="240"/>
        <w:ind w:firstLine="170"/>
        <w:rPr>
          <w:sz w:val="18"/>
          <w:szCs w:val="18"/>
          <w:lang w:val="fr-FR"/>
        </w:rPr>
      </w:pPr>
      <w:r>
        <w:rPr>
          <w:bCs/>
          <w:i/>
          <w:iCs/>
          <w:sz w:val="18"/>
          <w:szCs w:val="18"/>
          <w:lang w:val="fr-FR"/>
        </w:rPr>
        <w:t xml:space="preserve">Source: </w:t>
      </w:r>
      <w:r>
        <w:rPr>
          <w:bCs/>
          <w:iCs/>
          <w:sz w:val="18"/>
          <w:szCs w:val="18"/>
          <w:lang w:val="fr-FR"/>
        </w:rPr>
        <w:t>Rapport d’analyse, vol. II, Tome VIII, Perspectives et projections démographique, RGPH 199</w:t>
      </w:r>
      <w:r>
        <w:rPr>
          <w:bCs/>
          <w:i/>
          <w:iCs/>
          <w:sz w:val="18"/>
          <w:szCs w:val="18"/>
          <w:lang w:val="fr-FR"/>
        </w:rPr>
        <w:t xml:space="preserve">3 − </w:t>
      </w:r>
      <w:r>
        <w:rPr>
          <w:sz w:val="18"/>
          <w:szCs w:val="18"/>
          <w:lang w:val="fr-FR"/>
        </w:rPr>
        <w:t>DDSS −, INSTAT − 1997.</w:t>
      </w:r>
    </w:p>
    <w:p w:rsidR="00000000" w:rsidRDefault="00000000">
      <w:pPr>
        <w:pStyle w:val="SingleTxtG"/>
        <w:rPr>
          <w:lang w:val="fr-FR"/>
        </w:rPr>
      </w:pPr>
      <w:r>
        <w:rPr>
          <w:lang w:val="fr-FR"/>
        </w:rPr>
        <w:t>11.</w:t>
      </w:r>
      <w:r>
        <w:rPr>
          <w:lang w:val="fr-FR"/>
        </w:rPr>
        <w:tab/>
        <w:t>La fécondité est élevée et précoce. L’indice synthétique de fécondité (ISF) est actuellement de 5,2 enfants. La proportion d’adolescentes de 15 à 19 ans ayant déjà commencé leur vie féconde reste élevée: 31 % en 1997 et 28 % en 2003-2004. (EDS, 1997, 2003/2004).</w:t>
      </w:r>
    </w:p>
    <w:p w:rsidR="00000000" w:rsidRDefault="00000000">
      <w:pPr>
        <w:pStyle w:val="SingleTxtG"/>
        <w:rPr>
          <w:lang w:val="fr-FR"/>
        </w:rPr>
      </w:pPr>
      <w:r>
        <w:rPr>
          <w:lang w:val="fr-FR"/>
        </w:rPr>
        <w:t>12.</w:t>
      </w:r>
      <w:r>
        <w:rPr>
          <w:lang w:val="fr-FR"/>
        </w:rPr>
        <w:tab/>
        <w:t>Si en 1992, la mortalité infantile était de 93 ‰, elle n’était plus que de 58 ‰ en 2003-2004 soit une baisse significative de 38 % en 10 ans. Dans la même période, la mortalité des moins de enfants 5 ans a été réduite de 163 à 94 ‰ affichant une baisse de 42 %.</w:t>
      </w:r>
    </w:p>
    <w:p w:rsidR="00000000" w:rsidRDefault="00000000">
      <w:pPr>
        <w:pStyle w:val="SingleTxtG"/>
        <w:keepNext/>
        <w:keepLines/>
        <w:rPr>
          <w:lang w:val="fr-FR"/>
        </w:rPr>
      </w:pPr>
      <w:r>
        <w:rPr>
          <w:lang w:val="fr-FR"/>
        </w:rPr>
        <w:t>13.</w:t>
      </w:r>
      <w:r>
        <w:rPr>
          <w:lang w:val="fr-FR"/>
        </w:rPr>
        <w:tab/>
        <w:t>L’EDS 2003-2004 indique que le taux de vaccination est passé de 31 % à 53 % entre 1997 et 2004 et la prévalence du paludisme a connu une baisse importante passant de 27,1 % en 1992 à 20,6 % en 2004. L’espérance de vie a enregistré une hausse par rapport à celle de 1993 et est actuellement de 58,1 pour les femmes et 56,3 pour les hommes. Ainsi Madagascar fait désormais partie des pays d’Afrique subsaharienne où les chances de survie sont parmi les meilleures.</w:t>
      </w:r>
    </w:p>
    <w:p w:rsidR="00000000" w:rsidRDefault="00000000">
      <w:pPr>
        <w:pStyle w:val="H1G"/>
        <w:rPr>
          <w:lang w:val="fr-FR"/>
        </w:rPr>
      </w:pPr>
      <w:bookmarkStart w:id="55" w:name="_Toc193274986"/>
      <w:bookmarkStart w:id="56" w:name="_Toc195947134"/>
      <w:bookmarkStart w:id="57" w:name="_Toc195958777"/>
      <w:bookmarkStart w:id="58" w:name="_Toc206414477"/>
      <w:bookmarkStart w:id="59" w:name="_Toc206460318"/>
      <w:bookmarkStart w:id="60" w:name="_Toc206460650"/>
      <w:bookmarkStart w:id="61" w:name="_Toc206461372"/>
      <w:bookmarkStart w:id="62" w:name="_Toc206476166"/>
      <w:bookmarkStart w:id="63" w:name="_Toc207788701"/>
      <w:bookmarkStart w:id="64" w:name="_Toc211835372"/>
      <w:bookmarkStart w:id="65" w:name="_Toc211926679"/>
      <w:r>
        <w:rPr>
          <w:lang w:val="fr-FR"/>
        </w:rPr>
        <w:tab/>
      </w:r>
      <w:bookmarkStart w:id="66" w:name="_Toc260298203"/>
      <w:r>
        <w:rPr>
          <w:lang w:val="fr-FR"/>
        </w:rPr>
        <w:t>B.</w:t>
      </w:r>
      <w:r>
        <w:rPr>
          <w:lang w:val="fr-FR"/>
        </w:rPr>
        <w:tab/>
        <w:t>Le contexte socio-économique</w:t>
      </w:r>
      <w:bookmarkEnd w:id="55"/>
      <w:bookmarkEnd w:id="56"/>
      <w:bookmarkEnd w:id="57"/>
      <w:bookmarkEnd w:id="58"/>
      <w:bookmarkEnd w:id="59"/>
      <w:bookmarkEnd w:id="60"/>
      <w:bookmarkEnd w:id="61"/>
      <w:bookmarkEnd w:id="62"/>
      <w:bookmarkEnd w:id="63"/>
      <w:bookmarkEnd w:id="64"/>
      <w:bookmarkEnd w:id="65"/>
      <w:bookmarkEnd w:id="66"/>
    </w:p>
    <w:p w:rsidR="00000000" w:rsidRDefault="00000000">
      <w:pPr>
        <w:pStyle w:val="H23G"/>
        <w:rPr>
          <w:lang w:val="fr-FR"/>
        </w:rPr>
      </w:pPr>
      <w:bookmarkStart w:id="67" w:name="_Toc193274987"/>
      <w:bookmarkStart w:id="68" w:name="_Toc206414478"/>
      <w:bookmarkStart w:id="69" w:name="_Toc206460319"/>
      <w:bookmarkStart w:id="70" w:name="_Toc206460651"/>
      <w:bookmarkStart w:id="71" w:name="_Toc206461373"/>
      <w:bookmarkStart w:id="72" w:name="_Toc206476167"/>
      <w:bookmarkStart w:id="73" w:name="_Toc207788702"/>
      <w:bookmarkStart w:id="74" w:name="_Toc211835373"/>
      <w:bookmarkStart w:id="75" w:name="_Toc211926680"/>
      <w:r>
        <w:rPr>
          <w:lang w:val="fr-FR"/>
        </w:rPr>
        <w:tab/>
        <w:t>1.</w:t>
      </w:r>
      <w:r>
        <w:rPr>
          <w:lang w:val="fr-FR"/>
        </w:rPr>
        <w:tab/>
        <w:t>Indicateurs économiques</w:t>
      </w:r>
      <w:bookmarkEnd w:id="67"/>
      <w:bookmarkEnd w:id="68"/>
      <w:bookmarkEnd w:id="69"/>
      <w:bookmarkEnd w:id="70"/>
      <w:bookmarkEnd w:id="71"/>
      <w:bookmarkEnd w:id="72"/>
      <w:bookmarkEnd w:id="73"/>
      <w:bookmarkEnd w:id="74"/>
      <w:bookmarkEnd w:id="75"/>
    </w:p>
    <w:p w:rsidR="00000000" w:rsidRDefault="00000000">
      <w:pPr>
        <w:pStyle w:val="SingleTxtG"/>
        <w:rPr>
          <w:lang w:val="fr-FR"/>
        </w:rPr>
      </w:pPr>
      <w:r>
        <w:rPr>
          <w:lang w:val="fr-FR"/>
        </w:rPr>
        <w:t>14.</w:t>
      </w:r>
      <w:r>
        <w:rPr>
          <w:lang w:val="fr-FR"/>
        </w:rPr>
        <w:tab/>
        <w:t>Depuis 2002, l’économie malgache a réalisé un accroissement réel positif. Les réformes structurelles au niveau de la gestion des finances publiques, de la promotion des investissements privés et de la lutte contre la corruption ont amélioré sensiblement la situation macroéconomique globale.</w:t>
      </w:r>
    </w:p>
    <w:p w:rsidR="00000000" w:rsidRDefault="00000000">
      <w:pPr>
        <w:pStyle w:val="SingleTxtG"/>
        <w:rPr>
          <w:lang w:val="fr-FR"/>
        </w:rPr>
      </w:pPr>
      <w:r>
        <w:rPr>
          <w:lang w:val="fr-FR"/>
        </w:rPr>
        <w:t>15.</w:t>
      </w:r>
      <w:r>
        <w:rPr>
          <w:lang w:val="fr-FR"/>
        </w:rPr>
        <w:tab/>
        <w:t>Par ailleurs le dynamisme du secteur privé dans plusieurs secteurs d’activités, en particulier les mines et le tourisme a beaucoup contribué à cette tendance vers une croissance soutenue Tous les indicateurs macroéconomiques et sociaux sont en nette amélioration:</w:t>
      </w:r>
    </w:p>
    <w:p w:rsidR="00000000" w:rsidRDefault="00000000">
      <w:pPr>
        <w:pStyle w:val="Bullet1G"/>
        <w:rPr>
          <w:lang w:val="fr-FR"/>
        </w:rPr>
      </w:pPr>
      <w:r>
        <w:rPr>
          <w:lang w:val="fr-FR"/>
        </w:rPr>
        <w:t xml:space="preserve">Une croissance économique soutenue estimée en moyenne à 5 % par an, passant de 5,3 % en 2004 à 6,2 % en 2007; </w:t>
      </w:r>
    </w:p>
    <w:p w:rsidR="00000000" w:rsidRDefault="00000000">
      <w:pPr>
        <w:pStyle w:val="Bullet1G"/>
        <w:rPr>
          <w:lang w:val="fr-FR"/>
        </w:rPr>
      </w:pPr>
      <w:r>
        <w:rPr>
          <w:lang w:val="fr-FR"/>
        </w:rPr>
        <w:t xml:space="preserve">Un accroissement des investissements privés estimés à 12,3 % du PIB en 2005 et à 20,7 % du PIB en 2007; </w:t>
      </w:r>
    </w:p>
    <w:p w:rsidR="00000000" w:rsidRDefault="00000000">
      <w:pPr>
        <w:pStyle w:val="Bullet1G"/>
        <w:rPr>
          <w:lang w:val="fr-FR"/>
        </w:rPr>
      </w:pPr>
      <w:r>
        <w:rPr>
          <w:lang w:val="fr-FR"/>
        </w:rPr>
        <w:t xml:space="preserve">Un taux d’inflation ayant significativement chuté passant de 27 % en 2004 à 10,8 % en 2006 et à 8,2 % en 2007; </w:t>
      </w:r>
    </w:p>
    <w:p w:rsidR="00000000" w:rsidRDefault="00000000">
      <w:pPr>
        <w:pStyle w:val="Bullet1G"/>
        <w:rPr>
          <w:lang w:val="fr-FR"/>
        </w:rPr>
      </w:pPr>
      <w:r>
        <w:rPr>
          <w:lang w:val="fr-FR"/>
        </w:rPr>
        <w:t xml:space="preserve">Une pauvreté en recul sensible, avec un taux de pauvreté de 66,3 % en 2007 contre 73,6 % en 2003 soit une baisse moyenne par an de 1,2 point; </w:t>
      </w:r>
    </w:p>
    <w:p w:rsidR="00000000" w:rsidRDefault="00000000">
      <w:pPr>
        <w:pStyle w:val="Bullet1G"/>
        <w:rPr>
          <w:lang w:val="fr-FR"/>
        </w:rPr>
      </w:pPr>
      <w:r>
        <w:rPr>
          <w:lang w:val="fr-FR"/>
        </w:rPr>
        <w:t xml:space="preserve">Un taux de pression fiscale en constante progression passant de 9,7 % en 2001 à 11,7 % en 2007; </w:t>
      </w:r>
    </w:p>
    <w:p w:rsidR="00000000" w:rsidRDefault="00000000">
      <w:pPr>
        <w:pStyle w:val="Bullet1G"/>
        <w:rPr>
          <w:lang w:val="fr-FR"/>
        </w:rPr>
      </w:pPr>
      <w:r>
        <w:rPr>
          <w:lang w:val="fr-FR"/>
        </w:rPr>
        <w:t xml:space="preserve">Le déficit budgétaire s’est nettement amélioré se situant à -4,3 % du PIB en 2005 et à -2,8 % du PIB en 2007; </w:t>
      </w:r>
    </w:p>
    <w:p w:rsidR="00000000" w:rsidRDefault="00000000">
      <w:pPr>
        <w:pStyle w:val="Bullet1G"/>
        <w:rPr>
          <w:lang w:val="fr-FR"/>
        </w:rPr>
      </w:pPr>
      <w:r>
        <w:rPr>
          <w:lang w:val="fr-FR"/>
        </w:rPr>
        <w:t xml:space="preserve">Un environnement économique plus favorable marqué par l’amélioration de l’indice de perception de la corruption passant de 1,7 en 2002 à 2,8en 2005 et à 3,2 en 2007 (Transparency International); </w:t>
      </w:r>
    </w:p>
    <w:p w:rsidR="00000000" w:rsidRDefault="00000000">
      <w:pPr>
        <w:pStyle w:val="Bullet1G"/>
        <w:rPr>
          <w:lang w:val="fr-FR"/>
        </w:rPr>
      </w:pPr>
      <w:r>
        <w:rPr>
          <w:lang w:val="fr-FR"/>
        </w:rPr>
        <w:t>Un accroissement du flux des investissements directs étrangers constatés en 2006 et 2007 respectivement de 150,5 millions de DTS et 652,1 millions de DTS, malgré les différentes contraintes encore diversement perçues par certains secteurs d’activités;</w:t>
      </w:r>
    </w:p>
    <w:p w:rsidR="00000000" w:rsidRDefault="00000000">
      <w:pPr>
        <w:pStyle w:val="Bullet1G"/>
        <w:rPr>
          <w:lang w:val="fr-FR"/>
        </w:rPr>
      </w:pPr>
      <w:r>
        <w:rPr>
          <w:lang w:val="fr-FR"/>
        </w:rPr>
        <w:t>L’effectivité de la nouvelle loi organique sur les finances publiques.</w:t>
      </w:r>
    </w:p>
    <w:p w:rsidR="00000000" w:rsidRDefault="00000000">
      <w:pPr>
        <w:pStyle w:val="SingleTxtG"/>
        <w:pageBreakBefore/>
        <w:spacing w:after="0"/>
        <w:jc w:val="left"/>
      </w:pPr>
      <w:bookmarkStart w:id="76" w:name="_Toc260298204"/>
      <w:r>
        <w:t>Tableau 4</w:t>
      </w:r>
    </w:p>
    <w:p w:rsidR="00000000" w:rsidRDefault="00000000">
      <w:pPr>
        <w:pStyle w:val="SingleTxtG"/>
        <w:rPr>
          <w:b/>
        </w:rPr>
      </w:pPr>
      <w:r>
        <w:rPr>
          <w:b/>
        </w:rPr>
        <w:t>Le tableau et les graphiques ci-dessous synthétisent l’évolution des indicateurs économiques durant la période couverte par le présent rapport</w:t>
      </w:r>
      <w:bookmarkEnd w:id="76"/>
    </w:p>
    <w:tbl>
      <w:tblPr>
        <w:tblW w:w="8505" w:type="dxa"/>
        <w:tblInd w:w="1134" w:type="dxa"/>
        <w:tblLayout w:type="fixed"/>
        <w:tblCellMar>
          <w:left w:w="0" w:type="dxa"/>
          <w:right w:w="0" w:type="dxa"/>
        </w:tblCellMar>
        <w:tblLook w:val="01E0" w:firstRow="1" w:lastRow="1" w:firstColumn="1" w:lastColumn="1" w:noHBand="0" w:noVBand="0"/>
      </w:tblPr>
      <w:tblGrid>
        <w:gridCol w:w="2827"/>
        <w:gridCol w:w="925"/>
        <w:gridCol w:w="925"/>
        <w:gridCol w:w="925"/>
        <w:gridCol w:w="925"/>
        <w:gridCol w:w="128"/>
        <w:gridCol w:w="925"/>
        <w:gridCol w:w="914"/>
        <w:gridCol w:w="11"/>
      </w:tblGrid>
      <w:tr w:rsidR="00000000">
        <w:trPr>
          <w:gridAfter w:val="1"/>
          <w:wAfter w:w="11" w:type="dxa"/>
          <w:trHeight w:val="182"/>
        </w:trPr>
        <w:tc>
          <w:tcPr>
            <w:tcW w:w="2827" w:type="dxa"/>
            <w:vMerge w:val="restart"/>
            <w:tcBorders>
              <w:top w:val="single" w:sz="4" w:space="0" w:color="auto"/>
            </w:tcBorders>
            <w:shd w:val="clear" w:color="auto" w:fill="auto"/>
            <w:vAlign w:val="bottom"/>
          </w:tcPr>
          <w:p w:rsidR="00000000" w:rsidRDefault="00000000">
            <w:pPr>
              <w:spacing w:before="80" w:after="80" w:line="200" w:lineRule="exact"/>
              <w:rPr>
                <w:i/>
                <w:sz w:val="16"/>
                <w:szCs w:val="16"/>
              </w:rPr>
            </w:pPr>
            <w:r>
              <w:rPr>
                <w:bCs/>
                <w:i/>
                <w:sz w:val="16"/>
                <w:szCs w:val="16"/>
              </w:rPr>
              <w:t>Indicateurs</w:t>
            </w:r>
          </w:p>
        </w:tc>
        <w:tc>
          <w:tcPr>
            <w:tcW w:w="925" w:type="dxa"/>
            <w:vMerge w:val="restart"/>
            <w:tcBorders>
              <w:top w:val="single" w:sz="4" w:space="0" w:color="auto"/>
            </w:tcBorders>
            <w:shd w:val="clear" w:color="auto" w:fill="auto"/>
            <w:vAlign w:val="bottom"/>
          </w:tcPr>
          <w:p w:rsidR="00000000" w:rsidRDefault="00000000">
            <w:pPr>
              <w:spacing w:before="80" w:after="80" w:line="200" w:lineRule="exact"/>
              <w:jc w:val="right"/>
              <w:rPr>
                <w:bCs/>
                <w:i/>
                <w:sz w:val="16"/>
                <w:szCs w:val="16"/>
              </w:rPr>
            </w:pPr>
            <w:r>
              <w:rPr>
                <w:bCs/>
                <w:i/>
                <w:sz w:val="16"/>
                <w:szCs w:val="16"/>
              </w:rPr>
              <w:t>2003</w:t>
            </w:r>
          </w:p>
        </w:tc>
        <w:tc>
          <w:tcPr>
            <w:tcW w:w="925" w:type="dxa"/>
            <w:vMerge w:val="restart"/>
            <w:tcBorders>
              <w:top w:val="single" w:sz="4" w:space="0" w:color="auto"/>
            </w:tcBorders>
            <w:shd w:val="clear" w:color="auto" w:fill="auto"/>
            <w:vAlign w:val="bottom"/>
          </w:tcPr>
          <w:p w:rsidR="00000000" w:rsidRDefault="00000000">
            <w:pPr>
              <w:spacing w:before="80" w:after="80" w:line="200" w:lineRule="exact"/>
              <w:jc w:val="right"/>
              <w:rPr>
                <w:bCs/>
                <w:i/>
                <w:sz w:val="16"/>
                <w:szCs w:val="16"/>
              </w:rPr>
            </w:pPr>
            <w:r>
              <w:rPr>
                <w:bCs/>
                <w:i/>
                <w:sz w:val="16"/>
                <w:szCs w:val="16"/>
              </w:rPr>
              <w:t>2004</w:t>
            </w:r>
          </w:p>
        </w:tc>
        <w:tc>
          <w:tcPr>
            <w:tcW w:w="925" w:type="dxa"/>
            <w:vMerge w:val="restart"/>
            <w:tcBorders>
              <w:top w:val="single" w:sz="4" w:space="0" w:color="auto"/>
            </w:tcBorders>
            <w:shd w:val="clear" w:color="auto" w:fill="auto"/>
            <w:vAlign w:val="bottom"/>
          </w:tcPr>
          <w:p w:rsidR="00000000" w:rsidRDefault="00000000">
            <w:pPr>
              <w:spacing w:before="80" w:after="80" w:line="200" w:lineRule="exact"/>
              <w:jc w:val="right"/>
              <w:rPr>
                <w:bCs/>
                <w:i/>
                <w:sz w:val="16"/>
                <w:szCs w:val="16"/>
              </w:rPr>
            </w:pPr>
            <w:r>
              <w:rPr>
                <w:bCs/>
                <w:i/>
                <w:sz w:val="16"/>
                <w:szCs w:val="16"/>
              </w:rPr>
              <w:t>2005</w:t>
            </w:r>
          </w:p>
        </w:tc>
        <w:tc>
          <w:tcPr>
            <w:tcW w:w="925" w:type="dxa"/>
            <w:vMerge w:val="restart"/>
            <w:tcBorders>
              <w:top w:val="single" w:sz="4" w:space="0" w:color="auto"/>
            </w:tcBorders>
            <w:shd w:val="clear" w:color="auto" w:fill="auto"/>
            <w:vAlign w:val="bottom"/>
          </w:tcPr>
          <w:p w:rsidR="00000000" w:rsidRDefault="00000000">
            <w:pPr>
              <w:spacing w:before="80" w:after="80" w:line="200" w:lineRule="exact"/>
              <w:jc w:val="right"/>
              <w:rPr>
                <w:bCs/>
                <w:i/>
                <w:sz w:val="16"/>
                <w:szCs w:val="16"/>
              </w:rPr>
            </w:pPr>
            <w:r>
              <w:rPr>
                <w:bCs/>
                <w:i/>
                <w:sz w:val="16"/>
                <w:szCs w:val="16"/>
              </w:rPr>
              <w:t>2006</w:t>
            </w:r>
          </w:p>
        </w:tc>
        <w:tc>
          <w:tcPr>
            <w:tcW w:w="128" w:type="dxa"/>
            <w:tcBorders>
              <w:top w:val="single" w:sz="4" w:space="0" w:color="auto"/>
            </w:tcBorders>
            <w:vAlign w:val="bottom"/>
          </w:tcPr>
          <w:p w:rsidR="00000000" w:rsidRDefault="00000000">
            <w:pPr>
              <w:spacing w:before="80" w:after="80" w:line="200" w:lineRule="exact"/>
              <w:jc w:val="right"/>
              <w:rPr>
                <w:bCs/>
                <w:i/>
                <w:sz w:val="16"/>
                <w:szCs w:val="16"/>
              </w:rPr>
            </w:pPr>
          </w:p>
        </w:tc>
        <w:tc>
          <w:tcPr>
            <w:tcW w:w="1839" w:type="dxa"/>
            <w:gridSpan w:val="2"/>
            <w:tcBorders>
              <w:top w:val="single" w:sz="4" w:space="0" w:color="auto"/>
            </w:tcBorders>
            <w:vAlign w:val="bottom"/>
          </w:tcPr>
          <w:p w:rsidR="00000000" w:rsidRDefault="00000000">
            <w:pPr>
              <w:spacing w:before="80" w:after="80" w:line="200" w:lineRule="exact"/>
              <w:jc w:val="center"/>
              <w:rPr>
                <w:bCs/>
                <w:i/>
                <w:sz w:val="16"/>
                <w:szCs w:val="16"/>
              </w:rPr>
            </w:pPr>
            <w:r>
              <w:rPr>
                <w:bCs/>
                <w:i/>
                <w:sz w:val="16"/>
                <w:szCs w:val="16"/>
              </w:rPr>
              <w:t>2007</w:t>
            </w:r>
          </w:p>
        </w:tc>
      </w:tr>
      <w:tr w:rsidR="00000000">
        <w:trPr>
          <w:trHeight w:val="181"/>
        </w:trPr>
        <w:tc>
          <w:tcPr>
            <w:tcW w:w="2827" w:type="dxa"/>
            <w:vMerge/>
            <w:tcBorders>
              <w:bottom w:val="single" w:sz="12" w:space="0" w:color="auto"/>
            </w:tcBorders>
            <w:shd w:val="clear" w:color="auto" w:fill="auto"/>
            <w:vAlign w:val="bottom"/>
          </w:tcPr>
          <w:p w:rsidR="00000000" w:rsidRDefault="00000000">
            <w:pPr>
              <w:spacing w:before="80" w:after="80" w:line="200" w:lineRule="exact"/>
              <w:rPr>
                <w:i/>
                <w:sz w:val="16"/>
                <w:szCs w:val="16"/>
              </w:rPr>
            </w:pPr>
          </w:p>
        </w:tc>
        <w:tc>
          <w:tcPr>
            <w:tcW w:w="925" w:type="dxa"/>
            <w:vMerge/>
            <w:tcBorders>
              <w:bottom w:val="single" w:sz="12" w:space="0" w:color="auto"/>
            </w:tcBorders>
            <w:shd w:val="clear" w:color="auto" w:fill="auto"/>
            <w:vAlign w:val="bottom"/>
          </w:tcPr>
          <w:p w:rsidR="00000000" w:rsidRDefault="00000000">
            <w:pPr>
              <w:spacing w:before="80" w:after="80" w:line="200" w:lineRule="exact"/>
              <w:jc w:val="right"/>
              <w:rPr>
                <w:bCs/>
                <w:i/>
                <w:sz w:val="16"/>
                <w:szCs w:val="16"/>
              </w:rPr>
            </w:pPr>
          </w:p>
        </w:tc>
        <w:tc>
          <w:tcPr>
            <w:tcW w:w="925" w:type="dxa"/>
            <w:vMerge/>
            <w:tcBorders>
              <w:bottom w:val="single" w:sz="12" w:space="0" w:color="auto"/>
            </w:tcBorders>
            <w:shd w:val="clear" w:color="auto" w:fill="auto"/>
            <w:vAlign w:val="bottom"/>
          </w:tcPr>
          <w:p w:rsidR="00000000" w:rsidRDefault="00000000">
            <w:pPr>
              <w:spacing w:before="80" w:after="80" w:line="200" w:lineRule="exact"/>
              <w:jc w:val="right"/>
              <w:rPr>
                <w:bCs/>
                <w:i/>
                <w:sz w:val="16"/>
                <w:szCs w:val="16"/>
              </w:rPr>
            </w:pPr>
          </w:p>
        </w:tc>
        <w:tc>
          <w:tcPr>
            <w:tcW w:w="925" w:type="dxa"/>
            <w:vMerge/>
            <w:tcBorders>
              <w:bottom w:val="single" w:sz="12" w:space="0" w:color="auto"/>
            </w:tcBorders>
            <w:shd w:val="clear" w:color="auto" w:fill="auto"/>
            <w:vAlign w:val="bottom"/>
          </w:tcPr>
          <w:p w:rsidR="00000000" w:rsidRDefault="00000000">
            <w:pPr>
              <w:spacing w:before="80" w:after="80" w:line="200" w:lineRule="exact"/>
              <w:jc w:val="right"/>
              <w:rPr>
                <w:bCs/>
                <w:i/>
                <w:sz w:val="16"/>
                <w:szCs w:val="16"/>
              </w:rPr>
            </w:pPr>
          </w:p>
        </w:tc>
        <w:tc>
          <w:tcPr>
            <w:tcW w:w="925" w:type="dxa"/>
            <w:vMerge/>
            <w:tcBorders>
              <w:bottom w:val="single" w:sz="12" w:space="0" w:color="auto"/>
            </w:tcBorders>
            <w:shd w:val="clear" w:color="auto" w:fill="auto"/>
            <w:vAlign w:val="bottom"/>
          </w:tcPr>
          <w:p w:rsidR="00000000" w:rsidRDefault="00000000">
            <w:pPr>
              <w:spacing w:before="80" w:after="80" w:line="200" w:lineRule="exact"/>
              <w:jc w:val="right"/>
              <w:rPr>
                <w:bCs/>
                <w:i/>
                <w:sz w:val="16"/>
                <w:szCs w:val="16"/>
              </w:rPr>
            </w:pPr>
          </w:p>
        </w:tc>
        <w:tc>
          <w:tcPr>
            <w:tcW w:w="128" w:type="dxa"/>
            <w:tcBorders>
              <w:bottom w:val="single" w:sz="12" w:space="0" w:color="auto"/>
            </w:tcBorders>
            <w:vAlign w:val="bottom"/>
          </w:tcPr>
          <w:p w:rsidR="00000000" w:rsidRDefault="00000000">
            <w:pPr>
              <w:spacing w:before="80" w:after="80" w:line="200" w:lineRule="exact"/>
              <w:jc w:val="right"/>
              <w:rPr>
                <w:bCs/>
                <w:i/>
                <w:sz w:val="16"/>
                <w:szCs w:val="16"/>
              </w:rPr>
            </w:pPr>
          </w:p>
        </w:tc>
        <w:tc>
          <w:tcPr>
            <w:tcW w:w="925"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bCs/>
                <w:i/>
                <w:sz w:val="16"/>
                <w:szCs w:val="16"/>
              </w:rPr>
            </w:pPr>
            <w:r>
              <w:rPr>
                <w:bCs/>
                <w:i/>
                <w:sz w:val="16"/>
                <w:szCs w:val="16"/>
              </w:rPr>
              <w:t>Objectif</w:t>
            </w:r>
          </w:p>
        </w:tc>
        <w:tc>
          <w:tcPr>
            <w:tcW w:w="925" w:type="dxa"/>
            <w:gridSpan w:val="2"/>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bCs/>
                <w:i/>
                <w:sz w:val="16"/>
                <w:szCs w:val="16"/>
              </w:rPr>
            </w:pPr>
            <w:r>
              <w:rPr>
                <w:bCs/>
                <w:i/>
                <w:sz w:val="16"/>
                <w:szCs w:val="16"/>
              </w:rPr>
              <w:t>Réalisation</w:t>
            </w:r>
          </w:p>
        </w:tc>
      </w:tr>
      <w:tr w:rsidR="00000000">
        <w:tc>
          <w:tcPr>
            <w:tcW w:w="2827" w:type="dxa"/>
            <w:tcBorders>
              <w:top w:val="single" w:sz="12" w:space="0" w:color="auto"/>
            </w:tcBorders>
            <w:shd w:val="clear" w:color="auto" w:fill="auto"/>
          </w:tcPr>
          <w:p w:rsidR="00000000" w:rsidRDefault="00000000">
            <w:pPr>
              <w:spacing w:before="60" w:after="60" w:line="220" w:lineRule="exact"/>
              <w:rPr>
                <w:bCs/>
                <w:sz w:val="18"/>
                <w:szCs w:val="18"/>
              </w:rPr>
            </w:pPr>
            <w:r>
              <w:rPr>
                <w:bCs/>
                <w:sz w:val="18"/>
                <w:szCs w:val="18"/>
              </w:rPr>
              <w:t>Taux de croissance économique(%)</w:t>
            </w:r>
          </w:p>
        </w:tc>
        <w:tc>
          <w:tcPr>
            <w:tcW w:w="925" w:type="dxa"/>
            <w:tcBorders>
              <w:top w:val="single" w:sz="12" w:space="0" w:color="auto"/>
            </w:tcBorders>
            <w:shd w:val="clear" w:color="auto" w:fill="auto"/>
            <w:vAlign w:val="bottom"/>
          </w:tcPr>
          <w:p w:rsidR="00000000" w:rsidRDefault="00000000">
            <w:pPr>
              <w:spacing w:before="60" w:after="60" w:line="220" w:lineRule="exact"/>
              <w:jc w:val="right"/>
              <w:rPr>
                <w:sz w:val="18"/>
                <w:szCs w:val="18"/>
              </w:rPr>
            </w:pPr>
            <w:r>
              <w:rPr>
                <w:sz w:val="18"/>
                <w:szCs w:val="18"/>
              </w:rPr>
              <w:t>9,8</w:t>
            </w:r>
          </w:p>
        </w:tc>
        <w:tc>
          <w:tcPr>
            <w:tcW w:w="925" w:type="dxa"/>
            <w:tcBorders>
              <w:top w:val="single" w:sz="12" w:space="0" w:color="auto"/>
            </w:tcBorders>
            <w:shd w:val="clear" w:color="auto" w:fill="auto"/>
            <w:vAlign w:val="bottom"/>
          </w:tcPr>
          <w:p w:rsidR="00000000" w:rsidRDefault="00000000">
            <w:pPr>
              <w:spacing w:before="60" w:after="60" w:line="220" w:lineRule="exact"/>
              <w:jc w:val="right"/>
              <w:rPr>
                <w:sz w:val="18"/>
                <w:szCs w:val="18"/>
              </w:rPr>
            </w:pPr>
            <w:r>
              <w:rPr>
                <w:sz w:val="18"/>
                <w:szCs w:val="18"/>
              </w:rPr>
              <w:t>5,3</w:t>
            </w:r>
          </w:p>
        </w:tc>
        <w:tc>
          <w:tcPr>
            <w:tcW w:w="925" w:type="dxa"/>
            <w:tcBorders>
              <w:top w:val="single" w:sz="12" w:space="0" w:color="auto"/>
            </w:tcBorders>
            <w:shd w:val="clear" w:color="auto" w:fill="auto"/>
            <w:vAlign w:val="bottom"/>
          </w:tcPr>
          <w:p w:rsidR="00000000" w:rsidRDefault="00000000">
            <w:pPr>
              <w:spacing w:before="60" w:after="60" w:line="220" w:lineRule="exact"/>
              <w:jc w:val="right"/>
              <w:rPr>
                <w:sz w:val="18"/>
                <w:szCs w:val="18"/>
              </w:rPr>
            </w:pPr>
            <w:r>
              <w:rPr>
                <w:sz w:val="18"/>
                <w:szCs w:val="18"/>
              </w:rPr>
              <w:t>4,6</w:t>
            </w:r>
          </w:p>
        </w:tc>
        <w:tc>
          <w:tcPr>
            <w:tcW w:w="925" w:type="dxa"/>
            <w:tcBorders>
              <w:top w:val="single" w:sz="12" w:space="0" w:color="auto"/>
            </w:tcBorders>
            <w:shd w:val="clear" w:color="auto" w:fill="auto"/>
            <w:vAlign w:val="bottom"/>
          </w:tcPr>
          <w:p w:rsidR="00000000" w:rsidRDefault="00000000">
            <w:pPr>
              <w:spacing w:before="60" w:after="60" w:line="220" w:lineRule="exact"/>
              <w:jc w:val="right"/>
              <w:rPr>
                <w:sz w:val="18"/>
                <w:szCs w:val="18"/>
              </w:rPr>
            </w:pPr>
            <w:r>
              <w:rPr>
                <w:sz w:val="18"/>
                <w:szCs w:val="18"/>
              </w:rPr>
              <w:t>5</w:t>
            </w:r>
          </w:p>
        </w:tc>
        <w:tc>
          <w:tcPr>
            <w:tcW w:w="128" w:type="dxa"/>
            <w:tcBorders>
              <w:top w:val="single" w:sz="12" w:space="0" w:color="auto"/>
            </w:tcBorders>
            <w:vAlign w:val="bottom"/>
          </w:tcPr>
          <w:p w:rsidR="00000000" w:rsidRDefault="00000000">
            <w:pPr>
              <w:spacing w:before="60" w:after="60" w:line="220" w:lineRule="exact"/>
              <w:jc w:val="right"/>
              <w:rPr>
                <w:sz w:val="18"/>
                <w:szCs w:val="18"/>
              </w:rPr>
            </w:pPr>
          </w:p>
        </w:tc>
        <w:tc>
          <w:tcPr>
            <w:tcW w:w="925" w:type="dxa"/>
            <w:tcBorders>
              <w:top w:val="single" w:sz="12" w:space="0" w:color="auto"/>
            </w:tcBorders>
            <w:shd w:val="clear" w:color="auto" w:fill="auto"/>
            <w:vAlign w:val="bottom"/>
          </w:tcPr>
          <w:p w:rsidR="00000000" w:rsidRDefault="00000000">
            <w:pPr>
              <w:spacing w:before="60" w:after="60" w:line="220" w:lineRule="exact"/>
              <w:jc w:val="right"/>
              <w:rPr>
                <w:sz w:val="18"/>
                <w:szCs w:val="18"/>
              </w:rPr>
            </w:pPr>
            <w:r>
              <w:rPr>
                <w:sz w:val="18"/>
                <w:szCs w:val="18"/>
              </w:rPr>
              <w:t>5,6</w:t>
            </w:r>
          </w:p>
        </w:tc>
        <w:tc>
          <w:tcPr>
            <w:tcW w:w="925" w:type="dxa"/>
            <w:gridSpan w:val="2"/>
            <w:tcBorders>
              <w:top w:val="single" w:sz="12" w:space="0" w:color="auto"/>
            </w:tcBorders>
            <w:shd w:val="clear" w:color="auto" w:fill="auto"/>
            <w:vAlign w:val="bottom"/>
          </w:tcPr>
          <w:p w:rsidR="00000000" w:rsidRDefault="00000000">
            <w:pPr>
              <w:spacing w:before="60" w:after="60" w:line="220" w:lineRule="exact"/>
              <w:jc w:val="right"/>
              <w:rPr>
                <w:sz w:val="18"/>
                <w:szCs w:val="18"/>
              </w:rPr>
            </w:pPr>
            <w:r>
              <w:rPr>
                <w:sz w:val="18"/>
                <w:szCs w:val="18"/>
              </w:rPr>
              <w:t>6,2</w:t>
            </w:r>
          </w:p>
        </w:tc>
      </w:tr>
      <w:tr w:rsidR="00000000">
        <w:tc>
          <w:tcPr>
            <w:tcW w:w="2827" w:type="dxa"/>
            <w:shd w:val="clear" w:color="auto" w:fill="auto"/>
          </w:tcPr>
          <w:p w:rsidR="00000000" w:rsidRDefault="00000000">
            <w:pPr>
              <w:spacing w:before="60" w:after="60" w:line="220" w:lineRule="exact"/>
              <w:rPr>
                <w:bCs/>
                <w:sz w:val="18"/>
                <w:szCs w:val="18"/>
              </w:rPr>
            </w:pPr>
            <w:r>
              <w:rPr>
                <w:bCs/>
                <w:sz w:val="18"/>
                <w:szCs w:val="18"/>
              </w:rPr>
              <w:t>Taux d’investissement privé ( % PIB)</w:t>
            </w:r>
          </w:p>
        </w:tc>
        <w:tc>
          <w:tcPr>
            <w:tcW w:w="925" w:type="dxa"/>
            <w:shd w:val="clear" w:color="auto" w:fill="auto"/>
            <w:vAlign w:val="bottom"/>
          </w:tcPr>
          <w:p w:rsidR="00000000" w:rsidRDefault="00000000">
            <w:pPr>
              <w:spacing w:before="60" w:after="60" w:line="220" w:lineRule="exact"/>
              <w:jc w:val="right"/>
              <w:rPr>
                <w:sz w:val="18"/>
                <w:szCs w:val="18"/>
              </w:rPr>
            </w:pPr>
            <w:r>
              <w:rPr>
                <w:sz w:val="18"/>
                <w:szCs w:val="18"/>
              </w:rPr>
              <w:t>10</w:t>
            </w:r>
          </w:p>
        </w:tc>
        <w:tc>
          <w:tcPr>
            <w:tcW w:w="925" w:type="dxa"/>
            <w:shd w:val="clear" w:color="auto" w:fill="auto"/>
            <w:vAlign w:val="bottom"/>
          </w:tcPr>
          <w:p w:rsidR="00000000" w:rsidRDefault="00000000">
            <w:pPr>
              <w:spacing w:before="60" w:after="60" w:line="220" w:lineRule="exact"/>
              <w:jc w:val="right"/>
              <w:rPr>
                <w:sz w:val="18"/>
                <w:szCs w:val="18"/>
              </w:rPr>
            </w:pPr>
            <w:r>
              <w:rPr>
                <w:sz w:val="18"/>
                <w:szCs w:val="18"/>
              </w:rPr>
              <w:t>11,8</w:t>
            </w:r>
          </w:p>
        </w:tc>
        <w:tc>
          <w:tcPr>
            <w:tcW w:w="925" w:type="dxa"/>
            <w:shd w:val="clear" w:color="auto" w:fill="auto"/>
            <w:vAlign w:val="bottom"/>
          </w:tcPr>
          <w:p w:rsidR="00000000" w:rsidRDefault="00000000">
            <w:pPr>
              <w:spacing w:before="60" w:after="60" w:line="220" w:lineRule="exact"/>
              <w:jc w:val="right"/>
              <w:rPr>
                <w:sz w:val="18"/>
                <w:szCs w:val="18"/>
              </w:rPr>
            </w:pPr>
            <w:r>
              <w:rPr>
                <w:sz w:val="18"/>
                <w:szCs w:val="18"/>
              </w:rPr>
              <w:t>12,3</w:t>
            </w:r>
          </w:p>
        </w:tc>
        <w:tc>
          <w:tcPr>
            <w:tcW w:w="925" w:type="dxa"/>
            <w:shd w:val="clear" w:color="auto" w:fill="auto"/>
            <w:vAlign w:val="bottom"/>
          </w:tcPr>
          <w:p w:rsidR="00000000" w:rsidRDefault="00000000">
            <w:pPr>
              <w:spacing w:before="60" w:after="60" w:line="220" w:lineRule="exact"/>
              <w:jc w:val="right"/>
              <w:rPr>
                <w:sz w:val="18"/>
                <w:szCs w:val="18"/>
              </w:rPr>
            </w:pPr>
            <w:r>
              <w:rPr>
                <w:sz w:val="18"/>
                <w:szCs w:val="18"/>
              </w:rPr>
              <w:t>13</w:t>
            </w:r>
          </w:p>
        </w:tc>
        <w:tc>
          <w:tcPr>
            <w:tcW w:w="128" w:type="dxa"/>
            <w:vAlign w:val="bottom"/>
          </w:tcPr>
          <w:p w:rsidR="00000000" w:rsidRDefault="00000000">
            <w:pPr>
              <w:spacing w:before="60" w:after="60" w:line="220" w:lineRule="exact"/>
              <w:jc w:val="right"/>
              <w:rPr>
                <w:sz w:val="18"/>
                <w:szCs w:val="18"/>
              </w:rPr>
            </w:pPr>
          </w:p>
        </w:tc>
        <w:tc>
          <w:tcPr>
            <w:tcW w:w="925" w:type="dxa"/>
            <w:shd w:val="clear" w:color="auto" w:fill="auto"/>
            <w:vAlign w:val="bottom"/>
          </w:tcPr>
          <w:p w:rsidR="00000000" w:rsidRDefault="00000000">
            <w:pPr>
              <w:spacing w:before="60" w:after="60" w:line="220" w:lineRule="exact"/>
              <w:jc w:val="right"/>
              <w:rPr>
                <w:sz w:val="18"/>
                <w:szCs w:val="18"/>
              </w:rPr>
            </w:pPr>
            <w:r>
              <w:rPr>
                <w:sz w:val="18"/>
                <w:szCs w:val="18"/>
              </w:rPr>
              <w:t>21,7</w:t>
            </w:r>
          </w:p>
        </w:tc>
        <w:tc>
          <w:tcPr>
            <w:tcW w:w="925" w:type="dxa"/>
            <w:gridSpan w:val="2"/>
            <w:shd w:val="clear" w:color="auto" w:fill="auto"/>
            <w:vAlign w:val="bottom"/>
          </w:tcPr>
          <w:p w:rsidR="00000000" w:rsidRDefault="00000000">
            <w:pPr>
              <w:spacing w:before="60" w:after="60" w:line="220" w:lineRule="exact"/>
              <w:jc w:val="right"/>
              <w:rPr>
                <w:sz w:val="18"/>
                <w:szCs w:val="18"/>
              </w:rPr>
            </w:pPr>
            <w:r>
              <w:rPr>
                <w:sz w:val="18"/>
                <w:szCs w:val="18"/>
              </w:rPr>
              <w:t>20,7</w:t>
            </w:r>
          </w:p>
        </w:tc>
      </w:tr>
      <w:tr w:rsidR="00000000">
        <w:tc>
          <w:tcPr>
            <w:tcW w:w="2827" w:type="dxa"/>
            <w:shd w:val="clear" w:color="auto" w:fill="auto"/>
          </w:tcPr>
          <w:p w:rsidR="00000000" w:rsidRDefault="00000000">
            <w:pPr>
              <w:spacing w:before="60" w:after="60" w:line="220" w:lineRule="exact"/>
              <w:rPr>
                <w:bCs/>
                <w:sz w:val="18"/>
                <w:szCs w:val="18"/>
              </w:rPr>
            </w:pPr>
            <w:r>
              <w:rPr>
                <w:bCs/>
                <w:sz w:val="18"/>
                <w:szCs w:val="18"/>
              </w:rPr>
              <w:t>Taux d’investissement public ( % PIB)</w:t>
            </w:r>
          </w:p>
        </w:tc>
        <w:tc>
          <w:tcPr>
            <w:tcW w:w="925" w:type="dxa"/>
            <w:shd w:val="clear" w:color="auto" w:fill="auto"/>
            <w:vAlign w:val="bottom"/>
          </w:tcPr>
          <w:p w:rsidR="00000000" w:rsidRDefault="00000000">
            <w:pPr>
              <w:spacing w:before="60" w:after="60" w:line="220" w:lineRule="exact"/>
              <w:jc w:val="right"/>
              <w:rPr>
                <w:sz w:val="18"/>
                <w:szCs w:val="18"/>
              </w:rPr>
            </w:pPr>
            <w:r>
              <w:rPr>
                <w:sz w:val="18"/>
                <w:szCs w:val="18"/>
              </w:rPr>
              <w:t>7,8</w:t>
            </w:r>
          </w:p>
        </w:tc>
        <w:tc>
          <w:tcPr>
            <w:tcW w:w="925" w:type="dxa"/>
            <w:shd w:val="clear" w:color="auto" w:fill="auto"/>
            <w:vAlign w:val="bottom"/>
          </w:tcPr>
          <w:p w:rsidR="00000000" w:rsidRDefault="00000000">
            <w:pPr>
              <w:spacing w:before="60" w:after="60" w:line="220" w:lineRule="exact"/>
              <w:jc w:val="right"/>
              <w:rPr>
                <w:sz w:val="18"/>
                <w:szCs w:val="18"/>
              </w:rPr>
            </w:pPr>
            <w:r>
              <w:rPr>
                <w:sz w:val="18"/>
                <w:szCs w:val="18"/>
              </w:rPr>
              <w:t>12,5</w:t>
            </w:r>
          </w:p>
        </w:tc>
        <w:tc>
          <w:tcPr>
            <w:tcW w:w="925" w:type="dxa"/>
            <w:shd w:val="clear" w:color="auto" w:fill="auto"/>
            <w:vAlign w:val="bottom"/>
          </w:tcPr>
          <w:p w:rsidR="00000000" w:rsidRDefault="00000000">
            <w:pPr>
              <w:spacing w:before="60" w:after="60" w:line="220" w:lineRule="exact"/>
              <w:jc w:val="right"/>
              <w:rPr>
                <w:sz w:val="18"/>
                <w:szCs w:val="18"/>
              </w:rPr>
            </w:pPr>
            <w:r>
              <w:rPr>
                <w:sz w:val="18"/>
                <w:szCs w:val="18"/>
              </w:rPr>
              <w:t>10,3</w:t>
            </w:r>
          </w:p>
        </w:tc>
        <w:tc>
          <w:tcPr>
            <w:tcW w:w="925" w:type="dxa"/>
            <w:shd w:val="clear" w:color="auto" w:fill="auto"/>
            <w:vAlign w:val="bottom"/>
          </w:tcPr>
          <w:p w:rsidR="00000000" w:rsidRDefault="00000000">
            <w:pPr>
              <w:spacing w:before="60" w:after="60" w:line="220" w:lineRule="exact"/>
              <w:jc w:val="right"/>
              <w:rPr>
                <w:sz w:val="18"/>
                <w:szCs w:val="18"/>
              </w:rPr>
            </w:pPr>
            <w:r>
              <w:rPr>
                <w:sz w:val="18"/>
                <w:szCs w:val="18"/>
              </w:rPr>
              <w:t>10,2</w:t>
            </w:r>
          </w:p>
        </w:tc>
        <w:tc>
          <w:tcPr>
            <w:tcW w:w="128" w:type="dxa"/>
            <w:vAlign w:val="bottom"/>
          </w:tcPr>
          <w:p w:rsidR="00000000" w:rsidRDefault="00000000">
            <w:pPr>
              <w:spacing w:before="60" w:after="60" w:line="220" w:lineRule="exact"/>
              <w:jc w:val="right"/>
              <w:rPr>
                <w:sz w:val="18"/>
                <w:szCs w:val="18"/>
              </w:rPr>
            </w:pPr>
          </w:p>
        </w:tc>
        <w:tc>
          <w:tcPr>
            <w:tcW w:w="925" w:type="dxa"/>
            <w:shd w:val="clear" w:color="auto" w:fill="auto"/>
            <w:vAlign w:val="bottom"/>
          </w:tcPr>
          <w:p w:rsidR="00000000" w:rsidRDefault="00000000">
            <w:pPr>
              <w:spacing w:before="60" w:after="60" w:line="220" w:lineRule="exact"/>
              <w:jc w:val="right"/>
              <w:rPr>
                <w:sz w:val="18"/>
                <w:szCs w:val="18"/>
              </w:rPr>
            </w:pPr>
            <w:r>
              <w:rPr>
                <w:sz w:val="18"/>
                <w:szCs w:val="18"/>
              </w:rPr>
              <w:t>9,37</w:t>
            </w:r>
          </w:p>
        </w:tc>
        <w:tc>
          <w:tcPr>
            <w:tcW w:w="925" w:type="dxa"/>
            <w:gridSpan w:val="2"/>
            <w:shd w:val="clear" w:color="auto" w:fill="auto"/>
            <w:vAlign w:val="bottom"/>
          </w:tcPr>
          <w:p w:rsidR="00000000" w:rsidRDefault="00000000">
            <w:pPr>
              <w:spacing w:before="60" w:after="60" w:line="220" w:lineRule="exact"/>
              <w:jc w:val="right"/>
              <w:rPr>
                <w:sz w:val="18"/>
                <w:szCs w:val="18"/>
              </w:rPr>
            </w:pPr>
            <w:r>
              <w:rPr>
                <w:sz w:val="18"/>
                <w:szCs w:val="18"/>
              </w:rPr>
              <w:t>7,6</w:t>
            </w:r>
          </w:p>
        </w:tc>
      </w:tr>
      <w:tr w:rsidR="00000000">
        <w:tc>
          <w:tcPr>
            <w:tcW w:w="2827" w:type="dxa"/>
            <w:shd w:val="clear" w:color="auto" w:fill="auto"/>
          </w:tcPr>
          <w:p w:rsidR="00000000" w:rsidRDefault="00000000">
            <w:pPr>
              <w:spacing w:before="60" w:after="60" w:line="220" w:lineRule="exact"/>
              <w:rPr>
                <w:bCs/>
                <w:sz w:val="18"/>
                <w:szCs w:val="18"/>
              </w:rPr>
            </w:pPr>
            <w:r>
              <w:rPr>
                <w:bCs/>
                <w:sz w:val="18"/>
                <w:szCs w:val="18"/>
              </w:rPr>
              <w:t>Taux d’investissement brut ( % PIB)</w:t>
            </w:r>
          </w:p>
        </w:tc>
        <w:tc>
          <w:tcPr>
            <w:tcW w:w="925" w:type="dxa"/>
            <w:shd w:val="clear" w:color="auto" w:fill="auto"/>
            <w:vAlign w:val="bottom"/>
          </w:tcPr>
          <w:p w:rsidR="00000000" w:rsidRDefault="00000000">
            <w:pPr>
              <w:spacing w:before="60" w:after="60" w:line="220" w:lineRule="exact"/>
              <w:jc w:val="right"/>
              <w:rPr>
                <w:sz w:val="18"/>
                <w:szCs w:val="18"/>
              </w:rPr>
            </w:pPr>
            <w:r>
              <w:rPr>
                <w:sz w:val="18"/>
                <w:szCs w:val="18"/>
              </w:rPr>
              <w:t>17,9</w:t>
            </w:r>
          </w:p>
        </w:tc>
        <w:tc>
          <w:tcPr>
            <w:tcW w:w="925" w:type="dxa"/>
            <w:shd w:val="clear" w:color="auto" w:fill="auto"/>
            <w:vAlign w:val="bottom"/>
          </w:tcPr>
          <w:p w:rsidR="00000000" w:rsidRDefault="00000000">
            <w:pPr>
              <w:spacing w:before="60" w:after="60" w:line="220" w:lineRule="exact"/>
              <w:jc w:val="right"/>
              <w:rPr>
                <w:sz w:val="18"/>
                <w:szCs w:val="18"/>
              </w:rPr>
            </w:pPr>
            <w:r>
              <w:rPr>
                <w:sz w:val="18"/>
                <w:szCs w:val="18"/>
              </w:rPr>
              <w:t>24,3</w:t>
            </w:r>
          </w:p>
        </w:tc>
        <w:tc>
          <w:tcPr>
            <w:tcW w:w="925" w:type="dxa"/>
            <w:shd w:val="clear" w:color="auto" w:fill="auto"/>
            <w:vAlign w:val="bottom"/>
          </w:tcPr>
          <w:p w:rsidR="00000000" w:rsidRDefault="00000000">
            <w:pPr>
              <w:spacing w:before="60" w:after="60" w:line="220" w:lineRule="exact"/>
              <w:jc w:val="right"/>
              <w:rPr>
                <w:sz w:val="18"/>
                <w:szCs w:val="18"/>
              </w:rPr>
            </w:pPr>
            <w:r>
              <w:rPr>
                <w:sz w:val="18"/>
                <w:szCs w:val="18"/>
              </w:rPr>
              <w:t>22,6</w:t>
            </w:r>
          </w:p>
        </w:tc>
        <w:tc>
          <w:tcPr>
            <w:tcW w:w="925" w:type="dxa"/>
            <w:shd w:val="clear" w:color="auto" w:fill="auto"/>
            <w:vAlign w:val="bottom"/>
          </w:tcPr>
          <w:p w:rsidR="00000000" w:rsidRDefault="00000000">
            <w:pPr>
              <w:spacing w:before="60" w:after="60" w:line="220" w:lineRule="exact"/>
              <w:jc w:val="right"/>
              <w:rPr>
                <w:sz w:val="18"/>
                <w:szCs w:val="18"/>
              </w:rPr>
            </w:pPr>
            <w:r>
              <w:rPr>
                <w:sz w:val="18"/>
                <w:szCs w:val="18"/>
              </w:rPr>
              <w:t>23,2</w:t>
            </w:r>
          </w:p>
        </w:tc>
        <w:tc>
          <w:tcPr>
            <w:tcW w:w="128" w:type="dxa"/>
            <w:vAlign w:val="bottom"/>
          </w:tcPr>
          <w:p w:rsidR="00000000" w:rsidRDefault="00000000">
            <w:pPr>
              <w:spacing w:before="60" w:after="60" w:line="220" w:lineRule="exact"/>
              <w:jc w:val="right"/>
              <w:rPr>
                <w:sz w:val="18"/>
                <w:szCs w:val="18"/>
              </w:rPr>
            </w:pPr>
          </w:p>
        </w:tc>
        <w:tc>
          <w:tcPr>
            <w:tcW w:w="925" w:type="dxa"/>
            <w:shd w:val="clear" w:color="auto" w:fill="auto"/>
            <w:vAlign w:val="bottom"/>
          </w:tcPr>
          <w:p w:rsidR="00000000" w:rsidRDefault="00000000">
            <w:pPr>
              <w:spacing w:before="60" w:after="60" w:line="220" w:lineRule="exact"/>
              <w:jc w:val="right"/>
              <w:rPr>
                <w:sz w:val="18"/>
                <w:szCs w:val="18"/>
              </w:rPr>
            </w:pPr>
            <w:r>
              <w:rPr>
                <w:sz w:val="18"/>
                <w:szCs w:val="18"/>
              </w:rPr>
              <w:t>31,07</w:t>
            </w:r>
          </w:p>
        </w:tc>
        <w:tc>
          <w:tcPr>
            <w:tcW w:w="925" w:type="dxa"/>
            <w:gridSpan w:val="2"/>
            <w:shd w:val="clear" w:color="auto" w:fill="auto"/>
            <w:vAlign w:val="bottom"/>
          </w:tcPr>
          <w:p w:rsidR="00000000" w:rsidRDefault="00000000">
            <w:pPr>
              <w:spacing w:before="60" w:after="60" w:line="220" w:lineRule="exact"/>
              <w:jc w:val="right"/>
              <w:rPr>
                <w:sz w:val="18"/>
                <w:szCs w:val="18"/>
              </w:rPr>
            </w:pPr>
            <w:r>
              <w:rPr>
                <w:sz w:val="18"/>
                <w:szCs w:val="18"/>
              </w:rPr>
              <w:t>28,3</w:t>
            </w:r>
          </w:p>
        </w:tc>
      </w:tr>
      <w:tr w:rsidR="00000000">
        <w:tc>
          <w:tcPr>
            <w:tcW w:w="2827" w:type="dxa"/>
            <w:shd w:val="clear" w:color="auto" w:fill="auto"/>
          </w:tcPr>
          <w:p w:rsidR="00000000" w:rsidRDefault="00000000">
            <w:pPr>
              <w:spacing w:before="60" w:after="60" w:line="220" w:lineRule="exact"/>
              <w:rPr>
                <w:bCs/>
                <w:sz w:val="18"/>
                <w:szCs w:val="18"/>
              </w:rPr>
            </w:pPr>
            <w:r>
              <w:rPr>
                <w:bCs/>
                <w:sz w:val="18"/>
                <w:szCs w:val="18"/>
              </w:rPr>
              <w:t>Taux d’inflation(%) (IPC fin de période)</w:t>
            </w:r>
          </w:p>
        </w:tc>
        <w:tc>
          <w:tcPr>
            <w:tcW w:w="925" w:type="dxa"/>
            <w:shd w:val="clear" w:color="auto" w:fill="auto"/>
            <w:vAlign w:val="bottom"/>
          </w:tcPr>
          <w:p w:rsidR="00000000" w:rsidRDefault="00000000">
            <w:pPr>
              <w:spacing w:before="60" w:after="60" w:line="220" w:lineRule="exact"/>
              <w:jc w:val="right"/>
              <w:rPr>
                <w:sz w:val="18"/>
                <w:szCs w:val="18"/>
              </w:rPr>
            </w:pPr>
            <w:r>
              <w:rPr>
                <w:sz w:val="18"/>
                <w:szCs w:val="18"/>
              </w:rPr>
              <w:t>-0,8</w:t>
            </w:r>
          </w:p>
        </w:tc>
        <w:tc>
          <w:tcPr>
            <w:tcW w:w="925" w:type="dxa"/>
            <w:shd w:val="clear" w:color="auto" w:fill="auto"/>
            <w:vAlign w:val="bottom"/>
          </w:tcPr>
          <w:p w:rsidR="00000000" w:rsidRDefault="00000000">
            <w:pPr>
              <w:spacing w:before="60" w:after="60" w:line="220" w:lineRule="exact"/>
              <w:jc w:val="right"/>
              <w:rPr>
                <w:sz w:val="18"/>
                <w:szCs w:val="18"/>
              </w:rPr>
            </w:pPr>
            <w:r>
              <w:rPr>
                <w:sz w:val="18"/>
                <w:szCs w:val="18"/>
              </w:rPr>
              <w:t>27</w:t>
            </w:r>
          </w:p>
        </w:tc>
        <w:tc>
          <w:tcPr>
            <w:tcW w:w="925" w:type="dxa"/>
            <w:shd w:val="clear" w:color="auto" w:fill="auto"/>
            <w:vAlign w:val="bottom"/>
          </w:tcPr>
          <w:p w:rsidR="00000000" w:rsidRDefault="00000000">
            <w:pPr>
              <w:spacing w:before="60" w:after="60" w:line="220" w:lineRule="exact"/>
              <w:jc w:val="right"/>
              <w:rPr>
                <w:sz w:val="18"/>
                <w:szCs w:val="18"/>
              </w:rPr>
            </w:pPr>
            <w:r>
              <w:rPr>
                <w:sz w:val="18"/>
                <w:szCs w:val="18"/>
              </w:rPr>
              <w:t>11,4</w:t>
            </w:r>
          </w:p>
        </w:tc>
        <w:tc>
          <w:tcPr>
            <w:tcW w:w="925" w:type="dxa"/>
            <w:shd w:val="clear" w:color="auto" w:fill="auto"/>
            <w:vAlign w:val="bottom"/>
          </w:tcPr>
          <w:p w:rsidR="00000000" w:rsidRDefault="00000000">
            <w:pPr>
              <w:spacing w:before="60" w:after="60" w:line="220" w:lineRule="exact"/>
              <w:jc w:val="right"/>
              <w:rPr>
                <w:sz w:val="18"/>
                <w:szCs w:val="18"/>
              </w:rPr>
            </w:pPr>
            <w:r>
              <w:rPr>
                <w:sz w:val="18"/>
                <w:szCs w:val="18"/>
              </w:rPr>
              <w:t>10,8</w:t>
            </w:r>
          </w:p>
        </w:tc>
        <w:tc>
          <w:tcPr>
            <w:tcW w:w="128" w:type="dxa"/>
            <w:vAlign w:val="bottom"/>
          </w:tcPr>
          <w:p w:rsidR="00000000" w:rsidRDefault="00000000">
            <w:pPr>
              <w:spacing w:before="60" w:after="60" w:line="220" w:lineRule="exact"/>
              <w:jc w:val="right"/>
              <w:rPr>
                <w:sz w:val="18"/>
                <w:szCs w:val="18"/>
              </w:rPr>
            </w:pPr>
          </w:p>
        </w:tc>
        <w:tc>
          <w:tcPr>
            <w:tcW w:w="925" w:type="dxa"/>
            <w:shd w:val="clear" w:color="auto" w:fill="auto"/>
            <w:vAlign w:val="bottom"/>
          </w:tcPr>
          <w:p w:rsidR="00000000" w:rsidRDefault="00000000">
            <w:pPr>
              <w:spacing w:before="60" w:after="60" w:line="220" w:lineRule="exact"/>
              <w:jc w:val="right"/>
              <w:rPr>
                <w:sz w:val="18"/>
                <w:szCs w:val="18"/>
              </w:rPr>
            </w:pPr>
            <w:r>
              <w:rPr>
                <w:sz w:val="18"/>
                <w:szCs w:val="18"/>
              </w:rPr>
              <w:t>8,4</w:t>
            </w:r>
          </w:p>
        </w:tc>
        <w:tc>
          <w:tcPr>
            <w:tcW w:w="925" w:type="dxa"/>
            <w:gridSpan w:val="2"/>
            <w:shd w:val="clear" w:color="auto" w:fill="auto"/>
            <w:vAlign w:val="bottom"/>
          </w:tcPr>
          <w:p w:rsidR="00000000" w:rsidRDefault="00000000">
            <w:pPr>
              <w:spacing w:before="60" w:after="60" w:line="220" w:lineRule="exact"/>
              <w:jc w:val="right"/>
              <w:rPr>
                <w:sz w:val="18"/>
                <w:szCs w:val="18"/>
              </w:rPr>
            </w:pPr>
            <w:r>
              <w:rPr>
                <w:sz w:val="18"/>
                <w:szCs w:val="18"/>
              </w:rPr>
              <w:t>8,2</w:t>
            </w:r>
          </w:p>
        </w:tc>
      </w:tr>
      <w:tr w:rsidR="00000000">
        <w:tc>
          <w:tcPr>
            <w:tcW w:w="2827" w:type="dxa"/>
            <w:shd w:val="clear" w:color="auto" w:fill="auto"/>
          </w:tcPr>
          <w:p w:rsidR="00000000" w:rsidRDefault="00000000">
            <w:pPr>
              <w:spacing w:before="60" w:after="60" w:line="220" w:lineRule="exact"/>
              <w:rPr>
                <w:bCs/>
                <w:sz w:val="18"/>
                <w:szCs w:val="18"/>
              </w:rPr>
            </w:pPr>
            <w:r>
              <w:rPr>
                <w:bCs/>
                <w:sz w:val="18"/>
                <w:szCs w:val="18"/>
              </w:rPr>
              <w:t>PIB/hab (USD)</w:t>
            </w:r>
          </w:p>
        </w:tc>
        <w:tc>
          <w:tcPr>
            <w:tcW w:w="925" w:type="dxa"/>
            <w:shd w:val="clear" w:color="auto" w:fill="auto"/>
            <w:vAlign w:val="bottom"/>
          </w:tcPr>
          <w:p w:rsidR="00000000" w:rsidRDefault="00000000">
            <w:pPr>
              <w:spacing w:before="60" w:after="60" w:line="220" w:lineRule="exact"/>
              <w:jc w:val="right"/>
              <w:rPr>
                <w:sz w:val="18"/>
                <w:szCs w:val="18"/>
              </w:rPr>
            </w:pPr>
            <w:r>
              <w:rPr>
                <w:sz w:val="18"/>
                <w:szCs w:val="18"/>
              </w:rPr>
              <w:t>338,5</w:t>
            </w:r>
          </w:p>
        </w:tc>
        <w:tc>
          <w:tcPr>
            <w:tcW w:w="925" w:type="dxa"/>
            <w:shd w:val="clear" w:color="auto" w:fill="auto"/>
            <w:vAlign w:val="bottom"/>
          </w:tcPr>
          <w:p w:rsidR="00000000" w:rsidRDefault="00000000">
            <w:pPr>
              <w:spacing w:before="60" w:after="60" w:line="220" w:lineRule="exact"/>
              <w:jc w:val="right"/>
              <w:rPr>
                <w:sz w:val="18"/>
                <w:szCs w:val="18"/>
              </w:rPr>
            </w:pPr>
            <w:r>
              <w:rPr>
                <w:sz w:val="18"/>
                <w:szCs w:val="18"/>
              </w:rPr>
              <w:t>278</w:t>
            </w:r>
          </w:p>
        </w:tc>
        <w:tc>
          <w:tcPr>
            <w:tcW w:w="925" w:type="dxa"/>
            <w:shd w:val="clear" w:color="auto" w:fill="auto"/>
            <w:vAlign w:val="bottom"/>
          </w:tcPr>
          <w:p w:rsidR="00000000" w:rsidRDefault="00000000">
            <w:pPr>
              <w:spacing w:before="60" w:after="60" w:line="220" w:lineRule="exact"/>
              <w:jc w:val="right"/>
              <w:rPr>
                <w:sz w:val="18"/>
                <w:szCs w:val="18"/>
              </w:rPr>
            </w:pPr>
            <w:r>
              <w:rPr>
                <w:sz w:val="18"/>
                <w:szCs w:val="18"/>
              </w:rPr>
              <w:t>270</w:t>
            </w:r>
          </w:p>
        </w:tc>
        <w:tc>
          <w:tcPr>
            <w:tcW w:w="925" w:type="dxa"/>
            <w:shd w:val="clear" w:color="auto" w:fill="auto"/>
            <w:vAlign w:val="bottom"/>
          </w:tcPr>
          <w:p w:rsidR="00000000" w:rsidRDefault="00000000">
            <w:pPr>
              <w:spacing w:before="60" w:after="60" w:line="220" w:lineRule="exact"/>
              <w:jc w:val="right"/>
              <w:rPr>
                <w:sz w:val="18"/>
                <w:szCs w:val="18"/>
              </w:rPr>
            </w:pPr>
            <w:r>
              <w:rPr>
                <w:sz w:val="18"/>
                <w:szCs w:val="18"/>
              </w:rPr>
              <w:t>288</w:t>
            </w:r>
          </w:p>
        </w:tc>
        <w:tc>
          <w:tcPr>
            <w:tcW w:w="128" w:type="dxa"/>
            <w:vAlign w:val="bottom"/>
          </w:tcPr>
          <w:p w:rsidR="00000000" w:rsidRDefault="00000000">
            <w:pPr>
              <w:spacing w:before="60" w:after="60" w:line="220" w:lineRule="exact"/>
              <w:jc w:val="right"/>
              <w:rPr>
                <w:sz w:val="18"/>
                <w:szCs w:val="18"/>
              </w:rPr>
            </w:pPr>
          </w:p>
        </w:tc>
        <w:tc>
          <w:tcPr>
            <w:tcW w:w="925" w:type="dxa"/>
            <w:shd w:val="clear" w:color="auto" w:fill="auto"/>
            <w:vAlign w:val="bottom"/>
          </w:tcPr>
          <w:p w:rsidR="00000000" w:rsidRDefault="00000000">
            <w:pPr>
              <w:spacing w:before="60" w:after="60" w:line="220" w:lineRule="exact"/>
              <w:jc w:val="right"/>
              <w:rPr>
                <w:sz w:val="18"/>
                <w:szCs w:val="18"/>
              </w:rPr>
            </w:pPr>
            <w:r>
              <w:rPr>
                <w:sz w:val="18"/>
                <w:szCs w:val="18"/>
              </w:rPr>
              <w:t>411</w:t>
            </w:r>
          </w:p>
        </w:tc>
        <w:tc>
          <w:tcPr>
            <w:tcW w:w="925" w:type="dxa"/>
            <w:gridSpan w:val="2"/>
            <w:shd w:val="clear" w:color="auto" w:fill="auto"/>
            <w:vAlign w:val="bottom"/>
          </w:tcPr>
          <w:p w:rsidR="00000000" w:rsidRDefault="00000000">
            <w:pPr>
              <w:spacing w:before="60" w:after="60" w:line="220" w:lineRule="exact"/>
              <w:jc w:val="right"/>
              <w:rPr>
                <w:sz w:val="18"/>
                <w:szCs w:val="18"/>
              </w:rPr>
            </w:pPr>
            <w:r>
              <w:rPr>
                <w:sz w:val="18"/>
                <w:szCs w:val="18"/>
              </w:rPr>
              <w:t>375</w:t>
            </w:r>
          </w:p>
        </w:tc>
      </w:tr>
      <w:tr w:rsidR="00000000">
        <w:tc>
          <w:tcPr>
            <w:tcW w:w="2827" w:type="dxa"/>
            <w:shd w:val="clear" w:color="auto" w:fill="auto"/>
          </w:tcPr>
          <w:p w:rsidR="00000000" w:rsidRDefault="00000000">
            <w:pPr>
              <w:spacing w:before="60" w:after="60" w:line="220" w:lineRule="exact"/>
              <w:rPr>
                <w:bCs/>
                <w:sz w:val="18"/>
                <w:szCs w:val="18"/>
              </w:rPr>
            </w:pPr>
            <w:r>
              <w:rPr>
                <w:bCs/>
                <w:sz w:val="18"/>
                <w:szCs w:val="18"/>
              </w:rPr>
              <w:t>Taux de croissance PIB/Hab (%)</w:t>
            </w:r>
          </w:p>
        </w:tc>
        <w:tc>
          <w:tcPr>
            <w:tcW w:w="925" w:type="dxa"/>
            <w:shd w:val="clear" w:color="auto" w:fill="auto"/>
            <w:vAlign w:val="bottom"/>
          </w:tcPr>
          <w:p w:rsidR="00000000" w:rsidRDefault="00000000">
            <w:pPr>
              <w:spacing w:before="60" w:after="60" w:line="220" w:lineRule="exact"/>
              <w:jc w:val="right"/>
              <w:rPr>
                <w:sz w:val="18"/>
                <w:szCs w:val="18"/>
              </w:rPr>
            </w:pPr>
            <w:r>
              <w:rPr>
                <w:sz w:val="18"/>
                <w:szCs w:val="18"/>
              </w:rPr>
              <w:t>6,8</w:t>
            </w:r>
          </w:p>
        </w:tc>
        <w:tc>
          <w:tcPr>
            <w:tcW w:w="925" w:type="dxa"/>
            <w:shd w:val="clear" w:color="auto" w:fill="auto"/>
            <w:vAlign w:val="bottom"/>
          </w:tcPr>
          <w:p w:rsidR="00000000" w:rsidRDefault="00000000">
            <w:pPr>
              <w:spacing w:before="60" w:after="60" w:line="220" w:lineRule="exact"/>
              <w:jc w:val="right"/>
              <w:rPr>
                <w:sz w:val="18"/>
                <w:szCs w:val="18"/>
              </w:rPr>
            </w:pPr>
            <w:r>
              <w:rPr>
                <w:sz w:val="18"/>
                <w:szCs w:val="18"/>
              </w:rPr>
              <w:t>2,4</w:t>
            </w:r>
          </w:p>
        </w:tc>
        <w:tc>
          <w:tcPr>
            <w:tcW w:w="925" w:type="dxa"/>
            <w:shd w:val="clear" w:color="auto" w:fill="auto"/>
            <w:vAlign w:val="bottom"/>
          </w:tcPr>
          <w:p w:rsidR="00000000" w:rsidRDefault="00000000">
            <w:pPr>
              <w:spacing w:before="60" w:after="60" w:line="220" w:lineRule="exact"/>
              <w:jc w:val="right"/>
              <w:rPr>
                <w:sz w:val="18"/>
                <w:szCs w:val="18"/>
              </w:rPr>
            </w:pPr>
            <w:r>
              <w:rPr>
                <w:sz w:val="18"/>
                <w:szCs w:val="18"/>
              </w:rPr>
              <w:t>1,8</w:t>
            </w:r>
          </w:p>
        </w:tc>
        <w:tc>
          <w:tcPr>
            <w:tcW w:w="925" w:type="dxa"/>
            <w:shd w:val="clear" w:color="auto" w:fill="auto"/>
            <w:vAlign w:val="bottom"/>
          </w:tcPr>
          <w:p w:rsidR="00000000" w:rsidRDefault="00000000">
            <w:pPr>
              <w:spacing w:before="60" w:after="60" w:line="220" w:lineRule="exact"/>
              <w:jc w:val="right"/>
              <w:rPr>
                <w:sz w:val="18"/>
                <w:szCs w:val="18"/>
              </w:rPr>
            </w:pPr>
            <w:r>
              <w:rPr>
                <w:sz w:val="18"/>
                <w:szCs w:val="18"/>
              </w:rPr>
              <w:t>2,2</w:t>
            </w:r>
          </w:p>
        </w:tc>
        <w:tc>
          <w:tcPr>
            <w:tcW w:w="128" w:type="dxa"/>
            <w:vAlign w:val="bottom"/>
          </w:tcPr>
          <w:p w:rsidR="00000000" w:rsidRDefault="00000000">
            <w:pPr>
              <w:spacing w:before="60" w:after="60" w:line="220" w:lineRule="exact"/>
              <w:jc w:val="right"/>
              <w:rPr>
                <w:sz w:val="18"/>
                <w:szCs w:val="18"/>
              </w:rPr>
            </w:pPr>
          </w:p>
        </w:tc>
        <w:tc>
          <w:tcPr>
            <w:tcW w:w="925" w:type="dxa"/>
            <w:shd w:val="clear" w:color="auto" w:fill="auto"/>
            <w:vAlign w:val="bottom"/>
          </w:tcPr>
          <w:p w:rsidR="00000000" w:rsidRDefault="00000000">
            <w:pPr>
              <w:spacing w:before="60" w:after="60" w:line="220" w:lineRule="exact"/>
              <w:jc w:val="right"/>
              <w:rPr>
                <w:sz w:val="18"/>
                <w:szCs w:val="18"/>
              </w:rPr>
            </w:pPr>
            <w:r>
              <w:rPr>
                <w:sz w:val="18"/>
                <w:szCs w:val="18"/>
              </w:rPr>
              <w:t>-</w:t>
            </w:r>
          </w:p>
        </w:tc>
        <w:tc>
          <w:tcPr>
            <w:tcW w:w="925" w:type="dxa"/>
            <w:gridSpan w:val="2"/>
            <w:shd w:val="clear" w:color="auto" w:fill="auto"/>
            <w:vAlign w:val="bottom"/>
          </w:tcPr>
          <w:p w:rsidR="00000000" w:rsidRDefault="00000000">
            <w:pPr>
              <w:spacing w:before="60" w:after="60" w:line="220" w:lineRule="exact"/>
              <w:jc w:val="right"/>
              <w:rPr>
                <w:sz w:val="18"/>
                <w:szCs w:val="18"/>
              </w:rPr>
            </w:pPr>
            <w:r>
              <w:rPr>
                <w:sz w:val="18"/>
                <w:szCs w:val="18"/>
              </w:rPr>
              <w:t>3,4</w:t>
            </w:r>
          </w:p>
        </w:tc>
      </w:tr>
      <w:tr w:rsidR="00000000">
        <w:tc>
          <w:tcPr>
            <w:tcW w:w="2827" w:type="dxa"/>
            <w:shd w:val="clear" w:color="auto" w:fill="auto"/>
          </w:tcPr>
          <w:p w:rsidR="00000000" w:rsidRDefault="00000000">
            <w:pPr>
              <w:spacing w:before="60" w:after="60" w:line="220" w:lineRule="exact"/>
              <w:rPr>
                <w:bCs/>
                <w:sz w:val="18"/>
                <w:szCs w:val="18"/>
              </w:rPr>
            </w:pPr>
            <w:r>
              <w:rPr>
                <w:bCs/>
                <w:sz w:val="18"/>
                <w:szCs w:val="18"/>
              </w:rPr>
              <w:t>Taux de pression fiscale ( % PIB)</w:t>
            </w:r>
          </w:p>
        </w:tc>
        <w:tc>
          <w:tcPr>
            <w:tcW w:w="925" w:type="dxa"/>
            <w:shd w:val="clear" w:color="auto" w:fill="auto"/>
            <w:vAlign w:val="bottom"/>
          </w:tcPr>
          <w:p w:rsidR="00000000" w:rsidRDefault="00000000">
            <w:pPr>
              <w:spacing w:before="60" w:after="60" w:line="220" w:lineRule="exact"/>
              <w:jc w:val="right"/>
              <w:rPr>
                <w:sz w:val="18"/>
                <w:szCs w:val="18"/>
              </w:rPr>
            </w:pPr>
            <w:r>
              <w:rPr>
                <w:sz w:val="18"/>
                <w:szCs w:val="18"/>
              </w:rPr>
              <w:t>10</w:t>
            </w:r>
          </w:p>
        </w:tc>
        <w:tc>
          <w:tcPr>
            <w:tcW w:w="925" w:type="dxa"/>
            <w:shd w:val="clear" w:color="auto" w:fill="auto"/>
            <w:vAlign w:val="bottom"/>
          </w:tcPr>
          <w:p w:rsidR="00000000" w:rsidRDefault="00000000">
            <w:pPr>
              <w:spacing w:before="60" w:after="60" w:line="220" w:lineRule="exact"/>
              <w:jc w:val="right"/>
              <w:rPr>
                <w:sz w:val="18"/>
                <w:szCs w:val="18"/>
              </w:rPr>
            </w:pPr>
            <w:r>
              <w:rPr>
                <w:sz w:val="18"/>
                <w:szCs w:val="18"/>
              </w:rPr>
              <w:t>10,9</w:t>
            </w:r>
          </w:p>
        </w:tc>
        <w:tc>
          <w:tcPr>
            <w:tcW w:w="925" w:type="dxa"/>
            <w:shd w:val="clear" w:color="auto" w:fill="auto"/>
            <w:vAlign w:val="bottom"/>
          </w:tcPr>
          <w:p w:rsidR="00000000" w:rsidRDefault="00000000">
            <w:pPr>
              <w:spacing w:before="60" w:after="60" w:line="220" w:lineRule="exact"/>
              <w:jc w:val="right"/>
              <w:rPr>
                <w:sz w:val="18"/>
                <w:szCs w:val="18"/>
              </w:rPr>
            </w:pPr>
            <w:r>
              <w:rPr>
                <w:sz w:val="18"/>
                <w:szCs w:val="18"/>
              </w:rPr>
              <w:t>10,1</w:t>
            </w:r>
          </w:p>
        </w:tc>
        <w:tc>
          <w:tcPr>
            <w:tcW w:w="925" w:type="dxa"/>
            <w:shd w:val="clear" w:color="auto" w:fill="auto"/>
            <w:vAlign w:val="bottom"/>
          </w:tcPr>
          <w:p w:rsidR="00000000" w:rsidRDefault="00000000">
            <w:pPr>
              <w:spacing w:before="60" w:after="60" w:line="220" w:lineRule="exact"/>
              <w:jc w:val="right"/>
              <w:rPr>
                <w:sz w:val="18"/>
                <w:szCs w:val="18"/>
              </w:rPr>
            </w:pPr>
            <w:r>
              <w:rPr>
                <w:sz w:val="18"/>
                <w:szCs w:val="18"/>
              </w:rPr>
              <w:t>10,7</w:t>
            </w:r>
          </w:p>
        </w:tc>
        <w:tc>
          <w:tcPr>
            <w:tcW w:w="128" w:type="dxa"/>
            <w:vAlign w:val="bottom"/>
          </w:tcPr>
          <w:p w:rsidR="00000000" w:rsidRDefault="00000000">
            <w:pPr>
              <w:spacing w:before="60" w:after="60" w:line="220" w:lineRule="exact"/>
              <w:jc w:val="right"/>
              <w:rPr>
                <w:sz w:val="18"/>
                <w:szCs w:val="18"/>
              </w:rPr>
            </w:pPr>
          </w:p>
        </w:tc>
        <w:tc>
          <w:tcPr>
            <w:tcW w:w="925" w:type="dxa"/>
            <w:shd w:val="clear" w:color="auto" w:fill="auto"/>
            <w:vAlign w:val="bottom"/>
          </w:tcPr>
          <w:p w:rsidR="00000000" w:rsidRDefault="00000000">
            <w:pPr>
              <w:spacing w:before="60" w:after="60" w:line="220" w:lineRule="exact"/>
              <w:jc w:val="right"/>
              <w:rPr>
                <w:sz w:val="18"/>
                <w:szCs w:val="18"/>
              </w:rPr>
            </w:pPr>
            <w:r>
              <w:rPr>
                <w:sz w:val="18"/>
                <w:szCs w:val="18"/>
              </w:rPr>
              <w:t>10,9</w:t>
            </w:r>
          </w:p>
        </w:tc>
        <w:tc>
          <w:tcPr>
            <w:tcW w:w="925" w:type="dxa"/>
            <w:gridSpan w:val="2"/>
            <w:shd w:val="clear" w:color="auto" w:fill="auto"/>
            <w:vAlign w:val="bottom"/>
          </w:tcPr>
          <w:p w:rsidR="00000000" w:rsidRDefault="00000000">
            <w:pPr>
              <w:spacing w:before="60" w:after="60" w:line="220" w:lineRule="exact"/>
              <w:jc w:val="right"/>
              <w:rPr>
                <w:sz w:val="18"/>
                <w:szCs w:val="18"/>
              </w:rPr>
            </w:pPr>
            <w:r>
              <w:rPr>
                <w:sz w:val="18"/>
                <w:szCs w:val="18"/>
              </w:rPr>
              <w:t>11,7</w:t>
            </w:r>
          </w:p>
        </w:tc>
      </w:tr>
      <w:tr w:rsidR="00000000">
        <w:tc>
          <w:tcPr>
            <w:tcW w:w="2827" w:type="dxa"/>
            <w:shd w:val="clear" w:color="auto" w:fill="auto"/>
          </w:tcPr>
          <w:p w:rsidR="00000000" w:rsidRDefault="00000000">
            <w:pPr>
              <w:spacing w:before="60" w:after="60" w:line="220" w:lineRule="exact"/>
              <w:rPr>
                <w:bCs/>
                <w:sz w:val="18"/>
                <w:szCs w:val="18"/>
              </w:rPr>
            </w:pPr>
            <w:r>
              <w:rPr>
                <w:bCs/>
                <w:sz w:val="18"/>
                <w:szCs w:val="18"/>
              </w:rPr>
              <w:t>Exportations (millions de DTS)</w:t>
            </w:r>
          </w:p>
        </w:tc>
        <w:tc>
          <w:tcPr>
            <w:tcW w:w="925" w:type="dxa"/>
            <w:shd w:val="clear" w:color="auto" w:fill="auto"/>
            <w:vAlign w:val="bottom"/>
          </w:tcPr>
          <w:p w:rsidR="00000000" w:rsidRDefault="00000000">
            <w:pPr>
              <w:spacing w:before="60" w:after="60" w:line="220" w:lineRule="exact"/>
              <w:jc w:val="right"/>
              <w:rPr>
                <w:sz w:val="18"/>
                <w:szCs w:val="18"/>
              </w:rPr>
            </w:pPr>
            <w:r>
              <w:rPr>
                <w:sz w:val="18"/>
                <w:szCs w:val="18"/>
              </w:rPr>
              <w:t>611,30</w:t>
            </w:r>
          </w:p>
        </w:tc>
        <w:tc>
          <w:tcPr>
            <w:tcW w:w="925" w:type="dxa"/>
            <w:shd w:val="clear" w:color="auto" w:fill="auto"/>
            <w:vAlign w:val="bottom"/>
          </w:tcPr>
          <w:p w:rsidR="00000000" w:rsidRDefault="00000000">
            <w:pPr>
              <w:spacing w:before="60" w:after="60" w:line="220" w:lineRule="exact"/>
              <w:jc w:val="right"/>
              <w:rPr>
                <w:sz w:val="18"/>
                <w:szCs w:val="18"/>
              </w:rPr>
            </w:pPr>
            <w:r>
              <w:rPr>
                <w:sz w:val="18"/>
                <w:szCs w:val="18"/>
              </w:rPr>
              <w:t>673,20</w:t>
            </w:r>
          </w:p>
        </w:tc>
        <w:tc>
          <w:tcPr>
            <w:tcW w:w="925" w:type="dxa"/>
            <w:shd w:val="clear" w:color="auto" w:fill="auto"/>
            <w:vAlign w:val="bottom"/>
          </w:tcPr>
          <w:p w:rsidR="00000000" w:rsidRDefault="00000000">
            <w:pPr>
              <w:spacing w:before="60" w:after="60" w:line="220" w:lineRule="exact"/>
              <w:jc w:val="right"/>
              <w:rPr>
                <w:sz w:val="18"/>
                <w:szCs w:val="18"/>
              </w:rPr>
            </w:pPr>
            <w:r>
              <w:rPr>
                <w:sz w:val="18"/>
                <w:szCs w:val="18"/>
              </w:rPr>
              <w:t>566,30</w:t>
            </w:r>
          </w:p>
        </w:tc>
        <w:tc>
          <w:tcPr>
            <w:tcW w:w="925" w:type="dxa"/>
            <w:shd w:val="clear" w:color="auto" w:fill="auto"/>
            <w:vAlign w:val="bottom"/>
          </w:tcPr>
          <w:p w:rsidR="00000000" w:rsidRDefault="00000000">
            <w:pPr>
              <w:spacing w:before="60" w:after="60" w:line="220" w:lineRule="exact"/>
              <w:jc w:val="right"/>
              <w:rPr>
                <w:sz w:val="18"/>
                <w:szCs w:val="18"/>
              </w:rPr>
            </w:pPr>
            <w:r>
              <w:rPr>
                <w:sz w:val="18"/>
                <w:szCs w:val="18"/>
              </w:rPr>
              <w:t>579,60</w:t>
            </w:r>
          </w:p>
        </w:tc>
        <w:tc>
          <w:tcPr>
            <w:tcW w:w="128" w:type="dxa"/>
            <w:vAlign w:val="bottom"/>
          </w:tcPr>
          <w:p w:rsidR="00000000" w:rsidRDefault="00000000">
            <w:pPr>
              <w:spacing w:before="60" w:after="60" w:line="220" w:lineRule="exact"/>
              <w:jc w:val="right"/>
              <w:rPr>
                <w:sz w:val="18"/>
                <w:szCs w:val="18"/>
              </w:rPr>
            </w:pPr>
          </w:p>
        </w:tc>
        <w:tc>
          <w:tcPr>
            <w:tcW w:w="925" w:type="dxa"/>
            <w:shd w:val="clear" w:color="auto" w:fill="auto"/>
            <w:vAlign w:val="bottom"/>
          </w:tcPr>
          <w:p w:rsidR="00000000" w:rsidRDefault="00000000">
            <w:pPr>
              <w:spacing w:before="60" w:after="60" w:line="220" w:lineRule="exact"/>
              <w:jc w:val="right"/>
              <w:rPr>
                <w:sz w:val="18"/>
                <w:szCs w:val="18"/>
              </w:rPr>
            </w:pPr>
            <w:r>
              <w:rPr>
                <w:sz w:val="18"/>
                <w:szCs w:val="18"/>
              </w:rPr>
              <w:t>-</w:t>
            </w:r>
          </w:p>
        </w:tc>
        <w:tc>
          <w:tcPr>
            <w:tcW w:w="925" w:type="dxa"/>
            <w:gridSpan w:val="2"/>
            <w:shd w:val="clear" w:color="auto" w:fill="auto"/>
            <w:vAlign w:val="bottom"/>
          </w:tcPr>
          <w:p w:rsidR="00000000" w:rsidRDefault="00000000">
            <w:pPr>
              <w:spacing w:before="60" w:after="60" w:line="220" w:lineRule="exact"/>
              <w:jc w:val="right"/>
              <w:rPr>
                <w:sz w:val="18"/>
                <w:szCs w:val="18"/>
              </w:rPr>
            </w:pPr>
            <w:r>
              <w:rPr>
                <w:sz w:val="18"/>
                <w:szCs w:val="18"/>
              </w:rPr>
              <w:t>808,00</w:t>
            </w:r>
          </w:p>
        </w:tc>
      </w:tr>
      <w:tr w:rsidR="00000000">
        <w:tc>
          <w:tcPr>
            <w:tcW w:w="2827" w:type="dxa"/>
            <w:shd w:val="clear" w:color="auto" w:fill="auto"/>
          </w:tcPr>
          <w:p w:rsidR="00000000" w:rsidRDefault="00000000">
            <w:pPr>
              <w:spacing w:before="60" w:after="60" w:line="220" w:lineRule="exact"/>
              <w:rPr>
                <w:bCs/>
                <w:sz w:val="18"/>
                <w:szCs w:val="18"/>
              </w:rPr>
            </w:pPr>
            <w:r>
              <w:rPr>
                <w:bCs/>
                <w:sz w:val="18"/>
                <w:szCs w:val="18"/>
              </w:rPr>
              <w:t>Services de la dette extérieure (millions de DTS)</w:t>
            </w:r>
          </w:p>
        </w:tc>
        <w:tc>
          <w:tcPr>
            <w:tcW w:w="925" w:type="dxa"/>
            <w:shd w:val="clear" w:color="auto" w:fill="auto"/>
            <w:vAlign w:val="bottom"/>
          </w:tcPr>
          <w:p w:rsidR="00000000" w:rsidRDefault="00000000">
            <w:pPr>
              <w:spacing w:before="60" w:after="60" w:line="220" w:lineRule="exact"/>
              <w:jc w:val="right"/>
              <w:rPr>
                <w:sz w:val="18"/>
                <w:szCs w:val="18"/>
              </w:rPr>
            </w:pPr>
            <w:r>
              <w:rPr>
                <w:sz w:val="18"/>
                <w:szCs w:val="18"/>
              </w:rPr>
              <w:t>38,08</w:t>
            </w:r>
          </w:p>
        </w:tc>
        <w:tc>
          <w:tcPr>
            <w:tcW w:w="925" w:type="dxa"/>
            <w:shd w:val="clear" w:color="auto" w:fill="auto"/>
            <w:vAlign w:val="bottom"/>
          </w:tcPr>
          <w:p w:rsidR="00000000" w:rsidRDefault="00000000">
            <w:pPr>
              <w:spacing w:before="60" w:after="60" w:line="220" w:lineRule="exact"/>
              <w:jc w:val="right"/>
              <w:rPr>
                <w:sz w:val="18"/>
                <w:szCs w:val="18"/>
              </w:rPr>
            </w:pPr>
            <w:r>
              <w:rPr>
                <w:sz w:val="18"/>
                <w:szCs w:val="18"/>
              </w:rPr>
              <w:t>49,69</w:t>
            </w:r>
          </w:p>
        </w:tc>
        <w:tc>
          <w:tcPr>
            <w:tcW w:w="925" w:type="dxa"/>
            <w:shd w:val="clear" w:color="auto" w:fill="auto"/>
            <w:vAlign w:val="bottom"/>
          </w:tcPr>
          <w:p w:rsidR="00000000" w:rsidRDefault="00000000">
            <w:pPr>
              <w:spacing w:before="60" w:after="60" w:line="220" w:lineRule="exact"/>
              <w:jc w:val="right"/>
              <w:rPr>
                <w:sz w:val="18"/>
                <w:szCs w:val="18"/>
              </w:rPr>
            </w:pPr>
            <w:r>
              <w:rPr>
                <w:sz w:val="18"/>
                <w:szCs w:val="18"/>
              </w:rPr>
              <w:t>46,6</w:t>
            </w:r>
          </w:p>
        </w:tc>
        <w:tc>
          <w:tcPr>
            <w:tcW w:w="925" w:type="dxa"/>
            <w:shd w:val="clear" w:color="auto" w:fill="auto"/>
            <w:vAlign w:val="bottom"/>
          </w:tcPr>
          <w:p w:rsidR="00000000" w:rsidRDefault="00000000">
            <w:pPr>
              <w:spacing w:before="60" w:after="60" w:line="220" w:lineRule="exact"/>
              <w:jc w:val="right"/>
              <w:rPr>
                <w:sz w:val="18"/>
                <w:szCs w:val="18"/>
              </w:rPr>
            </w:pPr>
            <w:r>
              <w:rPr>
                <w:sz w:val="18"/>
                <w:szCs w:val="18"/>
              </w:rPr>
              <w:t>34,34</w:t>
            </w:r>
          </w:p>
        </w:tc>
        <w:tc>
          <w:tcPr>
            <w:tcW w:w="128" w:type="dxa"/>
            <w:vAlign w:val="bottom"/>
          </w:tcPr>
          <w:p w:rsidR="00000000" w:rsidRDefault="00000000">
            <w:pPr>
              <w:spacing w:before="60" w:after="60" w:line="220" w:lineRule="exact"/>
              <w:jc w:val="right"/>
              <w:rPr>
                <w:sz w:val="18"/>
                <w:szCs w:val="18"/>
              </w:rPr>
            </w:pPr>
          </w:p>
        </w:tc>
        <w:tc>
          <w:tcPr>
            <w:tcW w:w="925" w:type="dxa"/>
            <w:shd w:val="clear" w:color="auto" w:fill="auto"/>
            <w:vAlign w:val="bottom"/>
          </w:tcPr>
          <w:p w:rsidR="00000000" w:rsidRDefault="00000000">
            <w:pPr>
              <w:spacing w:before="60" w:after="60" w:line="220" w:lineRule="exact"/>
              <w:jc w:val="right"/>
              <w:rPr>
                <w:sz w:val="18"/>
                <w:szCs w:val="18"/>
              </w:rPr>
            </w:pPr>
            <w:r>
              <w:rPr>
                <w:sz w:val="18"/>
                <w:szCs w:val="18"/>
              </w:rPr>
              <w:t>-</w:t>
            </w:r>
          </w:p>
        </w:tc>
        <w:tc>
          <w:tcPr>
            <w:tcW w:w="925" w:type="dxa"/>
            <w:gridSpan w:val="2"/>
            <w:shd w:val="clear" w:color="auto" w:fill="auto"/>
            <w:vAlign w:val="bottom"/>
          </w:tcPr>
          <w:p w:rsidR="00000000" w:rsidRDefault="00000000">
            <w:pPr>
              <w:spacing w:before="60" w:after="60" w:line="220" w:lineRule="exact"/>
              <w:jc w:val="right"/>
              <w:rPr>
                <w:sz w:val="18"/>
                <w:szCs w:val="18"/>
              </w:rPr>
            </w:pPr>
            <w:r>
              <w:rPr>
                <w:sz w:val="18"/>
                <w:szCs w:val="18"/>
              </w:rPr>
              <w:t>13,99</w:t>
            </w:r>
          </w:p>
        </w:tc>
      </w:tr>
      <w:tr w:rsidR="00000000">
        <w:tc>
          <w:tcPr>
            <w:tcW w:w="2827" w:type="dxa"/>
            <w:shd w:val="clear" w:color="auto" w:fill="auto"/>
          </w:tcPr>
          <w:p w:rsidR="00000000" w:rsidRDefault="00000000">
            <w:pPr>
              <w:spacing w:before="60" w:after="60" w:line="220" w:lineRule="exact"/>
              <w:rPr>
                <w:bCs/>
                <w:sz w:val="18"/>
                <w:szCs w:val="18"/>
              </w:rPr>
            </w:pPr>
            <w:r>
              <w:rPr>
                <w:bCs/>
                <w:sz w:val="18"/>
                <w:szCs w:val="18"/>
              </w:rPr>
              <w:t>Ratio services de la dette extérieure par rapport aux exportations (%)</w:t>
            </w:r>
          </w:p>
        </w:tc>
        <w:tc>
          <w:tcPr>
            <w:tcW w:w="925" w:type="dxa"/>
            <w:shd w:val="clear" w:color="auto" w:fill="auto"/>
            <w:vAlign w:val="bottom"/>
          </w:tcPr>
          <w:p w:rsidR="00000000" w:rsidRDefault="00000000">
            <w:pPr>
              <w:spacing w:before="60" w:after="60" w:line="220" w:lineRule="exact"/>
              <w:jc w:val="right"/>
              <w:rPr>
                <w:sz w:val="18"/>
                <w:szCs w:val="18"/>
              </w:rPr>
            </w:pPr>
            <w:r>
              <w:rPr>
                <w:sz w:val="18"/>
                <w:szCs w:val="18"/>
              </w:rPr>
              <w:t>6,23</w:t>
            </w:r>
          </w:p>
        </w:tc>
        <w:tc>
          <w:tcPr>
            <w:tcW w:w="925" w:type="dxa"/>
            <w:shd w:val="clear" w:color="auto" w:fill="auto"/>
            <w:vAlign w:val="bottom"/>
          </w:tcPr>
          <w:p w:rsidR="00000000" w:rsidRDefault="00000000">
            <w:pPr>
              <w:spacing w:before="60" w:after="60" w:line="220" w:lineRule="exact"/>
              <w:jc w:val="right"/>
              <w:rPr>
                <w:sz w:val="18"/>
                <w:szCs w:val="18"/>
              </w:rPr>
            </w:pPr>
            <w:r>
              <w:rPr>
                <w:sz w:val="18"/>
                <w:szCs w:val="18"/>
              </w:rPr>
              <w:t>7,38</w:t>
            </w:r>
          </w:p>
        </w:tc>
        <w:tc>
          <w:tcPr>
            <w:tcW w:w="925" w:type="dxa"/>
            <w:shd w:val="clear" w:color="auto" w:fill="auto"/>
            <w:vAlign w:val="bottom"/>
          </w:tcPr>
          <w:p w:rsidR="00000000" w:rsidRDefault="00000000">
            <w:pPr>
              <w:spacing w:before="60" w:after="60" w:line="220" w:lineRule="exact"/>
              <w:jc w:val="right"/>
              <w:rPr>
                <w:sz w:val="18"/>
                <w:szCs w:val="18"/>
              </w:rPr>
            </w:pPr>
            <w:r>
              <w:rPr>
                <w:sz w:val="18"/>
                <w:szCs w:val="18"/>
              </w:rPr>
              <w:t>8,23</w:t>
            </w:r>
          </w:p>
        </w:tc>
        <w:tc>
          <w:tcPr>
            <w:tcW w:w="925" w:type="dxa"/>
            <w:shd w:val="clear" w:color="auto" w:fill="auto"/>
            <w:vAlign w:val="bottom"/>
          </w:tcPr>
          <w:p w:rsidR="00000000" w:rsidRDefault="00000000">
            <w:pPr>
              <w:spacing w:before="60" w:after="60" w:line="220" w:lineRule="exact"/>
              <w:jc w:val="right"/>
              <w:rPr>
                <w:sz w:val="18"/>
                <w:szCs w:val="18"/>
              </w:rPr>
            </w:pPr>
            <w:r>
              <w:rPr>
                <w:sz w:val="18"/>
                <w:szCs w:val="18"/>
              </w:rPr>
              <w:t>5,92</w:t>
            </w:r>
          </w:p>
        </w:tc>
        <w:tc>
          <w:tcPr>
            <w:tcW w:w="128" w:type="dxa"/>
            <w:vAlign w:val="bottom"/>
          </w:tcPr>
          <w:p w:rsidR="00000000" w:rsidRDefault="00000000">
            <w:pPr>
              <w:spacing w:before="60" w:after="60" w:line="220" w:lineRule="exact"/>
              <w:jc w:val="right"/>
              <w:rPr>
                <w:sz w:val="18"/>
                <w:szCs w:val="18"/>
              </w:rPr>
            </w:pPr>
          </w:p>
        </w:tc>
        <w:tc>
          <w:tcPr>
            <w:tcW w:w="925" w:type="dxa"/>
            <w:shd w:val="clear" w:color="auto" w:fill="auto"/>
            <w:vAlign w:val="bottom"/>
          </w:tcPr>
          <w:p w:rsidR="00000000" w:rsidRDefault="00000000">
            <w:pPr>
              <w:spacing w:before="60" w:after="60" w:line="220" w:lineRule="exact"/>
              <w:jc w:val="right"/>
              <w:rPr>
                <w:sz w:val="18"/>
                <w:szCs w:val="18"/>
              </w:rPr>
            </w:pPr>
            <w:r>
              <w:rPr>
                <w:sz w:val="18"/>
                <w:szCs w:val="18"/>
              </w:rPr>
              <w:t>-</w:t>
            </w:r>
          </w:p>
        </w:tc>
        <w:tc>
          <w:tcPr>
            <w:tcW w:w="925" w:type="dxa"/>
            <w:gridSpan w:val="2"/>
            <w:shd w:val="clear" w:color="auto" w:fill="auto"/>
            <w:vAlign w:val="bottom"/>
          </w:tcPr>
          <w:p w:rsidR="00000000" w:rsidRDefault="00000000">
            <w:pPr>
              <w:spacing w:before="60" w:after="60" w:line="220" w:lineRule="exact"/>
              <w:jc w:val="right"/>
              <w:rPr>
                <w:sz w:val="18"/>
                <w:szCs w:val="18"/>
              </w:rPr>
            </w:pPr>
            <w:r>
              <w:rPr>
                <w:sz w:val="18"/>
                <w:szCs w:val="18"/>
              </w:rPr>
              <w:t>1,7</w:t>
            </w:r>
          </w:p>
        </w:tc>
      </w:tr>
      <w:tr w:rsidR="00000000">
        <w:tc>
          <w:tcPr>
            <w:tcW w:w="2827" w:type="dxa"/>
            <w:shd w:val="clear" w:color="auto" w:fill="auto"/>
          </w:tcPr>
          <w:p w:rsidR="00000000" w:rsidRDefault="00000000">
            <w:pPr>
              <w:spacing w:before="60" w:after="60" w:line="220" w:lineRule="exact"/>
              <w:rPr>
                <w:bCs/>
                <w:sz w:val="18"/>
                <w:szCs w:val="18"/>
              </w:rPr>
            </w:pPr>
            <w:r>
              <w:rPr>
                <w:bCs/>
                <w:sz w:val="18"/>
                <w:szCs w:val="18"/>
              </w:rPr>
              <w:t>Réserves en devises(en mois d’importation)</w:t>
            </w:r>
          </w:p>
        </w:tc>
        <w:tc>
          <w:tcPr>
            <w:tcW w:w="925" w:type="dxa"/>
            <w:shd w:val="clear" w:color="auto" w:fill="auto"/>
            <w:vAlign w:val="bottom"/>
          </w:tcPr>
          <w:p w:rsidR="00000000" w:rsidRDefault="00000000">
            <w:pPr>
              <w:spacing w:before="60" w:after="60" w:line="220" w:lineRule="exact"/>
              <w:jc w:val="right"/>
              <w:rPr>
                <w:sz w:val="18"/>
                <w:szCs w:val="18"/>
              </w:rPr>
            </w:pPr>
            <w:r>
              <w:rPr>
                <w:sz w:val="18"/>
                <w:szCs w:val="18"/>
              </w:rPr>
              <w:t>2,7</w:t>
            </w:r>
          </w:p>
        </w:tc>
        <w:tc>
          <w:tcPr>
            <w:tcW w:w="925" w:type="dxa"/>
            <w:shd w:val="clear" w:color="auto" w:fill="auto"/>
            <w:vAlign w:val="bottom"/>
          </w:tcPr>
          <w:p w:rsidR="00000000" w:rsidRDefault="00000000">
            <w:pPr>
              <w:spacing w:before="60" w:after="60" w:line="220" w:lineRule="exact"/>
              <w:jc w:val="right"/>
              <w:rPr>
                <w:sz w:val="18"/>
                <w:szCs w:val="18"/>
              </w:rPr>
            </w:pPr>
            <w:r>
              <w:rPr>
                <w:sz w:val="18"/>
                <w:szCs w:val="18"/>
              </w:rPr>
              <w:t>2,9</w:t>
            </w:r>
          </w:p>
        </w:tc>
        <w:tc>
          <w:tcPr>
            <w:tcW w:w="925" w:type="dxa"/>
            <w:shd w:val="clear" w:color="auto" w:fill="auto"/>
            <w:vAlign w:val="bottom"/>
          </w:tcPr>
          <w:p w:rsidR="00000000" w:rsidRDefault="00000000">
            <w:pPr>
              <w:spacing w:before="60" w:after="60" w:line="220" w:lineRule="exact"/>
              <w:jc w:val="right"/>
              <w:rPr>
                <w:sz w:val="18"/>
                <w:szCs w:val="18"/>
              </w:rPr>
            </w:pPr>
            <w:r>
              <w:rPr>
                <w:sz w:val="18"/>
                <w:szCs w:val="18"/>
              </w:rPr>
              <w:t>2,9</w:t>
            </w:r>
          </w:p>
        </w:tc>
        <w:tc>
          <w:tcPr>
            <w:tcW w:w="925" w:type="dxa"/>
            <w:shd w:val="clear" w:color="auto" w:fill="auto"/>
            <w:vAlign w:val="bottom"/>
          </w:tcPr>
          <w:p w:rsidR="00000000" w:rsidRDefault="00000000">
            <w:pPr>
              <w:spacing w:before="60" w:after="60" w:line="220" w:lineRule="exact"/>
              <w:jc w:val="right"/>
              <w:rPr>
                <w:sz w:val="18"/>
                <w:szCs w:val="18"/>
              </w:rPr>
            </w:pPr>
            <w:r>
              <w:rPr>
                <w:sz w:val="18"/>
                <w:szCs w:val="18"/>
              </w:rPr>
              <w:t>2,9</w:t>
            </w:r>
          </w:p>
        </w:tc>
        <w:tc>
          <w:tcPr>
            <w:tcW w:w="128" w:type="dxa"/>
            <w:vAlign w:val="bottom"/>
          </w:tcPr>
          <w:p w:rsidR="00000000" w:rsidRDefault="00000000">
            <w:pPr>
              <w:spacing w:before="60" w:after="60" w:line="220" w:lineRule="exact"/>
              <w:jc w:val="right"/>
              <w:rPr>
                <w:sz w:val="18"/>
                <w:szCs w:val="18"/>
              </w:rPr>
            </w:pPr>
          </w:p>
        </w:tc>
        <w:tc>
          <w:tcPr>
            <w:tcW w:w="925" w:type="dxa"/>
            <w:shd w:val="clear" w:color="auto" w:fill="auto"/>
            <w:vAlign w:val="bottom"/>
          </w:tcPr>
          <w:p w:rsidR="00000000" w:rsidRDefault="00000000">
            <w:pPr>
              <w:spacing w:before="60" w:after="60" w:line="220" w:lineRule="exact"/>
              <w:jc w:val="right"/>
              <w:rPr>
                <w:sz w:val="18"/>
                <w:szCs w:val="18"/>
              </w:rPr>
            </w:pPr>
            <w:r>
              <w:rPr>
                <w:sz w:val="18"/>
                <w:szCs w:val="18"/>
              </w:rPr>
              <w:t>2,6</w:t>
            </w:r>
          </w:p>
        </w:tc>
        <w:tc>
          <w:tcPr>
            <w:tcW w:w="925" w:type="dxa"/>
            <w:gridSpan w:val="2"/>
            <w:shd w:val="clear" w:color="auto" w:fill="auto"/>
            <w:vAlign w:val="bottom"/>
          </w:tcPr>
          <w:p w:rsidR="00000000" w:rsidRDefault="00000000">
            <w:pPr>
              <w:spacing w:before="60" w:after="60" w:line="220" w:lineRule="exact"/>
              <w:jc w:val="right"/>
              <w:rPr>
                <w:sz w:val="18"/>
                <w:szCs w:val="18"/>
              </w:rPr>
            </w:pPr>
            <w:r>
              <w:rPr>
                <w:sz w:val="18"/>
                <w:szCs w:val="18"/>
              </w:rPr>
              <w:t>2,9</w:t>
            </w:r>
          </w:p>
        </w:tc>
      </w:tr>
      <w:tr w:rsidR="00000000">
        <w:tc>
          <w:tcPr>
            <w:tcW w:w="2827" w:type="dxa"/>
            <w:shd w:val="clear" w:color="auto" w:fill="auto"/>
          </w:tcPr>
          <w:p w:rsidR="00000000" w:rsidRDefault="00000000">
            <w:pPr>
              <w:spacing w:before="60" w:after="60" w:line="220" w:lineRule="exact"/>
              <w:rPr>
                <w:bCs/>
                <w:sz w:val="18"/>
                <w:szCs w:val="18"/>
              </w:rPr>
            </w:pPr>
            <w:r>
              <w:rPr>
                <w:bCs/>
                <w:sz w:val="18"/>
                <w:szCs w:val="18"/>
              </w:rPr>
              <w:t>Flux net d’IDE (millions de DTS)</w:t>
            </w:r>
          </w:p>
        </w:tc>
        <w:tc>
          <w:tcPr>
            <w:tcW w:w="925" w:type="dxa"/>
            <w:shd w:val="clear" w:color="auto" w:fill="auto"/>
            <w:vAlign w:val="bottom"/>
          </w:tcPr>
          <w:p w:rsidR="00000000" w:rsidRDefault="00000000">
            <w:pPr>
              <w:spacing w:before="60" w:after="60" w:line="220" w:lineRule="exact"/>
              <w:jc w:val="right"/>
              <w:rPr>
                <w:sz w:val="18"/>
                <w:szCs w:val="18"/>
              </w:rPr>
            </w:pPr>
            <w:r>
              <w:rPr>
                <w:sz w:val="18"/>
                <w:szCs w:val="18"/>
              </w:rPr>
              <w:t>9,1</w:t>
            </w:r>
          </w:p>
        </w:tc>
        <w:tc>
          <w:tcPr>
            <w:tcW w:w="925" w:type="dxa"/>
            <w:shd w:val="clear" w:color="auto" w:fill="auto"/>
            <w:vAlign w:val="bottom"/>
          </w:tcPr>
          <w:p w:rsidR="00000000" w:rsidRDefault="00000000">
            <w:pPr>
              <w:spacing w:before="60" w:after="60" w:line="220" w:lineRule="exact"/>
              <w:jc w:val="right"/>
              <w:rPr>
                <w:sz w:val="18"/>
                <w:szCs w:val="18"/>
              </w:rPr>
            </w:pPr>
            <w:r>
              <w:rPr>
                <w:sz w:val="18"/>
                <w:szCs w:val="18"/>
              </w:rPr>
              <w:t>35,7</w:t>
            </w:r>
          </w:p>
        </w:tc>
        <w:tc>
          <w:tcPr>
            <w:tcW w:w="925" w:type="dxa"/>
            <w:shd w:val="clear" w:color="auto" w:fill="auto"/>
            <w:vAlign w:val="bottom"/>
          </w:tcPr>
          <w:p w:rsidR="00000000" w:rsidRDefault="00000000">
            <w:pPr>
              <w:spacing w:before="60" w:after="60" w:line="220" w:lineRule="exact"/>
              <w:jc w:val="right"/>
              <w:rPr>
                <w:sz w:val="18"/>
                <w:szCs w:val="18"/>
              </w:rPr>
            </w:pPr>
            <w:r>
              <w:rPr>
                <w:sz w:val="18"/>
                <w:szCs w:val="18"/>
              </w:rPr>
              <w:t>58</w:t>
            </w:r>
          </w:p>
        </w:tc>
        <w:tc>
          <w:tcPr>
            <w:tcW w:w="925" w:type="dxa"/>
            <w:shd w:val="clear" w:color="auto" w:fill="auto"/>
            <w:vAlign w:val="bottom"/>
          </w:tcPr>
          <w:p w:rsidR="00000000" w:rsidRDefault="00000000">
            <w:pPr>
              <w:spacing w:before="60" w:after="60" w:line="220" w:lineRule="exact"/>
              <w:jc w:val="right"/>
              <w:rPr>
                <w:sz w:val="18"/>
                <w:szCs w:val="18"/>
              </w:rPr>
            </w:pPr>
            <w:r>
              <w:rPr>
                <w:sz w:val="18"/>
                <w:szCs w:val="18"/>
              </w:rPr>
              <w:t>150,5</w:t>
            </w:r>
          </w:p>
        </w:tc>
        <w:tc>
          <w:tcPr>
            <w:tcW w:w="128" w:type="dxa"/>
            <w:vAlign w:val="bottom"/>
          </w:tcPr>
          <w:p w:rsidR="00000000" w:rsidRDefault="00000000">
            <w:pPr>
              <w:spacing w:before="60" w:after="60" w:line="220" w:lineRule="exact"/>
              <w:jc w:val="right"/>
              <w:rPr>
                <w:sz w:val="18"/>
                <w:szCs w:val="18"/>
              </w:rPr>
            </w:pPr>
          </w:p>
        </w:tc>
        <w:tc>
          <w:tcPr>
            <w:tcW w:w="925" w:type="dxa"/>
            <w:shd w:val="clear" w:color="auto" w:fill="auto"/>
            <w:vAlign w:val="bottom"/>
          </w:tcPr>
          <w:p w:rsidR="00000000" w:rsidRDefault="00000000">
            <w:pPr>
              <w:spacing w:before="60" w:after="60" w:line="220" w:lineRule="exact"/>
              <w:jc w:val="right"/>
              <w:rPr>
                <w:sz w:val="18"/>
                <w:szCs w:val="18"/>
              </w:rPr>
            </w:pPr>
            <w:r>
              <w:rPr>
                <w:sz w:val="18"/>
                <w:szCs w:val="18"/>
              </w:rPr>
              <w:t>-</w:t>
            </w:r>
          </w:p>
        </w:tc>
        <w:tc>
          <w:tcPr>
            <w:tcW w:w="925" w:type="dxa"/>
            <w:gridSpan w:val="2"/>
            <w:shd w:val="clear" w:color="auto" w:fill="auto"/>
            <w:vAlign w:val="bottom"/>
          </w:tcPr>
          <w:p w:rsidR="00000000" w:rsidRDefault="00000000">
            <w:pPr>
              <w:spacing w:before="60" w:after="60" w:line="220" w:lineRule="exact"/>
              <w:jc w:val="right"/>
              <w:rPr>
                <w:sz w:val="18"/>
                <w:szCs w:val="18"/>
              </w:rPr>
            </w:pPr>
            <w:r>
              <w:rPr>
                <w:sz w:val="18"/>
                <w:szCs w:val="18"/>
              </w:rPr>
              <w:t>652,1</w:t>
            </w:r>
          </w:p>
        </w:tc>
      </w:tr>
      <w:tr w:rsidR="00000000">
        <w:tc>
          <w:tcPr>
            <w:tcW w:w="2827" w:type="dxa"/>
            <w:shd w:val="clear" w:color="auto" w:fill="auto"/>
          </w:tcPr>
          <w:p w:rsidR="00000000" w:rsidRDefault="00000000">
            <w:pPr>
              <w:spacing w:before="60" w:after="60" w:line="220" w:lineRule="exact"/>
              <w:rPr>
                <w:bCs/>
                <w:sz w:val="18"/>
                <w:szCs w:val="18"/>
              </w:rPr>
            </w:pPr>
            <w:r>
              <w:rPr>
                <w:bCs/>
                <w:sz w:val="18"/>
                <w:szCs w:val="18"/>
              </w:rPr>
              <w:t>Crédit bancaire à LT accordé au secteur privé ( % totalité du crédit)</w:t>
            </w:r>
          </w:p>
        </w:tc>
        <w:tc>
          <w:tcPr>
            <w:tcW w:w="925" w:type="dxa"/>
            <w:shd w:val="clear" w:color="auto" w:fill="auto"/>
            <w:vAlign w:val="bottom"/>
          </w:tcPr>
          <w:p w:rsidR="00000000" w:rsidRDefault="00000000">
            <w:pPr>
              <w:spacing w:before="60" w:after="60" w:line="220" w:lineRule="exact"/>
              <w:jc w:val="right"/>
              <w:rPr>
                <w:sz w:val="18"/>
                <w:szCs w:val="18"/>
              </w:rPr>
            </w:pPr>
            <w:r>
              <w:rPr>
                <w:sz w:val="18"/>
                <w:szCs w:val="18"/>
              </w:rPr>
              <w:t>6,6</w:t>
            </w:r>
          </w:p>
        </w:tc>
        <w:tc>
          <w:tcPr>
            <w:tcW w:w="925" w:type="dxa"/>
            <w:shd w:val="clear" w:color="auto" w:fill="auto"/>
            <w:vAlign w:val="bottom"/>
          </w:tcPr>
          <w:p w:rsidR="00000000" w:rsidRDefault="00000000">
            <w:pPr>
              <w:spacing w:before="60" w:after="60" w:line="220" w:lineRule="exact"/>
              <w:jc w:val="right"/>
              <w:rPr>
                <w:sz w:val="18"/>
                <w:szCs w:val="18"/>
              </w:rPr>
            </w:pPr>
            <w:r>
              <w:rPr>
                <w:sz w:val="18"/>
                <w:szCs w:val="18"/>
              </w:rPr>
              <w:t>6,24</w:t>
            </w:r>
          </w:p>
        </w:tc>
        <w:tc>
          <w:tcPr>
            <w:tcW w:w="925" w:type="dxa"/>
            <w:shd w:val="clear" w:color="auto" w:fill="auto"/>
            <w:vAlign w:val="bottom"/>
          </w:tcPr>
          <w:p w:rsidR="00000000" w:rsidRDefault="00000000">
            <w:pPr>
              <w:spacing w:before="60" w:after="60" w:line="220" w:lineRule="exact"/>
              <w:jc w:val="right"/>
              <w:rPr>
                <w:sz w:val="18"/>
                <w:szCs w:val="18"/>
              </w:rPr>
            </w:pPr>
            <w:r>
              <w:rPr>
                <w:sz w:val="18"/>
                <w:szCs w:val="18"/>
              </w:rPr>
              <w:t>4,5</w:t>
            </w:r>
          </w:p>
        </w:tc>
        <w:tc>
          <w:tcPr>
            <w:tcW w:w="925" w:type="dxa"/>
            <w:shd w:val="clear" w:color="auto" w:fill="auto"/>
            <w:vAlign w:val="bottom"/>
          </w:tcPr>
          <w:p w:rsidR="00000000" w:rsidRDefault="00000000">
            <w:pPr>
              <w:spacing w:before="60" w:after="60" w:line="220" w:lineRule="exact"/>
              <w:jc w:val="right"/>
              <w:rPr>
                <w:sz w:val="18"/>
                <w:szCs w:val="18"/>
              </w:rPr>
            </w:pPr>
            <w:r>
              <w:rPr>
                <w:sz w:val="18"/>
                <w:szCs w:val="18"/>
              </w:rPr>
              <w:t>4,78</w:t>
            </w:r>
          </w:p>
        </w:tc>
        <w:tc>
          <w:tcPr>
            <w:tcW w:w="128" w:type="dxa"/>
            <w:vAlign w:val="bottom"/>
          </w:tcPr>
          <w:p w:rsidR="00000000" w:rsidRDefault="00000000">
            <w:pPr>
              <w:spacing w:before="60" w:after="60" w:line="220" w:lineRule="exact"/>
              <w:jc w:val="right"/>
              <w:rPr>
                <w:sz w:val="18"/>
                <w:szCs w:val="18"/>
              </w:rPr>
            </w:pPr>
          </w:p>
        </w:tc>
        <w:tc>
          <w:tcPr>
            <w:tcW w:w="925" w:type="dxa"/>
            <w:shd w:val="clear" w:color="auto" w:fill="auto"/>
            <w:vAlign w:val="bottom"/>
          </w:tcPr>
          <w:p w:rsidR="00000000" w:rsidRDefault="00000000">
            <w:pPr>
              <w:spacing w:before="60" w:after="60" w:line="220" w:lineRule="exact"/>
              <w:jc w:val="right"/>
              <w:rPr>
                <w:sz w:val="18"/>
                <w:szCs w:val="18"/>
              </w:rPr>
            </w:pPr>
            <w:r>
              <w:rPr>
                <w:sz w:val="18"/>
                <w:szCs w:val="18"/>
              </w:rPr>
              <w:t>-</w:t>
            </w:r>
          </w:p>
        </w:tc>
        <w:tc>
          <w:tcPr>
            <w:tcW w:w="925" w:type="dxa"/>
            <w:gridSpan w:val="2"/>
            <w:shd w:val="clear" w:color="auto" w:fill="auto"/>
            <w:vAlign w:val="bottom"/>
          </w:tcPr>
          <w:p w:rsidR="00000000" w:rsidRDefault="00000000">
            <w:pPr>
              <w:spacing w:before="60" w:after="60" w:line="220" w:lineRule="exact"/>
              <w:jc w:val="right"/>
              <w:rPr>
                <w:sz w:val="18"/>
                <w:szCs w:val="18"/>
              </w:rPr>
            </w:pPr>
            <w:r>
              <w:rPr>
                <w:sz w:val="18"/>
                <w:szCs w:val="18"/>
              </w:rPr>
              <w:t>6,72</w:t>
            </w:r>
          </w:p>
        </w:tc>
      </w:tr>
      <w:tr w:rsidR="00000000">
        <w:tc>
          <w:tcPr>
            <w:tcW w:w="2827" w:type="dxa"/>
            <w:shd w:val="clear" w:color="auto" w:fill="auto"/>
          </w:tcPr>
          <w:p w:rsidR="00000000" w:rsidRDefault="00000000">
            <w:pPr>
              <w:spacing w:before="60" w:after="60" w:line="220" w:lineRule="exact"/>
              <w:rPr>
                <w:bCs/>
                <w:sz w:val="18"/>
                <w:szCs w:val="18"/>
              </w:rPr>
            </w:pPr>
            <w:r>
              <w:rPr>
                <w:bCs/>
                <w:sz w:val="18"/>
                <w:szCs w:val="18"/>
              </w:rPr>
              <w:t>PIB tertiaire (%)</w:t>
            </w:r>
          </w:p>
        </w:tc>
        <w:tc>
          <w:tcPr>
            <w:tcW w:w="925" w:type="dxa"/>
            <w:shd w:val="clear" w:color="auto" w:fill="auto"/>
            <w:vAlign w:val="bottom"/>
          </w:tcPr>
          <w:p w:rsidR="00000000" w:rsidRDefault="00000000">
            <w:pPr>
              <w:spacing w:before="60" w:after="60" w:line="220" w:lineRule="exact"/>
              <w:jc w:val="right"/>
              <w:rPr>
                <w:sz w:val="18"/>
                <w:szCs w:val="18"/>
              </w:rPr>
            </w:pPr>
            <w:r>
              <w:rPr>
                <w:sz w:val="18"/>
                <w:szCs w:val="18"/>
              </w:rPr>
              <w:t>51,6</w:t>
            </w:r>
          </w:p>
        </w:tc>
        <w:tc>
          <w:tcPr>
            <w:tcW w:w="925" w:type="dxa"/>
            <w:shd w:val="clear" w:color="auto" w:fill="auto"/>
            <w:vAlign w:val="bottom"/>
          </w:tcPr>
          <w:p w:rsidR="00000000" w:rsidRDefault="00000000">
            <w:pPr>
              <w:spacing w:before="60" w:after="60" w:line="220" w:lineRule="exact"/>
              <w:jc w:val="right"/>
              <w:rPr>
                <w:sz w:val="18"/>
                <w:szCs w:val="18"/>
              </w:rPr>
            </w:pPr>
            <w:r>
              <w:rPr>
                <w:sz w:val="18"/>
                <w:szCs w:val="18"/>
              </w:rPr>
              <w:t>50,9</w:t>
            </w:r>
          </w:p>
        </w:tc>
        <w:tc>
          <w:tcPr>
            <w:tcW w:w="925" w:type="dxa"/>
            <w:shd w:val="clear" w:color="auto" w:fill="auto"/>
            <w:vAlign w:val="bottom"/>
          </w:tcPr>
          <w:p w:rsidR="00000000" w:rsidRDefault="00000000">
            <w:pPr>
              <w:spacing w:before="60" w:after="60" w:line="220" w:lineRule="exact"/>
              <w:jc w:val="right"/>
              <w:rPr>
                <w:sz w:val="18"/>
                <w:szCs w:val="18"/>
              </w:rPr>
            </w:pPr>
            <w:r>
              <w:rPr>
                <w:sz w:val="18"/>
                <w:szCs w:val="18"/>
              </w:rPr>
              <w:t>51,5</w:t>
            </w:r>
          </w:p>
        </w:tc>
        <w:tc>
          <w:tcPr>
            <w:tcW w:w="925" w:type="dxa"/>
            <w:shd w:val="clear" w:color="auto" w:fill="auto"/>
            <w:vAlign w:val="bottom"/>
          </w:tcPr>
          <w:p w:rsidR="00000000" w:rsidRDefault="00000000">
            <w:pPr>
              <w:spacing w:before="60" w:after="60" w:line="220" w:lineRule="exact"/>
              <w:jc w:val="right"/>
              <w:rPr>
                <w:sz w:val="18"/>
                <w:szCs w:val="18"/>
              </w:rPr>
            </w:pPr>
            <w:r>
              <w:rPr>
                <w:sz w:val="18"/>
                <w:szCs w:val="18"/>
              </w:rPr>
              <w:t>52,4</w:t>
            </w:r>
          </w:p>
        </w:tc>
        <w:tc>
          <w:tcPr>
            <w:tcW w:w="128" w:type="dxa"/>
            <w:vAlign w:val="bottom"/>
          </w:tcPr>
          <w:p w:rsidR="00000000" w:rsidRDefault="00000000">
            <w:pPr>
              <w:spacing w:before="60" w:after="60" w:line="220" w:lineRule="exact"/>
              <w:jc w:val="right"/>
              <w:rPr>
                <w:sz w:val="18"/>
                <w:szCs w:val="18"/>
              </w:rPr>
            </w:pPr>
          </w:p>
        </w:tc>
        <w:tc>
          <w:tcPr>
            <w:tcW w:w="925" w:type="dxa"/>
            <w:shd w:val="clear" w:color="auto" w:fill="auto"/>
            <w:vAlign w:val="bottom"/>
          </w:tcPr>
          <w:p w:rsidR="00000000" w:rsidRDefault="00000000">
            <w:pPr>
              <w:spacing w:before="60" w:after="60" w:line="220" w:lineRule="exact"/>
              <w:jc w:val="right"/>
              <w:rPr>
                <w:sz w:val="18"/>
                <w:szCs w:val="18"/>
              </w:rPr>
            </w:pPr>
            <w:r>
              <w:rPr>
                <w:sz w:val="18"/>
                <w:szCs w:val="18"/>
              </w:rPr>
              <w:t>53,3</w:t>
            </w:r>
          </w:p>
        </w:tc>
        <w:tc>
          <w:tcPr>
            <w:tcW w:w="925" w:type="dxa"/>
            <w:gridSpan w:val="2"/>
            <w:shd w:val="clear" w:color="auto" w:fill="auto"/>
            <w:vAlign w:val="bottom"/>
          </w:tcPr>
          <w:p w:rsidR="00000000" w:rsidRDefault="00000000">
            <w:pPr>
              <w:spacing w:before="60" w:after="60" w:line="220" w:lineRule="exact"/>
              <w:jc w:val="right"/>
              <w:rPr>
                <w:sz w:val="18"/>
                <w:szCs w:val="18"/>
              </w:rPr>
            </w:pPr>
            <w:r>
              <w:rPr>
                <w:sz w:val="18"/>
                <w:szCs w:val="18"/>
              </w:rPr>
              <w:t>53</w:t>
            </w:r>
          </w:p>
        </w:tc>
      </w:tr>
      <w:tr w:rsidR="00000000">
        <w:tc>
          <w:tcPr>
            <w:tcW w:w="2827" w:type="dxa"/>
            <w:shd w:val="clear" w:color="auto" w:fill="auto"/>
          </w:tcPr>
          <w:p w:rsidR="00000000" w:rsidRDefault="00000000">
            <w:pPr>
              <w:spacing w:before="60" w:after="60" w:line="220" w:lineRule="exact"/>
              <w:rPr>
                <w:bCs/>
                <w:sz w:val="18"/>
                <w:szCs w:val="18"/>
              </w:rPr>
            </w:pPr>
            <w:r>
              <w:rPr>
                <w:bCs/>
                <w:sz w:val="18"/>
                <w:szCs w:val="18"/>
              </w:rPr>
              <w:t>PIB primaire (%)</w:t>
            </w:r>
          </w:p>
        </w:tc>
        <w:tc>
          <w:tcPr>
            <w:tcW w:w="925" w:type="dxa"/>
            <w:shd w:val="clear" w:color="auto" w:fill="auto"/>
            <w:vAlign w:val="bottom"/>
          </w:tcPr>
          <w:p w:rsidR="00000000" w:rsidRDefault="00000000">
            <w:pPr>
              <w:spacing w:before="60" w:after="60" w:line="220" w:lineRule="exact"/>
              <w:jc w:val="right"/>
              <w:rPr>
                <w:sz w:val="18"/>
                <w:szCs w:val="18"/>
              </w:rPr>
            </w:pPr>
            <w:r>
              <w:rPr>
                <w:sz w:val="18"/>
                <w:szCs w:val="18"/>
              </w:rPr>
              <w:t>26,8</w:t>
            </w:r>
          </w:p>
        </w:tc>
        <w:tc>
          <w:tcPr>
            <w:tcW w:w="925" w:type="dxa"/>
            <w:shd w:val="clear" w:color="auto" w:fill="auto"/>
            <w:vAlign w:val="bottom"/>
          </w:tcPr>
          <w:p w:rsidR="00000000" w:rsidRDefault="00000000">
            <w:pPr>
              <w:spacing w:before="60" w:after="60" w:line="220" w:lineRule="exact"/>
              <w:jc w:val="right"/>
              <w:rPr>
                <w:sz w:val="18"/>
                <w:szCs w:val="18"/>
              </w:rPr>
            </w:pPr>
            <w:r>
              <w:rPr>
                <w:sz w:val="18"/>
                <w:szCs w:val="18"/>
              </w:rPr>
              <w:t>26,2</w:t>
            </w:r>
          </w:p>
        </w:tc>
        <w:tc>
          <w:tcPr>
            <w:tcW w:w="925" w:type="dxa"/>
            <w:shd w:val="clear" w:color="auto" w:fill="auto"/>
            <w:vAlign w:val="bottom"/>
          </w:tcPr>
          <w:p w:rsidR="00000000" w:rsidRDefault="00000000">
            <w:pPr>
              <w:spacing w:before="60" w:after="60" w:line="220" w:lineRule="exact"/>
              <w:jc w:val="right"/>
              <w:rPr>
                <w:sz w:val="18"/>
                <w:szCs w:val="18"/>
              </w:rPr>
            </w:pPr>
            <w:r>
              <w:rPr>
                <w:sz w:val="18"/>
                <w:szCs w:val="18"/>
              </w:rPr>
              <w:t>25,8</w:t>
            </w:r>
          </w:p>
        </w:tc>
        <w:tc>
          <w:tcPr>
            <w:tcW w:w="925" w:type="dxa"/>
            <w:shd w:val="clear" w:color="auto" w:fill="auto"/>
            <w:vAlign w:val="bottom"/>
          </w:tcPr>
          <w:p w:rsidR="00000000" w:rsidRDefault="00000000">
            <w:pPr>
              <w:spacing w:before="60" w:after="60" w:line="220" w:lineRule="exact"/>
              <w:jc w:val="right"/>
              <w:rPr>
                <w:sz w:val="18"/>
                <w:szCs w:val="18"/>
              </w:rPr>
            </w:pPr>
            <w:r>
              <w:rPr>
                <w:sz w:val="18"/>
                <w:szCs w:val="18"/>
              </w:rPr>
              <w:t>25,1</w:t>
            </w:r>
          </w:p>
        </w:tc>
        <w:tc>
          <w:tcPr>
            <w:tcW w:w="128" w:type="dxa"/>
            <w:vAlign w:val="bottom"/>
          </w:tcPr>
          <w:p w:rsidR="00000000" w:rsidRDefault="00000000">
            <w:pPr>
              <w:spacing w:before="60" w:after="60" w:line="220" w:lineRule="exact"/>
              <w:jc w:val="right"/>
              <w:rPr>
                <w:sz w:val="18"/>
                <w:szCs w:val="18"/>
              </w:rPr>
            </w:pPr>
          </w:p>
        </w:tc>
        <w:tc>
          <w:tcPr>
            <w:tcW w:w="925" w:type="dxa"/>
            <w:shd w:val="clear" w:color="auto" w:fill="auto"/>
            <w:vAlign w:val="bottom"/>
          </w:tcPr>
          <w:p w:rsidR="00000000" w:rsidRDefault="00000000">
            <w:pPr>
              <w:spacing w:before="60" w:after="60" w:line="220" w:lineRule="exact"/>
              <w:jc w:val="right"/>
              <w:rPr>
                <w:sz w:val="18"/>
                <w:szCs w:val="18"/>
              </w:rPr>
            </w:pPr>
            <w:r>
              <w:rPr>
                <w:sz w:val="18"/>
                <w:szCs w:val="18"/>
              </w:rPr>
              <w:t>24,2</w:t>
            </w:r>
          </w:p>
        </w:tc>
        <w:tc>
          <w:tcPr>
            <w:tcW w:w="925" w:type="dxa"/>
            <w:gridSpan w:val="2"/>
            <w:shd w:val="clear" w:color="auto" w:fill="auto"/>
            <w:vAlign w:val="bottom"/>
          </w:tcPr>
          <w:p w:rsidR="00000000" w:rsidRDefault="00000000">
            <w:pPr>
              <w:spacing w:before="60" w:after="60" w:line="220" w:lineRule="exact"/>
              <w:jc w:val="right"/>
              <w:rPr>
                <w:sz w:val="18"/>
                <w:szCs w:val="18"/>
              </w:rPr>
            </w:pPr>
            <w:r>
              <w:rPr>
                <w:sz w:val="18"/>
                <w:szCs w:val="18"/>
              </w:rPr>
              <w:t>24,2</w:t>
            </w:r>
          </w:p>
        </w:tc>
      </w:tr>
      <w:tr w:rsidR="00000000">
        <w:tc>
          <w:tcPr>
            <w:tcW w:w="2827" w:type="dxa"/>
            <w:shd w:val="clear" w:color="auto" w:fill="auto"/>
          </w:tcPr>
          <w:p w:rsidR="00000000" w:rsidRDefault="00000000">
            <w:pPr>
              <w:spacing w:before="60" w:after="60" w:line="220" w:lineRule="exact"/>
              <w:rPr>
                <w:bCs/>
                <w:sz w:val="18"/>
                <w:szCs w:val="18"/>
              </w:rPr>
            </w:pPr>
            <w:r>
              <w:rPr>
                <w:bCs/>
                <w:sz w:val="18"/>
                <w:szCs w:val="18"/>
              </w:rPr>
              <w:t>PIB secondaire (%)</w:t>
            </w:r>
          </w:p>
        </w:tc>
        <w:tc>
          <w:tcPr>
            <w:tcW w:w="925" w:type="dxa"/>
            <w:shd w:val="clear" w:color="auto" w:fill="auto"/>
            <w:vAlign w:val="bottom"/>
          </w:tcPr>
          <w:p w:rsidR="00000000" w:rsidRDefault="00000000">
            <w:pPr>
              <w:spacing w:before="60" w:after="60" w:line="220" w:lineRule="exact"/>
              <w:jc w:val="right"/>
              <w:rPr>
                <w:sz w:val="18"/>
                <w:szCs w:val="18"/>
              </w:rPr>
            </w:pPr>
            <w:r>
              <w:rPr>
                <w:sz w:val="18"/>
                <w:szCs w:val="18"/>
              </w:rPr>
              <w:t>14,1</w:t>
            </w:r>
          </w:p>
        </w:tc>
        <w:tc>
          <w:tcPr>
            <w:tcW w:w="925" w:type="dxa"/>
            <w:shd w:val="clear" w:color="auto" w:fill="auto"/>
            <w:vAlign w:val="bottom"/>
          </w:tcPr>
          <w:p w:rsidR="00000000" w:rsidRDefault="00000000">
            <w:pPr>
              <w:spacing w:before="60" w:after="60" w:line="220" w:lineRule="exact"/>
              <w:jc w:val="right"/>
              <w:rPr>
                <w:sz w:val="18"/>
                <w:szCs w:val="18"/>
              </w:rPr>
            </w:pPr>
            <w:r>
              <w:rPr>
                <w:sz w:val="18"/>
                <w:szCs w:val="18"/>
              </w:rPr>
              <w:t>14,5</w:t>
            </w:r>
          </w:p>
        </w:tc>
        <w:tc>
          <w:tcPr>
            <w:tcW w:w="925" w:type="dxa"/>
            <w:shd w:val="clear" w:color="auto" w:fill="auto"/>
            <w:vAlign w:val="bottom"/>
          </w:tcPr>
          <w:p w:rsidR="00000000" w:rsidRDefault="00000000">
            <w:pPr>
              <w:spacing w:before="60" w:after="60" w:line="220" w:lineRule="exact"/>
              <w:jc w:val="right"/>
              <w:rPr>
                <w:sz w:val="18"/>
                <w:szCs w:val="18"/>
              </w:rPr>
            </w:pPr>
            <w:r>
              <w:rPr>
                <w:sz w:val="18"/>
                <w:szCs w:val="18"/>
              </w:rPr>
              <w:t>14,2</w:t>
            </w:r>
          </w:p>
        </w:tc>
        <w:tc>
          <w:tcPr>
            <w:tcW w:w="925" w:type="dxa"/>
            <w:shd w:val="clear" w:color="auto" w:fill="auto"/>
            <w:vAlign w:val="bottom"/>
          </w:tcPr>
          <w:p w:rsidR="00000000" w:rsidRDefault="00000000">
            <w:pPr>
              <w:spacing w:before="60" w:after="60" w:line="220" w:lineRule="exact"/>
              <w:jc w:val="right"/>
              <w:rPr>
                <w:sz w:val="18"/>
                <w:szCs w:val="18"/>
              </w:rPr>
            </w:pPr>
            <w:r>
              <w:rPr>
                <w:sz w:val="18"/>
                <w:szCs w:val="18"/>
              </w:rPr>
              <w:t>13,9</w:t>
            </w:r>
          </w:p>
        </w:tc>
        <w:tc>
          <w:tcPr>
            <w:tcW w:w="128" w:type="dxa"/>
            <w:vAlign w:val="bottom"/>
          </w:tcPr>
          <w:p w:rsidR="00000000" w:rsidRDefault="00000000">
            <w:pPr>
              <w:spacing w:before="60" w:after="60" w:line="220" w:lineRule="exact"/>
              <w:jc w:val="right"/>
              <w:rPr>
                <w:sz w:val="18"/>
                <w:szCs w:val="18"/>
              </w:rPr>
            </w:pPr>
          </w:p>
        </w:tc>
        <w:tc>
          <w:tcPr>
            <w:tcW w:w="925" w:type="dxa"/>
            <w:shd w:val="clear" w:color="auto" w:fill="auto"/>
            <w:vAlign w:val="bottom"/>
          </w:tcPr>
          <w:p w:rsidR="00000000" w:rsidRDefault="00000000">
            <w:pPr>
              <w:spacing w:before="60" w:after="60" w:line="220" w:lineRule="exact"/>
              <w:jc w:val="right"/>
              <w:rPr>
                <w:sz w:val="18"/>
                <w:szCs w:val="18"/>
              </w:rPr>
            </w:pPr>
            <w:r>
              <w:rPr>
                <w:sz w:val="18"/>
                <w:szCs w:val="18"/>
              </w:rPr>
              <w:t>13,7</w:t>
            </w:r>
          </w:p>
        </w:tc>
        <w:tc>
          <w:tcPr>
            <w:tcW w:w="925" w:type="dxa"/>
            <w:gridSpan w:val="2"/>
            <w:shd w:val="clear" w:color="auto" w:fill="auto"/>
            <w:vAlign w:val="bottom"/>
          </w:tcPr>
          <w:p w:rsidR="00000000" w:rsidRDefault="00000000">
            <w:pPr>
              <w:spacing w:before="60" w:after="60" w:line="220" w:lineRule="exact"/>
              <w:jc w:val="right"/>
              <w:rPr>
                <w:sz w:val="18"/>
                <w:szCs w:val="18"/>
              </w:rPr>
            </w:pPr>
            <w:r>
              <w:rPr>
                <w:sz w:val="18"/>
                <w:szCs w:val="18"/>
              </w:rPr>
              <w:t>15,2</w:t>
            </w:r>
          </w:p>
        </w:tc>
      </w:tr>
      <w:tr w:rsidR="00000000">
        <w:tc>
          <w:tcPr>
            <w:tcW w:w="2827" w:type="dxa"/>
            <w:shd w:val="clear" w:color="auto" w:fill="auto"/>
          </w:tcPr>
          <w:p w:rsidR="00000000" w:rsidRDefault="00000000">
            <w:pPr>
              <w:spacing w:before="60" w:after="60" w:line="220" w:lineRule="exact"/>
              <w:rPr>
                <w:bCs/>
                <w:sz w:val="18"/>
                <w:szCs w:val="18"/>
              </w:rPr>
            </w:pPr>
            <w:r>
              <w:rPr>
                <w:bCs/>
                <w:sz w:val="18"/>
                <w:szCs w:val="18"/>
              </w:rPr>
              <w:t>Redevances minières (en millions d’ariary)</w:t>
            </w:r>
          </w:p>
        </w:tc>
        <w:tc>
          <w:tcPr>
            <w:tcW w:w="925" w:type="dxa"/>
            <w:shd w:val="clear" w:color="auto" w:fill="auto"/>
            <w:vAlign w:val="bottom"/>
          </w:tcPr>
          <w:p w:rsidR="00000000" w:rsidRDefault="00000000">
            <w:pPr>
              <w:spacing w:before="60" w:after="60" w:line="220" w:lineRule="exact"/>
              <w:jc w:val="right"/>
              <w:rPr>
                <w:sz w:val="18"/>
                <w:szCs w:val="18"/>
              </w:rPr>
            </w:pPr>
            <w:r>
              <w:rPr>
                <w:sz w:val="18"/>
                <w:szCs w:val="18"/>
              </w:rPr>
              <w:t>92</w:t>
            </w:r>
          </w:p>
        </w:tc>
        <w:tc>
          <w:tcPr>
            <w:tcW w:w="925" w:type="dxa"/>
            <w:shd w:val="clear" w:color="auto" w:fill="auto"/>
            <w:vAlign w:val="bottom"/>
          </w:tcPr>
          <w:p w:rsidR="00000000" w:rsidRDefault="00000000">
            <w:pPr>
              <w:spacing w:before="60" w:after="60" w:line="220" w:lineRule="exact"/>
              <w:jc w:val="right"/>
              <w:rPr>
                <w:sz w:val="18"/>
                <w:szCs w:val="18"/>
              </w:rPr>
            </w:pPr>
            <w:r>
              <w:rPr>
                <w:sz w:val="18"/>
                <w:szCs w:val="18"/>
              </w:rPr>
              <w:t>207</w:t>
            </w:r>
          </w:p>
        </w:tc>
        <w:tc>
          <w:tcPr>
            <w:tcW w:w="925" w:type="dxa"/>
            <w:shd w:val="clear" w:color="auto" w:fill="auto"/>
            <w:vAlign w:val="bottom"/>
          </w:tcPr>
          <w:p w:rsidR="00000000" w:rsidRDefault="00000000">
            <w:pPr>
              <w:spacing w:before="60" w:after="60" w:line="220" w:lineRule="exact"/>
              <w:jc w:val="right"/>
              <w:rPr>
                <w:sz w:val="18"/>
                <w:szCs w:val="18"/>
              </w:rPr>
            </w:pPr>
            <w:r>
              <w:rPr>
                <w:sz w:val="18"/>
                <w:szCs w:val="18"/>
              </w:rPr>
              <w:t>339</w:t>
            </w:r>
          </w:p>
        </w:tc>
        <w:tc>
          <w:tcPr>
            <w:tcW w:w="925" w:type="dxa"/>
            <w:shd w:val="clear" w:color="auto" w:fill="auto"/>
            <w:vAlign w:val="bottom"/>
          </w:tcPr>
          <w:p w:rsidR="00000000" w:rsidRDefault="00000000">
            <w:pPr>
              <w:spacing w:before="60" w:after="60" w:line="220" w:lineRule="exact"/>
              <w:jc w:val="right"/>
              <w:rPr>
                <w:sz w:val="18"/>
                <w:szCs w:val="18"/>
              </w:rPr>
            </w:pPr>
            <w:r>
              <w:rPr>
                <w:sz w:val="18"/>
                <w:szCs w:val="18"/>
              </w:rPr>
              <w:t>289</w:t>
            </w:r>
          </w:p>
        </w:tc>
        <w:tc>
          <w:tcPr>
            <w:tcW w:w="128" w:type="dxa"/>
            <w:vAlign w:val="bottom"/>
          </w:tcPr>
          <w:p w:rsidR="00000000" w:rsidRDefault="00000000">
            <w:pPr>
              <w:spacing w:before="60" w:after="60" w:line="220" w:lineRule="exact"/>
              <w:jc w:val="right"/>
              <w:rPr>
                <w:sz w:val="18"/>
                <w:szCs w:val="18"/>
              </w:rPr>
            </w:pPr>
          </w:p>
        </w:tc>
        <w:tc>
          <w:tcPr>
            <w:tcW w:w="925" w:type="dxa"/>
            <w:shd w:val="clear" w:color="auto" w:fill="auto"/>
            <w:vAlign w:val="bottom"/>
          </w:tcPr>
          <w:p w:rsidR="00000000" w:rsidRDefault="00000000">
            <w:pPr>
              <w:spacing w:before="60" w:after="60" w:line="220" w:lineRule="exact"/>
              <w:jc w:val="right"/>
              <w:rPr>
                <w:sz w:val="18"/>
                <w:szCs w:val="18"/>
              </w:rPr>
            </w:pPr>
            <w:r>
              <w:rPr>
                <w:sz w:val="18"/>
                <w:szCs w:val="18"/>
              </w:rPr>
              <w:t>-</w:t>
            </w:r>
          </w:p>
        </w:tc>
        <w:tc>
          <w:tcPr>
            <w:tcW w:w="925" w:type="dxa"/>
            <w:gridSpan w:val="2"/>
            <w:shd w:val="clear" w:color="auto" w:fill="auto"/>
            <w:vAlign w:val="bottom"/>
          </w:tcPr>
          <w:p w:rsidR="00000000" w:rsidRDefault="00000000">
            <w:pPr>
              <w:spacing w:before="60" w:after="60" w:line="220" w:lineRule="exact"/>
              <w:jc w:val="right"/>
              <w:rPr>
                <w:sz w:val="18"/>
                <w:szCs w:val="18"/>
              </w:rPr>
            </w:pPr>
            <w:r>
              <w:rPr>
                <w:sz w:val="18"/>
                <w:szCs w:val="18"/>
              </w:rPr>
              <w:t>252</w:t>
            </w:r>
          </w:p>
        </w:tc>
      </w:tr>
      <w:tr w:rsidR="00000000">
        <w:tc>
          <w:tcPr>
            <w:tcW w:w="2827" w:type="dxa"/>
            <w:shd w:val="clear" w:color="auto" w:fill="auto"/>
          </w:tcPr>
          <w:p w:rsidR="00000000" w:rsidRDefault="00000000">
            <w:pPr>
              <w:spacing w:before="60" w:after="60" w:line="220" w:lineRule="exact"/>
              <w:rPr>
                <w:bCs/>
                <w:sz w:val="18"/>
                <w:szCs w:val="18"/>
              </w:rPr>
            </w:pPr>
            <w:r>
              <w:rPr>
                <w:bCs/>
                <w:sz w:val="18"/>
                <w:szCs w:val="18"/>
              </w:rPr>
              <w:t>Nombre de touristes visitant Madagascar</w:t>
            </w:r>
          </w:p>
        </w:tc>
        <w:tc>
          <w:tcPr>
            <w:tcW w:w="925" w:type="dxa"/>
            <w:shd w:val="clear" w:color="auto" w:fill="auto"/>
            <w:vAlign w:val="bottom"/>
          </w:tcPr>
          <w:p w:rsidR="00000000" w:rsidRDefault="00000000">
            <w:pPr>
              <w:spacing w:before="60" w:after="60" w:line="220" w:lineRule="exact"/>
              <w:jc w:val="right"/>
              <w:rPr>
                <w:sz w:val="18"/>
                <w:szCs w:val="18"/>
              </w:rPr>
            </w:pPr>
            <w:r>
              <w:rPr>
                <w:sz w:val="18"/>
                <w:szCs w:val="18"/>
              </w:rPr>
              <w:t>-</w:t>
            </w:r>
          </w:p>
        </w:tc>
        <w:tc>
          <w:tcPr>
            <w:tcW w:w="925" w:type="dxa"/>
            <w:shd w:val="clear" w:color="auto" w:fill="auto"/>
            <w:vAlign w:val="bottom"/>
          </w:tcPr>
          <w:p w:rsidR="00000000" w:rsidRDefault="00000000">
            <w:pPr>
              <w:spacing w:before="60" w:after="60" w:line="220" w:lineRule="exact"/>
              <w:jc w:val="right"/>
              <w:rPr>
                <w:sz w:val="18"/>
                <w:szCs w:val="18"/>
              </w:rPr>
            </w:pPr>
            <w:r>
              <w:rPr>
                <w:sz w:val="18"/>
                <w:szCs w:val="18"/>
              </w:rPr>
              <w:t>228 784</w:t>
            </w:r>
          </w:p>
        </w:tc>
        <w:tc>
          <w:tcPr>
            <w:tcW w:w="925" w:type="dxa"/>
            <w:shd w:val="clear" w:color="auto" w:fill="auto"/>
            <w:vAlign w:val="bottom"/>
          </w:tcPr>
          <w:p w:rsidR="00000000" w:rsidRDefault="00000000">
            <w:pPr>
              <w:spacing w:before="60" w:after="60" w:line="220" w:lineRule="exact"/>
              <w:jc w:val="right"/>
              <w:rPr>
                <w:sz w:val="18"/>
                <w:szCs w:val="18"/>
              </w:rPr>
            </w:pPr>
            <w:r>
              <w:rPr>
                <w:sz w:val="18"/>
                <w:szCs w:val="18"/>
              </w:rPr>
              <w:t>277 052</w:t>
            </w:r>
          </w:p>
        </w:tc>
        <w:tc>
          <w:tcPr>
            <w:tcW w:w="925" w:type="dxa"/>
            <w:shd w:val="clear" w:color="auto" w:fill="auto"/>
            <w:vAlign w:val="bottom"/>
          </w:tcPr>
          <w:p w:rsidR="00000000" w:rsidRDefault="00000000">
            <w:pPr>
              <w:spacing w:before="60" w:after="60" w:line="220" w:lineRule="exact"/>
              <w:jc w:val="right"/>
              <w:rPr>
                <w:sz w:val="18"/>
                <w:szCs w:val="18"/>
              </w:rPr>
            </w:pPr>
            <w:r>
              <w:rPr>
                <w:sz w:val="18"/>
                <w:szCs w:val="18"/>
              </w:rPr>
              <w:t>311 730</w:t>
            </w:r>
          </w:p>
        </w:tc>
        <w:tc>
          <w:tcPr>
            <w:tcW w:w="128" w:type="dxa"/>
            <w:vAlign w:val="bottom"/>
          </w:tcPr>
          <w:p w:rsidR="00000000" w:rsidRDefault="00000000">
            <w:pPr>
              <w:spacing w:before="60" w:after="60" w:line="220" w:lineRule="exact"/>
              <w:jc w:val="right"/>
              <w:rPr>
                <w:sz w:val="18"/>
                <w:szCs w:val="18"/>
              </w:rPr>
            </w:pPr>
          </w:p>
        </w:tc>
        <w:tc>
          <w:tcPr>
            <w:tcW w:w="925" w:type="dxa"/>
            <w:shd w:val="clear" w:color="auto" w:fill="auto"/>
            <w:vAlign w:val="bottom"/>
          </w:tcPr>
          <w:p w:rsidR="00000000" w:rsidRDefault="00000000">
            <w:pPr>
              <w:spacing w:before="60" w:after="60" w:line="220" w:lineRule="exact"/>
              <w:jc w:val="right"/>
              <w:rPr>
                <w:sz w:val="18"/>
                <w:szCs w:val="18"/>
              </w:rPr>
            </w:pPr>
            <w:r>
              <w:rPr>
                <w:sz w:val="18"/>
                <w:szCs w:val="18"/>
              </w:rPr>
              <w:t>-</w:t>
            </w:r>
          </w:p>
        </w:tc>
        <w:tc>
          <w:tcPr>
            <w:tcW w:w="925" w:type="dxa"/>
            <w:gridSpan w:val="2"/>
            <w:shd w:val="clear" w:color="auto" w:fill="auto"/>
            <w:vAlign w:val="bottom"/>
          </w:tcPr>
          <w:p w:rsidR="00000000" w:rsidRDefault="00000000">
            <w:pPr>
              <w:spacing w:before="60" w:after="60" w:line="220" w:lineRule="exact"/>
              <w:jc w:val="right"/>
              <w:rPr>
                <w:sz w:val="18"/>
                <w:szCs w:val="18"/>
              </w:rPr>
            </w:pPr>
            <w:r>
              <w:rPr>
                <w:sz w:val="18"/>
                <w:szCs w:val="18"/>
              </w:rPr>
              <w:t>344 348</w:t>
            </w:r>
          </w:p>
        </w:tc>
      </w:tr>
      <w:tr w:rsidR="00000000">
        <w:tc>
          <w:tcPr>
            <w:tcW w:w="2827" w:type="dxa"/>
            <w:shd w:val="clear" w:color="auto" w:fill="auto"/>
          </w:tcPr>
          <w:p w:rsidR="00000000" w:rsidRDefault="00000000">
            <w:pPr>
              <w:spacing w:before="60" w:after="60" w:line="220" w:lineRule="exact"/>
              <w:rPr>
                <w:bCs/>
                <w:sz w:val="18"/>
                <w:szCs w:val="18"/>
              </w:rPr>
            </w:pPr>
            <w:r>
              <w:rPr>
                <w:bCs/>
                <w:sz w:val="18"/>
                <w:szCs w:val="18"/>
              </w:rPr>
              <w:t>Recettes générées par le secteur tourisme (millions USD)</w:t>
            </w:r>
          </w:p>
        </w:tc>
        <w:tc>
          <w:tcPr>
            <w:tcW w:w="925" w:type="dxa"/>
            <w:shd w:val="clear" w:color="auto" w:fill="auto"/>
            <w:vAlign w:val="bottom"/>
          </w:tcPr>
          <w:p w:rsidR="00000000" w:rsidRDefault="00000000">
            <w:pPr>
              <w:spacing w:before="60" w:after="60" w:line="220" w:lineRule="exact"/>
              <w:jc w:val="right"/>
              <w:rPr>
                <w:sz w:val="18"/>
                <w:szCs w:val="18"/>
              </w:rPr>
            </w:pPr>
            <w:r>
              <w:rPr>
                <w:sz w:val="18"/>
                <w:szCs w:val="18"/>
              </w:rPr>
              <w:t>-</w:t>
            </w:r>
          </w:p>
        </w:tc>
        <w:tc>
          <w:tcPr>
            <w:tcW w:w="925" w:type="dxa"/>
            <w:shd w:val="clear" w:color="auto" w:fill="auto"/>
            <w:vAlign w:val="bottom"/>
          </w:tcPr>
          <w:p w:rsidR="00000000" w:rsidRDefault="00000000">
            <w:pPr>
              <w:spacing w:before="60" w:after="60" w:line="220" w:lineRule="exact"/>
              <w:jc w:val="right"/>
              <w:rPr>
                <w:sz w:val="18"/>
                <w:szCs w:val="18"/>
              </w:rPr>
            </w:pPr>
            <w:r>
              <w:rPr>
                <w:sz w:val="18"/>
                <w:szCs w:val="18"/>
              </w:rPr>
              <w:t>104,3</w:t>
            </w:r>
          </w:p>
        </w:tc>
        <w:tc>
          <w:tcPr>
            <w:tcW w:w="925" w:type="dxa"/>
            <w:shd w:val="clear" w:color="auto" w:fill="auto"/>
            <w:vAlign w:val="bottom"/>
          </w:tcPr>
          <w:p w:rsidR="00000000" w:rsidRDefault="00000000">
            <w:pPr>
              <w:spacing w:before="60" w:after="60" w:line="220" w:lineRule="exact"/>
              <w:jc w:val="right"/>
              <w:rPr>
                <w:sz w:val="18"/>
                <w:szCs w:val="18"/>
              </w:rPr>
            </w:pPr>
            <w:r>
              <w:rPr>
                <w:sz w:val="18"/>
                <w:szCs w:val="18"/>
              </w:rPr>
              <w:t>124</w:t>
            </w:r>
          </w:p>
        </w:tc>
        <w:tc>
          <w:tcPr>
            <w:tcW w:w="925" w:type="dxa"/>
            <w:shd w:val="clear" w:color="auto" w:fill="auto"/>
            <w:vAlign w:val="bottom"/>
          </w:tcPr>
          <w:p w:rsidR="00000000" w:rsidRDefault="00000000">
            <w:pPr>
              <w:spacing w:before="60" w:after="60" w:line="220" w:lineRule="exact"/>
              <w:jc w:val="right"/>
              <w:rPr>
                <w:sz w:val="18"/>
                <w:szCs w:val="18"/>
              </w:rPr>
            </w:pPr>
            <w:r>
              <w:rPr>
                <w:sz w:val="18"/>
                <w:szCs w:val="18"/>
              </w:rPr>
              <w:t>157,7</w:t>
            </w:r>
          </w:p>
        </w:tc>
        <w:tc>
          <w:tcPr>
            <w:tcW w:w="128" w:type="dxa"/>
            <w:vAlign w:val="bottom"/>
          </w:tcPr>
          <w:p w:rsidR="00000000" w:rsidRDefault="00000000">
            <w:pPr>
              <w:spacing w:before="60" w:after="60" w:line="220" w:lineRule="exact"/>
              <w:jc w:val="right"/>
              <w:rPr>
                <w:sz w:val="18"/>
                <w:szCs w:val="18"/>
              </w:rPr>
            </w:pPr>
          </w:p>
        </w:tc>
        <w:tc>
          <w:tcPr>
            <w:tcW w:w="925" w:type="dxa"/>
            <w:shd w:val="clear" w:color="auto" w:fill="auto"/>
            <w:vAlign w:val="bottom"/>
          </w:tcPr>
          <w:p w:rsidR="00000000" w:rsidRDefault="00000000">
            <w:pPr>
              <w:spacing w:before="60" w:after="60" w:line="220" w:lineRule="exact"/>
              <w:jc w:val="right"/>
              <w:rPr>
                <w:sz w:val="18"/>
                <w:szCs w:val="18"/>
              </w:rPr>
            </w:pPr>
            <w:r>
              <w:rPr>
                <w:sz w:val="18"/>
                <w:szCs w:val="18"/>
              </w:rPr>
              <w:t>-</w:t>
            </w:r>
          </w:p>
        </w:tc>
        <w:tc>
          <w:tcPr>
            <w:tcW w:w="925" w:type="dxa"/>
            <w:gridSpan w:val="2"/>
            <w:shd w:val="clear" w:color="auto" w:fill="auto"/>
            <w:vAlign w:val="bottom"/>
          </w:tcPr>
          <w:p w:rsidR="00000000" w:rsidRDefault="00000000">
            <w:pPr>
              <w:spacing w:before="60" w:after="60" w:line="220" w:lineRule="exact"/>
              <w:jc w:val="right"/>
              <w:rPr>
                <w:sz w:val="18"/>
                <w:szCs w:val="18"/>
              </w:rPr>
            </w:pPr>
            <w:r>
              <w:rPr>
                <w:sz w:val="18"/>
                <w:szCs w:val="18"/>
              </w:rPr>
              <w:t>211</w:t>
            </w:r>
          </w:p>
        </w:tc>
      </w:tr>
      <w:tr w:rsidR="00000000">
        <w:tc>
          <w:tcPr>
            <w:tcW w:w="2827" w:type="dxa"/>
            <w:tcBorders>
              <w:bottom w:val="single" w:sz="12" w:space="0" w:color="auto"/>
            </w:tcBorders>
            <w:shd w:val="clear" w:color="auto" w:fill="auto"/>
          </w:tcPr>
          <w:p w:rsidR="00000000" w:rsidRDefault="00000000">
            <w:pPr>
              <w:spacing w:before="60" w:after="60" w:line="220" w:lineRule="exact"/>
              <w:rPr>
                <w:bCs/>
                <w:sz w:val="18"/>
                <w:szCs w:val="18"/>
              </w:rPr>
            </w:pPr>
            <w:r>
              <w:rPr>
                <w:bCs/>
                <w:sz w:val="18"/>
                <w:szCs w:val="18"/>
              </w:rPr>
              <w:t>Nombre d’emplois créés par le secteur Tourisme</w:t>
            </w:r>
          </w:p>
        </w:tc>
        <w:tc>
          <w:tcPr>
            <w:tcW w:w="925" w:type="dxa"/>
            <w:tcBorders>
              <w:bottom w:val="single" w:sz="12" w:space="0" w:color="auto"/>
            </w:tcBorders>
            <w:shd w:val="clear" w:color="auto" w:fill="auto"/>
            <w:vAlign w:val="bottom"/>
          </w:tcPr>
          <w:p w:rsidR="00000000" w:rsidRDefault="00000000">
            <w:pPr>
              <w:spacing w:before="60" w:after="60" w:line="220" w:lineRule="exact"/>
              <w:jc w:val="right"/>
              <w:rPr>
                <w:sz w:val="18"/>
                <w:szCs w:val="18"/>
              </w:rPr>
            </w:pPr>
            <w:r>
              <w:rPr>
                <w:sz w:val="18"/>
                <w:szCs w:val="18"/>
              </w:rPr>
              <w:t>-</w:t>
            </w:r>
          </w:p>
        </w:tc>
        <w:tc>
          <w:tcPr>
            <w:tcW w:w="925" w:type="dxa"/>
            <w:tcBorders>
              <w:bottom w:val="single" w:sz="12" w:space="0" w:color="auto"/>
            </w:tcBorders>
            <w:shd w:val="clear" w:color="auto" w:fill="auto"/>
            <w:vAlign w:val="bottom"/>
          </w:tcPr>
          <w:p w:rsidR="00000000" w:rsidRDefault="00000000">
            <w:pPr>
              <w:spacing w:before="60" w:after="60" w:line="220" w:lineRule="exact"/>
              <w:jc w:val="right"/>
              <w:rPr>
                <w:sz w:val="18"/>
                <w:szCs w:val="18"/>
              </w:rPr>
            </w:pPr>
            <w:r>
              <w:rPr>
                <w:sz w:val="18"/>
                <w:szCs w:val="18"/>
              </w:rPr>
              <w:t>3939</w:t>
            </w:r>
          </w:p>
        </w:tc>
        <w:tc>
          <w:tcPr>
            <w:tcW w:w="925" w:type="dxa"/>
            <w:tcBorders>
              <w:bottom w:val="single" w:sz="12" w:space="0" w:color="auto"/>
            </w:tcBorders>
            <w:shd w:val="clear" w:color="auto" w:fill="auto"/>
            <w:vAlign w:val="bottom"/>
          </w:tcPr>
          <w:p w:rsidR="00000000" w:rsidRDefault="00000000">
            <w:pPr>
              <w:spacing w:before="60" w:after="60" w:line="220" w:lineRule="exact"/>
              <w:jc w:val="right"/>
              <w:rPr>
                <w:sz w:val="18"/>
                <w:szCs w:val="18"/>
              </w:rPr>
            </w:pPr>
            <w:r>
              <w:rPr>
                <w:sz w:val="18"/>
                <w:szCs w:val="18"/>
              </w:rPr>
              <w:t>4310</w:t>
            </w:r>
          </w:p>
        </w:tc>
        <w:tc>
          <w:tcPr>
            <w:tcW w:w="925" w:type="dxa"/>
            <w:tcBorders>
              <w:bottom w:val="single" w:sz="12" w:space="0" w:color="auto"/>
            </w:tcBorders>
            <w:shd w:val="clear" w:color="auto" w:fill="auto"/>
            <w:vAlign w:val="bottom"/>
          </w:tcPr>
          <w:p w:rsidR="00000000" w:rsidRDefault="00000000">
            <w:pPr>
              <w:spacing w:before="60" w:after="60" w:line="220" w:lineRule="exact"/>
              <w:jc w:val="right"/>
              <w:rPr>
                <w:sz w:val="18"/>
                <w:szCs w:val="18"/>
              </w:rPr>
            </w:pPr>
            <w:r>
              <w:rPr>
                <w:sz w:val="18"/>
                <w:szCs w:val="18"/>
              </w:rPr>
              <w:t>4527</w:t>
            </w:r>
          </w:p>
        </w:tc>
        <w:tc>
          <w:tcPr>
            <w:tcW w:w="128" w:type="dxa"/>
            <w:tcBorders>
              <w:bottom w:val="single" w:sz="12" w:space="0" w:color="auto"/>
            </w:tcBorders>
            <w:vAlign w:val="bottom"/>
          </w:tcPr>
          <w:p w:rsidR="00000000" w:rsidRDefault="00000000">
            <w:pPr>
              <w:spacing w:before="60" w:after="60" w:line="220" w:lineRule="exact"/>
              <w:jc w:val="right"/>
              <w:rPr>
                <w:sz w:val="18"/>
                <w:szCs w:val="18"/>
              </w:rPr>
            </w:pPr>
          </w:p>
        </w:tc>
        <w:tc>
          <w:tcPr>
            <w:tcW w:w="925" w:type="dxa"/>
            <w:tcBorders>
              <w:bottom w:val="single" w:sz="12" w:space="0" w:color="auto"/>
            </w:tcBorders>
            <w:shd w:val="clear" w:color="auto" w:fill="auto"/>
            <w:vAlign w:val="bottom"/>
          </w:tcPr>
          <w:p w:rsidR="00000000" w:rsidRDefault="00000000">
            <w:pPr>
              <w:spacing w:before="60" w:after="60" w:line="220" w:lineRule="exact"/>
              <w:jc w:val="right"/>
              <w:rPr>
                <w:sz w:val="18"/>
                <w:szCs w:val="18"/>
              </w:rPr>
            </w:pPr>
            <w:r>
              <w:rPr>
                <w:sz w:val="18"/>
                <w:szCs w:val="18"/>
              </w:rPr>
              <w:t>-</w:t>
            </w:r>
          </w:p>
        </w:tc>
        <w:tc>
          <w:tcPr>
            <w:tcW w:w="925" w:type="dxa"/>
            <w:gridSpan w:val="2"/>
            <w:tcBorders>
              <w:bottom w:val="single" w:sz="12" w:space="0" w:color="auto"/>
            </w:tcBorders>
            <w:shd w:val="clear" w:color="auto" w:fill="auto"/>
            <w:vAlign w:val="bottom"/>
          </w:tcPr>
          <w:p w:rsidR="00000000" w:rsidRDefault="00000000">
            <w:pPr>
              <w:spacing w:before="60" w:after="60" w:line="220" w:lineRule="exact"/>
              <w:jc w:val="right"/>
              <w:rPr>
                <w:sz w:val="18"/>
                <w:szCs w:val="18"/>
              </w:rPr>
            </w:pPr>
            <w:r>
              <w:rPr>
                <w:sz w:val="18"/>
                <w:szCs w:val="18"/>
              </w:rPr>
              <w:t>4710</w:t>
            </w:r>
          </w:p>
        </w:tc>
      </w:tr>
    </w:tbl>
    <w:p w:rsidR="00000000" w:rsidRDefault="00000000">
      <w:pPr>
        <w:spacing w:before="120"/>
        <w:ind w:left="1134" w:firstLine="170"/>
        <w:rPr>
          <w:bCs/>
          <w:i/>
          <w:iCs/>
          <w:sz w:val="18"/>
          <w:szCs w:val="18"/>
          <w:lang w:val="fr-FR"/>
        </w:rPr>
      </w:pPr>
      <w:r>
        <w:rPr>
          <w:bCs/>
          <w:i/>
          <w:iCs/>
          <w:sz w:val="18"/>
          <w:szCs w:val="18"/>
          <w:lang w:val="fr-FR"/>
        </w:rPr>
        <w:t xml:space="preserve">Source: </w:t>
      </w:r>
      <w:r>
        <w:rPr>
          <w:bCs/>
          <w:iCs/>
          <w:sz w:val="18"/>
          <w:szCs w:val="18"/>
          <w:lang w:val="fr-FR"/>
        </w:rPr>
        <w:t>Primature, Document principal: stratégies, programmes et conditions de mise en œuvre des nouvelles politiques publiques du MAP (table ronde du 09-10 juin Antananarivo.</w:t>
      </w:r>
    </w:p>
    <w:p w:rsidR="00000000" w:rsidRDefault="00000000">
      <w:pPr>
        <w:pStyle w:val="SingleTxtG"/>
        <w:spacing w:before="120"/>
        <w:rPr>
          <w:lang w:val="fr-FR"/>
        </w:rPr>
      </w:pPr>
      <w:r>
        <w:rPr>
          <w:lang w:val="fr-FR"/>
        </w:rPr>
        <w:t>16.</w:t>
      </w:r>
      <w:r>
        <w:rPr>
          <w:lang w:val="fr-FR"/>
        </w:rPr>
        <w:tab/>
        <w:t>La figure suivante montre une baisse réelle du ratio de pauvreté de 2003 à 2006. Cette tendance à la baisse est prévue pour 2012. Par ailleurs, après la chute du PIB/habitant suite aux événements de 2002, une amélioration constante est constatée de 2005 (270 dollars US) à 2007 (375 dollars US).°</w:t>
      </w:r>
    </w:p>
    <w:p w:rsidR="00000000" w:rsidRDefault="00000000">
      <w:pPr>
        <w:keepNext/>
        <w:ind w:left="1134" w:right="1134"/>
        <w:rPr>
          <w:bCs/>
        </w:rPr>
      </w:pPr>
      <w:bookmarkStart w:id="77" w:name="_Toc260298205"/>
      <w:r>
        <w:rPr>
          <w:bCs/>
        </w:rPr>
        <w:t>Figure 1</w:t>
      </w:r>
    </w:p>
    <w:p w:rsidR="00000000" w:rsidRDefault="00000000">
      <w:pPr>
        <w:keepNext/>
        <w:spacing w:after="120"/>
        <w:ind w:left="1134" w:right="1134"/>
        <w:jc w:val="both"/>
        <w:rPr>
          <w:b/>
          <w:bCs/>
        </w:rPr>
      </w:pPr>
      <w:r>
        <w:rPr>
          <w:b/>
          <w:bCs/>
        </w:rPr>
        <w:t>Ratios de pauvreté, PIB par habitant de 2003 à 2007 et perspectives 2012</w:t>
      </w:r>
      <w:bookmarkEnd w:id="77"/>
    </w:p>
    <w:p w:rsidR="00000000" w:rsidRDefault="00000000">
      <w:pPr>
        <w:ind w:left="1134" w:right="1134"/>
        <w:jc w:val="center"/>
        <w:rPr>
          <w:lang w:val="en-US"/>
        </w:rPr>
      </w:pPr>
      <w:r>
        <w:rPr>
          <w:lang w:val="en-US"/>
        </w:rPr>
        <w:pict>
          <v:shape id="Image 3" o:spid="_x0000_i1026" type="#_x0000_t75" style="width:245.25pt;height:525pt;visibility:visible">
            <v:imagedata r:id="rId8" o:title="" gain="74473f" blacklevel="-9830f"/>
          </v:shape>
        </w:pict>
      </w:r>
    </w:p>
    <w:p w:rsidR="00000000" w:rsidRDefault="00000000">
      <w:pPr>
        <w:pStyle w:val="SingleTxtG"/>
        <w:spacing w:after="0"/>
        <w:rPr>
          <w:lang w:val="fr-FR"/>
        </w:rPr>
      </w:pPr>
      <w:r>
        <w:rPr>
          <w:lang w:val="fr-FR"/>
        </w:rPr>
        <w:t>Figure 2</w:t>
      </w:r>
    </w:p>
    <w:p w:rsidR="00000000" w:rsidRDefault="00000000">
      <w:pPr>
        <w:pStyle w:val="SingleTxtG"/>
        <w:rPr>
          <w:b/>
          <w:lang w:val="fr-FR"/>
        </w:rPr>
      </w:pPr>
      <w:r>
        <w:rPr>
          <w:b/>
          <w:lang w:val="fr-FR"/>
        </w:rPr>
        <w:t>Évolution des indicateurs de croissance de 2003 à 2007 et perspectives 2012</w:t>
      </w:r>
    </w:p>
    <w:p w:rsidR="00000000" w:rsidRDefault="00000000">
      <w:pPr>
        <w:pStyle w:val="SingleTxtG"/>
        <w:rPr>
          <w:lang w:val="fr-FR"/>
        </w:rPr>
      </w:pPr>
      <w:r>
        <w:rPr>
          <w:lang w:val="fr-FR"/>
        </w:rPr>
        <w:t>17.</w:t>
      </w:r>
      <w:r>
        <w:rPr>
          <w:lang w:val="fr-FR"/>
        </w:rPr>
        <w:tab/>
        <w:t>La figure n°2 montre un taux de croissance économique annuel de plus de 5 % avec une prévision d’évolution vers 10 % en 2010-2012. Le taux d’inflation est maîtrisé et tend vers un taux inférieur à 10%. La tendance du taux d’investissement brut de 2003 à 2007 laisse prévoir une prévision de plus de 30 % du PIB pour 2008 et 2009 pour se stabiliser à 25 % annuel jusqu’en 2012</w:t>
      </w:r>
    </w:p>
    <w:p w:rsidR="00000000" w:rsidRDefault="00000000">
      <w:pPr>
        <w:pStyle w:val="H23G"/>
        <w:rPr>
          <w:lang w:val="fr-FR"/>
        </w:rPr>
      </w:pPr>
      <w:r>
        <w:rPr>
          <w:lang w:val="fr-FR"/>
        </w:rPr>
        <w:tab/>
        <w:t>2.</w:t>
      </w:r>
      <w:r>
        <w:rPr>
          <w:lang w:val="fr-FR"/>
        </w:rPr>
        <w:tab/>
      </w:r>
      <w:bookmarkStart w:id="78" w:name="_Toc193274990"/>
      <w:bookmarkStart w:id="79" w:name="_Toc206460320"/>
      <w:bookmarkStart w:id="80" w:name="_Toc206460652"/>
      <w:bookmarkStart w:id="81" w:name="_Toc206461374"/>
      <w:bookmarkStart w:id="82" w:name="_Toc206476168"/>
      <w:bookmarkStart w:id="83" w:name="_Toc207788703"/>
      <w:bookmarkStart w:id="84" w:name="_Toc211835374"/>
      <w:bookmarkStart w:id="85" w:name="_Toc211926681"/>
      <w:r>
        <w:rPr>
          <w:lang w:val="fr-FR"/>
        </w:rPr>
        <w:t>Indicateurs sociaux</w:t>
      </w:r>
      <w:bookmarkEnd w:id="78"/>
      <w:bookmarkEnd w:id="79"/>
      <w:bookmarkEnd w:id="80"/>
      <w:bookmarkEnd w:id="81"/>
      <w:bookmarkEnd w:id="82"/>
      <w:bookmarkEnd w:id="83"/>
      <w:bookmarkEnd w:id="84"/>
      <w:bookmarkEnd w:id="85"/>
    </w:p>
    <w:p w:rsidR="00000000" w:rsidRDefault="00000000">
      <w:pPr>
        <w:pStyle w:val="H4G"/>
        <w:rPr>
          <w:lang w:val="fr-FR"/>
        </w:rPr>
      </w:pPr>
      <w:r>
        <w:rPr>
          <w:lang w:val="fr-FR"/>
        </w:rPr>
        <w:tab/>
      </w:r>
      <w:r>
        <w:rPr>
          <w:lang w:val="fr-FR"/>
        </w:rPr>
        <w:tab/>
        <w:t xml:space="preserve">Indicateurs sociaux et niveau de développement humain </w:t>
      </w:r>
    </w:p>
    <w:p w:rsidR="00000000" w:rsidRDefault="00000000">
      <w:pPr>
        <w:pStyle w:val="SingleTxtG"/>
        <w:rPr>
          <w:lang w:val="fr-FR"/>
        </w:rPr>
      </w:pPr>
      <w:r>
        <w:rPr>
          <w:lang w:val="fr-FR"/>
        </w:rPr>
        <w:t>18.</w:t>
      </w:r>
      <w:r>
        <w:rPr>
          <w:lang w:val="fr-FR"/>
        </w:rPr>
        <w:tab/>
        <w:t>Depuis 2003 la Grande île sort progressivement du cercle des pays à faible développement humain, durant les cinq dernières années, l’IDH a progressé de 8,8 %. Selon le dernier rapport mondial du PNUD, en 2007 Madagascar est classé 143</w:t>
      </w:r>
      <w:r>
        <w:rPr>
          <w:vertAlign w:val="superscript"/>
          <w:lang w:val="fr-FR"/>
        </w:rPr>
        <w:t>e</w:t>
      </w:r>
      <w:r>
        <w:rPr>
          <w:lang w:val="fr-FR"/>
        </w:rPr>
        <w:t xml:space="preserve"> rang sur un total de 177 pays. </w:t>
      </w:r>
    </w:p>
    <w:p w:rsidR="00000000" w:rsidRDefault="00000000">
      <w:pPr>
        <w:pStyle w:val="SingleTxtG"/>
        <w:rPr>
          <w:lang w:val="fr-FR"/>
        </w:rPr>
      </w:pPr>
      <w:r>
        <w:rPr>
          <w:lang w:val="fr-FR"/>
        </w:rPr>
        <w:t>19.</w:t>
      </w:r>
      <w:r>
        <w:rPr>
          <w:lang w:val="fr-FR"/>
        </w:rPr>
        <w:tab/>
        <w:t>Ce niveau de développement humain est analysé par rapport à l’amélioration de l’espérance de vie à la naissance estimé à 54,7 ans, à un taux de scolarisation, tous niveaux confondus de 68,9 %, à un taux d’alphabétisation des adultes de 63 % et à un revenu Parité de Pouvoir d’Achat (PPA) de 905,4 $. Mais le niveau d’espérance de vie de 54,7 ans reste encore inférieur à l’âge légal de la retraite, fixé à 60 ans.</w:t>
      </w:r>
    </w:p>
    <w:p w:rsidR="00000000" w:rsidRDefault="00000000">
      <w:pPr>
        <w:pStyle w:val="SingleTxtG"/>
        <w:rPr>
          <w:lang w:val="fr-FR"/>
        </w:rPr>
      </w:pPr>
      <w:r>
        <w:rPr>
          <w:lang w:val="fr-FR"/>
        </w:rPr>
        <w:t>20.</w:t>
      </w:r>
      <w:r>
        <w:rPr>
          <w:lang w:val="fr-FR"/>
        </w:rPr>
        <w:tab/>
        <w:t xml:space="preserve">Cependant, il faudrait remarquer que ce niveau de l’IDH n’est pas uniforme pour tout le territoire en raison de la faiblesse du niveau de revenus monétaires et l’insuffisance structurelle du système sanitaire. Ce niveau de développement humain national cache aussi des inégalités régionales. En effet, certaines localités de Fianarantsoa et de Toliary accusent plus de retard que d’autres, avec des Indicateurs de Développement Humain en dessous de la moyenne nationale. </w:t>
      </w:r>
    </w:p>
    <w:p w:rsidR="00000000" w:rsidRDefault="00000000">
      <w:pPr>
        <w:rPr>
          <w:bCs/>
        </w:rPr>
      </w:pPr>
      <w:r>
        <w:rPr>
          <w:b/>
          <w:bCs/>
        </w:rPr>
        <w:tab/>
      </w:r>
      <w:r>
        <w:rPr>
          <w:b/>
          <w:bCs/>
        </w:rPr>
        <w:tab/>
      </w:r>
      <w:bookmarkStart w:id="86" w:name="_Toc260298206"/>
      <w:r>
        <w:rPr>
          <w:bCs/>
        </w:rPr>
        <w:t>Tableau 5</w:t>
      </w:r>
    </w:p>
    <w:p w:rsidR="00000000" w:rsidRDefault="00000000">
      <w:pPr>
        <w:pStyle w:val="SingleTxtG"/>
        <w:rPr>
          <w:b/>
        </w:rPr>
      </w:pPr>
      <w:r>
        <w:rPr>
          <w:b/>
        </w:rPr>
        <w:t>Évolution des taux de pauvreté monétaire 1999-2006</w:t>
      </w:r>
      <w:bookmarkEnd w:id="86"/>
    </w:p>
    <w:tbl>
      <w:tblPr>
        <w:tblW w:w="7371" w:type="dxa"/>
        <w:jc w:val="center"/>
        <w:tblLayout w:type="fixed"/>
        <w:tblCellMar>
          <w:left w:w="40" w:type="dxa"/>
          <w:right w:w="40" w:type="dxa"/>
        </w:tblCellMar>
        <w:tblLook w:val="0000" w:firstRow="0" w:lastRow="0" w:firstColumn="0" w:lastColumn="0" w:noHBand="0" w:noVBand="0"/>
      </w:tblPr>
      <w:tblGrid>
        <w:gridCol w:w="1472"/>
        <w:gridCol w:w="988"/>
        <w:gridCol w:w="988"/>
        <w:gridCol w:w="981"/>
        <w:gridCol w:w="981"/>
        <w:gridCol w:w="981"/>
        <w:gridCol w:w="980"/>
      </w:tblGrid>
      <w:tr w:rsidR="00000000">
        <w:trPr>
          <w:jc w:val="center"/>
        </w:trPr>
        <w:tc>
          <w:tcPr>
            <w:tcW w:w="1259" w:type="dxa"/>
            <w:tcBorders>
              <w:top w:val="single" w:sz="6" w:space="0" w:color="auto"/>
              <w:bottom w:val="single" w:sz="12" w:space="0" w:color="auto"/>
            </w:tcBorders>
            <w:shd w:val="clear" w:color="auto" w:fill="auto"/>
            <w:vAlign w:val="bottom"/>
          </w:tcPr>
          <w:p w:rsidR="00000000" w:rsidRDefault="00000000">
            <w:pPr>
              <w:spacing w:before="80" w:after="80" w:line="200" w:lineRule="exact"/>
              <w:rPr>
                <w:b/>
                <w:bCs/>
                <w:i/>
                <w:sz w:val="16"/>
                <w:szCs w:val="16"/>
              </w:rPr>
            </w:pPr>
          </w:p>
        </w:tc>
        <w:tc>
          <w:tcPr>
            <w:tcW w:w="846" w:type="dxa"/>
            <w:tcBorders>
              <w:top w:val="single" w:sz="6" w:space="0" w:color="auto"/>
              <w:bottom w:val="single" w:sz="12" w:space="0" w:color="auto"/>
            </w:tcBorders>
            <w:shd w:val="clear" w:color="auto" w:fill="auto"/>
            <w:vAlign w:val="bottom"/>
          </w:tcPr>
          <w:p w:rsidR="00000000" w:rsidRDefault="00000000">
            <w:pPr>
              <w:spacing w:before="80" w:after="80" w:line="200" w:lineRule="exact"/>
              <w:jc w:val="right"/>
              <w:rPr>
                <w:b/>
                <w:bCs/>
                <w:i/>
                <w:sz w:val="16"/>
                <w:szCs w:val="16"/>
              </w:rPr>
            </w:pPr>
            <w:r>
              <w:rPr>
                <w:b/>
                <w:bCs/>
                <w:i/>
                <w:sz w:val="16"/>
                <w:szCs w:val="16"/>
              </w:rPr>
              <w:t>1999</w:t>
            </w:r>
          </w:p>
        </w:tc>
        <w:tc>
          <w:tcPr>
            <w:tcW w:w="846" w:type="dxa"/>
            <w:tcBorders>
              <w:top w:val="single" w:sz="6" w:space="0" w:color="auto"/>
              <w:bottom w:val="single" w:sz="12" w:space="0" w:color="auto"/>
            </w:tcBorders>
            <w:shd w:val="clear" w:color="auto" w:fill="auto"/>
            <w:vAlign w:val="bottom"/>
          </w:tcPr>
          <w:p w:rsidR="00000000" w:rsidRDefault="00000000">
            <w:pPr>
              <w:spacing w:before="80" w:after="80" w:line="200" w:lineRule="exact"/>
              <w:jc w:val="right"/>
              <w:rPr>
                <w:b/>
                <w:bCs/>
                <w:i/>
                <w:sz w:val="16"/>
                <w:szCs w:val="16"/>
              </w:rPr>
            </w:pPr>
            <w:r>
              <w:rPr>
                <w:b/>
                <w:bCs/>
                <w:i/>
                <w:sz w:val="16"/>
                <w:szCs w:val="16"/>
              </w:rPr>
              <w:t>2001</w:t>
            </w:r>
          </w:p>
        </w:tc>
        <w:tc>
          <w:tcPr>
            <w:tcW w:w="840" w:type="dxa"/>
            <w:tcBorders>
              <w:top w:val="single" w:sz="6" w:space="0" w:color="auto"/>
              <w:bottom w:val="single" w:sz="12" w:space="0" w:color="auto"/>
            </w:tcBorders>
            <w:shd w:val="clear" w:color="auto" w:fill="auto"/>
            <w:vAlign w:val="bottom"/>
          </w:tcPr>
          <w:p w:rsidR="00000000" w:rsidRDefault="00000000">
            <w:pPr>
              <w:spacing w:before="80" w:after="80" w:line="200" w:lineRule="exact"/>
              <w:jc w:val="right"/>
              <w:rPr>
                <w:b/>
                <w:bCs/>
                <w:i/>
                <w:sz w:val="16"/>
                <w:szCs w:val="16"/>
              </w:rPr>
            </w:pPr>
            <w:r>
              <w:rPr>
                <w:b/>
                <w:bCs/>
                <w:i/>
                <w:sz w:val="16"/>
                <w:szCs w:val="16"/>
              </w:rPr>
              <w:t>2002</w:t>
            </w:r>
          </w:p>
        </w:tc>
        <w:tc>
          <w:tcPr>
            <w:tcW w:w="840" w:type="dxa"/>
            <w:tcBorders>
              <w:top w:val="single" w:sz="6" w:space="0" w:color="auto"/>
              <w:bottom w:val="single" w:sz="12" w:space="0" w:color="auto"/>
            </w:tcBorders>
            <w:shd w:val="clear" w:color="auto" w:fill="auto"/>
            <w:vAlign w:val="bottom"/>
          </w:tcPr>
          <w:p w:rsidR="00000000" w:rsidRDefault="00000000">
            <w:pPr>
              <w:spacing w:before="80" w:after="80" w:line="200" w:lineRule="exact"/>
              <w:jc w:val="right"/>
              <w:rPr>
                <w:b/>
                <w:bCs/>
                <w:i/>
                <w:sz w:val="16"/>
                <w:szCs w:val="16"/>
              </w:rPr>
            </w:pPr>
            <w:r>
              <w:rPr>
                <w:b/>
                <w:bCs/>
                <w:i/>
                <w:sz w:val="16"/>
                <w:szCs w:val="16"/>
              </w:rPr>
              <w:t>2004</w:t>
            </w:r>
          </w:p>
        </w:tc>
        <w:tc>
          <w:tcPr>
            <w:tcW w:w="840" w:type="dxa"/>
            <w:tcBorders>
              <w:top w:val="single" w:sz="6" w:space="0" w:color="auto"/>
              <w:bottom w:val="single" w:sz="12" w:space="0" w:color="auto"/>
            </w:tcBorders>
            <w:shd w:val="clear" w:color="auto" w:fill="auto"/>
            <w:vAlign w:val="bottom"/>
          </w:tcPr>
          <w:p w:rsidR="00000000" w:rsidRDefault="00000000">
            <w:pPr>
              <w:spacing w:before="80" w:after="80" w:line="200" w:lineRule="exact"/>
              <w:jc w:val="right"/>
              <w:rPr>
                <w:b/>
                <w:bCs/>
                <w:i/>
                <w:sz w:val="16"/>
                <w:szCs w:val="16"/>
              </w:rPr>
            </w:pPr>
            <w:r>
              <w:rPr>
                <w:b/>
                <w:bCs/>
                <w:i/>
                <w:sz w:val="16"/>
                <w:szCs w:val="16"/>
              </w:rPr>
              <w:t>2005</w:t>
            </w:r>
          </w:p>
        </w:tc>
        <w:tc>
          <w:tcPr>
            <w:tcW w:w="839" w:type="dxa"/>
            <w:tcBorders>
              <w:top w:val="single" w:sz="6" w:space="0" w:color="auto"/>
              <w:bottom w:val="single" w:sz="12" w:space="0" w:color="auto"/>
            </w:tcBorders>
            <w:shd w:val="clear" w:color="auto" w:fill="auto"/>
            <w:vAlign w:val="bottom"/>
          </w:tcPr>
          <w:p w:rsidR="00000000" w:rsidRDefault="00000000">
            <w:pPr>
              <w:spacing w:before="80" w:after="80" w:line="200" w:lineRule="exact"/>
              <w:jc w:val="right"/>
              <w:rPr>
                <w:b/>
                <w:bCs/>
                <w:i/>
                <w:sz w:val="16"/>
                <w:szCs w:val="16"/>
              </w:rPr>
            </w:pPr>
            <w:r>
              <w:rPr>
                <w:b/>
                <w:bCs/>
                <w:i/>
                <w:sz w:val="16"/>
                <w:szCs w:val="16"/>
              </w:rPr>
              <w:t>2006</w:t>
            </w:r>
          </w:p>
        </w:tc>
      </w:tr>
      <w:tr w:rsidR="00000000">
        <w:trPr>
          <w:jc w:val="center"/>
        </w:trPr>
        <w:tc>
          <w:tcPr>
            <w:tcW w:w="1259" w:type="dxa"/>
            <w:tcBorders>
              <w:top w:val="single" w:sz="12" w:space="0" w:color="auto"/>
            </w:tcBorders>
            <w:shd w:val="clear" w:color="auto" w:fill="auto"/>
          </w:tcPr>
          <w:p w:rsidR="00000000" w:rsidRDefault="00000000">
            <w:pPr>
              <w:spacing w:before="40" w:after="40" w:line="220" w:lineRule="exact"/>
              <w:rPr>
                <w:bCs/>
                <w:sz w:val="18"/>
                <w:szCs w:val="18"/>
              </w:rPr>
            </w:pPr>
            <w:r>
              <w:rPr>
                <w:bCs/>
                <w:sz w:val="18"/>
                <w:szCs w:val="18"/>
              </w:rPr>
              <w:t>Urbain</w:t>
            </w:r>
          </w:p>
        </w:tc>
        <w:tc>
          <w:tcPr>
            <w:tcW w:w="846" w:type="dxa"/>
            <w:tcBorders>
              <w:top w:val="single" w:sz="12" w:space="0" w:color="auto"/>
            </w:tcBorders>
            <w:shd w:val="clear" w:color="auto" w:fill="auto"/>
            <w:vAlign w:val="bottom"/>
          </w:tcPr>
          <w:p w:rsidR="00000000" w:rsidRDefault="00000000">
            <w:pPr>
              <w:spacing w:before="40" w:after="40" w:line="220" w:lineRule="exact"/>
              <w:jc w:val="right"/>
              <w:rPr>
                <w:sz w:val="18"/>
                <w:szCs w:val="18"/>
              </w:rPr>
            </w:pPr>
            <w:r>
              <w:rPr>
                <w:sz w:val="18"/>
                <w:szCs w:val="18"/>
              </w:rPr>
              <w:t>52,1</w:t>
            </w:r>
          </w:p>
        </w:tc>
        <w:tc>
          <w:tcPr>
            <w:tcW w:w="846" w:type="dxa"/>
            <w:tcBorders>
              <w:top w:val="single" w:sz="12" w:space="0" w:color="auto"/>
            </w:tcBorders>
            <w:shd w:val="clear" w:color="auto" w:fill="auto"/>
            <w:vAlign w:val="bottom"/>
          </w:tcPr>
          <w:p w:rsidR="00000000" w:rsidRDefault="00000000">
            <w:pPr>
              <w:spacing w:before="40" w:after="40" w:line="220" w:lineRule="exact"/>
              <w:jc w:val="right"/>
              <w:rPr>
                <w:sz w:val="18"/>
                <w:szCs w:val="18"/>
              </w:rPr>
            </w:pPr>
            <w:r>
              <w:rPr>
                <w:sz w:val="18"/>
                <w:szCs w:val="18"/>
              </w:rPr>
              <w:t>43,6</w:t>
            </w:r>
          </w:p>
        </w:tc>
        <w:tc>
          <w:tcPr>
            <w:tcW w:w="840" w:type="dxa"/>
            <w:tcBorders>
              <w:top w:val="single" w:sz="12" w:space="0" w:color="auto"/>
            </w:tcBorders>
            <w:shd w:val="clear" w:color="auto" w:fill="auto"/>
            <w:vAlign w:val="bottom"/>
          </w:tcPr>
          <w:p w:rsidR="00000000" w:rsidRDefault="00000000">
            <w:pPr>
              <w:spacing w:before="40" w:after="40" w:line="220" w:lineRule="exact"/>
              <w:jc w:val="right"/>
              <w:rPr>
                <w:sz w:val="18"/>
                <w:szCs w:val="18"/>
              </w:rPr>
            </w:pPr>
            <w:r>
              <w:rPr>
                <w:sz w:val="18"/>
                <w:szCs w:val="18"/>
              </w:rPr>
              <w:t>61,6</w:t>
            </w:r>
          </w:p>
        </w:tc>
        <w:tc>
          <w:tcPr>
            <w:tcW w:w="840" w:type="dxa"/>
            <w:tcBorders>
              <w:top w:val="single" w:sz="12" w:space="0" w:color="auto"/>
            </w:tcBorders>
            <w:shd w:val="clear" w:color="auto" w:fill="auto"/>
            <w:vAlign w:val="bottom"/>
          </w:tcPr>
          <w:p w:rsidR="00000000" w:rsidRDefault="00000000">
            <w:pPr>
              <w:spacing w:before="40" w:after="40" w:line="220" w:lineRule="exact"/>
              <w:jc w:val="right"/>
              <w:rPr>
                <w:sz w:val="18"/>
                <w:szCs w:val="18"/>
              </w:rPr>
            </w:pPr>
            <w:r>
              <w:rPr>
                <w:sz w:val="18"/>
                <w:szCs w:val="18"/>
              </w:rPr>
              <w:t>53,7</w:t>
            </w:r>
          </w:p>
        </w:tc>
        <w:tc>
          <w:tcPr>
            <w:tcW w:w="840" w:type="dxa"/>
            <w:tcBorders>
              <w:top w:val="single" w:sz="12" w:space="0" w:color="auto"/>
            </w:tcBorders>
            <w:shd w:val="clear" w:color="auto" w:fill="auto"/>
            <w:vAlign w:val="bottom"/>
          </w:tcPr>
          <w:p w:rsidR="00000000" w:rsidRDefault="00000000">
            <w:pPr>
              <w:spacing w:before="40" w:after="40" w:line="220" w:lineRule="exact"/>
              <w:jc w:val="right"/>
              <w:rPr>
                <w:sz w:val="18"/>
                <w:szCs w:val="18"/>
              </w:rPr>
            </w:pPr>
            <w:r>
              <w:rPr>
                <w:sz w:val="18"/>
                <w:szCs w:val="18"/>
              </w:rPr>
              <w:t>52</w:t>
            </w:r>
          </w:p>
        </w:tc>
        <w:tc>
          <w:tcPr>
            <w:tcW w:w="839" w:type="dxa"/>
            <w:tcBorders>
              <w:top w:val="single" w:sz="12" w:space="0" w:color="auto"/>
            </w:tcBorders>
            <w:shd w:val="clear" w:color="auto" w:fill="auto"/>
            <w:vAlign w:val="bottom"/>
          </w:tcPr>
          <w:p w:rsidR="00000000" w:rsidRDefault="00000000">
            <w:pPr>
              <w:spacing w:before="40" w:after="40" w:line="220" w:lineRule="exact"/>
              <w:jc w:val="right"/>
              <w:rPr>
                <w:sz w:val="18"/>
                <w:szCs w:val="18"/>
              </w:rPr>
            </w:pPr>
          </w:p>
        </w:tc>
      </w:tr>
      <w:tr w:rsidR="00000000">
        <w:trPr>
          <w:jc w:val="center"/>
        </w:trPr>
        <w:tc>
          <w:tcPr>
            <w:tcW w:w="1259" w:type="dxa"/>
            <w:shd w:val="clear" w:color="auto" w:fill="auto"/>
          </w:tcPr>
          <w:p w:rsidR="00000000" w:rsidRDefault="00000000">
            <w:pPr>
              <w:spacing w:before="40" w:after="40" w:line="220" w:lineRule="exact"/>
              <w:rPr>
                <w:bCs/>
                <w:sz w:val="18"/>
                <w:szCs w:val="18"/>
              </w:rPr>
            </w:pPr>
            <w:r>
              <w:rPr>
                <w:bCs/>
                <w:sz w:val="18"/>
                <w:szCs w:val="18"/>
              </w:rPr>
              <w:t>Rural</w:t>
            </w:r>
          </w:p>
        </w:tc>
        <w:tc>
          <w:tcPr>
            <w:tcW w:w="846" w:type="dxa"/>
            <w:shd w:val="clear" w:color="auto" w:fill="auto"/>
            <w:vAlign w:val="bottom"/>
          </w:tcPr>
          <w:p w:rsidR="00000000" w:rsidRDefault="00000000">
            <w:pPr>
              <w:spacing w:before="40" w:after="40" w:line="220" w:lineRule="exact"/>
              <w:jc w:val="right"/>
              <w:rPr>
                <w:sz w:val="18"/>
                <w:szCs w:val="18"/>
              </w:rPr>
            </w:pPr>
            <w:r>
              <w:rPr>
                <w:sz w:val="18"/>
                <w:szCs w:val="18"/>
              </w:rPr>
              <w:t>76,7</w:t>
            </w:r>
          </w:p>
        </w:tc>
        <w:tc>
          <w:tcPr>
            <w:tcW w:w="846" w:type="dxa"/>
            <w:shd w:val="clear" w:color="auto" w:fill="auto"/>
            <w:vAlign w:val="bottom"/>
          </w:tcPr>
          <w:p w:rsidR="00000000" w:rsidRDefault="00000000">
            <w:pPr>
              <w:spacing w:before="40" w:after="40" w:line="220" w:lineRule="exact"/>
              <w:jc w:val="right"/>
              <w:rPr>
                <w:sz w:val="18"/>
                <w:szCs w:val="18"/>
              </w:rPr>
            </w:pPr>
            <w:r>
              <w:rPr>
                <w:sz w:val="18"/>
                <w:szCs w:val="18"/>
              </w:rPr>
              <w:t>77,2</w:t>
            </w:r>
          </w:p>
        </w:tc>
        <w:tc>
          <w:tcPr>
            <w:tcW w:w="840" w:type="dxa"/>
            <w:shd w:val="clear" w:color="auto" w:fill="auto"/>
            <w:vAlign w:val="bottom"/>
          </w:tcPr>
          <w:p w:rsidR="00000000" w:rsidRDefault="00000000">
            <w:pPr>
              <w:spacing w:before="40" w:after="40" w:line="220" w:lineRule="exact"/>
              <w:jc w:val="right"/>
              <w:rPr>
                <w:sz w:val="18"/>
                <w:szCs w:val="18"/>
              </w:rPr>
            </w:pPr>
            <w:r>
              <w:rPr>
                <w:sz w:val="18"/>
                <w:szCs w:val="18"/>
              </w:rPr>
              <w:t>80,4</w:t>
            </w:r>
          </w:p>
        </w:tc>
        <w:tc>
          <w:tcPr>
            <w:tcW w:w="840" w:type="dxa"/>
            <w:shd w:val="clear" w:color="auto" w:fill="auto"/>
            <w:vAlign w:val="bottom"/>
          </w:tcPr>
          <w:p w:rsidR="00000000" w:rsidRDefault="00000000">
            <w:pPr>
              <w:spacing w:before="40" w:after="40" w:line="220" w:lineRule="exact"/>
              <w:jc w:val="right"/>
              <w:rPr>
                <w:sz w:val="18"/>
                <w:szCs w:val="18"/>
              </w:rPr>
            </w:pPr>
            <w:r>
              <w:rPr>
                <w:sz w:val="18"/>
                <w:szCs w:val="18"/>
              </w:rPr>
              <w:t>77,3</w:t>
            </w:r>
          </w:p>
        </w:tc>
        <w:tc>
          <w:tcPr>
            <w:tcW w:w="840" w:type="dxa"/>
            <w:shd w:val="clear" w:color="auto" w:fill="auto"/>
            <w:vAlign w:val="bottom"/>
          </w:tcPr>
          <w:p w:rsidR="00000000" w:rsidRDefault="00000000">
            <w:pPr>
              <w:spacing w:before="40" w:after="40" w:line="220" w:lineRule="exact"/>
              <w:jc w:val="right"/>
              <w:rPr>
                <w:sz w:val="18"/>
                <w:szCs w:val="18"/>
              </w:rPr>
            </w:pPr>
            <w:r>
              <w:rPr>
                <w:sz w:val="18"/>
                <w:szCs w:val="18"/>
              </w:rPr>
              <w:t>73,5</w:t>
            </w:r>
          </w:p>
        </w:tc>
        <w:tc>
          <w:tcPr>
            <w:tcW w:w="839" w:type="dxa"/>
            <w:shd w:val="clear" w:color="auto" w:fill="auto"/>
            <w:vAlign w:val="bottom"/>
          </w:tcPr>
          <w:p w:rsidR="00000000" w:rsidRDefault="00000000">
            <w:pPr>
              <w:spacing w:before="40" w:after="40" w:line="220" w:lineRule="exact"/>
              <w:jc w:val="right"/>
              <w:rPr>
                <w:sz w:val="18"/>
                <w:szCs w:val="18"/>
              </w:rPr>
            </w:pPr>
          </w:p>
        </w:tc>
      </w:tr>
      <w:tr w:rsidR="00000000">
        <w:trPr>
          <w:trHeight w:val="371"/>
          <w:jc w:val="center"/>
        </w:trPr>
        <w:tc>
          <w:tcPr>
            <w:tcW w:w="1259" w:type="dxa"/>
            <w:tcBorders>
              <w:bottom w:val="single" w:sz="12" w:space="0" w:color="auto"/>
            </w:tcBorders>
            <w:shd w:val="clear" w:color="auto" w:fill="auto"/>
          </w:tcPr>
          <w:p w:rsidR="00000000" w:rsidRDefault="00000000">
            <w:pPr>
              <w:spacing w:before="40" w:after="40" w:line="220" w:lineRule="exact"/>
              <w:rPr>
                <w:bCs/>
                <w:sz w:val="18"/>
                <w:szCs w:val="18"/>
              </w:rPr>
            </w:pPr>
            <w:r>
              <w:rPr>
                <w:bCs/>
                <w:sz w:val="18"/>
                <w:szCs w:val="18"/>
              </w:rPr>
              <w:t>Ensemble</w:t>
            </w:r>
          </w:p>
        </w:tc>
        <w:tc>
          <w:tcPr>
            <w:tcW w:w="846" w:type="dxa"/>
            <w:tcBorders>
              <w:bottom w:val="single" w:sz="12" w:space="0" w:color="auto"/>
            </w:tcBorders>
            <w:shd w:val="clear" w:color="auto" w:fill="auto"/>
            <w:vAlign w:val="bottom"/>
          </w:tcPr>
          <w:p w:rsidR="00000000" w:rsidRDefault="00000000">
            <w:pPr>
              <w:spacing w:before="40" w:after="40" w:line="220" w:lineRule="exact"/>
              <w:jc w:val="right"/>
              <w:rPr>
                <w:sz w:val="18"/>
                <w:szCs w:val="18"/>
              </w:rPr>
            </w:pPr>
            <w:r>
              <w:rPr>
                <w:sz w:val="18"/>
                <w:szCs w:val="18"/>
              </w:rPr>
              <w:t>71,3</w:t>
            </w:r>
          </w:p>
        </w:tc>
        <w:tc>
          <w:tcPr>
            <w:tcW w:w="846" w:type="dxa"/>
            <w:tcBorders>
              <w:bottom w:val="single" w:sz="12" w:space="0" w:color="auto"/>
            </w:tcBorders>
            <w:shd w:val="clear" w:color="auto" w:fill="auto"/>
            <w:vAlign w:val="bottom"/>
          </w:tcPr>
          <w:p w:rsidR="00000000" w:rsidRDefault="00000000">
            <w:pPr>
              <w:spacing w:before="40" w:after="40" w:line="220" w:lineRule="exact"/>
              <w:jc w:val="right"/>
              <w:rPr>
                <w:sz w:val="18"/>
                <w:szCs w:val="18"/>
              </w:rPr>
            </w:pPr>
            <w:r>
              <w:rPr>
                <w:sz w:val="18"/>
                <w:szCs w:val="18"/>
              </w:rPr>
              <w:t>69,6</w:t>
            </w:r>
          </w:p>
        </w:tc>
        <w:tc>
          <w:tcPr>
            <w:tcW w:w="840" w:type="dxa"/>
            <w:tcBorders>
              <w:bottom w:val="single" w:sz="12" w:space="0" w:color="auto"/>
            </w:tcBorders>
            <w:shd w:val="clear" w:color="auto" w:fill="auto"/>
            <w:vAlign w:val="bottom"/>
          </w:tcPr>
          <w:p w:rsidR="00000000" w:rsidRDefault="00000000">
            <w:pPr>
              <w:spacing w:before="40" w:after="40" w:line="220" w:lineRule="exact"/>
              <w:jc w:val="right"/>
              <w:rPr>
                <w:sz w:val="18"/>
                <w:szCs w:val="18"/>
              </w:rPr>
            </w:pPr>
            <w:r>
              <w:rPr>
                <w:sz w:val="18"/>
                <w:szCs w:val="18"/>
              </w:rPr>
              <w:t>80,7</w:t>
            </w:r>
          </w:p>
        </w:tc>
        <w:tc>
          <w:tcPr>
            <w:tcW w:w="840" w:type="dxa"/>
            <w:tcBorders>
              <w:bottom w:val="single" w:sz="12" w:space="0" w:color="auto"/>
            </w:tcBorders>
            <w:shd w:val="clear" w:color="auto" w:fill="auto"/>
            <w:vAlign w:val="bottom"/>
          </w:tcPr>
          <w:p w:rsidR="00000000" w:rsidRDefault="00000000">
            <w:pPr>
              <w:spacing w:before="40" w:after="40" w:line="220" w:lineRule="exact"/>
              <w:jc w:val="right"/>
              <w:rPr>
                <w:sz w:val="18"/>
                <w:szCs w:val="18"/>
              </w:rPr>
            </w:pPr>
            <w:r>
              <w:rPr>
                <w:sz w:val="18"/>
                <w:szCs w:val="18"/>
              </w:rPr>
              <w:t>72,1</w:t>
            </w:r>
          </w:p>
        </w:tc>
        <w:tc>
          <w:tcPr>
            <w:tcW w:w="840" w:type="dxa"/>
            <w:tcBorders>
              <w:bottom w:val="single" w:sz="12" w:space="0" w:color="auto"/>
            </w:tcBorders>
            <w:shd w:val="clear" w:color="auto" w:fill="auto"/>
            <w:vAlign w:val="bottom"/>
          </w:tcPr>
          <w:p w:rsidR="00000000" w:rsidRDefault="00000000">
            <w:pPr>
              <w:spacing w:before="40" w:after="40" w:line="220" w:lineRule="exact"/>
              <w:jc w:val="right"/>
              <w:rPr>
                <w:sz w:val="18"/>
                <w:szCs w:val="18"/>
              </w:rPr>
            </w:pPr>
            <w:r>
              <w:rPr>
                <w:sz w:val="18"/>
                <w:szCs w:val="18"/>
              </w:rPr>
              <w:t>68,7</w:t>
            </w:r>
          </w:p>
        </w:tc>
        <w:tc>
          <w:tcPr>
            <w:tcW w:w="839" w:type="dxa"/>
            <w:tcBorders>
              <w:bottom w:val="single" w:sz="12" w:space="0" w:color="auto"/>
            </w:tcBorders>
            <w:shd w:val="clear" w:color="auto" w:fill="auto"/>
            <w:vAlign w:val="bottom"/>
          </w:tcPr>
          <w:p w:rsidR="00000000" w:rsidRDefault="00000000">
            <w:pPr>
              <w:spacing w:before="40" w:after="40" w:line="220" w:lineRule="exact"/>
              <w:jc w:val="right"/>
              <w:rPr>
                <w:sz w:val="18"/>
                <w:szCs w:val="18"/>
              </w:rPr>
            </w:pPr>
            <w:r>
              <w:rPr>
                <w:sz w:val="18"/>
                <w:szCs w:val="18"/>
              </w:rPr>
              <w:t>67,5</w:t>
            </w:r>
          </w:p>
        </w:tc>
      </w:tr>
    </w:tbl>
    <w:p w:rsidR="00000000" w:rsidRDefault="00000000">
      <w:pPr>
        <w:spacing w:before="120" w:after="240"/>
        <w:ind w:left="1134" w:firstLine="170"/>
        <w:rPr>
          <w:sz w:val="18"/>
          <w:szCs w:val="18"/>
          <w:lang w:val="fr-FR"/>
        </w:rPr>
      </w:pPr>
      <w:r>
        <w:rPr>
          <w:i/>
          <w:sz w:val="18"/>
          <w:szCs w:val="18"/>
          <w:lang w:val="fr-FR"/>
        </w:rPr>
        <w:t>Source</w:t>
      </w:r>
      <w:r>
        <w:rPr>
          <w:sz w:val="18"/>
          <w:szCs w:val="18"/>
          <w:lang w:val="fr-FR"/>
        </w:rPr>
        <w:t>: INSTAT</w:t>
      </w:r>
    </w:p>
    <w:p w:rsidR="00000000" w:rsidRDefault="00000000">
      <w:pPr>
        <w:pStyle w:val="SingleTxtG"/>
        <w:rPr>
          <w:lang w:val="fr-FR"/>
        </w:rPr>
      </w:pPr>
      <w:r>
        <w:rPr>
          <w:lang w:val="fr-FR"/>
        </w:rPr>
        <w:t>21.</w:t>
      </w:r>
      <w:r>
        <w:rPr>
          <w:lang w:val="fr-FR"/>
        </w:rPr>
        <w:tab/>
        <w:t>Madagascar a fait également des progrès dans l’approche de l’horizon des objectifs du Millénaire (ODM). Selon le deuxième rapport de suivi des OMS</w:t>
      </w:r>
      <w:r>
        <w:rPr>
          <w:rStyle w:val="FootnoteReference"/>
        </w:rPr>
        <w:footnoteReference w:id="4"/>
      </w:r>
      <w:r>
        <w:rPr>
          <w:lang w:val="fr-FR"/>
        </w:rPr>
        <w:t>, élaboré en 2007, si le pays aura des difficultés à atteindre tous les objectifs fixés pour 2015, il a des possibilités d’en atteindre au moins trois, notamment ceux relatifs à l’éducation primaire, à l’égalité de genre et ceux relatifs au VIH/sida.</w:t>
      </w:r>
    </w:p>
    <w:p w:rsidR="00000000" w:rsidRDefault="00000000">
      <w:pPr>
        <w:pStyle w:val="SingleTxtG"/>
        <w:rPr>
          <w:lang w:val="fr-FR"/>
        </w:rPr>
      </w:pPr>
      <w:r>
        <w:rPr>
          <w:lang w:val="fr-FR"/>
        </w:rPr>
        <w:t>22.</w:t>
      </w:r>
      <w:r>
        <w:rPr>
          <w:lang w:val="fr-FR"/>
        </w:rPr>
        <w:tab/>
        <w:t>Les femmes présentent un IDH inférieur à celui des hommes de 0,4 %, essentiellement en raison des taux d’analphabétisme plus élevés et des revenus plus bas des femmes par rapport aux hommes.</w:t>
      </w:r>
    </w:p>
    <w:p w:rsidR="00000000" w:rsidRDefault="00000000">
      <w:pPr>
        <w:pStyle w:val="H23G"/>
        <w:rPr>
          <w:lang w:val="fr-FR"/>
        </w:rPr>
      </w:pPr>
      <w:bookmarkStart w:id="87" w:name="_Toc193274993"/>
      <w:bookmarkStart w:id="88" w:name="_Toc206414479"/>
      <w:bookmarkStart w:id="89" w:name="_Toc206460321"/>
      <w:bookmarkStart w:id="90" w:name="_Toc206460653"/>
      <w:bookmarkStart w:id="91" w:name="_Toc206461375"/>
      <w:bookmarkStart w:id="92" w:name="_Toc206476169"/>
      <w:bookmarkStart w:id="93" w:name="_Toc207788704"/>
      <w:bookmarkStart w:id="94" w:name="_Toc211835375"/>
      <w:bookmarkStart w:id="95" w:name="_Toc211926682"/>
      <w:r>
        <w:rPr>
          <w:lang w:val="fr-FR"/>
        </w:rPr>
        <w:tab/>
        <w:t>3.</w:t>
      </w:r>
      <w:r>
        <w:rPr>
          <w:lang w:val="fr-FR"/>
        </w:rPr>
        <w:tab/>
        <w:t>Situation de l’emploi</w:t>
      </w:r>
      <w:bookmarkEnd w:id="87"/>
      <w:bookmarkEnd w:id="88"/>
      <w:bookmarkEnd w:id="89"/>
      <w:bookmarkEnd w:id="90"/>
      <w:bookmarkEnd w:id="91"/>
      <w:bookmarkEnd w:id="92"/>
      <w:bookmarkEnd w:id="93"/>
      <w:bookmarkEnd w:id="94"/>
      <w:bookmarkEnd w:id="95"/>
    </w:p>
    <w:p w:rsidR="00000000" w:rsidRDefault="00000000">
      <w:pPr>
        <w:pStyle w:val="SingleTxtG"/>
        <w:rPr>
          <w:lang w:val="fr-FR"/>
        </w:rPr>
      </w:pPr>
      <w:r>
        <w:rPr>
          <w:lang w:val="fr-FR"/>
        </w:rPr>
        <w:t>23.</w:t>
      </w:r>
      <w:r>
        <w:rPr>
          <w:lang w:val="fr-FR"/>
        </w:rPr>
        <w:tab/>
        <w:t>Le taux d’activité à Madagascar est de 64, 6 % en 2005. Il s’élève à plus de 88 % si l’on considère la tranche d’âge de 15 à 64 ans. L’insertion sur le marché du travail est relativement précoce, puisque plus d’un enfant de 10 à 14 ans sur quatre et plus de 63 % des enfants de 15 à 19 ans travaillent déjà.</w:t>
      </w:r>
    </w:p>
    <w:p w:rsidR="00000000" w:rsidRDefault="00000000">
      <w:pPr>
        <w:pStyle w:val="SingleTxtG"/>
        <w:rPr>
          <w:lang w:val="fr-FR"/>
        </w:rPr>
      </w:pPr>
      <w:r>
        <w:rPr>
          <w:lang w:val="fr-FR"/>
        </w:rPr>
        <w:t>24.</w:t>
      </w:r>
      <w:r>
        <w:rPr>
          <w:lang w:val="fr-FR"/>
        </w:rPr>
        <w:tab/>
        <w:t>Plus de 86 % des emplois créés à Madagascar sont des emplois privés et informels. Le salaire annuel moyen est évalué à 991 000 Ar, soit 82 600 Ar par mois, équivalant à environ 48 USD. Le salaire moyen en milieu rural est presque la moitié de celui en milieu urbain. Les salaires des femmes sont largement inférieurs à ceux des hommes: en moyenne 750 000 Ar pour les femmes contre plus de 1 147 000 Ar pour les hommes.</w:t>
      </w:r>
      <w:bookmarkStart w:id="96" w:name="_Toc195947135"/>
      <w:bookmarkStart w:id="97" w:name="_Toc195958778"/>
      <w:bookmarkStart w:id="98" w:name="_Toc206414480"/>
      <w:bookmarkStart w:id="99" w:name="_Toc206460322"/>
      <w:bookmarkStart w:id="100" w:name="_Toc206460654"/>
      <w:bookmarkStart w:id="101" w:name="_Toc206461376"/>
      <w:bookmarkStart w:id="102" w:name="_Toc206476170"/>
      <w:bookmarkStart w:id="103" w:name="_Toc207788705"/>
    </w:p>
    <w:p w:rsidR="00000000" w:rsidRDefault="00000000">
      <w:pPr>
        <w:pStyle w:val="H1G"/>
        <w:rPr>
          <w:lang w:val="fr-FR"/>
        </w:rPr>
      </w:pPr>
      <w:bookmarkStart w:id="104" w:name="_Toc211835376"/>
      <w:bookmarkStart w:id="105" w:name="_Toc211926683"/>
      <w:r>
        <w:rPr>
          <w:lang w:val="fr-FR"/>
        </w:rPr>
        <w:tab/>
      </w:r>
      <w:bookmarkStart w:id="106" w:name="_Toc260298207"/>
      <w:r>
        <w:rPr>
          <w:lang w:val="fr-FR"/>
        </w:rPr>
        <w:t>C.</w:t>
      </w:r>
      <w:r>
        <w:rPr>
          <w:lang w:val="fr-FR"/>
        </w:rPr>
        <w:tab/>
        <w:t>Contexte politique et institutionnel</w:t>
      </w:r>
      <w:bookmarkEnd w:id="96"/>
      <w:bookmarkEnd w:id="97"/>
      <w:bookmarkEnd w:id="98"/>
      <w:bookmarkEnd w:id="99"/>
      <w:bookmarkEnd w:id="100"/>
      <w:bookmarkEnd w:id="101"/>
      <w:bookmarkEnd w:id="102"/>
      <w:bookmarkEnd w:id="103"/>
      <w:bookmarkEnd w:id="104"/>
      <w:bookmarkEnd w:id="105"/>
      <w:bookmarkEnd w:id="106"/>
    </w:p>
    <w:p w:rsidR="00000000" w:rsidRDefault="00000000">
      <w:pPr>
        <w:pStyle w:val="SingleTxtG"/>
        <w:rPr>
          <w:lang w:val="fr-FR"/>
        </w:rPr>
      </w:pPr>
      <w:r>
        <w:rPr>
          <w:lang w:val="fr-FR"/>
        </w:rPr>
        <w:t>25.</w:t>
      </w:r>
      <w:r>
        <w:rPr>
          <w:lang w:val="fr-FR"/>
        </w:rPr>
        <w:tab/>
        <w:t>Après la crise de 2002, le pays a retrouvé la stabilité politique et institutionnelle. L’élection présidentielle de 2006 a reconduit le Président Marc Ravalomanana qui a pu ainsi donner continuité à sa politique de réforme sur les plans financier, économique, législatif, judiciaire, social et environnemental.</w:t>
      </w:r>
    </w:p>
    <w:p w:rsidR="00000000" w:rsidRDefault="00000000">
      <w:pPr>
        <w:pStyle w:val="SingleTxtG"/>
        <w:rPr>
          <w:lang w:val="fr-FR"/>
        </w:rPr>
      </w:pPr>
      <w:r>
        <w:rPr>
          <w:lang w:val="fr-FR"/>
        </w:rPr>
        <w:t>26.</w:t>
      </w:r>
      <w:r>
        <w:rPr>
          <w:lang w:val="fr-FR"/>
        </w:rPr>
        <w:tab/>
        <w:t>Une révision constitutionnelle a eu lieu le 4 avril 2007. Les dispositions constitutionnelles consacrées à la protection des droits de la femme et de l’enfant sont maintenues.</w:t>
      </w:r>
    </w:p>
    <w:p w:rsidR="00000000" w:rsidRDefault="00000000">
      <w:pPr>
        <w:pStyle w:val="SingleTxtG"/>
        <w:rPr>
          <w:lang w:val="fr-FR"/>
        </w:rPr>
      </w:pPr>
      <w:r>
        <w:rPr>
          <w:lang w:val="fr-FR"/>
        </w:rPr>
        <w:t>27.</w:t>
      </w:r>
      <w:r>
        <w:rPr>
          <w:lang w:val="fr-FR"/>
        </w:rPr>
        <w:tab/>
        <w:t>Sur le plan politique de développement, le Gouvernement a adopté en juillet 2003 le Document de stratégie de réduction de la pauvreté (DSRP) couvrant la période 2002-2006 et axé sur la bonne gouvernance, le développement de l’infrastructure, l’éducation, la santé, l’appui au secteur privé.</w:t>
      </w:r>
    </w:p>
    <w:p w:rsidR="00000000" w:rsidRDefault="00000000">
      <w:pPr>
        <w:pStyle w:val="SingleTxtG"/>
        <w:rPr>
          <w:lang w:val="fr-FR"/>
        </w:rPr>
      </w:pPr>
      <w:r>
        <w:rPr>
          <w:lang w:val="fr-FR"/>
        </w:rPr>
        <w:t>28.</w:t>
      </w:r>
      <w:r>
        <w:rPr>
          <w:lang w:val="fr-FR"/>
        </w:rPr>
        <w:tab/>
        <w:t>Dans le DSRP, la promotion des droits de l’enfant est prise en compte entre autre dans les secteurs santé, éducation, protection sociale et justice.</w:t>
      </w:r>
    </w:p>
    <w:p w:rsidR="00000000" w:rsidRDefault="00000000">
      <w:pPr>
        <w:pStyle w:val="SingleTxtG"/>
        <w:rPr>
          <w:lang w:val="fr-FR"/>
        </w:rPr>
      </w:pPr>
      <w:r>
        <w:rPr>
          <w:lang w:val="fr-FR"/>
        </w:rPr>
        <w:t>29.</w:t>
      </w:r>
      <w:r>
        <w:rPr>
          <w:lang w:val="fr-FR"/>
        </w:rPr>
        <w:tab/>
        <w:t>Pour prendre le relais du DSRP, le Gouvernement a adopté en 2004 le Document Vision «Madagascar naturellement». La vision reprend 11 programmes du DSRP tout en mettant en exergue le renforcement du monde rural, le prolongement de la chaîne des valeurs, le développement des infrastructures, la recherche et le développement, le partenariat et la technologie.</w:t>
      </w:r>
    </w:p>
    <w:p w:rsidR="00000000" w:rsidRDefault="00000000">
      <w:pPr>
        <w:pStyle w:val="SingleTxtG"/>
        <w:rPr>
          <w:lang w:val="fr-FR"/>
        </w:rPr>
      </w:pPr>
      <w:r>
        <w:rPr>
          <w:lang w:val="fr-FR"/>
        </w:rPr>
        <w:t>30.</w:t>
      </w:r>
      <w:r>
        <w:rPr>
          <w:lang w:val="fr-FR"/>
        </w:rPr>
        <w:tab/>
        <w:t>Dans un souci de promouvoir une culture de performance et de traçabilité de l’action du Gouvernement, le pays définit désormais annuellement, depuis 2005, la politique générale de l’État (PGE), adoptée en conseil des Ministres.</w:t>
      </w:r>
    </w:p>
    <w:p w:rsidR="00000000" w:rsidRDefault="00000000">
      <w:pPr>
        <w:pStyle w:val="SingleTxtG"/>
        <w:rPr>
          <w:lang w:val="fr-FR"/>
        </w:rPr>
      </w:pPr>
      <w:r>
        <w:rPr>
          <w:lang w:val="fr-FR"/>
        </w:rPr>
        <w:t>31.</w:t>
      </w:r>
      <w:r>
        <w:rPr>
          <w:lang w:val="fr-FR"/>
        </w:rPr>
        <w:tab/>
        <w:t>Différents appuis financiers ont été obtenus au titre de la réduction de la pauvreté: crédit d’appui à la réduction de la pauvreté de la Banque mondiale, programme d’appui à la réduction de la pauvreté de l’Union européenne, Millenium Challenge Account des États</w:t>
      </w:r>
      <w:r>
        <w:rPr>
          <w:lang w:val="fr-FR"/>
        </w:rPr>
        <w:noBreakHyphen/>
        <w:t>Unis d’Amérique.</w:t>
      </w:r>
    </w:p>
    <w:p w:rsidR="00000000" w:rsidRDefault="00000000">
      <w:pPr>
        <w:pStyle w:val="SingleTxtG"/>
        <w:rPr>
          <w:lang w:val="fr-FR"/>
        </w:rPr>
      </w:pPr>
      <w:r>
        <w:rPr>
          <w:lang w:val="fr-FR"/>
        </w:rPr>
        <w:t>32.</w:t>
      </w:r>
      <w:r>
        <w:rPr>
          <w:lang w:val="fr-FR"/>
        </w:rPr>
        <w:tab/>
        <w:t>En novembre 2006, le pays a adopté son nouveau plan stratégique pour le développement relatif à la période 2007-2011, fondé sur la Vision «Madagascar naturellement»: le MAP - Madagascar Action Plan. Ce plan ambitionne relever les défis d’un développement rapide et durable, dans une approche fortement axée sur la décentralisation.</w:t>
      </w:r>
    </w:p>
    <w:p w:rsidR="00000000" w:rsidRDefault="00000000">
      <w:pPr>
        <w:pStyle w:val="SingleTxtG"/>
        <w:rPr>
          <w:lang w:val="fr-FR"/>
        </w:rPr>
      </w:pPr>
      <w:r>
        <w:rPr>
          <w:lang w:val="fr-FR"/>
        </w:rPr>
        <w:t>33.</w:t>
      </w:r>
      <w:r>
        <w:rPr>
          <w:lang w:val="fr-FR"/>
        </w:rPr>
        <w:tab/>
        <w:t>Le MAP est organisé en huit engagements:</w:t>
      </w:r>
    </w:p>
    <w:p w:rsidR="00000000" w:rsidRDefault="00000000">
      <w:pPr>
        <w:pStyle w:val="Bullet1G"/>
        <w:rPr>
          <w:lang w:val="en-US"/>
        </w:rPr>
      </w:pPr>
      <w:r>
        <w:rPr>
          <w:lang w:val="en-US"/>
        </w:rPr>
        <w:t>Gouvernance responsable;</w:t>
      </w:r>
    </w:p>
    <w:p w:rsidR="00000000" w:rsidRDefault="00000000">
      <w:pPr>
        <w:pStyle w:val="Bullet1G"/>
        <w:rPr>
          <w:lang w:val="en-US"/>
        </w:rPr>
      </w:pPr>
      <w:r>
        <w:rPr>
          <w:lang w:val="en-US"/>
        </w:rPr>
        <w:t>Infrastructures reliées;</w:t>
      </w:r>
    </w:p>
    <w:p w:rsidR="00000000" w:rsidRDefault="00000000">
      <w:pPr>
        <w:pStyle w:val="Bullet1G"/>
      </w:pPr>
      <w:r>
        <w:rPr>
          <w:lang w:val="en-US"/>
        </w:rPr>
        <w:t>Transformation de l’éducation;</w:t>
      </w:r>
    </w:p>
    <w:p w:rsidR="00000000" w:rsidRDefault="00000000">
      <w:pPr>
        <w:pStyle w:val="Bullet1G"/>
        <w:rPr>
          <w:lang w:val="en-US"/>
        </w:rPr>
      </w:pPr>
      <w:r>
        <w:t>Développement</w:t>
      </w:r>
      <w:r>
        <w:rPr>
          <w:lang w:val="en-US"/>
        </w:rPr>
        <w:t xml:space="preserve"> rural;</w:t>
      </w:r>
    </w:p>
    <w:p w:rsidR="00000000" w:rsidRDefault="00000000">
      <w:pPr>
        <w:pStyle w:val="Bullet1G"/>
        <w:rPr>
          <w:lang w:val="fr-SN"/>
        </w:rPr>
      </w:pPr>
      <w:r>
        <w:rPr>
          <w:lang w:val="fr-FR"/>
        </w:rPr>
        <w:t>Santé, planning familial et lutte contre le VIH/sida;</w:t>
      </w:r>
    </w:p>
    <w:p w:rsidR="00000000" w:rsidRDefault="00000000">
      <w:pPr>
        <w:pStyle w:val="Bullet1G"/>
        <w:rPr>
          <w:lang w:val="en-US"/>
        </w:rPr>
      </w:pPr>
      <w:r>
        <w:rPr>
          <w:lang w:val="fr-SN"/>
        </w:rPr>
        <w:t>Économie à</w:t>
      </w:r>
      <w:r>
        <w:rPr>
          <w:lang w:val="en-US"/>
        </w:rPr>
        <w:t xml:space="preserve"> forte croissance;</w:t>
      </w:r>
    </w:p>
    <w:p w:rsidR="00000000" w:rsidRDefault="00000000">
      <w:pPr>
        <w:pStyle w:val="Bullet1G"/>
        <w:rPr>
          <w:lang w:val="en-US"/>
        </w:rPr>
      </w:pPr>
      <w:r>
        <w:rPr>
          <w:lang w:val="en-US"/>
        </w:rPr>
        <w:t xml:space="preserve">Environnement; </w:t>
      </w:r>
    </w:p>
    <w:p w:rsidR="00000000" w:rsidRDefault="00000000">
      <w:pPr>
        <w:pStyle w:val="Bullet1G"/>
        <w:rPr>
          <w:lang w:val="en-US"/>
        </w:rPr>
      </w:pPr>
      <w:r>
        <w:rPr>
          <w:lang w:val="en-US"/>
        </w:rPr>
        <w:t>Solidarité nationale.</w:t>
      </w:r>
    </w:p>
    <w:p w:rsidR="00000000" w:rsidRDefault="00000000">
      <w:pPr>
        <w:pStyle w:val="SingleTxtG"/>
        <w:rPr>
          <w:lang w:val="fr-FR"/>
        </w:rPr>
      </w:pPr>
      <w:r>
        <w:rPr>
          <w:lang w:val="fr-FR"/>
        </w:rPr>
        <w:t>34.</w:t>
      </w:r>
      <w:r>
        <w:rPr>
          <w:lang w:val="fr-FR"/>
        </w:rPr>
        <w:tab/>
        <w:t>Les objectifs concernant la mise en œuvre des droits de l’enfant figurent dans les engagements 1, 3, 5 et 8 et sont liés à la bonne gouvernance, la transformation de l’éducation et la solidarité nationale qui comprend l’enregistrement des naissances, la réduction du travail des enfants et la protection des plus pauvres et vulnérables.</w:t>
      </w:r>
    </w:p>
    <w:p w:rsidR="00000000" w:rsidRDefault="00000000">
      <w:pPr>
        <w:pStyle w:val="SingleTxtG"/>
        <w:rPr>
          <w:lang w:val="fr-FR"/>
        </w:rPr>
      </w:pPr>
      <w:r>
        <w:rPr>
          <w:lang w:val="fr-FR"/>
        </w:rPr>
        <w:t>35.</w:t>
      </w:r>
      <w:r>
        <w:rPr>
          <w:lang w:val="fr-FR"/>
        </w:rPr>
        <w:tab/>
        <w:t>Sur le plan de la santé, le MAP intègre les ODM pour la santé maternelle et infantile, avec un accent particulier sur la lutte contre la malaria, le VIH/sida, la malnutrition et l’accès à l’eau et à l’assainissement. Les objectifs nationaux visent la réduction d’ici 2012, de 94/1000 à 47/1000 la mortalité des enfants moins de cinq ans, de 469/100,000 à 273/100,000 la mortalité maternelle, et de 32/1000 à 17/1000 la mortalité néonatale.</w:t>
      </w:r>
    </w:p>
    <w:p w:rsidR="00000000" w:rsidRDefault="00000000">
      <w:pPr>
        <w:pStyle w:val="SingleTxtG"/>
        <w:rPr>
          <w:lang w:val="fr-FR"/>
        </w:rPr>
      </w:pPr>
      <w:r>
        <w:rPr>
          <w:lang w:val="fr-FR"/>
        </w:rPr>
        <w:t>36.</w:t>
      </w:r>
      <w:r>
        <w:rPr>
          <w:lang w:val="fr-FR"/>
        </w:rPr>
        <w:tab/>
        <w:t>Au niveau de la nutrition, l’objectif du MAP est de réduire d’ici 2012 de 42 % à 28 % le taux d’insuffisance pondérale chez les enfants de moins de cinq ans. Au niveau de l’eau et assainissement, le MAP reconnaît l’importance de l’accès à l’eau potable et d’un assainissement adéquat.</w:t>
      </w:r>
    </w:p>
    <w:p w:rsidR="00000000" w:rsidRDefault="00000000">
      <w:pPr>
        <w:pStyle w:val="H4G"/>
        <w:rPr>
          <w:lang w:val="fr-FR"/>
        </w:rPr>
      </w:pPr>
      <w:r>
        <w:rPr>
          <w:lang w:val="fr-FR"/>
        </w:rPr>
        <w:tab/>
      </w:r>
      <w:r>
        <w:rPr>
          <w:lang w:val="fr-FR"/>
        </w:rPr>
        <w:tab/>
        <w:t>Décentralisation</w:t>
      </w:r>
    </w:p>
    <w:p w:rsidR="00000000" w:rsidRDefault="00000000">
      <w:pPr>
        <w:pStyle w:val="SingleTxtG"/>
        <w:rPr>
          <w:lang w:val="fr-FR"/>
        </w:rPr>
      </w:pPr>
      <w:r>
        <w:rPr>
          <w:lang w:val="fr-FR"/>
        </w:rPr>
        <w:t>37.</w:t>
      </w:r>
      <w:r>
        <w:rPr>
          <w:lang w:val="fr-FR"/>
        </w:rPr>
        <w:tab/>
        <w:t>Tenant compte du constat que le système en vigueur de prise de décision, de planification du développement et d’administration du territoire demeurait trop concentré au niveau central, l’État a engagé le processus de transfert de pouvoir et de ressources au niveau des régions et des communes. L’objectif est d’assurer aux citoyens des services publics de proximité et de qualité, le processus de décentralisation et déconcentration à Madagascar a été entamé en 2004, avec la création de 22 régions. En 2005 la lettre de politique pour la décentralisation et la déconcentration (LP2D), qui fixe les orientations et axes stratégiques en la matière, a été validée.</w:t>
      </w:r>
    </w:p>
    <w:p w:rsidR="00000000" w:rsidRDefault="00000000">
      <w:pPr>
        <w:pStyle w:val="SingleTxtG"/>
        <w:rPr>
          <w:lang w:val="fr-FR"/>
        </w:rPr>
      </w:pPr>
      <w:r>
        <w:rPr>
          <w:lang w:val="fr-FR"/>
        </w:rPr>
        <w:t>38.</w:t>
      </w:r>
      <w:r>
        <w:rPr>
          <w:lang w:val="fr-FR"/>
        </w:rPr>
        <w:tab/>
        <w:t>En 2006, le Programme national cadre de décentralisation et déconcentration (PN2D) clarifie les rôles et les responsabilités des collectivités territoriales décentralisées (CTD). Le programme s’étend sur 10 ans. Sept ministères, étroitement associés à l’élaboration de ce plan, dont ceux en charge de l’éducation, de la santé et de l’économie, ont débuté la phase pilote de déconcentration des services et de renforcement des capacités de planification, budgétisation et suivi des ressources humaines au niveau des régions et des communes.</w:t>
      </w:r>
    </w:p>
    <w:p w:rsidR="00000000" w:rsidRDefault="00000000">
      <w:pPr>
        <w:pStyle w:val="SingleTxtG"/>
        <w:rPr>
          <w:lang w:val="fr-FR"/>
        </w:rPr>
      </w:pPr>
      <w:r>
        <w:rPr>
          <w:lang w:val="fr-FR"/>
        </w:rPr>
        <w:t>39.</w:t>
      </w:r>
      <w:r>
        <w:rPr>
          <w:lang w:val="fr-FR"/>
        </w:rPr>
        <w:tab/>
        <w:t>Pour 2008, est prévue la révision du cadre juridico institutionnel et organisationnel et la loi de finances prévoit le transfert direct aux régions d’une partie des fonds du Programme d’investissements publics (PIP).</w:t>
      </w:r>
    </w:p>
    <w:p w:rsidR="00000000" w:rsidRDefault="00000000">
      <w:pPr>
        <w:pStyle w:val="HChG"/>
        <w:rPr>
          <w:lang w:val="fr-FR"/>
        </w:rPr>
      </w:pPr>
      <w:r>
        <w:rPr>
          <w:lang w:val="fr-FR"/>
        </w:rPr>
        <w:br w:type="page"/>
      </w:r>
      <w:r>
        <w:rPr>
          <w:lang w:val="fr-FR"/>
        </w:rPr>
        <w:tab/>
      </w:r>
      <w:r>
        <w:rPr>
          <w:lang w:val="fr-FR"/>
        </w:rPr>
        <w:tab/>
      </w:r>
      <w:bookmarkStart w:id="107" w:name="_Toc260298208"/>
      <w:r>
        <w:rPr>
          <w:lang w:val="fr-FR"/>
        </w:rPr>
        <w:t>De</w:t>
      </w:r>
      <w:bookmarkStart w:id="108" w:name="partie_2"/>
      <w:bookmarkEnd w:id="108"/>
      <w:r>
        <w:rPr>
          <w:lang w:val="fr-FR"/>
        </w:rPr>
        <w:t>uxième partie</w:t>
      </w:r>
      <w:bookmarkEnd w:id="107"/>
    </w:p>
    <w:p w:rsidR="00000000" w:rsidRDefault="00000000">
      <w:pPr>
        <w:pStyle w:val="HChG"/>
        <w:rPr>
          <w:lang w:val="fr-FR"/>
        </w:rPr>
      </w:pPr>
      <w:bookmarkStart w:id="109" w:name="_Toc206414481"/>
      <w:bookmarkStart w:id="110" w:name="_Toc206460323"/>
      <w:bookmarkStart w:id="111" w:name="_Toc206460655"/>
      <w:bookmarkStart w:id="112" w:name="_Toc206461377"/>
      <w:bookmarkStart w:id="113" w:name="_Toc206476171"/>
      <w:bookmarkStart w:id="114" w:name="_Toc207788706"/>
      <w:bookmarkStart w:id="115" w:name="_Toc211835377"/>
      <w:bookmarkStart w:id="116" w:name="_Toc211926684"/>
      <w:r>
        <w:rPr>
          <w:lang w:val="fr-FR"/>
        </w:rPr>
        <w:tab/>
      </w:r>
      <w:bookmarkStart w:id="117" w:name="_Toc260298209"/>
      <w:r>
        <w:rPr>
          <w:lang w:val="fr-FR"/>
        </w:rPr>
        <w:t>I.</w:t>
      </w:r>
      <w:r>
        <w:rPr>
          <w:lang w:val="fr-FR"/>
        </w:rPr>
        <w:tab/>
        <w:t>Mesures de mise en compatibilité de la législation avec la Convention</w:t>
      </w:r>
      <w:bookmarkEnd w:id="109"/>
      <w:bookmarkEnd w:id="110"/>
      <w:bookmarkEnd w:id="111"/>
      <w:bookmarkEnd w:id="112"/>
      <w:bookmarkEnd w:id="113"/>
      <w:bookmarkEnd w:id="114"/>
      <w:bookmarkEnd w:id="115"/>
      <w:bookmarkEnd w:id="116"/>
      <w:bookmarkEnd w:id="117"/>
      <w:r>
        <w:rPr>
          <w:lang w:val="fr-FR"/>
        </w:rPr>
        <w:t xml:space="preserve"> </w:t>
      </w:r>
    </w:p>
    <w:p w:rsidR="00000000" w:rsidRDefault="00000000">
      <w:pPr>
        <w:pStyle w:val="H1G"/>
        <w:rPr>
          <w:lang w:val="fr-FR"/>
        </w:rPr>
      </w:pPr>
      <w:bookmarkStart w:id="118" w:name="_Toc206414482"/>
      <w:bookmarkStart w:id="119" w:name="_Toc206460324"/>
      <w:bookmarkStart w:id="120" w:name="_Toc206460656"/>
      <w:bookmarkStart w:id="121" w:name="_Toc206461378"/>
      <w:bookmarkStart w:id="122" w:name="_Toc206476172"/>
      <w:bookmarkStart w:id="123" w:name="_Toc207788707"/>
      <w:bookmarkStart w:id="124" w:name="_Toc211835378"/>
      <w:bookmarkStart w:id="125" w:name="_Toc211926685"/>
      <w:r>
        <w:rPr>
          <w:lang w:val="fr-FR"/>
        </w:rPr>
        <w:tab/>
      </w:r>
      <w:bookmarkStart w:id="126" w:name="_Toc260298210"/>
      <w:r>
        <w:rPr>
          <w:lang w:val="fr-FR"/>
        </w:rPr>
        <w:t>A.</w:t>
      </w:r>
      <w:r>
        <w:rPr>
          <w:lang w:val="fr-FR"/>
        </w:rPr>
        <w:tab/>
        <w:t>Réformes législatives</w:t>
      </w:r>
      <w:bookmarkEnd w:id="118"/>
      <w:bookmarkEnd w:id="119"/>
      <w:bookmarkEnd w:id="120"/>
      <w:bookmarkEnd w:id="121"/>
      <w:bookmarkEnd w:id="122"/>
      <w:bookmarkEnd w:id="123"/>
      <w:bookmarkEnd w:id="124"/>
      <w:bookmarkEnd w:id="125"/>
      <w:bookmarkEnd w:id="126"/>
    </w:p>
    <w:p w:rsidR="00000000" w:rsidRDefault="00000000">
      <w:pPr>
        <w:pStyle w:val="SingleTxtG"/>
        <w:rPr>
          <w:lang w:val="fr-FR"/>
        </w:rPr>
      </w:pPr>
      <w:r>
        <w:rPr>
          <w:lang w:val="fr-FR"/>
        </w:rPr>
        <w:t>40.</w:t>
      </w:r>
      <w:r>
        <w:rPr>
          <w:lang w:val="fr-FR"/>
        </w:rPr>
        <w:tab/>
        <w:t>La Constitution malgache amendée a maintenu les dispositions considérant les instruments internationaux sur les droits de l’enfant comme faisant partie intégrante du droit positif.</w:t>
      </w:r>
    </w:p>
    <w:p w:rsidR="00000000" w:rsidRDefault="00000000">
      <w:pPr>
        <w:pStyle w:val="SingleTxtG"/>
        <w:rPr>
          <w:lang w:val="fr-FR"/>
        </w:rPr>
      </w:pPr>
      <w:r>
        <w:rPr>
          <w:lang w:val="fr-FR"/>
        </w:rPr>
        <w:t>41.</w:t>
      </w:r>
      <w:r>
        <w:rPr>
          <w:lang w:val="fr-FR"/>
        </w:rPr>
        <w:tab/>
        <w:t xml:space="preserve">Pour assurer la mise en compatibilité de la législation nationale avec la Convention, le gouvernement a mis en place une commission de réforme du droit des enfants – CRDE − par décret </w:t>
      </w:r>
      <w:r>
        <w:rPr>
          <w:rFonts w:eastAsia="MS Mincho"/>
          <w:lang w:val="fr-FR"/>
        </w:rPr>
        <w:t>n</w:t>
      </w:r>
      <w:r>
        <w:rPr>
          <w:rFonts w:eastAsia="MS Mincho"/>
          <w:vertAlign w:val="superscript"/>
          <w:lang w:val="fr-FR"/>
        </w:rPr>
        <w:t>o</w:t>
      </w:r>
      <w:r>
        <w:rPr>
          <w:lang w:val="fr-FR"/>
        </w:rPr>
        <w:t xml:space="preserve"> 2005- 025.</w:t>
      </w:r>
    </w:p>
    <w:p w:rsidR="00000000" w:rsidRDefault="00000000">
      <w:pPr>
        <w:pStyle w:val="SingleTxtG"/>
        <w:rPr>
          <w:lang w:val="fr-FR"/>
        </w:rPr>
      </w:pPr>
      <w:r>
        <w:rPr>
          <w:lang w:val="fr-FR"/>
        </w:rPr>
        <w:t>42.</w:t>
      </w:r>
      <w:r>
        <w:rPr>
          <w:lang w:val="fr-FR"/>
        </w:rPr>
        <w:tab/>
        <w:t>La Commission est coordonnée par le Ministère de la justice et elle est composée par des représentants des ministères impliqués dans la mise en œuvre des droits de l’enfant</w:t>
      </w:r>
      <w:r>
        <w:rPr>
          <w:rStyle w:val="FootnoteReference"/>
        </w:rPr>
        <w:footnoteReference w:id="5"/>
      </w:r>
      <w:r>
        <w:rPr>
          <w:lang w:val="fr-FR"/>
        </w:rPr>
        <w:t>.</w:t>
      </w:r>
    </w:p>
    <w:p w:rsidR="00000000" w:rsidRDefault="00000000">
      <w:pPr>
        <w:pStyle w:val="SingleTxtG"/>
        <w:rPr>
          <w:lang w:val="fr-FR"/>
        </w:rPr>
      </w:pPr>
      <w:r>
        <w:rPr>
          <w:lang w:val="fr-FR"/>
        </w:rPr>
        <w:t>43.</w:t>
      </w:r>
      <w:r>
        <w:rPr>
          <w:lang w:val="fr-FR"/>
        </w:rPr>
        <w:tab/>
        <w:t>Depuis sa création, la CRDE a apporté sa contribution laquelle a abouti à la réforme:</w:t>
      </w:r>
    </w:p>
    <w:p w:rsidR="00000000" w:rsidRDefault="00000000">
      <w:pPr>
        <w:pStyle w:val="Bullet1G"/>
        <w:rPr>
          <w:lang w:val="fr-FR"/>
        </w:rPr>
      </w:pPr>
      <w:r>
        <w:rPr>
          <w:lang w:val="fr-FR"/>
        </w:rPr>
        <w:t xml:space="preserve">Des droits et de la protection des enfants par l’adoption de la loi </w:t>
      </w:r>
      <w:r>
        <w:rPr>
          <w:rFonts w:eastAsia="MS Mincho"/>
          <w:lang w:val="fr-FR"/>
        </w:rPr>
        <w:t>n</w:t>
      </w:r>
      <w:r>
        <w:rPr>
          <w:rFonts w:eastAsia="MS Mincho"/>
          <w:vertAlign w:val="superscript"/>
          <w:lang w:val="fr-FR"/>
        </w:rPr>
        <w:t>o</w:t>
      </w:r>
      <w:r>
        <w:rPr>
          <w:lang w:val="fr-FR"/>
        </w:rPr>
        <w:t xml:space="preserve"> 2007-023 du 20 août 2007 sur les droits et la protection des enfants qui a relayé l’ordonnance </w:t>
      </w:r>
      <w:r>
        <w:rPr>
          <w:rFonts w:eastAsia="MS Mincho"/>
          <w:lang w:val="fr-FR"/>
        </w:rPr>
        <w:t>n</w:t>
      </w:r>
      <w:r>
        <w:rPr>
          <w:rFonts w:eastAsia="MS Mincho"/>
          <w:vertAlign w:val="superscript"/>
          <w:lang w:val="fr-FR"/>
        </w:rPr>
        <w:t>o </w:t>
      </w:r>
      <w:r>
        <w:rPr>
          <w:lang w:val="fr-FR"/>
        </w:rPr>
        <w:t>62-038 du 19 septembre 1962;</w:t>
      </w:r>
    </w:p>
    <w:p w:rsidR="00000000" w:rsidRDefault="00000000">
      <w:pPr>
        <w:pStyle w:val="Bullet1G"/>
        <w:rPr>
          <w:lang w:val="fr-FR"/>
        </w:rPr>
      </w:pPr>
      <w:r>
        <w:rPr>
          <w:lang w:val="fr-FR"/>
        </w:rPr>
        <w:t>Du mariage et les régimes matrimoniaux;</w:t>
      </w:r>
    </w:p>
    <w:p w:rsidR="00000000" w:rsidRDefault="00000000">
      <w:pPr>
        <w:pStyle w:val="Bullet1G"/>
        <w:rPr>
          <w:lang w:val="fr-FR"/>
        </w:rPr>
      </w:pPr>
      <w:r>
        <w:rPr>
          <w:lang w:val="fr-FR"/>
        </w:rPr>
        <w:t>De l’adoption, le décret sur les familles d’accueil;</w:t>
      </w:r>
    </w:p>
    <w:p w:rsidR="00000000" w:rsidRDefault="00000000">
      <w:pPr>
        <w:pStyle w:val="Bullet1G"/>
        <w:rPr>
          <w:lang w:val="fr-FR"/>
        </w:rPr>
      </w:pPr>
      <w:r>
        <w:rPr>
          <w:lang w:val="fr-FR"/>
        </w:rPr>
        <w:t>De la protection contre la traite, de l’exploitation sexuelle et du tourisme sexuel</w:t>
      </w:r>
    </w:p>
    <w:p w:rsidR="00000000" w:rsidRDefault="00000000">
      <w:pPr>
        <w:pStyle w:val="Bullet1G"/>
        <w:rPr>
          <w:lang w:val="fr-FR"/>
        </w:rPr>
      </w:pPr>
      <w:r>
        <w:rPr>
          <w:lang w:val="fr-FR"/>
        </w:rPr>
        <w:t>De la lutte contre le travail des enfants.</w:t>
      </w:r>
    </w:p>
    <w:p w:rsidR="00000000" w:rsidRDefault="00000000">
      <w:pPr>
        <w:pStyle w:val="SingleTxtG"/>
        <w:rPr>
          <w:lang w:val="fr-FR"/>
        </w:rPr>
      </w:pPr>
      <w:r>
        <w:rPr>
          <w:lang w:val="fr-FR"/>
        </w:rPr>
        <w:t>44.</w:t>
      </w:r>
      <w:r>
        <w:rPr>
          <w:lang w:val="fr-FR"/>
        </w:rPr>
        <w:tab/>
        <w:t>Le processus sur la réforme concernant la situation des enfants en conflit avec la loi est en cours. Les autres mesures législatives complémentaires sont consultables à l’annexe II.</w:t>
      </w:r>
    </w:p>
    <w:p w:rsidR="00000000" w:rsidRDefault="00000000">
      <w:pPr>
        <w:pStyle w:val="H1G"/>
        <w:rPr>
          <w:lang w:val="fr-FR"/>
        </w:rPr>
      </w:pPr>
      <w:bookmarkStart w:id="127" w:name="_Toc206414483"/>
      <w:bookmarkStart w:id="128" w:name="_Toc206460325"/>
      <w:bookmarkStart w:id="129" w:name="_Toc206460657"/>
      <w:bookmarkStart w:id="130" w:name="_Toc206461379"/>
      <w:bookmarkStart w:id="131" w:name="_Toc206476173"/>
      <w:bookmarkStart w:id="132" w:name="_Toc207788708"/>
      <w:bookmarkStart w:id="133" w:name="_Toc211835379"/>
      <w:bookmarkStart w:id="134" w:name="_Toc211926686"/>
      <w:r>
        <w:rPr>
          <w:lang w:val="fr-FR"/>
        </w:rPr>
        <w:tab/>
      </w:r>
      <w:bookmarkStart w:id="135" w:name="_Toc260298211"/>
      <w:r>
        <w:rPr>
          <w:lang w:val="fr-FR"/>
        </w:rPr>
        <w:t>B.</w:t>
      </w:r>
      <w:r>
        <w:rPr>
          <w:lang w:val="fr-FR"/>
        </w:rPr>
        <w:tab/>
        <w:t>La coordination et le suivi de l’application de la Convention</w:t>
      </w:r>
      <w:bookmarkEnd w:id="127"/>
      <w:bookmarkEnd w:id="128"/>
      <w:bookmarkEnd w:id="129"/>
      <w:bookmarkEnd w:id="130"/>
      <w:bookmarkEnd w:id="131"/>
      <w:bookmarkEnd w:id="132"/>
      <w:bookmarkEnd w:id="133"/>
      <w:bookmarkEnd w:id="134"/>
      <w:bookmarkEnd w:id="135"/>
    </w:p>
    <w:p w:rsidR="00000000" w:rsidRDefault="00000000">
      <w:pPr>
        <w:pStyle w:val="SingleTxtG"/>
        <w:rPr>
          <w:lang w:val="fr-FR"/>
        </w:rPr>
      </w:pPr>
      <w:r>
        <w:rPr>
          <w:lang w:val="fr-FR"/>
        </w:rPr>
        <w:t>45.</w:t>
      </w:r>
      <w:r>
        <w:rPr>
          <w:lang w:val="fr-FR"/>
        </w:rPr>
        <w:tab/>
        <w:t>En cohérence avec les objectifs fondamentaux définis par les documents stratégiques de réduction de la pauvreté figurant dans le DSRP et repris par le MAP, la mise en œuvre de la Convention a connu certains progrès malgré les difficultés rencontrées pour la mise en place d’un plan d’action global et d’un mécanisme de coordination de la politique de l’enfance.</w:t>
      </w:r>
    </w:p>
    <w:p w:rsidR="00000000" w:rsidRDefault="00000000">
      <w:pPr>
        <w:pStyle w:val="SingleTxtG"/>
        <w:rPr>
          <w:lang w:val="fr-FR"/>
        </w:rPr>
      </w:pPr>
      <w:r>
        <w:rPr>
          <w:lang w:val="fr-FR"/>
        </w:rPr>
        <w:t>46.</w:t>
      </w:r>
      <w:r>
        <w:rPr>
          <w:lang w:val="fr-FR"/>
        </w:rPr>
        <w:tab/>
        <w:t xml:space="preserve">Néanmoins il existe des mécanismes de coordination de politiques thématiques et/ou sectorielles. Citons la mise en place de: </w:t>
      </w:r>
    </w:p>
    <w:p w:rsidR="00000000" w:rsidRDefault="00000000">
      <w:pPr>
        <w:pStyle w:val="Bullet1G"/>
        <w:rPr>
          <w:lang w:val="fr-FR"/>
        </w:rPr>
      </w:pPr>
      <w:r>
        <w:rPr>
          <w:lang w:val="fr-FR"/>
        </w:rPr>
        <w:t>La Commission nationale de lutte contre le travail des enfants (CNLTE), un organe intersectoriel chargé de veiller à la mise en œuvre du Plan national de lutte contre le travail des enfants. La fonction publique et le Ministère de l’éducation ont bénéficié d’un appui financier de l’Union européenne, d’un montant de 1 million d’euros, pour mener des programmes communs de lutte contre le travail des enfants, en priorisant l’éducation;</w:t>
      </w:r>
    </w:p>
    <w:p w:rsidR="00000000" w:rsidRDefault="00000000">
      <w:pPr>
        <w:pStyle w:val="Bullet1G"/>
        <w:rPr>
          <w:lang w:val="fr-FR"/>
        </w:rPr>
      </w:pPr>
      <w:r>
        <w:rPr>
          <w:lang w:val="fr-FR"/>
        </w:rPr>
        <w:t>Un comité intersectoriel créé en 2004 pour élaborer la Stratégie nationale de protection sociale;</w:t>
      </w:r>
    </w:p>
    <w:p w:rsidR="00000000" w:rsidRDefault="00000000">
      <w:pPr>
        <w:pStyle w:val="Bullet1G"/>
        <w:rPr>
          <w:lang w:val="fr-FR"/>
        </w:rPr>
      </w:pPr>
      <w:r>
        <w:rPr>
          <w:lang w:val="fr-FR"/>
        </w:rPr>
        <w:t>Un programme conjoint Gouvernement/UNICEF dénommé «Gouvernance pour les droits de l’enfant» assurant depuis 2004 la coordination, le suivi et l’évaluation des activités entreprises en matière de protection de l’enfant;</w:t>
      </w:r>
    </w:p>
    <w:p w:rsidR="00000000" w:rsidRDefault="00000000">
      <w:pPr>
        <w:pStyle w:val="Bullet1G"/>
        <w:rPr>
          <w:lang w:val="fr-FR"/>
        </w:rPr>
      </w:pPr>
      <w:r>
        <w:rPr>
          <w:lang w:val="fr-FR"/>
        </w:rPr>
        <w:t>Un plan national de lutte contre la violence à l’égard de l’enfant, initié par le Ministère de la justice et ayant associé les autres organismes publics et privés concernés par les droits de l’enfant.</w:t>
      </w:r>
    </w:p>
    <w:p w:rsidR="00000000" w:rsidRDefault="00000000">
      <w:pPr>
        <w:pStyle w:val="SingleTxtG"/>
        <w:rPr>
          <w:lang w:val="fr-FR"/>
        </w:rPr>
      </w:pPr>
      <w:r>
        <w:rPr>
          <w:lang w:val="fr-FR"/>
        </w:rPr>
        <w:t>47.</w:t>
      </w:r>
      <w:r>
        <w:rPr>
          <w:lang w:val="fr-FR"/>
        </w:rPr>
        <w:tab/>
        <w:t xml:space="preserve">Par ailleurs l’adoption de la nouvelle loi </w:t>
      </w:r>
      <w:r>
        <w:rPr>
          <w:rFonts w:eastAsia="MS Mincho"/>
          <w:lang w:val="fr-FR"/>
        </w:rPr>
        <w:t>n</w:t>
      </w:r>
      <w:r>
        <w:rPr>
          <w:rFonts w:eastAsia="MS Mincho"/>
          <w:vertAlign w:val="superscript"/>
          <w:lang w:val="fr-FR"/>
        </w:rPr>
        <w:t>o</w:t>
      </w:r>
      <w:r>
        <w:rPr>
          <w:lang w:val="fr-FR"/>
        </w:rPr>
        <w:t xml:space="preserve"> 2008-012 portant institution du Conseil national des droits humains conformément aux Principes de Paris, constitue un mécanisme de recours habilité à recevoir et examiner des plaintes sur des cas de violation des droits humains incluant les droits de l’enfant.</w:t>
      </w:r>
    </w:p>
    <w:p w:rsidR="00000000" w:rsidRDefault="00000000">
      <w:pPr>
        <w:pStyle w:val="SingleTxtG"/>
        <w:rPr>
          <w:lang w:val="fr-FR"/>
        </w:rPr>
      </w:pPr>
      <w:r>
        <w:rPr>
          <w:lang w:val="fr-FR"/>
        </w:rPr>
        <w:t>48.</w:t>
      </w:r>
      <w:r>
        <w:rPr>
          <w:lang w:val="fr-FR"/>
        </w:rPr>
        <w:tab/>
        <w:t>Au niveau décentralisé, la coordination est assurée par des réseaux de protection pour les droits de l’enfant.</w:t>
      </w:r>
    </w:p>
    <w:p w:rsidR="00000000" w:rsidRDefault="00000000">
      <w:pPr>
        <w:pStyle w:val="SingleTxtG"/>
        <w:rPr>
          <w:lang w:val="fr-FR"/>
        </w:rPr>
      </w:pPr>
      <w:r>
        <w:rPr>
          <w:lang w:val="fr-FR"/>
        </w:rPr>
        <w:t>49.</w:t>
      </w:r>
      <w:r>
        <w:rPr>
          <w:lang w:val="fr-FR"/>
        </w:rPr>
        <w:tab/>
        <w:t xml:space="preserve">Au niveau sectoriel, des plans, stratégies et politiques ont été appliqués dans le domaine de l’état civil, de la santé et de la nutrition, de l’éducation, de la protection de l’enfant, dont: </w:t>
      </w:r>
    </w:p>
    <w:p w:rsidR="00000000" w:rsidRDefault="00000000">
      <w:pPr>
        <w:pStyle w:val="Bullet1G"/>
        <w:rPr>
          <w:lang w:val="fr-FR"/>
        </w:rPr>
      </w:pPr>
      <w:r>
        <w:rPr>
          <w:lang w:val="fr-FR"/>
        </w:rPr>
        <w:t>Programme nationale de réhabilitation de l’enregistrement des naissances EKA (2004);</w:t>
      </w:r>
    </w:p>
    <w:p w:rsidR="00000000" w:rsidRDefault="00000000">
      <w:pPr>
        <w:pStyle w:val="Bullet1G"/>
        <w:rPr>
          <w:lang w:val="fr-FR"/>
        </w:rPr>
      </w:pPr>
      <w:r>
        <w:rPr>
          <w:lang w:val="fr-FR"/>
        </w:rPr>
        <w:t>Politique nationale de la nutrition (2004);</w:t>
      </w:r>
    </w:p>
    <w:p w:rsidR="00000000" w:rsidRDefault="00000000">
      <w:pPr>
        <w:pStyle w:val="Bullet1G"/>
        <w:rPr>
          <w:lang w:val="fr-FR"/>
        </w:rPr>
      </w:pPr>
      <w:r>
        <w:rPr>
          <w:lang w:val="fr-FR"/>
        </w:rPr>
        <w:t>Plan d’action sur la nutrition 2005-2010;</w:t>
      </w:r>
    </w:p>
    <w:p w:rsidR="00000000" w:rsidRDefault="00000000">
      <w:pPr>
        <w:pStyle w:val="Bullet1G"/>
        <w:rPr>
          <w:lang w:val="fr-FR"/>
        </w:rPr>
      </w:pPr>
      <w:r>
        <w:rPr>
          <w:lang w:val="fr-FR"/>
        </w:rPr>
        <w:t>Politique nationale de la santé de l’enfant (2005);</w:t>
      </w:r>
    </w:p>
    <w:p w:rsidR="00000000" w:rsidRDefault="00000000">
      <w:pPr>
        <w:pStyle w:val="Bullet1G"/>
        <w:rPr>
          <w:lang w:val="fr-FR"/>
        </w:rPr>
      </w:pPr>
      <w:r>
        <w:rPr>
          <w:lang w:val="fr-FR"/>
        </w:rPr>
        <w:t>Feuille de route pour la maternité à moindre risque (2005);</w:t>
      </w:r>
    </w:p>
    <w:p w:rsidR="00000000" w:rsidRDefault="00000000">
      <w:pPr>
        <w:pStyle w:val="Bullet1G"/>
        <w:rPr>
          <w:lang w:val="fr-FR"/>
        </w:rPr>
      </w:pPr>
      <w:r>
        <w:rPr>
          <w:lang w:val="fr-FR"/>
        </w:rPr>
        <w:t>Programme élargi de vaccination – PEV 20072011;</w:t>
      </w:r>
    </w:p>
    <w:p w:rsidR="00000000" w:rsidRDefault="00000000">
      <w:pPr>
        <w:pStyle w:val="Bullet1G"/>
        <w:rPr>
          <w:lang w:val="fr-FR"/>
        </w:rPr>
      </w:pPr>
      <w:r>
        <w:rPr>
          <w:lang w:val="fr-FR"/>
        </w:rPr>
        <w:t>Politique nationale de la santé des adolescents (2000), en phase de révision;</w:t>
      </w:r>
    </w:p>
    <w:p w:rsidR="00000000" w:rsidRDefault="00000000">
      <w:pPr>
        <w:pStyle w:val="Bullet1G"/>
        <w:rPr>
          <w:lang w:val="fr-FR"/>
        </w:rPr>
      </w:pPr>
      <w:r>
        <w:rPr>
          <w:lang w:val="fr-FR"/>
        </w:rPr>
        <w:t>Feuille de route pour l’accès universel à la prévention et la prise en charge des IST/VIH /sida;</w:t>
      </w:r>
    </w:p>
    <w:p w:rsidR="00000000" w:rsidRDefault="00000000">
      <w:pPr>
        <w:pStyle w:val="Bullet1G"/>
        <w:rPr>
          <w:lang w:val="fr-FR"/>
        </w:rPr>
      </w:pPr>
      <w:r>
        <w:rPr>
          <w:lang w:val="fr-FR"/>
        </w:rPr>
        <w:t>Plan stratégique national pour combattre le VIH/sida 2007-2012;</w:t>
      </w:r>
    </w:p>
    <w:p w:rsidR="00000000" w:rsidRDefault="00000000">
      <w:pPr>
        <w:pStyle w:val="Bullet1G"/>
        <w:rPr>
          <w:lang w:val="fr-FR"/>
        </w:rPr>
      </w:pPr>
      <w:r>
        <w:rPr>
          <w:lang w:val="fr-FR"/>
        </w:rPr>
        <w:t>Plan Éducation pour tous (EPT), élaboré en 2003 et actualisé en 2006;</w:t>
      </w:r>
    </w:p>
    <w:p w:rsidR="00000000" w:rsidRDefault="00000000">
      <w:pPr>
        <w:pStyle w:val="Bullet1G"/>
        <w:rPr>
          <w:lang w:val="fr-FR"/>
        </w:rPr>
      </w:pPr>
      <w:r>
        <w:rPr>
          <w:lang w:val="fr-FR"/>
        </w:rPr>
        <w:t>Politique nationale d’éducation;</w:t>
      </w:r>
    </w:p>
    <w:p w:rsidR="00000000" w:rsidRDefault="00000000">
      <w:pPr>
        <w:pStyle w:val="Bullet1G"/>
        <w:rPr>
          <w:lang w:val="fr-FR"/>
        </w:rPr>
      </w:pPr>
      <w:r>
        <w:rPr>
          <w:lang w:val="fr-FR"/>
        </w:rPr>
        <w:t>Politique nationale de la petite enfance;</w:t>
      </w:r>
    </w:p>
    <w:p w:rsidR="00000000" w:rsidRDefault="00000000">
      <w:pPr>
        <w:pStyle w:val="Bullet1G"/>
        <w:rPr>
          <w:lang w:val="fr-FR"/>
        </w:rPr>
      </w:pPr>
      <w:r>
        <w:rPr>
          <w:lang w:val="fr-FR"/>
        </w:rPr>
        <w:t>Plan national de lutte contre le travail des enfants (2004);</w:t>
      </w:r>
    </w:p>
    <w:p w:rsidR="00000000" w:rsidRDefault="00000000">
      <w:pPr>
        <w:pStyle w:val="Bullet1G"/>
        <w:rPr>
          <w:lang w:val="fr-FR"/>
        </w:rPr>
      </w:pPr>
      <w:r>
        <w:rPr>
          <w:lang w:val="fr-FR"/>
        </w:rPr>
        <w:t>Plan national de lutte contre la violence à l’égard des enfants (2007);</w:t>
      </w:r>
    </w:p>
    <w:p w:rsidR="00000000" w:rsidRDefault="00000000">
      <w:pPr>
        <w:pStyle w:val="Bullet1G"/>
        <w:rPr>
          <w:lang w:val="fr-FR"/>
        </w:rPr>
      </w:pPr>
      <w:r>
        <w:rPr>
          <w:lang w:val="fr-FR"/>
        </w:rPr>
        <w:t>Plan national sur les orphelins et les enfants vulnérables;</w:t>
      </w:r>
    </w:p>
    <w:p w:rsidR="00000000" w:rsidRDefault="00000000">
      <w:pPr>
        <w:pStyle w:val="Bullet1G"/>
        <w:rPr>
          <w:lang w:val="fr-FR"/>
        </w:rPr>
      </w:pPr>
      <w:r>
        <w:rPr>
          <w:lang w:val="fr-FR"/>
        </w:rPr>
        <w:t>Politique nationale de la jeunesse (2004). S’inspire de la Charte africaine de la jeunesse, qui toutefois n’est pas ratifiée par Madagascar. Élaborée par des consultations au sein des ministères par une approche multisectorielle. En 2007 le Ministère de la jeunesse change son appellation en Ministère des sports, des loisirs et de la culture;</w:t>
      </w:r>
    </w:p>
    <w:p w:rsidR="00000000" w:rsidRDefault="00000000">
      <w:pPr>
        <w:pStyle w:val="Bullet1G"/>
        <w:rPr>
          <w:lang w:val="fr-FR"/>
        </w:rPr>
      </w:pPr>
      <w:r>
        <w:rPr>
          <w:lang w:val="fr-FR"/>
        </w:rPr>
        <w:t xml:space="preserve">Politique nationale de l’emploi (2003). Contient un chapitre sur la lutte contre le travail de l’enfant. </w:t>
      </w:r>
    </w:p>
    <w:p w:rsidR="00000000" w:rsidRDefault="00000000">
      <w:pPr>
        <w:pStyle w:val="SingleTxtG"/>
        <w:rPr>
          <w:lang w:val="fr-FR"/>
        </w:rPr>
      </w:pPr>
      <w:r>
        <w:rPr>
          <w:lang w:val="fr-FR"/>
        </w:rPr>
        <w:t>50.</w:t>
      </w:r>
      <w:r>
        <w:rPr>
          <w:lang w:val="fr-FR"/>
        </w:rPr>
        <w:tab/>
        <w:t>D’autres programmes complémentaires figurent à l’annexe III.</w:t>
      </w:r>
      <w:bookmarkStart w:id="136" w:name="_Toc206414484"/>
      <w:bookmarkStart w:id="137" w:name="_Toc206460326"/>
      <w:bookmarkStart w:id="138" w:name="_Toc206460658"/>
      <w:bookmarkStart w:id="139" w:name="_Toc206461380"/>
      <w:bookmarkStart w:id="140" w:name="_Toc206476174"/>
      <w:bookmarkStart w:id="141" w:name="_Toc207788709"/>
    </w:p>
    <w:p w:rsidR="00000000" w:rsidRDefault="00000000">
      <w:pPr>
        <w:pStyle w:val="H1G"/>
        <w:rPr>
          <w:lang w:val="fr-FR"/>
        </w:rPr>
      </w:pPr>
      <w:bookmarkStart w:id="142" w:name="_Toc211835380"/>
      <w:bookmarkStart w:id="143" w:name="_Toc211926687"/>
      <w:r>
        <w:rPr>
          <w:lang w:val="fr-FR"/>
        </w:rPr>
        <w:tab/>
      </w:r>
      <w:bookmarkStart w:id="144" w:name="_Toc260298212"/>
      <w:r>
        <w:rPr>
          <w:lang w:val="fr-FR"/>
        </w:rPr>
        <w:t>C.</w:t>
      </w:r>
      <w:r>
        <w:rPr>
          <w:lang w:val="fr-FR"/>
        </w:rPr>
        <w:tab/>
        <w:t>Les ministères impliqués dans l’application de la Convention</w:t>
      </w:r>
      <w:bookmarkEnd w:id="136"/>
      <w:bookmarkEnd w:id="137"/>
      <w:bookmarkEnd w:id="138"/>
      <w:bookmarkEnd w:id="139"/>
      <w:bookmarkEnd w:id="140"/>
      <w:bookmarkEnd w:id="141"/>
      <w:bookmarkEnd w:id="142"/>
      <w:bookmarkEnd w:id="143"/>
      <w:bookmarkEnd w:id="144"/>
    </w:p>
    <w:p w:rsidR="00000000" w:rsidRDefault="00000000">
      <w:pPr>
        <w:pStyle w:val="SingleTxtG"/>
        <w:rPr>
          <w:lang w:val="fr-FR"/>
        </w:rPr>
      </w:pPr>
      <w:r>
        <w:rPr>
          <w:lang w:val="fr-FR"/>
        </w:rPr>
        <w:t>51.</w:t>
      </w:r>
      <w:r>
        <w:rPr>
          <w:lang w:val="fr-FR"/>
        </w:rPr>
        <w:tab/>
        <w:t>Le Ministère des affaires étrangères est chargé des relations avec les institutions internationales œuvrant pour la promotion et protection des droits humains, du dépôt des instruments ratifiés auprès des instances internationales compétentes et des questions relatives à la situation des enfants réfugiés.</w:t>
      </w:r>
    </w:p>
    <w:p w:rsidR="00000000" w:rsidRDefault="00000000">
      <w:pPr>
        <w:pStyle w:val="SingleTxtG"/>
        <w:rPr>
          <w:lang w:val="fr-FR"/>
        </w:rPr>
      </w:pPr>
      <w:r>
        <w:rPr>
          <w:lang w:val="fr-FR"/>
        </w:rPr>
        <w:t>52.</w:t>
      </w:r>
      <w:r>
        <w:rPr>
          <w:lang w:val="fr-FR"/>
        </w:rPr>
        <w:tab/>
        <w:t xml:space="preserve">Au sein du Ministère de la justice, il a été créé par décret </w:t>
      </w:r>
      <w:r>
        <w:rPr>
          <w:rFonts w:eastAsia="MS Mincho"/>
          <w:lang w:val="fr-FR"/>
        </w:rPr>
        <w:t>n</w:t>
      </w:r>
      <w:r>
        <w:rPr>
          <w:rFonts w:eastAsia="MS Mincho"/>
          <w:vertAlign w:val="superscript"/>
          <w:lang w:val="fr-FR"/>
        </w:rPr>
        <w:t>o</w:t>
      </w:r>
      <w:r>
        <w:rPr>
          <w:lang w:val="fr-FR"/>
        </w:rPr>
        <w:t xml:space="preserve"> 2008-438 du 5 mai 2008, fixant les attributions du garde des sceaux, Ministre de la justice ainsi que l’organisation générale de son ministère, une direction des droits humains et des relations internationales, en charge entre autres de définir et de mettre en œuvre les politiques de promotion et de protection des droits humains. La Direction des études et des réformes coordonne les activités de la Commission de réforme du droit des enfants (CRDE). La Direction des affaires judiciaires et la Direction de l’administration pénitentiaire sont chargées des questions touchant les enfants en conflit avec la loi.</w:t>
      </w:r>
    </w:p>
    <w:p w:rsidR="00000000" w:rsidRDefault="00000000">
      <w:pPr>
        <w:pStyle w:val="SingleTxtG"/>
        <w:rPr>
          <w:lang w:val="fr-FR"/>
        </w:rPr>
      </w:pPr>
      <w:r>
        <w:rPr>
          <w:lang w:val="fr-FR"/>
        </w:rPr>
        <w:t>53.</w:t>
      </w:r>
      <w:r>
        <w:rPr>
          <w:lang w:val="fr-FR"/>
        </w:rPr>
        <w:tab/>
        <w:t>Le Secrétariat d’État chargé de la sécurité publique dispose d’un service central de la police de mœurs et de la protection des mineurs.</w:t>
      </w:r>
    </w:p>
    <w:p w:rsidR="00000000" w:rsidRDefault="00000000">
      <w:pPr>
        <w:pStyle w:val="SingleTxtG"/>
        <w:rPr>
          <w:lang w:val="fr-FR"/>
        </w:rPr>
      </w:pPr>
      <w:r>
        <w:rPr>
          <w:lang w:val="fr-FR"/>
        </w:rPr>
        <w:t>54.</w:t>
      </w:r>
      <w:r>
        <w:rPr>
          <w:lang w:val="fr-FR"/>
        </w:rPr>
        <w:tab/>
        <w:t>Le Ministère de l’éducation nationale et de la recherche scientifiques (MENRS) est chargé de:</w:t>
      </w:r>
    </w:p>
    <w:p w:rsidR="00000000" w:rsidRDefault="00000000">
      <w:pPr>
        <w:pStyle w:val="Bullet1G"/>
        <w:rPr>
          <w:lang w:val="fr-FR"/>
        </w:rPr>
      </w:pPr>
      <w:r>
        <w:rPr>
          <w:lang w:val="fr-FR"/>
        </w:rPr>
        <w:t>L’éducation préscolaire;</w:t>
      </w:r>
    </w:p>
    <w:p w:rsidR="00000000" w:rsidRDefault="00000000">
      <w:pPr>
        <w:pStyle w:val="Bullet1G"/>
        <w:rPr>
          <w:lang w:val="fr-FR"/>
        </w:rPr>
      </w:pPr>
      <w:r>
        <w:rPr>
          <w:lang w:val="fr-FR"/>
        </w:rPr>
        <w:t>L’éducation fondamentale;</w:t>
      </w:r>
    </w:p>
    <w:p w:rsidR="00000000" w:rsidRDefault="00000000">
      <w:pPr>
        <w:pStyle w:val="Bullet1G"/>
        <w:rPr>
          <w:lang w:val="fr-FR"/>
        </w:rPr>
      </w:pPr>
      <w:r>
        <w:rPr>
          <w:lang w:val="fr-FR"/>
        </w:rPr>
        <w:t>L’enseignement secondaire (général, technique et professionnel);</w:t>
      </w:r>
    </w:p>
    <w:p w:rsidR="00000000" w:rsidRDefault="00000000">
      <w:pPr>
        <w:pStyle w:val="Bullet1G"/>
        <w:rPr>
          <w:lang w:val="fr-FR"/>
        </w:rPr>
      </w:pPr>
      <w:r>
        <w:rPr>
          <w:lang w:val="fr-FR"/>
        </w:rPr>
        <w:t>L’alphabétisation.</w:t>
      </w:r>
    </w:p>
    <w:p w:rsidR="00000000" w:rsidRDefault="00000000">
      <w:pPr>
        <w:pStyle w:val="SingleTxtG"/>
        <w:rPr>
          <w:lang w:val="fr-FR"/>
        </w:rPr>
      </w:pPr>
      <w:r>
        <w:rPr>
          <w:lang w:val="fr-FR"/>
        </w:rPr>
        <w:t>55.</w:t>
      </w:r>
      <w:r>
        <w:rPr>
          <w:lang w:val="fr-FR"/>
        </w:rPr>
        <w:tab/>
        <w:t>Le Ministère de la fonction publique, du travail et des lois sociales (MFPTLS) contribue à la lutte contre le travail des enfants et coordonne la CNLTE. À cet effet, il dispose d’un service de promotion des droits fondamentaux au sein duquel opère la Division de prévention, abolition, contrôle du travail des enfants (PACTE)</w:t>
      </w:r>
    </w:p>
    <w:p w:rsidR="00000000" w:rsidRDefault="00000000">
      <w:pPr>
        <w:pStyle w:val="SingleTxtG"/>
        <w:rPr>
          <w:lang w:val="fr-FR"/>
        </w:rPr>
      </w:pPr>
      <w:r>
        <w:rPr>
          <w:lang w:val="fr-FR"/>
        </w:rPr>
        <w:t>56.</w:t>
      </w:r>
      <w:r>
        <w:rPr>
          <w:lang w:val="fr-FR"/>
        </w:rPr>
        <w:tab/>
        <w:t>Le Ministère de l’intérieur met en œuvre le Programme national «Ezaka Kopia ho an’i Ankizy» ou Programme national de réhabilitation de l’enregistrement des naissances.</w:t>
      </w:r>
    </w:p>
    <w:p w:rsidR="00000000" w:rsidRDefault="00000000">
      <w:pPr>
        <w:pStyle w:val="SingleTxtG"/>
        <w:rPr>
          <w:lang w:val="fr-FR"/>
        </w:rPr>
      </w:pPr>
      <w:r>
        <w:rPr>
          <w:lang w:val="fr-FR"/>
        </w:rPr>
        <w:t>57.</w:t>
      </w:r>
      <w:r>
        <w:rPr>
          <w:lang w:val="fr-FR"/>
        </w:rPr>
        <w:tab/>
        <w:t>Le Ministère de la santé, du planning familial et de la protection sociale (MSPFPS) intervient dans la vaccination, nutrition, santé scolaire, survie de l’enfant, maternité sans risque, lutte contre le paludisme.</w:t>
      </w:r>
    </w:p>
    <w:p w:rsidR="00000000" w:rsidRDefault="00000000">
      <w:pPr>
        <w:pStyle w:val="SingleTxtG"/>
        <w:rPr>
          <w:lang w:val="fr-FR"/>
        </w:rPr>
      </w:pPr>
      <w:r>
        <w:rPr>
          <w:lang w:val="fr-FR"/>
        </w:rPr>
        <w:t>58.</w:t>
      </w:r>
      <w:r>
        <w:rPr>
          <w:lang w:val="fr-FR"/>
        </w:rPr>
        <w:tab/>
        <w:t>En même temps, il s’occupe des questions relatives à la famille et à l’enfant par le biais de la Direction de protection de la famille et de l’enfant (DPFE) rattachée à la Direction générale de la protection sociale (DGPS) du MSPFPS.</w:t>
      </w:r>
    </w:p>
    <w:p w:rsidR="00000000" w:rsidRDefault="00000000">
      <w:pPr>
        <w:pStyle w:val="SingleTxtG"/>
        <w:keepLines/>
        <w:rPr>
          <w:lang w:val="fr-FR"/>
        </w:rPr>
      </w:pPr>
      <w:r>
        <w:rPr>
          <w:lang w:val="fr-FR"/>
        </w:rPr>
        <w:t>59.</w:t>
      </w:r>
      <w:r>
        <w:rPr>
          <w:lang w:val="fr-FR"/>
        </w:rPr>
        <w:tab/>
        <w:t>Le programme de prévention contre le VIH/sida, conduit par le Secrétariat national de lutte contre le sida (SE/CNLS), rattaché à la Présidence de la République, accorde une priorité à la prévention de la transmission du virus du Sida de la mère à l’enfant et à la prise en charge des malades.</w:t>
      </w:r>
    </w:p>
    <w:p w:rsidR="00000000" w:rsidRDefault="00000000">
      <w:pPr>
        <w:pStyle w:val="SingleTxtG"/>
        <w:rPr>
          <w:lang w:val="fr-FR"/>
        </w:rPr>
      </w:pPr>
      <w:r>
        <w:rPr>
          <w:lang w:val="fr-FR"/>
        </w:rPr>
        <w:t>60.</w:t>
      </w:r>
      <w:r>
        <w:rPr>
          <w:lang w:val="fr-FR"/>
        </w:rPr>
        <w:tab/>
        <w:t>Le Ministère des sports, loisirs et activités culturelles conduit la politique nationale de la jeunesse.</w:t>
      </w:r>
    </w:p>
    <w:p w:rsidR="00000000" w:rsidRDefault="00000000">
      <w:pPr>
        <w:pStyle w:val="SingleTxtG"/>
        <w:rPr>
          <w:lang w:val="fr-FR"/>
        </w:rPr>
      </w:pPr>
      <w:r>
        <w:rPr>
          <w:lang w:val="fr-FR"/>
        </w:rPr>
        <w:t>61.</w:t>
      </w:r>
      <w:r>
        <w:rPr>
          <w:lang w:val="fr-FR"/>
        </w:rPr>
        <w:tab/>
        <w:t>Le Ministère de l’environnement, des eaux et forêts et du tourisme est associé à la lutte contre le tourisme sexuel.</w:t>
      </w:r>
    </w:p>
    <w:p w:rsidR="00000000" w:rsidRDefault="00000000">
      <w:pPr>
        <w:pStyle w:val="SingleTxtG"/>
        <w:rPr>
          <w:lang w:val="fr-FR"/>
        </w:rPr>
      </w:pPr>
      <w:r>
        <w:rPr>
          <w:lang w:val="fr-FR"/>
        </w:rPr>
        <w:t>62.</w:t>
      </w:r>
      <w:r>
        <w:rPr>
          <w:lang w:val="fr-FR"/>
        </w:rPr>
        <w:tab/>
        <w:t>Le Ministère des télécommunications, des postes et de la communication, à travers les médias audio-visuels déploie tant au niveau national que régional des programmes et émissions en faveur de la promotion des enfants.</w:t>
      </w:r>
    </w:p>
    <w:p w:rsidR="00000000" w:rsidRDefault="00000000">
      <w:pPr>
        <w:pStyle w:val="H1G"/>
        <w:rPr>
          <w:lang w:val="fr-FR"/>
        </w:rPr>
      </w:pPr>
      <w:bookmarkStart w:id="145" w:name="_Toc206414485"/>
      <w:bookmarkStart w:id="146" w:name="_Toc206460327"/>
      <w:bookmarkStart w:id="147" w:name="_Toc206460659"/>
      <w:bookmarkStart w:id="148" w:name="_Toc206461381"/>
      <w:bookmarkStart w:id="149" w:name="_Toc206476175"/>
      <w:bookmarkStart w:id="150" w:name="_Toc207788710"/>
      <w:bookmarkStart w:id="151" w:name="_Toc211835381"/>
      <w:bookmarkStart w:id="152" w:name="_Toc211926688"/>
      <w:r>
        <w:rPr>
          <w:lang w:val="fr-FR"/>
        </w:rPr>
        <w:tab/>
      </w:r>
      <w:bookmarkStart w:id="153" w:name="_Toc260298213"/>
      <w:r>
        <w:rPr>
          <w:lang w:val="fr-FR"/>
        </w:rPr>
        <w:t>D.</w:t>
      </w:r>
      <w:r>
        <w:rPr>
          <w:lang w:val="fr-FR"/>
        </w:rPr>
        <w:tab/>
        <w:t>Mécanismes de suivi et évaluation de la mise en œuvre de la Convention</w:t>
      </w:r>
      <w:bookmarkEnd w:id="145"/>
      <w:bookmarkEnd w:id="146"/>
      <w:bookmarkEnd w:id="147"/>
      <w:bookmarkEnd w:id="148"/>
      <w:bookmarkEnd w:id="149"/>
      <w:bookmarkEnd w:id="150"/>
      <w:bookmarkEnd w:id="151"/>
      <w:bookmarkEnd w:id="152"/>
      <w:bookmarkEnd w:id="153"/>
    </w:p>
    <w:p w:rsidR="00000000" w:rsidRDefault="00000000">
      <w:pPr>
        <w:pStyle w:val="H23G"/>
        <w:rPr>
          <w:lang w:val="fr-FR"/>
        </w:rPr>
      </w:pPr>
      <w:r>
        <w:rPr>
          <w:lang w:val="fr-FR"/>
        </w:rPr>
        <w:tab/>
        <w:t>1.</w:t>
      </w:r>
      <w:r>
        <w:rPr>
          <w:lang w:val="fr-FR"/>
        </w:rPr>
        <w:tab/>
        <w:t>Le Conseil national des droits humains</w:t>
      </w:r>
    </w:p>
    <w:p w:rsidR="00000000" w:rsidRDefault="00000000">
      <w:pPr>
        <w:pStyle w:val="SingleTxtG"/>
        <w:rPr>
          <w:i/>
          <w:iCs/>
          <w:lang w:val="fr-FR"/>
        </w:rPr>
      </w:pPr>
      <w:r>
        <w:rPr>
          <w:lang w:val="fr-FR"/>
        </w:rPr>
        <w:t>63.</w:t>
      </w:r>
      <w:r>
        <w:rPr>
          <w:lang w:val="fr-FR"/>
        </w:rPr>
        <w:tab/>
      </w:r>
      <w:r>
        <w:rPr>
          <w:iCs/>
          <w:lang w:val="fr-FR"/>
        </w:rPr>
        <w:t>En 2008, le Parlement adopté la loi instituant la Conseil national des droits humains. Ce Conseil constitue un mécanisme en charge entre autres de suivre l’application de la Convention et de proposer le cas échéant la révision de la législation nationale pour être compatible avec la Convention.</w:t>
      </w:r>
    </w:p>
    <w:p w:rsidR="00000000" w:rsidRDefault="00000000">
      <w:pPr>
        <w:pStyle w:val="SingleTxtG"/>
        <w:rPr>
          <w:i/>
          <w:iCs/>
          <w:lang w:val="fr-FR"/>
        </w:rPr>
      </w:pPr>
      <w:r>
        <w:rPr>
          <w:lang w:val="fr-FR"/>
        </w:rPr>
        <w:t>64.</w:t>
      </w:r>
      <w:r>
        <w:rPr>
          <w:lang w:val="fr-FR"/>
        </w:rPr>
        <w:tab/>
      </w:r>
      <w:r>
        <w:rPr>
          <w:iCs/>
          <w:lang w:val="fr-FR"/>
        </w:rPr>
        <w:t>Le système national intégré au sein du SNISE peut également apporter sa contribution dans le suivi de la réalisation de la Convention.</w:t>
      </w:r>
    </w:p>
    <w:p w:rsidR="00000000" w:rsidRDefault="00000000">
      <w:pPr>
        <w:pStyle w:val="H4G"/>
        <w:rPr>
          <w:lang w:val="fr-FR"/>
        </w:rPr>
      </w:pPr>
      <w:r>
        <w:rPr>
          <w:lang w:val="fr-FR"/>
        </w:rPr>
        <w:tab/>
      </w:r>
      <w:r>
        <w:rPr>
          <w:lang w:val="fr-FR"/>
        </w:rPr>
        <w:tab/>
        <w:t>Le SNISE ou Système national intégré de suivi et évaluation du MAP</w:t>
      </w:r>
    </w:p>
    <w:p w:rsidR="00000000" w:rsidRDefault="00000000">
      <w:pPr>
        <w:pStyle w:val="SingleTxtG"/>
        <w:rPr>
          <w:lang w:val="fr-FR"/>
        </w:rPr>
      </w:pPr>
      <w:r>
        <w:rPr>
          <w:lang w:val="fr-FR"/>
        </w:rPr>
        <w:t>65.</w:t>
      </w:r>
      <w:r>
        <w:rPr>
          <w:lang w:val="fr-FR"/>
        </w:rPr>
        <w:tab/>
      </w:r>
      <w:r>
        <w:rPr>
          <w:iCs/>
          <w:lang w:val="fr-FR"/>
        </w:rPr>
        <w:t>Le</w:t>
      </w:r>
      <w:r>
        <w:rPr>
          <w:lang w:val="fr-FR"/>
        </w:rPr>
        <w:t xml:space="preserve"> Système national intégré de suivi du MAP (SNISE) constitue le principal </w:t>
      </w:r>
      <w:r>
        <w:rPr>
          <w:iCs/>
          <w:lang w:val="fr-FR"/>
        </w:rPr>
        <w:t>appareil</w:t>
      </w:r>
      <w:r>
        <w:rPr>
          <w:lang w:val="fr-FR"/>
        </w:rPr>
        <w:t xml:space="preserve"> de suivi évaluation de la réalisation de la Convention relative aux droits de l’enfant. Sa mise en place s’appuie sur la nouvelle Stratégie nationale de développement de la statistique (2007).</w:t>
      </w:r>
    </w:p>
    <w:p w:rsidR="00000000" w:rsidRDefault="00000000">
      <w:pPr>
        <w:pStyle w:val="SingleTxtG"/>
        <w:rPr>
          <w:lang w:val="fr-FR"/>
        </w:rPr>
      </w:pPr>
      <w:r>
        <w:rPr>
          <w:lang w:val="fr-FR"/>
        </w:rPr>
        <w:t>66.</w:t>
      </w:r>
      <w:r>
        <w:rPr>
          <w:lang w:val="fr-FR"/>
        </w:rPr>
        <w:tab/>
        <w:t>Le noyau dur du SNISE est constitué par 69 indicateurs prioritaires sur un ensemble plus ample de 470, dont les données seront obtenues majoritairement à partir sources administratives et d’enquêtes La plus grande partie des indicateurs sont annuels. Ceux intéressant la population infanto-juvénile, concernent la santé et l’éducation.</w:t>
      </w:r>
    </w:p>
    <w:p w:rsidR="00000000" w:rsidRDefault="00000000">
      <w:pPr>
        <w:pStyle w:val="H23G"/>
        <w:rPr>
          <w:lang w:val="fr-FR"/>
        </w:rPr>
      </w:pPr>
      <w:r>
        <w:rPr>
          <w:lang w:val="fr-FR"/>
        </w:rPr>
        <w:tab/>
        <w:t>2.</w:t>
      </w:r>
      <w:r>
        <w:rPr>
          <w:lang w:val="fr-FR"/>
        </w:rPr>
        <w:tab/>
        <w:t>L’oderoi</w:t>
      </w:r>
    </w:p>
    <w:p w:rsidR="00000000" w:rsidRDefault="00000000">
      <w:pPr>
        <w:pStyle w:val="SingleTxtG"/>
        <w:rPr>
          <w:lang w:val="fr-FR"/>
        </w:rPr>
      </w:pPr>
      <w:r>
        <w:rPr>
          <w:lang w:val="fr-FR"/>
        </w:rPr>
        <w:t>67.</w:t>
      </w:r>
      <w:r>
        <w:rPr>
          <w:lang w:val="fr-FR"/>
        </w:rPr>
        <w:tab/>
        <w:t>Le réseau Observatoire des droits de l’enfant de la région de l’océan Indien- ODEROI - a pour mission le développement d’outils de suivi systématique des droits de l’enfant à Madagascar, Maurice, Seychelles, Comores et la Réunion, membres de la Commission de l’océan Indien – COI −, et qui sont bénéficiaires de l’appui de l’UNICEF.</w:t>
      </w:r>
    </w:p>
    <w:p w:rsidR="00000000" w:rsidRDefault="00000000">
      <w:pPr>
        <w:pStyle w:val="SingleTxtG"/>
        <w:rPr>
          <w:lang w:val="fr-FR"/>
        </w:rPr>
      </w:pPr>
      <w:r>
        <w:rPr>
          <w:lang w:val="fr-FR"/>
        </w:rPr>
        <w:t>68.</w:t>
      </w:r>
      <w:r>
        <w:rPr>
          <w:lang w:val="fr-FR"/>
        </w:rPr>
        <w:tab/>
        <w:t>L’ODEROI s’appuie sur une base de données régionale sur le développement de l’enfant, des analyses sociales et statistiques au niveau de chaque pays et au niveau de la région afin d’établir des tendances et des comparaisons, la publication de rapports périodiques</w:t>
      </w:r>
      <w:r>
        <w:rPr>
          <w:rStyle w:val="FootnoteReference"/>
        </w:rPr>
        <w:footnoteReference w:id="6"/>
      </w:r>
      <w:r>
        <w:rPr>
          <w:lang w:val="fr-FR"/>
        </w:rPr>
        <w:t>, la promotion de débats publics et la promulgation de recommandations pour des actions par les obligataires des droits de l’enfant.</w:t>
      </w:r>
    </w:p>
    <w:p w:rsidR="00000000" w:rsidRDefault="00000000">
      <w:pPr>
        <w:pStyle w:val="H23G"/>
        <w:rPr>
          <w:lang w:val="fr-FR"/>
        </w:rPr>
      </w:pPr>
      <w:r>
        <w:rPr>
          <w:lang w:val="fr-FR"/>
        </w:rPr>
        <w:tab/>
        <w:t>3.</w:t>
      </w:r>
      <w:r>
        <w:rPr>
          <w:lang w:val="fr-FR"/>
        </w:rPr>
        <w:tab/>
        <w:t>Analyse de la situation de l’enfant</w:t>
      </w:r>
    </w:p>
    <w:p w:rsidR="00000000" w:rsidRDefault="00000000">
      <w:pPr>
        <w:pStyle w:val="SingleTxtG"/>
        <w:rPr>
          <w:lang w:val="fr-FR"/>
        </w:rPr>
      </w:pPr>
      <w:r>
        <w:rPr>
          <w:lang w:val="fr-FR"/>
        </w:rPr>
        <w:t>69.</w:t>
      </w:r>
      <w:r>
        <w:rPr>
          <w:lang w:val="fr-FR"/>
        </w:rPr>
        <w:tab/>
        <w:t>Suite à l’analyse de la situation réalisée en 2000, le gouvernement a fait procéder à une étude comportant une synthèse des données statistiques, des politiques nationales, des lois, et des recherches sur la question des droits des enfants, avec l’appui de l’UNICEF. Le Comité inter-institutionnel présidé par le Directeur général du Ministère du Plan a été redynamisé pour assurer la coordination et le suivi de la mise en œuvre du programme de coopération avec l’UNICEF.</w:t>
      </w:r>
    </w:p>
    <w:p w:rsidR="00000000" w:rsidRDefault="00000000">
      <w:pPr>
        <w:pStyle w:val="H1G"/>
        <w:rPr>
          <w:lang w:val="fr-FR"/>
        </w:rPr>
      </w:pPr>
      <w:bookmarkStart w:id="154" w:name="_Toc206414486"/>
      <w:bookmarkStart w:id="155" w:name="_Toc206460328"/>
      <w:bookmarkStart w:id="156" w:name="_Toc206460660"/>
      <w:bookmarkStart w:id="157" w:name="_Toc206461382"/>
      <w:bookmarkStart w:id="158" w:name="_Toc206476176"/>
      <w:bookmarkStart w:id="159" w:name="_Toc207788711"/>
      <w:bookmarkStart w:id="160" w:name="_Toc211835382"/>
      <w:bookmarkStart w:id="161" w:name="_Toc211926689"/>
      <w:r>
        <w:rPr>
          <w:lang w:val="fr-FR"/>
        </w:rPr>
        <w:tab/>
      </w:r>
      <w:bookmarkStart w:id="162" w:name="_Toc260298214"/>
      <w:r>
        <w:rPr>
          <w:lang w:val="fr-FR"/>
        </w:rPr>
        <w:t>E.</w:t>
      </w:r>
      <w:r>
        <w:rPr>
          <w:lang w:val="fr-FR"/>
        </w:rPr>
        <w:tab/>
        <w:t>Mécanismes de collecte des données</w:t>
      </w:r>
      <w:bookmarkEnd w:id="154"/>
      <w:bookmarkEnd w:id="155"/>
      <w:bookmarkEnd w:id="156"/>
      <w:bookmarkEnd w:id="157"/>
      <w:bookmarkEnd w:id="158"/>
      <w:bookmarkEnd w:id="159"/>
      <w:bookmarkEnd w:id="160"/>
      <w:bookmarkEnd w:id="161"/>
      <w:bookmarkEnd w:id="162"/>
    </w:p>
    <w:p w:rsidR="00000000" w:rsidRDefault="00000000">
      <w:pPr>
        <w:pStyle w:val="SingleTxtG"/>
        <w:rPr>
          <w:lang w:val="fr-FR"/>
        </w:rPr>
      </w:pPr>
      <w:r>
        <w:rPr>
          <w:lang w:val="fr-FR"/>
        </w:rPr>
        <w:t>70.</w:t>
      </w:r>
      <w:r>
        <w:rPr>
          <w:lang w:val="fr-FR"/>
        </w:rPr>
        <w:tab/>
        <w:t>Le système statistique national a subi une réforme, passant notamment par la mise en œuvre de solutions appropriées aux problèmes d’inadéquation de la structure et d’insuffisance de ressources (humaines, matérielles, financières).</w:t>
      </w:r>
    </w:p>
    <w:p w:rsidR="00000000" w:rsidRDefault="00000000">
      <w:pPr>
        <w:pStyle w:val="SingleTxtG"/>
        <w:rPr>
          <w:lang w:val="fr-FR"/>
        </w:rPr>
      </w:pPr>
      <w:r>
        <w:rPr>
          <w:lang w:val="fr-FR"/>
        </w:rPr>
        <w:t>71.</w:t>
      </w:r>
      <w:r>
        <w:rPr>
          <w:lang w:val="fr-FR"/>
        </w:rPr>
        <w:tab/>
        <w:t>La Stratégie nationale de développement de la statistique (SNDS) vise à ériger un Système statistique national (SSN) performant, capable de répondre aux besoins des différents utilisateurs impliqués dans la gestion publique.</w:t>
      </w:r>
    </w:p>
    <w:p w:rsidR="00000000" w:rsidRDefault="00000000">
      <w:pPr>
        <w:pStyle w:val="SingleTxtG"/>
        <w:rPr>
          <w:lang w:val="fr-FR"/>
        </w:rPr>
      </w:pPr>
      <w:r>
        <w:rPr>
          <w:lang w:val="fr-FR"/>
        </w:rPr>
        <w:t>72.</w:t>
      </w:r>
      <w:r>
        <w:rPr>
          <w:lang w:val="fr-FR"/>
        </w:rPr>
        <w:tab/>
        <w:t>Ces réformes vont permettre une amélioration nette des enquêtes nationales organisées et exécutées par l’INSTAT et cofinancées par les partenaires techniques et financiers.</w:t>
      </w:r>
    </w:p>
    <w:p w:rsidR="00000000" w:rsidRDefault="00000000">
      <w:pPr>
        <w:pStyle w:val="SingleTxtG"/>
        <w:rPr>
          <w:lang w:val="fr-FR"/>
        </w:rPr>
      </w:pPr>
      <w:r>
        <w:rPr>
          <w:lang w:val="fr-FR"/>
        </w:rPr>
        <w:t>73.</w:t>
      </w:r>
      <w:r>
        <w:rPr>
          <w:lang w:val="fr-FR"/>
        </w:rPr>
        <w:tab/>
        <w:t>Les enquêtes nationales conduites dans la période couverte par ce rapport sont:</w:t>
      </w:r>
    </w:p>
    <w:p w:rsidR="00000000" w:rsidRDefault="00000000">
      <w:pPr>
        <w:pStyle w:val="Bullet1G"/>
        <w:rPr>
          <w:lang w:val="fr-FR"/>
        </w:rPr>
      </w:pPr>
      <w:r>
        <w:rPr>
          <w:lang w:val="fr-FR"/>
        </w:rPr>
        <w:t>L’Enquête périodique auprès de ménages (EPM) 2003, 2005. L’EPM 2008 est en cours de réalisation;</w:t>
      </w:r>
    </w:p>
    <w:p w:rsidR="00000000" w:rsidRDefault="00000000">
      <w:pPr>
        <w:pStyle w:val="Bullet1G"/>
        <w:rPr>
          <w:lang w:val="fr-FR"/>
        </w:rPr>
      </w:pPr>
      <w:r>
        <w:rPr>
          <w:lang w:val="fr-FR"/>
        </w:rPr>
        <w:t>L’Enquête démographique et de santé (EDS III) 2003 - 2004 – troisième édition (les précédentes éditions sont EDS I 1992, EDS II 1997). Elle présente en ouverture les indicateurs du Sommet mondial pour les enfants;</w:t>
      </w:r>
    </w:p>
    <w:p w:rsidR="00000000" w:rsidRDefault="00000000">
      <w:pPr>
        <w:pStyle w:val="Bullet1G"/>
        <w:rPr>
          <w:lang w:val="fr-FR"/>
        </w:rPr>
      </w:pPr>
      <w:r>
        <w:rPr>
          <w:lang w:val="fr-FR"/>
        </w:rPr>
        <w:t>L’Enquête nationale sur le travail des enfants (ENTE). Conduite au cours de l’EPM 2008, ENTE est la première enquête d’envergure nationale sur le travail des enfants, y compris la traite. L’enquête est appuyée par le BIT/IPEC et l’UNICEF et utilise la méthodologie SINPOC mise au point par l’OIT.</w:t>
      </w:r>
    </w:p>
    <w:p w:rsidR="00000000" w:rsidRDefault="00000000">
      <w:pPr>
        <w:pStyle w:val="SingleTxtG"/>
        <w:rPr>
          <w:lang w:val="fr-FR"/>
        </w:rPr>
      </w:pPr>
      <w:r>
        <w:rPr>
          <w:lang w:val="fr-FR"/>
        </w:rPr>
        <w:t>74.</w:t>
      </w:r>
      <w:r>
        <w:rPr>
          <w:lang w:val="fr-FR"/>
        </w:rPr>
        <w:tab/>
        <w:t>Le gouvernement déploie aussi des efforts pour le renforcement des systèmes routiniers de collecte d’information (état civil, formations sanitaires, établissements scolaires, institutions judiciaires). Toutefois l’enregistrement, la circulation, la consolidation et l’exploitation des données sont encore à améliorer.</w:t>
      </w:r>
    </w:p>
    <w:p w:rsidR="00000000" w:rsidRDefault="00000000">
      <w:pPr>
        <w:pStyle w:val="SingleTxtG"/>
        <w:rPr>
          <w:lang w:val="fr-FR"/>
        </w:rPr>
      </w:pPr>
      <w:r>
        <w:rPr>
          <w:lang w:val="fr-FR"/>
        </w:rPr>
        <w:t>75.</w:t>
      </w:r>
      <w:r>
        <w:rPr>
          <w:lang w:val="fr-FR"/>
        </w:rPr>
        <w:tab/>
        <w:t>Un nombre important d’études, enquêtes et évaluation ont été conduites, en particulier en ce qui concerne les enfants dans des situations difficiles.</w:t>
      </w:r>
    </w:p>
    <w:p w:rsidR="00000000" w:rsidRDefault="00000000">
      <w:pPr>
        <w:pStyle w:val="H1G"/>
        <w:rPr>
          <w:lang w:val="fr-FR"/>
        </w:rPr>
      </w:pPr>
      <w:bookmarkStart w:id="163" w:name="_Toc206414487"/>
      <w:bookmarkStart w:id="164" w:name="_Toc206460329"/>
      <w:bookmarkStart w:id="165" w:name="_Toc206460661"/>
      <w:bookmarkStart w:id="166" w:name="_Toc206461383"/>
      <w:bookmarkStart w:id="167" w:name="_Toc206476177"/>
      <w:bookmarkStart w:id="168" w:name="_Toc207788712"/>
      <w:bookmarkStart w:id="169" w:name="_Toc211835383"/>
      <w:bookmarkStart w:id="170" w:name="_Toc211926690"/>
      <w:r>
        <w:rPr>
          <w:lang w:val="fr-FR"/>
        </w:rPr>
        <w:tab/>
      </w:r>
      <w:bookmarkStart w:id="171" w:name="_Toc260298215"/>
      <w:r>
        <w:rPr>
          <w:lang w:val="fr-FR"/>
        </w:rPr>
        <w:t>F.</w:t>
      </w:r>
      <w:r>
        <w:rPr>
          <w:lang w:val="fr-FR"/>
        </w:rPr>
        <w:tab/>
        <w:t>Participation des enfants et des jeunes</w:t>
      </w:r>
      <w:bookmarkEnd w:id="163"/>
      <w:bookmarkEnd w:id="164"/>
      <w:bookmarkEnd w:id="165"/>
      <w:bookmarkEnd w:id="166"/>
      <w:bookmarkEnd w:id="167"/>
      <w:bookmarkEnd w:id="168"/>
      <w:bookmarkEnd w:id="169"/>
      <w:bookmarkEnd w:id="170"/>
      <w:bookmarkEnd w:id="171"/>
    </w:p>
    <w:p w:rsidR="00000000" w:rsidRDefault="00000000">
      <w:pPr>
        <w:pStyle w:val="SingleTxtG"/>
        <w:rPr>
          <w:lang w:val="fr-FR"/>
        </w:rPr>
      </w:pPr>
      <w:r>
        <w:rPr>
          <w:lang w:val="fr-FR"/>
        </w:rPr>
        <w:t>76.</w:t>
      </w:r>
      <w:r>
        <w:rPr>
          <w:lang w:val="fr-FR"/>
        </w:rPr>
        <w:tab/>
        <w:t>Le Madagascar Action Plan accorde une priorité à la participation des jeunes:</w:t>
      </w:r>
    </w:p>
    <w:p w:rsidR="00000000" w:rsidRDefault="00000000">
      <w:pPr>
        <w:pStyle w:val="Bullet1G"/>
        <w:rPr>
          <w:lang w:val="fr-FR"/>
        </w:rPr>
      </w:pPr>
      <w:r>
        <w:rPr>
          <w:lang w:val="fr-FR"/>
        </w:rPr>
        <w:t>Au sein des associations, des organisations communautaires et à des activités sportives et culturelles;</w:t>
      </w:r>
    </w:p>
    <w:p w:rsidR="00000000" w:rsidRDefault="00000000">
      <w:pPr>
        <w:pStyle w:val="Bullet1G"/>
        <w:rPr>
          <w:lang w:val="fr-FR"/>
        </w:rPr>
      </w:pPr>
      <w:r>
        <w:rPr>
          <w:lang w:val="fr-FR"/>
        </w:rPr>
        <w:t>Dans les affaires qui les concernent au niveau des conseils municipaux des jeunes créés en 2006 à Mahajanga et Antsiranana.</w:t>
      </w:r>
    </w:p>
    <w:p w:rsidR="00000000" w:rsidRDefault="00000000">
      <w:pPr>
        <w:pStyle w:val="SingleTxtG"/>
        <w:rPr>
          <w:lang w:val="fr-FR"/>
        </w:rPr>
      </w:pPr>
      <w:r>
        <w:rPr>
          <w:lang w:val="fr-FR"/>
        </w:rPr>
        <w:t>77.</w:t>
      </w:r>
      <w:r>
        <w:rPr>
          <w:lang w:val="fr-FR"/>
        </w:rPr>
        <w:tab/>
        <w:t>La participation des enfants aux campagnes de sensibilisation et de promotion en faveur de la Convention se manifeste à travers leurs implications dans des:</w:t>
      </w:r>
    </w:p>
    <w:p w:rsidR="00000000" w:rsidRDefault="00000000">
      <w:pPr>
        <w:pStyle w:val="Bullet1G"/>
        <w:rPr>
          <w:lang w:val="fr-FR"/>
        </w:rPr>
      </w:pPr>
      <w:r>
        <w:rPr>
          <w:lang w:val="fr-FR"/>
        </w:rPr>
        <w:t>Manifestations culturelles et sportives ou/et sociosanitaires:</w:t>
      </w:r>
    </w:p>
    <w:p w:rsidR="00000000" w:rsidRDefault="00000000">
      <w:pPr>
        <w:pStyle w:val="Bullet2G"/>
        <w:rPr>
          <w:lang w:val="fr-FR"/>
        </w:rPr>
      </w:pPr>
      <w:r>
        <w:rPr>
          <w:lang w:val="fr-FR"/>
        </w:rPr>
        <w:t>De célébration du mois de l’enfance, de la journée mondiale de lutte contre le travail des enfants, de la Journée africaine de l’enfant, la Journée mondiale de la famille, la Journée mondiale des personnes handicapées;</w:t>
      </w:r>
    </w:p>
    <w:p w:rsidR="00000000" w:rsidRDefault="00000000">
      <w:pPr>
        <w:pStyle w:val="Bullet2G"/>
        <w:rPr>
          <w:lang w:val="fr-FR"/>
        </w:rPr>
      </w:pPr>
      <w:r>
        <w:rPr>
          <w:lang w:val="fr-FR"/>
        </w:rPr>
        <w:t xml:space="preserve">Activités liées à la lutte contre la violence à leur égard </w:t>
      </w:r>
    </w:p>
    <w:p w:rsidR="00000000" w:rsidRDefault="00000000">
      <w:pPr>
        <w:pStyle w:val="SingleTxtG"/>
        <w:rPr>
          <w:lang w:val="fr-FR"/>
        </w:rPr>
      </w:pPr>
      <w:r>
        <w:rPr>
          <w:lang w:val="fr-FR"/>
        </w:rPr>
        <w:t>78.</w:t>
      </w:r>
      <w:r>
        <w:rPr>
          <w:lang w:val="fr-FR"/>
        </w:rPr>
        <w:tab/>
        <w:t>Lors de la révision de l’ordonnance n° 62-038 du 19 septembre 1962 sur la protection de l’enfance, 30 enfants dont 20 venant des centres d’accueil ont participé à l’atelier de consultation des enfants organisé dans la capitale le 6 juillet 2004. Au cours de cet atelier, ces enfants ont pu se familiariser avec la Convention. Ils ont pu librement exprimer leur avis.</w:t>
      </w:r>
    </w:p>
    <w:p w:rsidR="00000000" w:rsidRDefault="00000000">
      <w:pPr>
        <w:pStyle w:val="SingleTxtG"/>
        <w:rPr>
          <w:lang w:val="fr-FR"/>
        </w:rPr>
      </w:pPr>
      <w:r>
        <w:rPr>
          <w:lang w:val="fr-FR"/>
        </w:rPr>
        <w:t>79.</w:t>
      </w:r>
      <w:r>
        <w:rPr>
          <w:lang w:val="fr-FR"/>
        </w:rPr>
        <w:tab/>
        <w:t>Depuis 2006, les enfants les plus méritants des écoles publiques sont primés par leur participation à des colonies de vacances, des voyages et des visites organisés…).</w:t>
      </w:r>
    </w:p>
    <w:p w:rsidR="00000000" w:rsidRDefault="00000000">
      <w:pPr>
        <w:pStyle w:val="SingleTxtG"/>
        <w:rPr>
          <w:lang w:val="fr-FR"/>
        </w:rPr>
      </w:pPr>
      <w:r>
        <w:rPr>
          <w:lang w:val="fr-FR"/>
        </w:rPr>
        <w:t>80.</w:t>
      </w:r>
      <w:r>
        <w:rPr>
          <w:lang w:val="fr-FR"/>
        </w:rPr>
        <w:tab/>
        <w:t>Des délégations d’enfants et jeunes malagasys ont pu participer à l’extérieur, à l’occasion de la Session spéciale sur les enfants en 2002 à New York, de l’African Development Forum d’Addis Abeba en novembre 2006 et lors de la rencontre annuelle du Conseil citoyen des jeunes de l’océan Indien (CCJOIODEROI), tenue à l’île de la Réunion en décembre 2006.</w:t>
      </w:r>
    </w:p>
    <w:p w:rsidR="00000000" w:rsidRDefault="00000000">
      <w:pPr>
        <w:pStyle w:val="SingleTxtG"/>
        <w:rPr>
          <w:lang w:val="fr-FR"/>
        </w:rPr>
      </w:pPr>
      <w:r>
        <w:rPr>
          <w:lang w:val="fr-FR"/>
        </w:rPr>
        <w:t>81.</w:t>
      </w:r>
      <w:r>
        <w:rPr>
          <w:lang w:val="fr-FR"/>
        </w:rPr>
        <w:tab/>
        <w:t>En 2007 le MTPC avec l’appui de l’UNICEF a initié la mise en place de clubs de jeunes reporters âgés de 13 à 18 ans pour animer, couvrir les nouvelles, engager les discussions, nourrir des réflexions autour des thématiques qui préoccupent les jeunes dans 45 stations de radios locales. À cet effet 150 jeunes issus des six régions ont été formés sur la CDE et sur les techniques de production d’émissions radiophoniques.</w:t>
      </w:r>
    </w:p>
    <w:p w:rsidR="00000000" w:rsidRDefault="00000000">
      <w:pPr>
        <w:pStyle w:val="H1G"/>
        <w:rPr>
          <w:lang w:val="fr-FR"/>
        </w:rPr>
      </w:pPr>
      <w:bookmarkStart w:id="172" w:name="_Toc206414488"/>
      <w:bookmarkStart w:id="173" w:name="_Toc206460330"/>
      <w:bookmarkStart w:id="174" w:name="_Toc206460662"/>
      <w:bookmarkStart w:id="175" w:name="_Toc206461384"/>
      <w:bookmarkStart w:id="176" w:name="_Toc206476178"/>
      <w:bookmarkStart w:id="177" w:name="_Toc207788713"/>
      <w:bookmarkStart w:id="178" w:name="_Toc211835384"/>
      <w:bookmarkStart w:id="179" w:name="_Toc211926691"/>
      <w:r>
        <w:rPr>
          <w:lang w:val="fr-FR"/>
        </w:rPr>
        <w:tab/>
      </w:r>
      <w:bookmarkStart w:id="180" w:name="_Toc260298216"/>
      <w:r>
        <w:rPr>
          <w:lang w:val="fr-FR"/>
        </w:rPr>
        <w:t>G.</w:t>
      </w:r>
      <w:r>
        <w:rPr>
          <w:lang w:val="fr-FR"/>
        </w:rPr>
        <w:tab/>
        <w:t>Allocations budgétaires en faveur des enfants</w:t>
      </w:r>
      <w:bookmarkEnd w:id="172"/>
      <w:bookmarkEnd w:id="173"/>
      <w:bookmarkEnd w:id="174"/>
      <w:bookmarkEnd w:id="175"/>
      <w:bookmarkEnd w:id="176"/>
      <w:bookmarkEnd w:id="177"/>
      <w:bookmarkEnd w:id="178"/>
      <w:bookmarkEnd w:id="179"/>
      <w:bookmarkEnd w:id="180"/>
    </w:p>
    <w:p w:rsidR="00000000" w:rsidRDefault="00000000">
      <w:pPr>
        <w:pStyle w:val="SingleTxtG"/>
        <w:rPr>
          <w:lang w:val="fr-FR"/>
        </w:rPr>
      </w:pPr>
      <w:r>
        <w:rPr>
          <w:lang w:val="fr-FR"/>
        </w:rPr>
        <w:t>82.</w:t>
      </w:r>
      <w:r>
        <w:rPr>
          <w:lang w:val="fr-FR"/>
        </w:rPr>
        <w:tab/>
        <w:t>Dans la période 2000-2005 le PIB réel a augmenté de près de 35 % ce qui a permis un accroissement du budget de l’État de près de 45 %. Au cours de la même période, la part du budget national exécuté, allouée aux dépenses sociales</w:t>
      </w:r>
      <w:r>
        <w:rPr>
          <w:rStyle w:val="FootnoteReference"/>
        </w:rPr>
        <w:footnoteReference w:id="7"/>
      </w:r>
      <w:r>
        <w:rPr>
          <w:lang w:val="fr-FR"/>
        </w:rPr>
        <w:t>, a connu une croissance: de 21 % en 2000 elle est passée à 30 % en 2005. Le secteur de l’éducation a pu bénéficier de cette augmentation.</w:t>
      </w:r>
    </w:p>
    <w:p w:rsidR="00000000" w:rsidRDefault="00000000">
      <w:pPr>
        <w:pStyle w:val="SingleTxtG"/>
        <w:spacing w:after="0"/>
      </w:pPr>
      <w:bookmarkStart w:id="181" w:name="_Toc260298217"/>
      <w:r>
        <w:t>Tableau 6</w:t>
      </w:r>
    </w:p>
    <w:p w:rsidR="00000000" w:rsidRDefault="00000000">
      <w:pPr>
        <w:pStyle w:val="SingleTxtG"/>
        <w:rPr>
          <w:b/>
        </w:rPr>
      </w:pPr>
      <w:r>
        <w:rPr>
          <w:b/>
        </w:rPr>
        <w:t>Parts du budget éducation dans les budgets annuels de l’État</w:t>
      </w:r>
      <w:bookmarkEnd w:id="181"/>
    </w:p>
    <w:tbl>
      <w:tblPr>
        <w:tblW w:w="7371" w:type="dxa"/>
        <w:tblInd w:w="1134" w:type="dxa"/>
        <w:tblLook w:val="01E0" w:firstRow="1" w:lastRow="1" w:firstColumn="1" w:lastColumn="1" w:noHBand="0" w:noVBand="0"/>
      </w:tblPr>
      <w:tblGrid>
        <w:gridCol w:w="3252"/>
        <w:gridCol w:w="1212"/>
        <w:gridCol w:w="1459"/>
        <w:gridCol w:w="1448"/>
      </w:tblGrid>
      <w:tr w:rsidR="00000000">
        <w:tc>
          <w:tcPr>
            <w:tcW w:w="3882" w:type="dxa"/>
            <w:tcBorders>
              <w:top w:val="single" w:sz="4" w:space="0" w:color="auto"/>
              <w:bottom w:val="single" w:sz="12" w:space="0" w:color="auto"/>
            </w:tcBorders>
            <w:shd w:val="clear" w:color="auto" w:fill="auto"/>
            <w:vAlign w:val="bottom"/>
          </w:tcPr>
          <w:p w:rsidR="00000000" w:rsidRDefault="00000000">
            <w:pPr>
              <w:spacing w:before="80" w:after="80" w:line="200" w:lineRule="exact"/>
              <w:rPr>
                <w:i/>
                <w:sz w:val="16"/>
                <w:szCs w:val="16"/>
              </w:rPr>
            </w:pPr>
          </w:p>
        </w:tc>
        <w:tc>
          <w:tcPr>
            <w:tcW w:w="1395"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i/>
                <w:sz w:val="16"/>
                <w:szCs w:val="16"/>
              </w:rPr>
            </w:pPr>
            <w:r>
              <w:rPr>
                <w:i/>
                <w:sz w:val="16"/>
                <w:szCs w:val="16"/>
              </w:rPr>
              <w:t>2000</w:t>
            </w:r>
          </w:p>
        </w:tc>
        <w:tc>
          <w:tcPr>
            <w:tcW w:w="1708"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i/>
                <w:sz w:val="16"/>
                <w:szCs w:val="16"/>
              </w:rPr>
            </w:pPr>
            <w:r>
              <w:rPr>
                <w:i/>
                <w:sz w:val="16"/>
                <w:szCs w:val="16"/>
              </w:rPr>
              <w:t>2003</w:t>
            </w:r>
          </w:p>
        </w:tc>
        <w:tc>
          <w:tcPr>
            <w:tcW w:w="1694"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i/>
                <w:sz w:val="16"/>
                <w:szCs w:val="16"/>
              </w:rPr>
            </w:pPr>
            <w:r>
              <w:rPr>
                <w:i/>
                <w:sz w:val="16"/>
                <w:szCs w:val="16"/>
              </w:rPr>
              <w:t>2005</w:t>
            </w:r>
          </w:p>
        </w:tc>
      </w:tr>
      <w:tr w:rsidR="00000000">
        <w:tc>
          <w:tcPr>
            <w:tcW w:w="3882" w:type="dxa"/>
            <w:tcBorders>
              <w:top w:val="single" w:sz="12" w:space="0" w:color="auto"/>
            </w:tcBorders>
            <w:shd w:val="clear" w:color="auto" w:fill="auto"/>
            <w:vAlign w:val="bottom"/>
          </w:tcPr>
          <w:p w:rsidR="00000000" w:rsidRDefault="00000000">
            <w:pPr>
              <w:spacing w:before="40" w:after="40" w:line="220" w:lineRule="exact"/>
              <w:rPr>
                <w:sz w:val="18"/>
                <w:szCs w:val="18"/>
              </w:rPr>
            </w:pPr>
            <w:r>
              <w:rPr>
                <w:sz w:val="18"/>
                <w:szCs w:val="18"/>
              </w:rPr>
              <w:t>Budget de l’État (exécuté)</w:t>
            </w:r>
            <w:r>
              <w:rPr>
                <w:sz w:val="18"/>
                <w:szCs w:val="18"/>
              </w:rPr>
              <w:br/>
              <w:t>(MGA milliard</w:t>
            </w:r>
          </w:p>
        </w:tc>
        <w:tc>
          <w:tcPr>
            <w:tcW w:w="1395" w:type="dxa"/>
            <w:tcBorders>
              <w:top w:val="single" w:sz="12" w:space="0" w:color="auto"/>
            </w:tcBorders>
            <w:shd w:val="clear" w:color="auto" w:fill="auto"/>
            <w:vAlign w:val="bottom"/>
          </w:tcPr>
          <w:p w:rsidR="00000000" w:rsidRDefault="00000000">
            <w:pPr>
              <w:spacing w:before="40" w:after="40" w:line="220" w:lineRule="exact"/>
              <w:jc w:val="right"/>
              <w:rPr>
                <w:sz w:val="18"/>
                <w:szCs w:val="18"/>
              </w:rPr>
            </w:pPr>
            <w:r>
              <w:rPr>
                <w:sz w:val="18"/>
                <w:szCs w:val="18"/>
              </w:rPr>
              <w:t>1 035</w:t>
            </w:r>
          </w:p>
        </w:tc>
        <w:tc>
          <w:tcPr>
            <w:tcW w:w="1708" w:type="dxa"/>
            <w:tcBorders>
              <w:top w:val="single" w:sz="12" w:space="0" w:color="auto"/>
            </w:tcBorders>
            <w:shd w:val="clear" w:color="auto" w:fill="auto"/>
            <w:vAlign w:val="bottom"/>
          </w:tcPr>
          <w:p w:rsidR="00000000" w:rsidRDefault="00000000">
            <w:pPr>
              <w:spacing w:before="40" w:after="40" w:line="220" w:lineRule="exact"/>
              <w:jc w:val="right"/>
              <w:rPr>
                <w:sz w:val="18"/>
                <w:szCs w:val="18"/>
              </w:rPr>
            </w:pPr>
            <w:r>
              <w:rPr>
                <w:sz w:val="18"/>
                <w:szCs w:val="18"/>
              </w:rPr>
              <w:t>1 325</w:t>
            </w:r>
          </w:p>
        </w:tc>
        <w:tc>
          <w:tcPr>
            <w:tcW w:w="1694" w:type="dxa"/>
            <w:tcBorders>
              <w:top w:val="single" w:sz="12" w:space="0" w:color="auto"/>
            </w:tcBorders>
            <w:shd w:val="clear" w:color="auto" w:fill="auto"/>
            <w:vAlign w:val="bottom"/>
          </w:tcPr>
          <w:p w:rsidR="00000000" w:rsidRDefault="00000000">
            <w:pPr>
              <w:spacing w:before="40" w:after="40" w:line="220" w:lineRule="exact"/>
              <w:jc w:val="right"/>
              <w:rPr>
                <w:sz w:val="18"/>
                <w:szCs w:val="18"/>
              </w:rPr>
            </w:pPr>
            <w:r>
              <w:rPr>
                <w:sz w:val="18"/>
                <w:szCs w:val="18"/>
              </w:rPr>
              <w:t>1 502</w:t>
            </w:r>
          </w:p>
        </w:tc>
      </w:tr>
      <w:tr w:rsidR="00000000">
        <w:tc>
          <w:tcPr>
            <w:tcW w:w="3882" w:type="dxa"/>
            <w:shd w:val="clear" w:color="auto" w:fill="auto"/>
            <w:vAlign w:val="bottom"/>
          </w:tcPr>
          <w:p w:rsidR="00000000" w:rsidRDefault="00000000">
            <w:pPr>
              <w:spacing w:before="40" w:after="40" w:line="220" w:lineRule="exact"/>
              <w:rPr>
                <w:sz w:val="18"/>
                <w:szCs w:val="18"/>
              </w:rPr>
            </w:pPr>
            <w:r>
              <w:rPr>
                <w:sz w:val="18"/>
                <w:szCs w:val="18"/>
              </w:rPr>
              <w:t>% du budget voté exécuté</w:t>
            </w:r>
          </w:p>
        </w:tc>
        <w:tc>
          <w:tcPr>
            <w:tcW w:w="1395" w:type="dxa"/>
            <w:shd w:val="clear" w:color="auto" w:fill="auto"/>
            <w:vAlign w:val="bottom"/>
          </w:tcPr>
          <w:p w:rsidR="00000000" w:rsidRDefault="00000000">
            <w:pPr>
              <w:spacing w:before="40" w:after="40" w:line="220" w:lineRule="exact"/>
              <w:jc w:val="right"/>
              <w:rPr>
                <w:sz w:val="18"/>
                <w:szCs w:val="18"/>
              </w:rPr>
            </w:pPr>
            <w:r>
              <w:rPr>
                <w:sz w:val="18"/>
                <w:szCs w:val="18"/>
              </w:rPr>
              <w:t>79,9</w:t>
            </w:r>
          </w:p>
        </w:tc>
        <w:tc>
          <w:tcPr>
            <w:tcW w:w="1708" w:type="dxa"/>
            <w:shd w:val="clear" w:color="auto" w:fill="auto"/>
            <w:vAlign w:val="bottom"/>
          </w:tcPr>
          <w:p w:rsidR="00000000" w:rsidRDefault="00000000">
            <w:pPr>
              <w:spacing w:before="40" w:after="40" w:line="220" w:lineRule="exact"/>
              <w:jc w:val="right"/>
              <w:rPr>
                <w:sz w:val="18"/>
                <w:szCs w:val="18"/>
              </w:rPr>
            </w:pPr>
            <w:r>
              <w:rPr>
                <w:sz w:val="18"/>
                <w:szCs w:val="18"/>
              </w:rPr>
              <w:t>91,8</w:t>
            </w:r>
          </w:p>
        </w:tc>
        <w:tc>
          <w:tcPr>
            <w:tcW w:w="1694" w:type="dxa"/>
            <w:shd w:val="clear" w:color="auto" w:fill="auto"/>
            <w:vAlign w:val="bottom"/>
          </w:tcPr>
          <w:p w:rsidR="00000000" w:rsidRDefault="00000000">
            <w:pPr>
              <w:spacing w:before="40" w:after="40" w:line="220" w:lineRule="exact"/>
              <w:jc w:val="right"/>
              <w:rPr>
                <w:sz w:val="18"/>
                <w:szCs w:val="18"/>
              </w:rPr>
            </w:pPr>
            <w:r>
              <w:rPr>
                <w:sz w:val="18"/>
                <w:szCs w:val="18"/>
              </w:rPr>
              <w:t>63,2</w:t>
            </w:r>
          </w:p>
        </w:tc>
      </w:tr>
      <w:tr w:rsidR="00000000">
        <w:tc>
          <w:tcPr>
            <w:tcW w:w="3882" w:type="dxa"/>
            <w:tcBorders>
              <w:bottom w:val="single" w:sz="12" w:space="0" w:color="auto"/>
            </w:tcBorders>
            <w:shd w:val="clear" w:color="auto" w:fill="auto"/>
            <w:vAlign w:val="bottom"/>
          </w:tcPr>
          <w:p w:rsidR="00000000" w:rsidRDefault="00000000">
            <w:pPr>
              <w:spacing w:before="40" w:after="40" w:line="220" w:lineRule="exact"/>
              <w:rPr>
                <w:sz w:val="18"/>
                <w:szCs w:val="18"/>
              </w:rPr>
            </w:pPr>
            <w:r>
              <w:rPr>
                <w:sz w:val="18"/>
                <w:szCs w:val="18"/>
              </w:rPr>
              <w:t>% budget éducation</w:t>
            </w:r>
          </w:p>
        </w:tc>
        <w:tc>
          <w:tcPr>
            <w:tcW w:w="1395" w:type="dxa"/>
            <w:tcBorders>
              <w:bottom w:val="single" w:sz="12" w:space="0" w:color="auto"/>
            </w:tcBorders>
            <w:shd w:val="clear" w:color="auto" w:fill="auto"/>
            <w:vAlign w:val="bottom"/>
          </w:tcPr>
          <w:p w:rsidR="00000000" w:rsidRDefault="00000000">
            <w:pPr>
              <w:spacing w:before="40" w:after="40" w:line="220" w:lineRule="exact"/>
              <w:jc w:val="right"/>
              <w:rPr>
                <w:sz w:val="18"/>
                <w:szCs w:val="18"/>
              </w:rPr>
            </w:pPr>
            <w:r>
              <w:rPr>
                <w:sz w:val="18"/>
                <w:szCs w:val="18"/>
              </w:rPr>
              <w:t>13,9</w:t>
            </w:r>
          </w:p>
        </w:tc>
        <w:tc>
          <w:tcPr>
            <w:tcW w:w="1708" w:type="dxa"/>
            <w:tcBorders>
              <w:bottom w:val="single" w:sz="12" w:space="0" w:color="auto"/>
            </w:tcBorders>
            <w:shd w:val="clear" w:color="auto" w:fill="auto"/>
            <w:vAlign w:val="bottom"/>
          </w:tcPr>
          <w:p w:rsidR="00000000" w:rsidRDefault="00000000">
            <w:pPr>
              <w:spacing w:before="40" w:after="40" w:line="220" w:lineRule="exact"/>
              <w:jc w:val="right"/>
              <w:rPr>
                <w:sz w:val="18"/>
                <w:szCs w:val="18"/>
              </w:rPr>
            </w:pPr>
            <w:r>
              <w:rPr>
                <w:sz w:val="18"/>
                <w:szCs w:val="18"/>
              </w:rPr>
              <w:t>16,6</w:t>
            </w:r>
          </w:p>
        </w:tc>
        <w:tc>
          <w:tcPr>
            <w:tcW w:w="1694" w:type="dxa"/>
            <w:tcBorders>
              <w:bottom w:val="single" w:sz="12" w:space="0" w:color="auto"/>
            </w:tcBorders>
            <w:shd w:val="clear" w:color="auto" w:fill="auto"/>
            <w:vAlign w:val="bottom"/>
          </w:tcPr>
          <w:p w:rsidR="00000000" w:rsidRDefault="00000000">
            <w:pPr>
              <w:spacing w:before="40" w:after="40" w:line="220" w:lineRule="exact"/>
              <w:jc w:val="right"/>
              <w:rPr>
                <w:sz w:val="18"/>
                <w:szCs w:val="18"/>
              </w:rPr>
            </w:pPr>
            <w:r>
              <w:rPr>
                <w:sz w:val="18"/>
                <w:szCs w:val="18"/>
              </w:rPr>
              <w:t>22,2</w:t>
            </w:r>
          </w:p>
        </w:tc>
      </w:tr>
    </w:tbl>
    <w:p w:rsidR="00000000" w:rsidRDefault="00000000">
      <w:pPr>
        <w:spacing w:before="120" w:after="240"/>
        <w:rPr>
          <w:i/>
          <w:sz w:val="18"/>
          <w:szCs w:val="18"/>
          <w:lang w:val="fr-FR"/>
        </w:rPr>
      </w:pPr>
      <w:r>
        <w:rPr>
          <w:lang w:val="fr-FR"/>
        </w:rPr>
        <w:tab/>
      </w:r>
      <w:r>
        <w:rPr>
          <w:lang w:val="fr-FR"/>
        </w:rPr>
        <w:tab/>
      </w:r>
      <w:r>
        <w:rPr>
          <w:i/>
          <w:sz w:val="18"/>
          <w:szCs w:val="18"/>
          <w:lang w:val="fr-FR"/>
        </w:rPr>
        <w:t>Source</w:t>
      </w:r>
      <w:r>
        <w:rPr>
          <w:sz w:val="18"/>
          <w:szCs w:val="18"/>
          <w:lang w:val="fr-FR"/>
        </w:rPr>
        <w:t>: loi des finances. Banque mondiale.</w:t>
      </w:r>
    </w:p>
    <w:p w:rsidR="00000000" w:rsidRDefault="00000000">
      <w:pPr>
        <w:pStyle w:val="SingleTxtG"/>
        <w:rPr>
          <w:lang w:val="fr-FR"/>
        </w:rPr>
      </w:pPr>
      <w:r>
        <w:rPr>
          <w:lang w:val="fr-FR"/>
        </w:rPr>
        <w:t>83.</w:t>
      </w:r>
      <w:r>
        <w:rPr>
          <w:lang w:val="fr-FR"/>
        </w:rPr>
        <w:tab/>
        <w:t>Durant la période 2000- 2005, la part de la Santé dans les dépenses totales est passée de 5,6 % à 5,7 % (budget exécuté), en passant par 6,5 % en 2003.</w:t>
      </w:r>
    </w:p>
    <w:p w:rsidR="00000000" w:rsidRDefault="00000000">
      <w:pPr>
        <w:pStyle w:val="SingleTxtG"/>
        <w:rPr>
          <w:lang w:val="fr-FR"/>
        </w:rPr>
      </w:pPr>
      <w:r>
        <w:rPr>
          <w:lang w:val="fr-FR"/>
        </w:rPr>
        <w:t>84.</w:t>
      </w:r>
      <w:r>
        <w:rPr>
          <w:lang w:val="fr-FR"/>
        </w:rPr>
        <w:tab/>
        <w:t>Le pays dispose, depuis 2003, d’un cadre des dépenses à moyen terme (CDMT), actualisé annuellement. Le document actuel couvre la période 2006-2008. Il s’appuie sur l’outil MBB (Marginal Budgeting for Bottlenecks) pour effectuer les analyses budgétaires. Les estimations font état d’une dépense variant entre USD 5 et USD 18 par personne par an pour atteindre les ODM de la santé en 2015.</w:t>
      </w:r>
    </w:p>
    <w:p w:rsidR="00000000" w:rsidRDefault="00000000">
      <w:pPr>
        <w:pStyle w:val="SingleTxtG"/>
        <w:rPr>
          <w:lang w:val="fr-FR"/>
        </w:rPr>
      </w:pPr>
      <w:r>
        <w:rPr>
          <w:lang w:val="fr-FR"/>
        </w:rPr>
        <w:t>85.</w:t>
      </w:r>
      <w:r>
        <w:rPr>
          <w:lang w:val="fr-FR"/>
        </w:rPr>
        <w:tab/>
        <w:t>Conformément aux engagements de Madagascar touchant l’éducation pour tous, l’évolution des financements publics alloués au secteur de l’éducation montre une tendance à la hausse, absorbant près de 22 % du budget de l’État en 2005, contre 14 % en 2000 (budget exécuté). Ces évolutions montrent la priorité croissante accordée par le gouvernement malgache à l’éducation, notamment l’éducation primaire, dont la part dans le budget total du MENRS est passée de 41,4 % en 2002 à 57 % en 2005.</w:t>
      </w:r>
    </w:p>
    <w:p w:rsidR="00000000" w:rsidRDefault="00000000">
      <w:pPr>
        <w:pStyle w:val="SingleTxtG"/>
        <w:rPr>
          <w:lang w:val="fr-FR"/>
        </w:rPr>
      </w:pPr>
      <w:r>
        <w:rPr>
          <w:lang w:val="fr-FR"/>
        </w:rPr>
        <w:t>86.</w:t>
      </w:r>
      <w:r>
        <w:rPr>
          <w:lang w:val="fr-FR"/>
        </w:rPr>
        <w:tab/>
        <w:t xml:space="preserve">Les budgets alloués aux Ministères de la justice et de la population restent faibles, avec une enveloppe occupant entre 0,5 % et 1,5 % du budget exécuté. La part allouée au Ministère de la justice en 2006 représentait 1,2 % du budget de l’État. </w:t>
      </w:r>
    </w:p>
    <w:p w:rsidR="00000000" w:rsidRDefault="00000000">
      <w:pPr>
        <w:pStyle w:val="SingleTxtG"/>
        <w:spacing w:after="0"/>
      </w:pPr>
      <w:bookmarkStart w:id="182" w:name="_Toc260298218"/>
      <w:r>
        <w:t>Tableau 7</w:t>
      </w:r>
    </w:p>
    <w:p w:rsidR="00000000" w:rsidRDefault="00000000">
      <w:pPr>
        <w:pStyle w:val="SingleTxtG"/>
        <w:rPr>
          <w:b/>
        </w:rPr>
      </w:pPr>
      <w:r>
        <w:rPr>
          <w:b/>
        </w:rPr>
        <w:t>Parts du budget du Ministère de la justice et des droits humains</w:t>
      </w:r>
      <w:r>
        <w:rPr>
          <w:b/>
        </w:rPr>
        <w:br/>
        <w:t>dans les budgets annuels de l’État</w:t>
      </w:r>
      <w:bookmarkEnd w:id="182"/>
    </w:p>
    <w:tbl>
      <w:tblPr>
        <w:tblW w:w="7371" w:type="dxa"/>
        <w:tblInd w:w="1134" w:type="dxa"/>
        <w:tblBorders>
          <w:top w:val="single" w:sz="4" w:space="0" w:color="auto"/>
          <w:bottom w:val="single" w:sz="12" w:space="0" w:color="auto"/>
        </w:tblBorders>
        <w:tblLook w:val="01E0" w:firstRow="1" w:lastRow="1" w:firstColumn="1" w:lastColumn="1" w:noHBand="0" w:noVBand="0"/>
      </w:tblPr>
      <w:tblGrid>
        <w:gridCol w:w="3260"/>
        <w:gridCol w:w="1210"/>
        <w:gridCol w:w="1456"/>
        <w:gridCol w:w="1445"/>
      </w:tblGrid>
      <w:tr w:rsidR="00000000">
        <w:tc>
          <w:tcPr>
            <w:tcW w:w="3882"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b/>
                <w:sz w:val="16"/>
                <w:szCs w:val="16"/>
                <w:lang w:val="fr-FR"/>
              </w:rPr>
            </w:pPr>
          </w:p>
        </w:tc>
        <w:tc>
          <w:tcPr>
            <w:tcW w:w="1395"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b/>
                <w:sz w:val="16"/>
                <w:szCs w:val="16"/>
                <w:lang w:val="fr-FR"/>
              </w:rPr>
            </w:pPr>
            <w:r>
              <w:rPr>
                <w:i/>
                <w:sz w:val="16"/>
                <w:szCs w:val="16"/>
              </w:rPr>
              <w:t>2000</w:t>
            </w:r>
          </w:p>
        </w:tc>
        <w:tc>
          <w:tcPr>
            <w:tcW w:w="1708"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b/>
                <w:sz w:val="16"/>
                <w:szCs w:val="16"/>
                <w:lang w:val="fr-FR"/>
              </w:rPr>
            </w:pPr>
            <w:r>
              <w:rPr>
                <w:i/>
                <w:sz w:val="16"/>
                <w:szCs w:val="16"/>
              </w:rPr>
              <w:t>2003</w:t>
            </w:r>
          </w:p>
        </w:tc>
        <w:tc>
          <w:tcPr>
            <w:tcW w:w="1694"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b/>
                <w:sz w:val="16"/>
                <w:szCs w:val="16"/>
                <w:lang w:val="fr-FR"/>
              </w:rPr>
            </w:pPr>
            <w:r>
              <w:rPr>
                <w:i/>
                <w:sz w:val="16"/>
                <w:szCs w:val="16"/>
              </w:rPr>
              <w:t>2005</w:t>
            </w:r>
          </w:p>
        </w:tc>
      </w:tr>
      <w:tr w:rsidR="00000000">
        <w:tc>
          <w:tcPr>
            <w:tcW w:w="3882" w:type="dxa"/>
            <w:tcBorders>
              <w:top w:val="single" w:sz="12" w:space="0" w:color="auto"/>
            </w:tcBorders>
            <w:shd w:val="clear" w:color="auto" w:fill="auto"/>
            <w:vAlign w:val="center"/>
          </w:tcPr>
          <w:p w:rsidR="00000000" w:rsidRDefault="00000000">
            <w:pPr>
              <w:spacing w:before="40" w:after="40" w:line="220" w:lineRule="exact"/>
              <w:rPr>
                <w:sz w:val="18"/>
                <w:szCs w:val="18"/>
              </w:rPr>
            </w:pPr>
            <w:r>
              <w:rPr>
                <w:sz w:val="18"/>
                <w:szCs w:val="18"/>
              </w:rPr>
              <w:t>Budget de l’État (exécuté) (MGA milliard</w:t>
            </w:r>
          </w:p>
        </w:tc>
        <w:tc>
          <w:tcPr>
            <w:tcW w:w="1395" w:type="dxa"/>
            <w:tcBorders>
              <w:top w:val="single" w:sz="12" w:space="0" w:color="auto"/>
            </w:tcBorders>
            <w:shd w:val="clear" w:color="auto" w:fill="auto"/>
            <w:vAlign w:val="bottom"/>
          </w:tcPr>
          <w:p w:rsidR="00000000" w:rsidRDefault="00000000">
            <w:pPr>
              <w:spacing w:before="40" w:after="40" w:line="220" w:lineRule="exact"/>
              <w:jc w:val="right"/>
              <w:rPr>
                <w:sz w:val="18"/>
                <w:szCs w:val="18"/>
                <w:lang w:val="fr-FR"/>
              </w:rPr>
            </w:pPr>
            <w:r>
              <w:rPr>
                <w:sz w:val="18"/>
                <w:szCs w:val="18"/>
                <w:lang w:val="fr-FR"/>
              </w:rPr>
              <w:t xml:space="preserve">1 </w:t>
            </w:r>
            <w:r>
              <w:rPr>
                <w:sz w:val="18"/>
                <w:szCs w:val="18"/>
              </w:rPr>
              <w:t>035</w:t>
            </w:r>
          </w:p>
        </w:tc>
        <w:tc>
          <w:tcPr>
            <w:tcW w:w="1708" w:type="dxa"/>
            <w:tcBorders>
              <w:top w:val="single" w:sz="12" w:space="0" w:color="auto"/>
            </w:tcBorders>
            <w:shd w:val="clear" w:color="auto" w:fill="auto"/>
            <w:vAlign w:val="bottom"/>
          </w:tcPr>
          <w:p w:rsidR="00000000" w:rsidRDefault="00000000">
            <w:pPr>
              <w:spacing w:before="40" w:after="40" w:line="220" w:lineRule="exact"/>
              <w:jc w:val="right"/>
              <w:rPr>
                <w:sz w:val="18"/>
                <w:szCs w:val="18"/>
                <w:lang w:val="fr-FR"/>
              </w:rPr>
            </w:pPr>
            <w:r>
              <w:rPr>
                <w:sz w:val="18"/>
                <w:szCs w:val="18"/>
                <w:lang w:val="fr-FR"/>
              </w:rPr>
              <w:t>1 325</w:t>
            </w:r>
          </w:p>
        </w:tc>
        <w:tc>
          <w:tcPr>
            <w:tcW w:w="1694" w:type="dxa"/>
            <w:tcBorders>
              <w:top w:val="single" w:sz="12" w:space="0" w:color="auto"/>
            </w:tcBorders>
            <w:shd w:val="clear" w:color="auto" w:fill="auto"/>
            <w:vAlign w:val="bottom"/>
          </w:tcPr>
          <w:p w:rsidR="00000000" w:rsidRDefault="00000000">
            <w:pPr>
              <w:spacing w:before="40" w:after="40" w:line="220" w:lineRule="exact"/>
              <w:jc w:val="right"/>
              <w:rPr>
                <w:sz w:val="18"/>
                <w:szCs w:val="18"/>
                <w:lang w:val="fr-FR"/>
              </w:rPr>
            </w:pPr>
            <w:r>
              <w:rPr>
                <w:sz w:val="18"/>
                <w:szCs w:val="18"/>
                <w:lang w:val="fr-FR"/>
              </w:rPr>
              <w:t>1 502</w:t>
            </w:r>
          </w:p>
        </w:tc>
      </w:tr>
      <w:tr w:rsidR="00000000">
        <w:tc>
          <w:tcPr>
            <w:tcW w:w="3882" w:type="dxa"/>
            <w:shd w:val="clear" w:color="auto" w:fill="auto"/>
            <w:vAlign w:val="center"/>
          </w:tcPr>
          <w:p w:rsidR="00000000" w:rsidRDefault="00000000">
            <w:pPr>
              <w:spacing w:before="40" w:after="40" w:line="220" w:lineRule="exact"/>
              <w:rPr>
                <w:iCs/>
                <w:sz w:val="18"/>
                <w:szCs w:val="18"/>
                <w:lang w:val="fr-FR"/>
              </w:rPr>
            </w:pPr>
            <w:r>
              <w:rPr>
                <w:iCs/>
                <w:sz w:val="18"/>
                <w:szCs w:val="18"/>
                <w:lang w:val="fr-FR"/>
              </w:rPr>
              <w:t xml:space="preserve">% du budget voté </w:t>
            </w:r>
            <w:r>
              <w:rPr>
                <w:iCs/>
                <w:sz w:val="18"/>
                <w:szCs w:val="18"/>
              </w:rPr>
              <w:t>exécuté</w:t>
            </w:r>
          </w:p>
        </w:tc>
        <w:tc>
          <w:tcPr>
            <w:tcW w:w="1395" w:type="dxa"/>
            <w:shd w:val="clear" w:color="auto" w:fill="auto"/>
            <w:vAlign w:val="bottom"/>
          </w:tcPr>
          <w:p w:rsidR="00000000" w:rsidRDefault="00000000">
            <w:pPr>
              <w:spacing w:before="40" w:after="40" w:line="220" w:lineRule="exact"/>
              <w:jc w:val="right"/>
              <w:rPr>
                <w:sz w:val="18"/>
                <w:szCs w:val="18"/>
                <w:lang w:val="fr-FR"/>
              </w:rPr>
            </w:pPr>
            <w:r>
              <w:rPr>
                <w:sz w:val="18"/>
                <w:szCs w:val="18"/>
                <w:lang w:val="fr-FR"/>
              </w:rPr>
              <w:t>79,9</w:t>
            </w:r>
          </w:p>
        </w:tc>
        <w:tc>
          <w:tcPr>
            <w:tcW w:w="1708" w:type="dxa"/>
            <w:shd w:val="clear" w:color="auto" w:fill="auto"/>
            <w:vAlign w:val="bottom"/>
          </w:tcPr>
          <w:p w:rsidR="00000000" w:rsidRDefault="00000000">
            <w:pPr>
              <w:spacing w:before="40" w:after="40" w:line="220" w:lineRule="exact"/>
              <w:jc w:val="right"/>
              <w:rPr>
                <w:sz w:val="18"/>
                <w:szCs w:val="18"/>
                <w:lang w:val="fr-FR"/>
              </w:rPr>
            </w:pPr>
            <w:r>
              <w:rPr>
                <w:sz w:val="18"/>
                <w:szCs w:val="18"/>
                <w:lang w:val="fr-FR"/>
              </w:rPr>
              <w:t>91,8</w:t>
            </w:r>
          </w:p>
        </w:tc>
        <w:tc>
          <w:tcPr>
            <w:tcW w:w="1694" w:type="dxa"/>
            <w:shd w:val="clear" w:color="auto" w:fill="auto"/>
            <w:vAlign w:val="bottom"/>
          </w:tcPr>
          <w:p w:rsidR="00000000" w:rsidRDefault="00000000">
            <w:pPr>
              <w:spacing w:before="40" w:after="40" w:line="220" w:lineRule="exact"/>
              <w:jc w:val="right"/>
              <w:rPr>
                <w:sz w:val="18"/>
                <w:szCs w:val="18"/>
                <w:lang w:val="fr-FR"/>
              </w:rPr>
            </w:pPr>
            <w:r>
              <w:rPr>
                <w:sz w:val="18"/>
                <w:szCs w:val="18"/>
                <w:lang w:val="fr-FR"/>
              </w:rPr>
              <w:t>63,2</w:t>
            </w:r>
          </w:p>
        </w:tc>
      </w:tr>
      <w:tr w:rsidR="00000000">
        <w:tc>
          <w:tcPr>
            <w:tcW w:w="3882" w:type="dxa"/>
            <w:shd w:val="clear" w:color="auto" w:fill="auto"/>
            <w:vAlign w:val="center"/>
          </w:tcPr>
          <w:p w:rsidR="00000000" w:rsidRDefault="00000000">
            <w:pPr>
              <w:spacing w:before="40" w:after="40" w:line="220" w:lineRule="exact"/>
              <w:rPr>
                <w:iCs/>
                <w:sz w:val="18"/>
                <w:szCs w:val="18"/>
                <w:lang w:val="fr-FR"/>
              </w:rPr>
            </w:pPr>
            <w:r>
              <w:rPr>
                <w:iCs/>
                <w:sz w:val="18"/>
                <w:szCs w:val="18"/>
                <w:lang w:val="fr-FR"/>
              </w:rPr>
              <w:t>% budget j</w:t>
            </w:r>
            <w:r>
              <w:rPr>
                <w:iCs/>
                <w:sz w:val="18"/>
                <w:szCs w:val="18"/>
              </w:rPr>
              <w:t>ustice</w:t>
            </w:r>
          </w:p>
        </w:tc>
        <w:tc>
          <w:tcPr>
            <w:tcW w:w="1395" w:type="dxa"/>
            <w:shd w:val="clear" w:color="auto" w:fill="auto"/>
            <w:vAlign w:val="bottom"/>
          </w:tcPr>
          <w:p w:rsidR="00000000" w:rsidRDefault="00000000">
            <w:pPr>
              <w:spacing w:before="40" w:after="40" w:line="220" w:lineRule="exact"/>
              <w:jc w:val="right"/>
              <w:rPr>
                <w:sz w:val="18"/>
                <w:szCs w:val="18"/>
                <w:lang w:val="fr-FR"/>
              </w:rPr>
            </w:pPr>
            <w:r>
              <w:rPr>
                <w:sz w:val="18"/>
                <w:szCs w:val="18"/>
                <w:lang w:val="fr-FR"/>
              </w:rPr>
              <w:t>1,1</w:t>
            </w:r>
          </w:p>
        </w:tc>
        <w:tc>
          <w:tcPr>
            <w:tcW w:w="1708" w:type="dxa"/>
            <w:shd w:val="clear" w:color="auto" w:fill="auto"/>
            <w:vAlign w:val="bottom"/>
          </w:tcPr>
          <w:p w:rsidR="00000000" w:rsidRDefault="00000000">
            <w:pPr>
              <w:spacing w:before="40" w:after="40" w:line="220" w:lineRule="exact"/>
              <w:jc w:val="right"/>
              <w:rPr>
                <w:sz w:val="18"/>
                <w:szCs w:val="18"/>
                <w:lang w:val="fr-FR"/>
              </w:rPr>
            </w:pPr>
            <w:r>
              <w:rPr>
                <w:sz w:val="18"/>
                <w:szCs w:val="18"/>
                <w:lang w:val="fr-FR"/>
              </w:rPr>
              <w:t>1,5</w:t>
            </w:r>
          </w:p>
        </w:tc>
        <w:tc>
          <w:tcPr>
            <w:tcW w:w="1694" w:type="dxa"/>
            <w:shd w:val="clear" w:color="auto" w:fill="auto"/>
            <w:vAlign w:val="bottom"/>
          </w:tcPr>
          <w:p w:rsidR="00000000" w:rsidRDefault="00000000">
            <w:pPr>
              <w:spacing w:before="40" w:after="40" w:line="220" w:lineRule="exact"/>
              <w:jc w:val="right"/>
              <w:rPr>
                <w:sz w:val="18"/>
                <w:szCs w:val="18"/>
                <w:lang w:val="fr-FR"/>
              </w:rPr>
            </w:pPr>
            <w:r>
              <w:rPr>
                <w:sz w:val="18"/>
                <w:szCs w:val="18"/>
                <w:lang w:val="fr-FR"/>
              </w:rPr>
              <w:t>1,5</w:t>
            </w:r>
          </w:p>
        </w:tc>
      </w:tr>
      <w:tr w:rsidR="00000000">
        <w:tc>
          <w:tcPr>
            <w:tcW w:w="3882" w:type="dxa"/>
            <w:shd w:val="clear" w:color="auto" w:fill="auto"/>
            <w:vAlign w:val="center"/>
          </w:tcPr>
          <w:p w:rsidR="00000000" w:rsidRDefault="00000000">
            <w:pPr>
              <w:spacing w:before="40" w:after="40" w:line="220" w:lineRule="exact"/>
              <w:rPr>
                <w:iCs/>
                <w:sz w:val="18"/>
                <w:szCs w:val="18"/>
                <w:lang w:val="fr-FR"/>
              </w:rPr>
            </w:pPr>
            <w:r>
              <w:rPr>
                <w:iCs/>
                <w:sz w:val="18"/>
                <w:szCs w:val="18"/>
                <w:lang w:val="fr-FR"/>
              </w:rPr>
              <w:t xml:space="preserve">% budget </w:t>
            </w:r>
            <w:r>
              <w:rPr>
                <w:iCs/>
                <w:sz w:val="18"/>
                <w:szCs w:val="18"/>
              </w:rPr>
              <w:t>population</w:t>
            </w:r>
          </w:p>
        </w:tc>
        <w:tc>
          <w:tcPr>
            <w:tcW w:w="1395" w:type="dxa"/>
            <w:shd w:val="clear" w:color="auto" w:fill="auto"/>
            <w:vAlign w:val="bottom"/>
          </w:tcPr>
          <w:p w:rsidR="00000000" w:rsidRDefault="00000000">
            <w:pPr>
              <w:spacing w:before="40" w:after="40" w:line="220" w:lineRule="exact"/>
              <w:jc w:val="right"/>
              <w:rPr>
                <w:sz w:val="18"/>
                <w:szCs w:val="18"/>
                <w:lang w:val="fr-FR"/>
              </w:rPr>
            </w:pPr>
            <w:r>
              <w:rPr>
                <w:sz w:val="18"/>
                <w:szCs w:val="18"/>
                <w:lang w:val="fr-FR"/>
              </w:rPr>
              <w:t>0,</w:t>
            </w:r>
            <w:r>
              <w:rPr>
                <w:sz w:val="18"/>
                <w:szCs w:val="18"/>
              </w:rPr>
              <w:t>45</w:t>
            </w:r>
          </w:p>
        </w:tc>
        <w:tc>
          <w:tcPr>
            <w:tcW w:w="1708" w:type="dxa"/>
            <w:shd w:val="clear" w:color="auto" w:fill="auto"/>
            <w:vAlign w:val="bottom"/>
          </w:tcPr>
          <w:p w:rsidR="00000000" w:rsidRDefault="00000000">
            <w:pPr>
              <w:spacing w:before="40" w:after="40" w:line="220" w:lineRule="exact"/>
              <w:jc w:val="right"/>
              <w:rPr>
                <w:sz w:val="18"/>
                <w:szCs w:val="18"/>
                <w:lang w:val="fr-FR"/>
              </w:rPr>
            </w:pPr>
            <w:r>
              <w:rPr>
                <w:sz w:val="18"/>
                <w:szCs w:val="18"/>
                <w:lang w:val="fr-FR"/>
              </w:rPr>
              <w:t>0,5</w:t>
            </w:r>
          </w:p>
        </w:tc>
        <w:tc>
          <w:tcPr>
            <w:tcW w:w="1694" w:type="dxa"/>
            <w:shd w:val="clear" w:color="auto" w:fill="auto"/>
            <w:vAlign w:val="bottom"/>
          </w:tcPr>
          <w:p w:rsidR="00000000" w:rsidRDefault="00000000">
            <w:pPr>
              <w:spacing w:before="40" w:after="40" w:line="220" w:lineRule="exact"/>
              <w:jc w:val="right"/>
              <w:rPr>
                <w:sz w:val="18"/>
                <w:szCs w:val="18"/>
                <w:lang w:val="fr-FR"/>
              </w:rPr>
            </w:pPr>
            <w:r>
              <w:rPr>
                <w:sz w:val="18"/>
                <w:szCs w:val="18"/>
                <w:lang w:val="fr-FR"/>
              </w:rPr>
              <w:t>0,5</w:t>
            </w:r>
          </w:p>
        </w:tc>
      </w:tr>
    </w:tbl>
    <w:p w:rsidR="00000000" w:rsidRDefault="00000000">
      <w:pPr>
        <w:pStyle w:val="SingleTxtG"/>
        <w:spacing w:before="120" w:after="240"/>
        <w:rPr>
          <w:sz w:val="18"/>
          <w:szCs w:val="18"/>
          <w:lang w:val="fr-FR"/>
        </w:rPr>
      </w:pPr>
      <w:r>
        <w:rPr>
          <w:i/>
          <w:sz w:val="18"/>
          <w:szCs w:val="18"/>
          <w:lang w:val="fr-FR"/>
        </w:rPr>
        <w:t>Source</w:t>
      </w:r>
      <w:r>
        <w:rPr>
          <w:sz w:val="18"/>
          <w:szCs w:val="18"/>
          <w:lang w:val="fr-FR"/>
        </w:rPr>
        <w:t>: loi des finances. Banque mondiale.</w:t>
      </w:r>
    </w:p>
    <w:p w:rsidR="00000000" w:rsidRDefault="00000000">
      <w:pPr>
        <w:pStyle w:val="SingleTxtG"/>
        <w:rPr>
          <w:lang w:val="fr-FR"/>
        </w:rPr>
      </w:pPr>
      <w:r>
        <w:rPr>
          <w:lang w:val="fr-FR"/>
        </w:rPr>
        <w:t>87.</w:t>
      </w:r>
      <w:r>
        <w:rPr>
          <w:lang w:val="fr-FR"/>
        </w:rPr>
        <w:tab/>
        <w:t>L’exécution budgétaire reste dans l’ensemble satisfaisante.</w:t>
      </w:r>
    </w:p>
    <w:p w:rsidR="00000000" w:rsidRDefault="00000000">
      <w:pPr>
        <w:pStyle w:val="SingleTxtG"/>
        <w:rPr>
          <w:b/>
          <w:lang w:val="fr-FR"/>
        </w:rPr>
      </w:pPr>
      <w:r>
        <w:rPr>
          <w:lang w:val="fr-FR"/>
        </w:rPr>
        <w:t>88.</w:t>
      </w:r>
      <w:r>
        <w:rPr>
          <w:lang w:val="fr-FR"/>
        </w:rPr>
        <w:tab/>
        <w:t>L’objectif du MAP est d’allouer une part croissante du budget aux secteurs sociaux à l’horizon 2011. Pour y parvenir, des mesures ont été prises pour élever le taux de pression fiscal de 11 % en 2006 à 15 % en 2011. En vue d’améliorer la recette fiscale, au niveau des Communes, des initiatives ont été mises en œuvre par le biais du «Rapid Results Initiative» (RRI) en 2005 et 2006.</w:t>
      </w:r>
    </w:p>
    <w:p w:rsidR="00000000" w:rsidRDefault="00000000">
      <w:pPr>
        <w:pStyle w:val="H1G"/>
        <w:rPr>
          <w:lang w:val="fr-FR"/>
        </w:rPr>
      </w:pPr>
      <w:bookmarkStart w:id="183" w:name="_Toc206414489"/>
      <w:bookmarkStart w:id="184" w:name="_Toc206460331"/>
      <w:bookmarkStart w:id="185" w:name="_Toc206460663"/>
      <w:bookmarkStart w:id="186" w:name="_Toc206461385"/>
      <w:bookmarkStart w:id="187" w:name="_Toc206476179"/>
      <w:bookmarkStart w:id="188" w:name="_Toc207788714"/>
      <w:bookmarkStart w:id="189" w:name="_Toc211835385"/>
      <w:bookmarkStart w:id="190" w:name="_Toc211926692"/>
      <w:r>
        <w:rPr>
          <w:lang w:val="fr-FR"/>
        </w:rPr>
        <w:tab/>
      </w:r>
      <w:bookmarkStart w:id="191" w:name="_Toc260298219"/>
      <w:r>
        <w:rPr>
          <w:lang w:val="fr-FR"/>
        </w:rPr>
        <w:t>H.</w:t>
      </w:r>
      <w:r>
        <w:rPr>
          <w:lang w:val="fr-FR"/>
        </w:rPr>
        <w:tab/>
        <w:t>Mesures prises pour vulgariser la Convention et sensibiliser l’opinion</w:t>
      </w:r>
      <w:bookmarkEnd w:id="183"/>
      <w:bookmarkEnd w:id="184"/>
      <w:bookmarkEnd w:id="185"/>
      <w:bookmarkEnd w:id="186"/>
      <w:bookmarkEnd w:id="187"/>
      <w:bookmarkEnd w:id="188"/>
      <w:bookmarkEnd w:id="189"/>
      <w:bookmarkEnd w:id="190"/>
      <w:bookmarkEnd w:id="191"/>
    </w:p>
    <w:p w:rsidR="00000000" w:rsidRDefault="00000000">
      <w:pPr>
        <w:pStyle w:val="SingleTxtG"/>
        <w:rPr>
          <w:lang w:val="fr-FR"/>
        </w:rPr>
      </w:pPr>
      <w:r>
        <w:rPr>
          <w:lang w:val="fr-FR"/>
        </w:rPr>
        <w:t>89.</w:t>
      </w:r>
      <w:r>
        <w:rPr>
          <w:lang w:val="fr-FR"/>
        </w:rPr>
        <w:tab/>
        <w:t>Avec l’appui de l’UNICEF, le MTPC a procédé à la traduction en langue nationale et à la multiplication de la Convention relative aux droits de l’enfant. Ces supports ont par la suite été distribués à l’ensemble des partenaires et au niveau décentralisé/déconcentré et communautaire. Des affiches sur les droits de l’enfant – intégrant des informations basiques relatives aux droits de l’enfant ont été produites en 10 000 exemplaires en 2007 et distribuées à l’ensemble des partenaires et au niveau national.</w:t>
      </w:r>
    </w:p>
    <w:p w:rsidR="00000000" w:rsidRDefault="00000000">
      <w:pPr>
        <w:pStyle w:val="SingleTxtG"/>
        <w:rPr>
          <w:lang w:val="fr-FR"/>
        </w:rPr>
      </w:pPr>
      <w:r>
        <w:rPr>
          <w:lang w:val="fr-FR"/>
        </w:rPr>
        <w:t>90.</w:t>
      </w:r>
      <w:r>
        <w:rPr>
          <w:lang w:val="fr-FR"/>
        </w:rPr>
        <w:tab/>
        <w:t>Par ailleurs, la Direction des réformes législatives du Ministère de la justice, par l’organe de son Service de vulgarisation organise des émissions radiophoniques hebdomadaires, des émissions télévisées bimensuelles et des descentes auprès des juridictions pour vulgariser des thèmes relatifs à la promotion et protection des droits de l’enfant.</w:t>
      </w:r>
    </w:p>
    <w:p w:rsidR="00000000" w:rsidRDefault="00000000">
      <w:pPr>
        <w:pStyle w:val="SingleTxtG"/>
        <w:rPr>
          <w:lang w:val="fr-FR"/>
        </w:rPr>
      </w:pPr>
      <w:r>
        <w:rPr>
          <w:lang w:val="fr-FR"/>
        </w:rPr>
        <w:t>91.</w:t>
      </w:r>
      <w:r>
        <w:rPr>
          <w:lang w:val="fr-FR"/>
        </w:rPr>
        <w:tab/>
        <w:t>Ce Service participe, tous les mois de juin à la célébration du mois de l’enfance à travers des émissions axées sur les travaux des enfants, les violences à leur l’égard, suivies de diffusion de guides sur la déclaration de naissance, les jugements supplétifs et autres.</w:t>
      </w:r>
    </w:p>
    <w:p w:rsidR="00000000" w:rsidRDefault="00000000">
      <w:pPr>
        <w:pStyle w:val="SingleTxtG"/>
        <w:rPr>
          <w:lang w:val="fr-FR"/>
        </w:rPr>
      </w:pPr>
      <w:r>
        <w:rPr>
          <w:lang w:val="fr-FR"/>
        </w:rPr>
        <w:t>92.</w:t>
      </w:r>
      <w:r>
        <w:rPr>
          <w:lang w:val="fr-FR"/>
        </w:rPr>
        <w:tab/>
        <w:t>Toutefois, le précédent rapport sur la mise en application de Convention n’a pas encore fait l’objet d’une large diffusion</w:t>
      </w:r>
    </w:p>
    <w:p w:rsidR="00000000" w:rsidRDefault="00000000">
      <w:pPr>
        <w:pStyle w:val="HChG"/>
        <w:rPr>
          <w:lang w:val="fr-FR"/>
        </w:rPr>
      </w:pPr>
      <w:bookmarkStart w:id="192" w:name="_Toc206414490"/>
      <w:bookmarkStart w:id="193" w:name="_Toc206460332"/>
      <w:bookmarkStart w:id="194" w:name="_Toc206460664"/>
      <w:bookmarkStart w:id="195" w:name="_Toc206461386"/>
      <w:bookmarkStart w:id="196" w:name="_Toc206476180"/>
      <w:bookmarkStart w:id="197" w:name="_Toc207788715"/>
      <w:bookmarkStart w:id="198" w:name="_Toc211835386"/>
      <w:bookmarkStart w:id="199" w:name="_Toc211926693"/>
      <w:r>
        <w:rPr>
          <w:lang w:val="fr-FR"/>
        </w:rPr>
        <w:tab/>
      </w:r>
      <w:bookmarkStart w:id="200" w:name="_Toc260298220"/>
      <w:r>
        <w:rPr>
          <w:lang w:val="fr-FR"/>
        </w:rPr>
        <w:t>II.</w:t>
      </w:r>
      <w:r>
        <w:rPr>
          <w:lang w:val="fr-FR"/>
        </w:rPr>
        <w:tab/>
      </w:r>
      <w:r>
        <w:t>Définition de l’enfant</w:t>
      </w:r>
      <w:bookmarkEnd w:id="192"/>
      <w:bookmarkEnd w:id="193"/>
      <w:bookmarkEnd w:id="194"/>
      <w:bookmarkEnd w:id="195"/>
      <w:bookmarkEnd w:id="196"/>
      <w:bookmarkEnd w:id="197"/>
      <w:bookmarkEnd w:id="198"/>
      <w:bookmarkEnd w:id="199"/>
      <w:bookmarkEnd w:id="200"/>
    </w:p>
    <w:p w:rsidR="00000000" w:rsidRDefault="00000000">
      <w:pPr>
        <w:pStyle w:val="SingleTxtG"/>
        <w:rPr>
          <w:i/>
          <w:iCs/>
          <w:lang w:val="fr-FR"/>
        </w:rPr>
      </w:pPr>
      <w:r>
        <w:rPr>
          <w:lang w:val="fr-FR"/>
        </w:rPr>
        <w:t>93.</w:t>
      </w:r>
      <w:r>
        <w:rPr>
          <w:lang w:val="fr-FR"/>
        </w:rPr>
        <w:tab/>
        <w:t xml:space="preserve">La définition de l’enfant visée à l’article Premier de la CDE a été transposée dans les lois </w:t>
      </w:r>
      <w:r>
        <w:rPr>
          <w:rFonts w:eastAsia="MS Mincho"/>
          <w:lang w:val="fr-FR"/>
        </w:rPr>
        <w:t>n</w:t>
      </w:r>
      <w:r>
        <w:rPr>
          <w:rFonts w:eastAsia="MS Mincho"/>
          <w:vertAlign w:val="superscript"/>
          <w:lang w:val="fr-FR"/>
        </w:rPr>
        <w:t>o</w:t>
      </w:r>
      <w:r>
        <w:rPr>
          <w:lang w:val="fr-FR"/>
        </w:rPr>
        <w:t xml:space="preserve"> 2005</w:t>
      </w:r>
      <w:r>
        <w:rPr>
          <w:lang w:val="fr-FR"/>
        </w:rPr>
        <w:noBreakHyphen/>
        <w:t xml:space="preserve">014 du 7 septembre 2005 relative à l’adoption et celle </w:t>
      </w:r>
      <w:r>
        <w:rPr>
          <w:rFonts w:eastAsia="MS Mincho"/>
          <w:lang w:val="fr-FR"/>
        </w:rPr>
        <w:t>n</w:t>
      </w:r>
      <w:r>
        <w:rPr>
          <w:rFonts w:eastAsia="MS Mincho"/>
          <w:vertAlign w:val="superscript"/>
          <w:lang w:val="fr-FR"/>
        </w:rPr>
        <w:t>o</w:t>
      </w:r>
      <w:r>
        <w:rPr>
          <w:lang w:val="fr-FR"/>
        </w:rPr>
        <w:t xml:space="preserve"> 2007</w:t>
      </w:r>
      <w:r>
        <w:rPr>
          <w:lang w:val="fr-FR"/>
        </w:rPr>
        <w:noBreakHyphen/>
        <w:t xml:space="preserve">038 du 14 janvier 2008 modifiant et complétant certaines dispositions du code pénal sur la lutte contre la traite des personnes et le tourisme sexuel. Aux termes de l’article premier de la Convention, </w:t>
      </w:r>
      <w:r>
        <w:rPr>
          <w:i/>
          <w:iCs/>
          <w:lang w:val="fr-FR"/>
        </w:rPr>
        <w:t>«un enfant s’entend de tout être humain âgé de moins de 18 ans…»</w:t>
      </w:r>
    </w:p>
    <w:p w:rsidR="00000000" w:rsidRDefault="00000000">
      <w:pPr>
        <w:pStyle w:val="SingleTxtG"/>
        <w:rPr>
          <w:lang w:val="fr-FR"/>
        </w:rPr>
      </w:pPr>
      <w:r>
        <w:rPr>
          <w:lang w:val="fr-FR"/>
        </w:rPr>
        <w:t>94.</w:t>
      </w:r>
      <w:r>
        <w:rPr>
          <w:lang w:val="fr-FR"/>
        </w:rPr>
        <w:tab/>
        <w:t>Dans la législation malgache, l’âge de la majorité varie selon les cas: la majorité pénale demeure fixée à 18 ans et la majorité civile à 21 ans.</w:t>
      </w:r>
    </w:p>
    <w:p w:rsidR="00000000" w:rsidRDefault="00000000">
      <w:pPr>
        <w:pStyle w:val="SingleTxtG"/>
        <w:rPr>
          <w:lang w:val="fr-FR"/>
        </w:rPr>
      </w:pPr>
      <w:r>
        <w:rPr>
          <w:lang w:val="fr-FR"/>
        </w:rPr>
        <w:t>95.</w:t>
      </w:r>
      <w:r>
        <w:rPr>
          <w:lang w:val="fr-FR"/>
        </w:rPr>
        <w:tab/>
      </w:r>
      <w:r>
        <w:rPr>
          <w:b/>
          <w:lang w:val="fr-FR"/>
        </w:rPr>
        <w:t>Protection</w:t>
      </w:r>
      <w:r>
        <w:rPr>
          <w:b/>
          <w:u w:val="single"/>
          <w:lang w:val="fr-FR"/>
        </w:rPr>
        <w:t xml:space="preserve"> </w:t>
      </w:r>
      <w:r>
        <w:rPr>
          <w:b/>
          <w:lang w:val="fr-FR"/>
        </w:rPr>
        <w:t>de l’enfant</w:t>
      </w:r>
      <w:r>
        <w:rPr>
          <w:lang w:val="fr-FR"/>
        </w:rPr>
        <w:t xml:space="preserve">. Pour renforcer l’efficacité de la protection, la loi </w:t>
      </w:r>
      <w:r>
        <w:rPr>
          <w:rFonts w:eastAsia="MS Mincho"/>
          <w:lang w:val="fr-FR"/>
        </w:rPr>
        <w:t>n</w:t>
      </w:r>
      <w:r>
        <w:rPr>
          <w:rFonts w:eastAsia="MS Mincho"/>
          <w:vertAlign w:val="superscript"/>
          <w:lang w:val="fr-FR"/>
        </w:rPr>
        <w:t>o </w:t>
      </w:r>
      <w:r>
        <w:rPr>
          <w:lang w:val="fr-FR"/>
        </w:rPr>
        <w:t>2007</w:t>
      </w:r>
      <w:r>
        <w:rPr>
          <w:lang w:val="fr-FR"/>
        </w:rPr>
        <w:noBreakHyphen/>
        <w:t>023 du 20 août 2007 sur les droits et la protection des enfants prévoit la possibilité pour l’enfant lui-même de signaler la maltraitance auprès du juge des enfants ou du représentant du ministère public. Il peut également interjeter appel.</w:t>
      </w:r>
    </w:p>
    <w:p w:rsidR="00000000" w:rsidRDefault="00000000">
      <w:pPr>
        <w:pStyle w:val="SingleTxtG"/>
        <w:rPr>
          <w:lang w:val="fr-FR"/>
        </w:rPr>
      </w:pPr>
      <w:r>
        <w:rPr>
          <w:lang w:val="fr-FR"/>
        </w:rPr>
        <w:t>96.</w:t>
      </w:r>
      <w:r>
        <w:rPr>
          <w:lang w:val="fr-FR"/>
        </w:rPr>
        <w:tab/>
        <w:t xml:space="preserve">De même, la loi 2007-038 du 14 janvier 2008 stipule en son article 335.6 que </w:t>
      </w:r>
      <w:r>
        <w:rPr>
          <w:i/>
          <w:lang w:val="fr-FR"/>
        </w:rPr>
        <w:t xml:space="preserve">«l’enfant victime des infractions relatives à la traite, à l’exploitation sexuelle, au tourisme </w:t>
      </w:r>
      <w:r>
        <w:rPr>
          <w:lang w:val="fr-FR"/>
        </w:rPr>
        <w:t>sexuel</w:t>
      </w:r>
      <w:r>
        <w:rPr>
          <w:i/>
          <w:lang w:val="fr-FR"/>
        </w:rPr>
        <w:t xml:space="preserve"> et à l’inceste peut, à tout moment, signaler ou saisir le ministère public ou tout autre autorité compétente des faits commis en son encontre et réclamer réparation des préjudices subis.»</w:t>
      </w:r>
      <w:r>
        <w:rPr>
          <w:lang w:val="fr-FR"/>
        </w:rPr>
        <w:t>.</w:t>
      </w:r>
      <w:r>
        <w:rPr>
          <w:i/>
          <w:lang w:val="fr-FR"/>
        </w:rPr>
        <w:t xml:space="preserve"> </w:t>
      </w:r>
    </w:p>
    <w:p w:rsidR="00000000" w:rsidRDefault="00000000">
      <w:pPr>
        <w:pStyle w:val="SingleTxtG"/>
        <w:rPr>
          <w:lang w:val="fr-FR"/>
        </w:rPr>
      </w:pPr>
      <w:r>
        <w:rPr>
          <w:lang w:val="fr-FR"/>
        </w:rPr>
        <w:t>97.</w:t>
      </w:r>
      <w:r>
        <w:rPr>
          <w:lang w:val="fr-FR"/>
        </w:rPr>
        <w:tab/>
      </w:r>
      <w:r>
        <w:rPr>
          <w:b/>
          <w:bCs/>
          <w:lang w:val="fr-FR"/>
        </w:rPr>
        <w:t>Santé</w:t>
      </w:r>
      <w:r>
        <w:rPr>
          <w:bCs/>
          <w:lang w:val="fr-FR"/>
        </w:rPr>
        <w:t>.</w:t>
      </w:r>
      <w:r>
        <w:rPr>
          <w:b/>
          <w:lang w:val="fr-FR"/>
        </w:rPr>
        <w:t xml:space="preserve"> </w:t>
      </w:r>
      <w:r>
        <w:rPr>
          <w:lang w:val="fr-FR"/>
        </w:rPr>
        <w:t>Aucun texte législatif ne prévoit la consultation d’un médecin par un enfant sans le consentement des parents.</w:t>
      </w:r>
    </w:p>
    <w:p w:rsidR="00000000" w:rsidRDefault="00000000">
      <w:pPr>
        <w:pStyle w:val="SingleTxtG"/>
        <w:rPr>
          <w:lang w:val="fr-FR"/>
        </w:rPr>
      </w:pPr>
      <w:r>
        <w:rPr>
          <w:lang w:val="fr-FR"/>
        </w:rPr>
        <w:t>98.</w:t>
      </w:r>
      <w:r>
        <w:rPr>
          <w:lang w:val="fr-FR"/>
        </w:rPr>
        <w:tab/>
      </w:r>
      <w:r>
        <w:rPr>
          <w:b/>
          <w:bCs/>
          <w:lang w:val="fr-FR"/>
        </w:rPr>
        <w:t>Éducation</w:t>
      </w:r>
      <w:r>
        <w:rPr>
          <w:bCs/>
          <w:lang w:val="fr-FR"/>
        </w:rPr>
        <w:t>.</w:t>
      </w:r>
      <w:r>
        <w:rPr>
          <w:lang w:val="fr-FR"/>
        </w:rPr>
        <w:t xml:space="preserve"> L’article 24 de la Constitution énonce que «l’État organise un enseignement public gratuit et accessible à tous. L’enseignement primaire est obligatoire pour tous.». La loi </w:t>
      </w:r>
      <w:r>
        <w:rPr>
          <w:rFonts w:eastAsia="MS Mincho"/>
          <w:lang w:val="fr-FR"/>
        </w:rPr>
        <w:t>n</w:t>
      </w:r>
      <w:r>
        <w:rPr>
          <w:rFonts w:eastAsia="MS Mincho"/>
          <w:vertAlign w:val="superscript"/>
          <w:lang w:val="fr-FR"/>
        </w:rPr>
        <w:t>o</w:t>
      </w:r>
      <w:r>
        <w:rPr>
          <w:lang w:val="fr-FR"/>
        </w:rPr>
        <w:t xml:space="preserve"> 2004-004 du 26 juillet 2004 institue un enseignement primaire obligatoire et gratuit à partir de l’âge de 6 ans.</w:t>
      </w:r>
    </w:p>
    <w:p w:rsidR="00000000" w:rsidRDefault="00000000">
      <w:pPr>
        <w:pStyle w:val="SingleTxtG"/>
        <w:rPr>
          <w:lang w:val="fr-FR"/>
        </w:rPr>
      </w:pPr>
      <w:r>
        <w:rPr>
          <w:lang w:val="fr-FR"/>
        </w:rPr>
        <w:t>99.</w:t>
      </w:r>
      <w:r>
        <w:rPr>
          <w:lang w:val="fr-FR"/>
        </w:rPr>
        <w:tab/>
      </w:r>
      <w:r>
        <w:rPr>
          <w:b/>
          <w:bCs/>
          <w:lang w:val="fr-FR"/>
        </w:rPr>
        <w:t>Travail</w:t>
      </w:r>
      <w:r>
        <w:rPr>
          <w:bCs/>
          <w:lang w:val="fr-FR"/>
        </w:rPr>
        <w:t>.</w:t>
      </w:r>
      <w:r>
        <w:rPr>
          <w:lang w:val="fr-FR"/>
        </w:rPr>
        <w:t xml:space="preserve"> La loi </w:t>
      </w:r>
      <w:r>
        <w:rPr>
          <w:rFonts w:eastAsia="MS Mincho"/>
          <w:lang w:val="fr-FR"/>
        </w:rPr>
        <w:t>n</w:t>
      </w:r>
      <w:r>
        <w:rPr>
          <w:rFonts w:eastAsia="MS Mincho"/>
          <w:vertAlign w:val="superscript"/>
          <w:lang w:val="fr-FR"/>
        </w:rPr>
        <w:t>o</w:t>
      </w:r>
      <w:r>
        <w:rPr>
          <w:lang w:val="fr-FR"/>
        </w:rPr>
        <w:t xml:space="preserve"> 2003-044 du 28 juillet 2004 portant Code de travail prévoit le relèvement de l’âge minimum d’accès à l’emploi à 15 ans au lieu de 14 ans et fixe le principe que cet âge minimum ne doit pas être inférieur à l’âge auquel cesse la scolarité obligatoire (art. 100). Le travail de nuit et les heures supplémentaires sont interdits jusqu’à l’âge de 18 ans. Les enfants ne peuvent être employés même comme apprentis avant l’âge de 15 ans sans l’autorisation de l’Inspecteur de travail et à condition que le travail ne soit pas nuisible à leur santé et à leur développement intellectuel (art. 102) </w:t>
      </w:r>
    </w:p>
    <w:p w:rsidR="00000000" w:rsidRDefault="00000000">
      <w:pPr>
        <w:pStyle w:val="SingleTxtG"/>
        <w:rPr>
          <w:lang w:val="fr-FR"/>
        </w:rPr>
      </w:pPr>
      <w:r>
        <w:rPr>
          <w:lang w:val="fr-FR"/>
        </w:rPr>
        <w:t>100.</w:t>
      </w:r>
      <w:r>
        <w:rPr>
          <w:lang w:val="fr-FR"/>
        </w:rPr>
        <w:tab/>
        <w:t xml:space="preserve">Le décret </w:t>
      </w:r>
      <w:r>
        <w:rPr>
          <w:rFonts w:eastAsia="MS Mincho"/>
          <w:lang w:val="fr-FR"/>
        </w:rPr>
        <w:t>n</w:t>
      </w:r>
      <w:r>
        <w:rPr>
          <w:rFonts w:eastAsia="MS Mincho"/>
          <w:vertAlign w:val="superscript"/>
          <w:lang w:val="fr-FR"/>
        </w:rPr>
        <w:t>o</w:t>
      </w:r>
      <w:r>
        <w:rPr>
          <w:lang w:val="fr-FR"/>
        </w:rPr>
        <w:t xml:space="preserve"> 2007-563 du 03/07/07 relatif au travail des enfants interdit les travaux domestiques aux enfants de moins de 18 ans et interdit l’emploi des enfants à des travaux dangereux, insalubres et nuisibles pour leur santé (art. 16).</w:t>
      </w:r>
    </w:p>
    <w:p w:rsidR="00000000" w:rsidRDefault="00000000">
      <w:pPr>
        <w:pStyle w:val="SingleTxtG"/>
        <w:rPr>
          <w:lang w:val="fr-FR"/>
        </w:rPr>
      </w:pPr>
      <w:r>
        <w:rPr>
          <w:lang w:val="fr-FR"/>
        </w:rPr>
        <w:t>101.</w:t>
      </w:r>
      <w:r>
        <w:rPr>
          <w:lang w:val="fr-FR"/>
        </w:rPr>
        <w:tab/>
      </w:r>
      <w:r>
        <w:rPr>
          <w:b/>
          <w:lang w:val="fr-FR"/>
        </w:rPr>
        <w:t>Mariage</w:t>
      </w:r>
      <w:r>
        <w:rPr>
          <w:lang w:val="fr-FR"/>
        </w:rPr>
        <w:t xml:space="preserve">. La loi </w:t>
      </w:r>
      <w:r>
        <w:rPr>
          <w:rFonts w:eastAsia="MS Mincho"/>
          <w:lang w:val="fr-FR"/>
        </w:rPr>
        <w:t>n</w:t>
      </w:r>
      <w:r>
        <w:rPr>
          <w:rFonts w:eastAsia="MS Mincho"/>
          <w:vertAlign w:val="superscript"/>
          <w:lang w:val="fr-FR"/>
        </w:rPr>
        <w:t>o</w:t>
      </w:r>
      <w:r>
        <w:rPr>
          <w:lang w:val="fr-FR"/>
        </w:rPr>
        <w:t xml:space="preserve"> 2007-022 du 20 août 2007 relative au mariage uniformise l’âge matrimonial pour les deux sexes à 18 ans, (au lieu de 17 ans pour les garçons et 14 ans pour les filles). Avant cet âge et pour des motifs graves, l’autorité judiciaire peut autoriser le mariage avec le consentement exprès de l’enfant</w:t>
      </w:r>
    </w:p>
    <w:p w:rsidR="00000000" w:rsidRDefault="00000000">
      <w:pPr>
        <w:pStyle w:val="SingleTxtG"/>
        <w:rPr>
          <w:lang w:val="fr-FR"/>
        </w:rPr>
      </w:pPr>
      <w:r>
        <w:rPr>
          <w:lang w:val="fr-FR"/>
        </w:rPr>
        <w:t>102.</w:t>
      </w:r>
      <w:r>
        <w:rPr>
          <w:lang w:val="fr-FR"/>
        </w:rPr>
        <w:tab/>
      </w:r>
      <w:r>
        <w:rPr>
          <w:b/>
          <w:lang w:val="fr-FR"/>
        </w:rPr>
        <w:t>Consentement sexuel</w:t>
      </w:r>
      <w:r>
        <w:rPr>
          <w:lang w:val="fr-FR"/>
        </w:rPr>
        <w:t>. L’âge du consentement sexuel n’est pas fixé légalement. Toutefois, l’âge a été pris en considération pour déterminer certaines infractions liées aux mœurs dans le but de mieux protéger les enfants contre les risques d’abus dans ce domaine. Ainsi le Code pénal a fixé l’âge de moins de 14 ans pour qualifier l’attentat à la pudeur sans violence, qui est puni de cinq à dix d’emprisonnement et d’une amende de deux millions à dix millions ariary.</w:t>
      </w:r>
    </w:p>
    <w:p w:rsidR="00000000" w:rsidRDefault="00000000">
      <w:pPr>
        <w:pStyle w:val="SingleTxtG"/>
        <w:rPr>
          <w:lang w:val="fr-FR"/>
        </w:rPr>
      </w:pPr>
      <w:r>
        <w:rPr>
          <w:lang w:val="fr-FR"/>
        </w:rPr>
        <w:t>103.</w:t>
      </w:r>
      <w:r>
        <w:rPr>
          <w:lang w:val="fr-FR"/>
        </w:rPr>
        <w:tab/>
        <w:t xml:space="preserve">Par ailleurs, le viol commis sur la personne d’un enfant au dessous de l’âge de 15 ans </w:t>
      </w:r>
      <w:r>
        <w:rPr>
          <w:bCs/>
          <w:lang w:val="fr-FR"/>
        </w:rPr>
        <w:t xml:space="preserve">accomplis </w:t>
      </w:r>
      <w:r>
        <w:rPr>
          <w:lang w:val="fr-FR"/>
        </w:rPr>
        <w:t xml:space="preserve">… est puni d’une peine des travaux forcés à temps. </w:t>
      </w:r>
    </w:p>
    <w:p w:rsidR="00000000" w:rsidRDefault="00000000">
      <w:pPr>
        <w:pStyle w:val="SingleTxtG"/>
        <w:rPr>
          <w:lang w:val="fr-FR"/>
        </w:rPr>
      </w:pPr>
      <w:r>
        <w:rPr>
          <w:lang w:val="fr-FR"/>
        </w:rPr>
        <w:t>104.</w:t>
      </w:r>
      <w:r>
        <w:rPr>
          <w:lang w:val="fr-FR"/>
        </w:rPr>
        <w:tab/>
        <w:t>Les peines sont aggravées dans les cas de proxénétisme, enlèvement et détournement de mineur sur victime de moins de 18 ans.</w:t>
      </w:r>
    </w:p>
    <w:p w:rsidR="00000000" w:rsidRDefault="00000000">
      <w:pPr>
        <w:pStyle w:val="SingleTxtG"/>
        <w:rPr>
          <w:lang w:val="fr-FR"/>
        </w:rPr>
      </w:pPr>
      <w:r>
        <w:rPr>
          <w:lang w:val="fr-FR"/>
        </w:rPr>
        <w:t>105.</w:t>
      </w:r>
      <w:r>
        <w:rPr>
          <w:lang w:val="fr-FR"/>
        </w:rPr>
        <w:tab/>
      </w:r>
      <w:r>
        <w:rPr>
          <w:b/>
          <w:lang w:val="fr-FR"/>
        </w:rPr>
        <w:t>Adoption plénière</w:t>
      </w:r>
      <w:r>
        <w:rPr>
          <w:lang w:val="fr-FR"/>
        </w:rPr>
        <w:t>. L’âge limite pour l’adoption plénière est désormais de 12 ans ou lieu de 10, pour permettre une meilleure prise en compte de l’opinion de l’enfant.</w:t>
      </w:r>
    </w:p>
    <w:p w:rsidR="00000000" w:rsidRDefault="00000000">
      <w:pPr>
        <w:pStyle w:val="SingleTxtG"/>
        <w:rPr>
          <w:lang w:val="fr-FR"/>
        </w:rPr>
      </w:pPr>
      <w:r>
        <w:rPr>
          <w:lang w:val="fr-FR"/>
        </w:rPr>
        <w:t>106.</w:t>
      </w:r>
      <w:r>
        <w:rPr>
          <w:lang w:val="fr-FR"/>
        </w:rPr>
        <w:tab/>
      </w:r>
      <w:r>
        <w:rPr>
          <w:b/>
          <w:lang w:val="fr-FR"/>
        </w:rPr>
        <w:t>Responsabilité pénale et détention des mineurs</w:t>
      </w:r>
      <w:r>
        <w:rPr>
          <w:lang w:val="fr-FR"/>
        </w:rPr>
        <w:t xml:space="preserve">. Dans ce domaine, il a été recommandé aux magistrats de ne recourir à la mise en détention des mineurs que dans des cas exceptionnels. Ainsi ils doivent prioriser les mesures éducatives ou de rééducation dans ces centres. La loi </w:t>
      </w:r>
      <w:r>
        <w:rPr>
          <w:rFonts w:eastAsia="MS Mincho"/>
          <w:lang w:val="fr-FR"/>
        </w:rPr>
        <w:t>n</w:t>
      </w:r>
      <w:r>
        <w:rPr>
          <w:rFonts w:eastAsia="MS Mincho"/>
          <w:vertAlign w:val="superscript"/>
          <w:lang w:val="fr-FR"/>
        </w:rPr>
        <w:t>o</w:t>
      </w:r>
      <w:r>
        <w:rPr>
          <w:lang w:val="fr-FR"/>
        </w:rPr>
        <w:t xml:space="preserve"> 2007-021 du 30 juillet 2007 modifie et complète certaines dispositions du Code de procédure pénale dans l’objectif de diminuer le nombre de personnes en détention préventive et accélérer les procédures incluant les mineurs en détention.</w:t>
      </w:r>
    </w:p>
    <w:p w:rsidR="00000000" w:rsidRDefault="00000000">
      <w:pPr>
        <w:pStyle w:val="SingleTxtG"/>
        <w:rPr>
          <w:iCs/>
          <w:lang w:val="fr-FR"/>
        </w:rPr>
      </w:pPr>
      <w:r>
        <w:rPr>
          <w:lang w:val="fr-FR"/>
        </w:rPr>
        <w:t>107.</w:t>
      </w:r>
      <w:r>
        <w:rPr>
          <w:lang w:val="fr-FR"/>
        </w:rPr>
        <w:tab/>
      </w:r>
      <w:r>
        <w:rPr>
          <w:b/>
          <w:lang w:val="fr-FR"/>
        </w:rPr>
        <w:t>Culture</w:t>
      </w:r>
      <w:r>
        <w:rPr>
          <w:lang w:val="fr-FR"/>
        </w:rPr>
        <w:t xml:space="preserve">. Dans le but de protéger l’enfant contre les effets pervers des certaines productions audio-visuelles, la nouvelle loi </w:t>
      </w:r>
      <w:r>
        <w:rPr>
          <w:rFonts w:eastAsia="MS Mincho"/>
          <w:lang w:val="fr-FR"/>
        </w:rPr>
        <w:t>n</w:t>
      </w:r>
      <w:r>
        <w:rPr>
          <w:rFonts w:eastAsia="MS Mincho"/>
          <w:vertAlign w:val="superscript"/>
          <w:lang w:val="fr-FR"/>
        </w:rPr>
        <w:t>o</w:t>
      </w:r>
      <w:r>
        <w:rPr>
          <w:lang w:val="fr-FR"/>
        </w:rPr>
        <w:t xml:space="preserve"> 2007-038 du 14 janvier 2008, modifiant et complétant certaines dispositions du Code pénal sur la lutte contre la traite des personnes et le tourisme sexuel en son article 335.1 alinéa 3 dispose que </w:t>
      </w:r>
      <w:r>
        <w:rPr>
          <w:i/>
          <w:lang w:val="fr-FR"/>
        </w:rPr>
        <w:t>«</w:t>
      </w:r>
      <w:r>
        <w:rPr>
          <w:i/>
          <w:iCs/>
          <w:lang w:val="fr-FR"/>
        </w:rPr>
        <w:t>la pornographie</w:t>
      </w:r>
      <w:r>
        <w:rPr>
          <w:lang w:val="fr-FR"/>
        </w:rPr>
        <w:t xml:space="preserve"> </w:t>
      </w:r>
      <w:r>
        <w:rPr>
          <w:i/>
          <w:iCs/>
          <w:lang w:val="fr-FR"/>
        </w:rPr>
        <w:t>mettant en scène des enfants, par toute représentation et par quelque moyen que ce soit, ou la détention de matériel pornographique impliquant des enfants est punie des peines prévues par l’article 334 du Code Pénal.»</w:t>
      </w:r>
      <w:r>
        <w:rPr>
          <w:iCs/>
          <w:lang w:val="fr-FR"/>
        </w:rPr>
        <w:t>.</w:t>
      </w:r>
    </w:p>
    <w:p w:rsidR="00000000" w:rsidRDefault="00000000">
      <w:pPr>
        <w:pStyle w:val="SingleTxtG"/>
        <w:rPr>
          <w:lang w:val="fr-FR"/>
        </w:rPr>
      </w:pPr>
      <w:r>
        <w:rPr>
          <w:lang w:val="fr-FR"/>
        </w:rPr>
        <w:t>108.</w:t>
      </w:r>
      <w:r>
        <w:rPr>
          <w:lang w:val="fr-FR"/>
        </w:rPr>
        <w:tab/>
      </w:r>
      <w:r>
        <w:rPr>
          <w:bCs/>
          <w:lang w:val="fr-FR"/>
        </w:rPr>
        <w:t>Le</w:t>
      </w:r>
      <w:r>
        <w:rPr>
          <w:lang w:val="fr-FR"/>
        </w:rPr>
        <w:t xml:space="preserve"> décret </w:t>
      </w:r>
      <w:r>
        <w:rPr>
          <w:rFonts w:eastAsia="MS Mincho"/>
          <w:lang w:val="fr-FR"/>
        </w:rPr>
        <w:t>n</w:t>
      </w:r>
      <w:r>
        <w:rPr>
          <w:rFonts w:eastAsia="MS Mincho"/>
          <w:vertAlign w:val="superscript"/>
          <w:lang w:val="fr-FR"/>
        </w:rPr>
        <w:t>o</w:t>
      </w:r>
      <w:r>
        <w:rPr>
          <w:lang w:val="fr-FR"/>
        </w:rPr>
        <w:t xml:space="preserve"> 2000-112 du 6 février 2000 fixant les principes généraux sur </w:t>
      </w:r>
      <w:r>
        <w:rPr>
          <w:bCs/>
          <w:lang w:val="fr-FR"/>
        </w:rPr>
        <w:t>l’exploitation</w:t>
      </w:r>
      <w:r>
        <w:rPr>
          <w:lang w:val="fr-FR"/>
        </w:rPr>
        <w:t xml:space="preserve"> des œuvres cinématographiques prévoit en son article 25 le classement en trois catégories des films cinématographiques sur tous supports destinés à l’exploitation commerciale:</w:t>
      </w:r>
    </w:p>
    <w:p w:rsidR="00000000" w:rsidRDefault="00000000">
      <w:pPr>
        <w:pStyle w:val="Bullet1G"/>
        <w:rPr>
          <w:lang w:val="fr-FR"/>
        </w:rPr>
      </w:pPr>
      <w:r>
        <w:rPr>
          <w:lang w:val="fr-FR"/>
        </w:rPr>
        <w:t>Strictement pour adulte (interdit au moins de 18 ans);</w:t>
      </w:r>
    </w:p>
    <w:p w:rsidR="00000000" w:rsidRDefault="00000000">
      <w:pPr>
        <w:pStyle w:val="Bullet1G"/>
        <w:rPr>
          <w:lang w:val="fr-FR"/>
        </w:rPr>
      </w:pPr>
      <w:r>
        <w:rPr>
          <w:lang w:val="fr-FR"/>
        </w:rPr>
        <w:t>Pour adulte et adolescent (interdit au moins de treize ans);</w:t>
      </w:r>
    </w:p>
    <w:p w:rsidR="00000000" w:rsidRDefault="00000000">
      <w:pPr>
        <w:pStyle w:val="Bullet1G"/>
        <w:rPr>
          <w:lang w:val="fr-FR"/>
        </w:rPr>
      </w:pPr>
      <w:r>
        <w:rPr>
          <w:lang w:val="fr-FR"/>
        </w:rPr>
        <w:t>Pour tout public.</w:t>
      </w:r>
    </w:p>
    <w:p w:rsidR="00000000" w:rsidRDefault="00000000">
      <w:pPr>
        <w:pStyle w:val="SingleTxtG"/>
        <w:rPr>
          <w:lang w:val="fr-FR"/>
        </w:rPr>
      </w:pPr>
      <w:r>
        <w:rPr>
          <w:lang w:val="fr-FR"/>
        </w:rPr>
        <w:t>109.</w:t>
      </w:r>
      <w:r>
        <w:rPr>
          <w:lang w:val="fr-FR"/>
        </w:rPr>
        <w:tab/>
      </w:r>
      <w:r>
        <w:rPr>
          <w:bCs/>
          <w:lang w:val="fr-FR"/>
        </w:rPr>
        <w:t>Par</w:t>
      </w:r>
      <w:r>
        <w:rPr>
          <w:lang w:val="fr-FR"/>
        </w:rPr>
        <w:t xml:space="preserve"> ailleurs l’article 39 de la loi </w:t>
      </w:r>
      <w:r>
        <w:rPr>
          <w:rFonts w:eastAsia="MS Mincho"/>
          <w:lang w:val="fr-FR"/>
        </w:rPr>
        <w:t>n</w:t>
      </w:r>
      <w:r>
        <w:rPr>
          <w:rFonts w:eastAsia="MS Mincho"/>
          <w:vertAlign w:val="superscript"/>
          <w:lang w:val="fr-FR"/>
        </w:rPr>
        <w:t>o</w:t>
      </w:r>
      <w:r>
        <w:rPr>
          <w:lang w:val="fr-FR"/>
        </w:rPr>
        <w:t xml:space="preserve"> 90-031 du 21 décembre 1990 sur la Communication interdit la projection publique de films à caractère pornographiques, les films prônant la violence et le racisme, les films portant atteinte au bon ordre, à la sécurité publique et à la tranquillité, les films qui impressionnent défavorablement sur le plan moral ou physique. En d’autres termes, les films pouvant compromettre le développement de l’enfant. </w:t>
      </w:r>
    </w:p>
    <w:p w:rsidR="00000000" w:rsidRDefault="00000000">
      <w:pPr>
        <w:pStyle w:val="SingleTxtG"/>
        <w:rPr>
          <w:lang w:val="fr-FR"/>
        </w:rPr>
      </w:pPr>
      <w:r>
        <w:rPr>
          <w:lang w:val="fr-FR"/>
        </w:rPr>
        <w:t>110.</w:t>
      </w:r>
      <w:r>
        <w:rPr>
          <w:lang w:val="fr-FR"/>
        </w:rPr>
        <w:tab/>
      </w:r>
      <w:r>
        <w:rPr>
          <w:b/>
          <w:lang w:val="fr-FR"/>
        </w:rPr>
        <w:t xml:space="preserve">Consommation de boissons alcooliques. </w:t>
      </w:r>
      <w:r>
        <w:rPr>
          <w:lang w:val="fr-FR"/>
        </w:rPr>
        <w:t xml:space="preserve">Les articles 7 et 10 de La loi </w:t>
      </w:r>
      <w:r>
        <w:rPr>
          <w:rFonts w:eastAsia="MS Mincho"/>
          <w:lang w:val="fr-FR"/>
        </w:rPr>
        <w:t>n</w:t>
      </w:r>
      <w:r>
        <w:rPr>
          <w:rFonts w:eastAsia="MS Mincho"/>
          <w:vertAlign w:val="superscript"/>
          <w:lang w:val="fr-FR"/>
        </w:rPr>
        <w:t>o</w:t>
      </w:r>
      <w:r>
        <w:rPr>
          <w:lang w:val="fr-FR"/>
        </w:rPr>
        <w:t xml:space="preserve"> 61-053 du 13 décembre 1961 sur la lutte contre l’alcoolisme, interdit et punit </w:t>
      </w:r>
      <w:r>
        <w:rPr>
          <w:iCs/>
          <w:lang w:val="fr-FR"/>
        </w:rPr>
        <w:t>la vente et le fait d’offrir</w:t>
      </w:r>
      <w:r>
        <w:rPr>
          <w:i/>
          <w:iCs/>
          <w:lang w:val="fr-FR"/>
        </w:rPr>
        <w:t xml:space="preserve"> </w:t>
      </w:r>
      <w:r>
        <w:rPr>
          <w:lang w:val="fr-FR"/>
        </w:rPr>
        <w:t>gracieusement à des mineurs de moins de 18 ans des boissons alcooliques.</w:t>
      </w:r>
    </w:p>
    <w:p w:rsidR="00000000" w:rsidRDefault="00000000">
      <w:pPr>
        <w:pStyle w:val="HChG"/>
        <w:rPr>
          <w:lang w:val="fr-FR"/>
        </w:rPr>
      </w:pPr>
      <w:bookmarkStart w:id="201" w:name="_Toc206414491"/>
      <w:bookmarkStart w:id="202" w:name="_Toc206460333"/>
      <w:bookmarkStart w:id="203" w:name="_Toc206460665"/>
      <w:bookmarkStart w:id="204" w:name="_Toc206461387"/>
      <w:bookmarkStart w:id="205" w:name="_Toc206476181"/>
      <w:bookmarkStart w:id="206" w:name="_Toc207788716"/>
      <w:bookmarkStart w:id="207" w:name="_Toc211835387"/>
      <w:bookmarkStart w:id="208" w:name="_Toc211926694"/>
      <w:r>
        <w:rPr>
          <w:lang w:val="fr-FR"/>
        </w:rPr>
        <w:tab/>
      </w:r>
      <w:bookmarkStart w:id="209" w:name="_Toc260298221"/>
      <w:r>
        <w:rPr>
          <w:lang w:val="fr-FR"/>
        </w:rPr>
        <w:t>III.</w:t>
      </w:r>
      <w:r>
        <w:rPr>
          <w:lang w:val="fr-FR"/>
        </w:rPr>
        <w:tab/>
      </w:r>
      <w:r>
        <w:t xml:space="preserve">Principes </w:t>
      </w:r>
      <w:bookmarkEnd w:id="201"/>
      <w:bookmarkEnd w:id="202"/>
      <w:bookmarkEnd w:id="203"/>
      <w:bookmarkEnd w:id="204"/>
      <w:bookmarkEnd w:id="205"/>
      <w:bookmarkEnd w:id="206"/>
      <w:bookmarkEnd w:id="207"/>
      <w:bookmarkEnd w:id="208"/>
      <w:r>
        <w:t>généraux</w:t>
      </w:r>
      <w:bookmarkEnd w:id="209"/>
    </w:p>
    <w:p w:rsidR="00000000" w:rsidRDefault="00000000">
      <w:pPr>
        <w:pStyle w:val="H1G"/>
        <w:rPr>
          <w:lang w:val="fr-FR"/>
        </w:rPr>
      </w:pPr>
      <w:bookmarkStart w:id="210" w:name="_Toc206414492"/>
      <w:bookmarkStart w:id="211" w:name="_Toc206460334"/>
      <w:bookmarkStart w:id="212" w:name="_Toc206460666"/>
      <w:bookmarkStart w:id="213" w:name="_Toc206461388"/>
      <w:bookmarkStart w:id="214" w:name="_Toc206476182"/>
      <w:bookmarkStart w:id="215" w:name="_Toc207788717"/>
      <w:bookmarkStart w:id="216" w:name="_Toc211835388"/>
      <w:bookmarkStart w:id="217" w:name="_Toc211926695"/>
      <w:r>
        <w:rPr>
          <w:lang w:val="fr-FR"/>
        </w:rPr>
        <w:tab/>
      </w:r>
      <w:bookmarkStart w:id="218" w:name="_Toc260298222"/>
      <w:r>
        <w:rPr>
          <w:lang w:val="fr-FR"/>
        </w:rPr>
        <w:t>A.</w:t>
      </w:r>
      <w:r>
        <w:rPr>
          <w:lang w:val="fr-FR"/>
        </w:rPr>
        <w:tab/>
        <w:t>Principe de non-discrimination</w:t>
      </w:r>
      <w:bookmarkEnd w:id="210"/>
      <w:bookmarkEnd w:id="211"/>
      <w:bookmarkEnd w:id="212"/>
      <w:bookmarkEnd w:id="213"/>
      <w:bookmarkEnd w:id="214"/>
      <w:bookmarkEnd w:id="215"/>
      <w:bookmarkEnd w:id="216"/>
      <w:bookmarkEnd w:id="217"/>
      <w:bookmarkEnd w:id="218"/>
    </w:p>
    <w:p w:rsidR="00000000" w:rsidRDefault="00000000">
      <w:pPr>
        <w:pStyle w:val="SingleTxtG"/>
        <w:rPr>
          <w:lang w:val="fr-FR"/>
        </w:rPr>
      </w:pPr>
      <w:r>
        <w:rPr>
          <w:lang w:val="fr-FR"/>
        </w:rPr>
        <w:t>111.</w:t>
      </w:r>
      <w:r>
        <w:rPr>
          <w:lang w:val="fr-FR"/>
        </w:rPr>
        <w:tab/>
        <w:t>La prise en compte de ce principe est concrétisée par les réformes réalisées dans le domaine législatif, réglementaire et autres.</w:t>
      </w:r>
    </w:p>
    <w:p w:rsidR="00000000" w:rsidRDefault="00000000">
      <w:pPr>
        <w:pStyle w:val="H23G"/>
        <w:rPr>
          <w:lang w:val="fr-FR"/>
        </w:rPr>
      </w:pPr>
      <w:bookmarkStart w:id="219" w:name="_Toc206414493"/>
      <w:bookmarkStart w:id="220" w:name="_Toc206460335"/>
      <w:bookmarkStart w:id="221" w:name="_Toc206460667"/>
      <w:bookmarkStart w:id="222" w:name="_Toc206461389"/>
      <w:bookmarkStart w:id="223" w:name="_Toc206476183"/>
      <w:bookmarkStart w:id="224" w:name="_Toc207788718"/>
      <w:bookmarkStart w:id="225" w:name="_Toc211835389"/>
      <w:bookmarkStart w:id="226" w:name="_Toc211926696"/>
      <w:r>
        <w:rPr>
          <w:lang w:val="fr-FR"/>
        </w:rPr>
        <w:tab/>
        <w:t>1.</w:t>
      </w:r>
      <w:r>
        <w:rPr>
          <w:lang w:val="fr-FR"/>
        </w:rPr>
        <w:tab/>
        <w:t>Mesures d’ordre législatif et réglementaire</w:t>
      </w:r>
      <w:bookmarkEnd w:id="219"/>
      <w:bookmarkEnd w:id="220"/>
      <w:bookmarkEnd w:id="221"/>
      <w:bookmarkEnd w:id="222"/>
      <w:bookmarkEnd w:id="223"/>
      <w:bookmarkEnd w:id="224"/>
      <w:bookmarkEnd w:id="225"/>
      <w:bookmarkEnd w:id="226"/>
    </w:p>
    <w:p w:rsidR="00000000" w:rsidRDefault="00000000">
      <w:pPr>
        <w:pStyle w:val="SingleTxtG"/>
        <w:rPr>
          <w:lang w:val="fr-FR"/>
        </w:rPr>
      </w:pPr>
      <w:r>
        <w:rPr>
          <w:lang w:val="fr-FR"/>
        </w:rPr>
        <w:t>112.</w:t>
      </w:r>
      <w:r>
        <w:rPr>
          <w:lang w:val="fr-FR"/>
        </w:rPr>
        <w:tab/>
        <w:t xml:space="preserve">Les lois </w:t>
      </w:r>
      <w:r>
        <w:rPr>
          <w:rFonts w:eastAsia="MS Mincho"/>
          <w:lang w:val="fr-FR"/>
        </w:rPr>
        <w:t>n</w:t>
      </w:r>
      <w:r>
        <w:rPr>
          <w:rFonts w:eastAsia="MS Mincho"/>
          <w:vertAlign w:val="superscript"/>
          <w:lang w:val="fr-FR"/>
        </w:rPr>
        <w:t>o</w:t>
      </w:r>
      <w:r>
        <w:rPr>
          <w:lang w:val="fr-FR"/>
        </w:rPr>
        <w:t xml:space="preserve"> 2005-014 du 7 septembre 2005 relative à l’adoption ainsi que la loi </w:t>
      </w:r>
      <w:r>
        <w:rPr>
          <w:rFonts w:eastAsia="MS Mincho"/>
          <w:lang w:val="fr-FR"/>
        </w:rPr>
        <w:t>n</w:t>
      </w:r>
      <w:r>
        <w:rPr>
          <w:rFonts w:eastAsia="MS Mincho"/>
          <w:vertAlign w:val="superscript"/>
          <w:lang w:val="fr-FR"/>
        </w:rPr>
        <w:t>o</w:t>
      </w:r>
      <w:r>
        <w:rPr>
          <w:rFonts w:eastAsia="MS Mincho"/>
          <w:lang w:val="fr-FR"/>
        </w:rPr>
        <w:t> </w:t>
      </w:r>
      <w:r>
        <w:rPr>
          <w:lang w:val="fr-FR"/>
        </w:rPr>
        <w:t>2007</w:t>
      </w:r>
      <w:r>
        <w:rPr>
          <w:lang w:val="fr-FR"/>
        </w:rPr>
        <w:noBreakHyphen/>
        <w:t>023 sur les droits et la protection des enfants comportent des dispositions excluant la discrimination</w:t>
      </w:r>
    </w:p>
    <w:p w:rsidR="00000000" w:rsidRDefault="00000000">
      <w:pPr>
        <w:pStyle w:val="SingleTxtG"/>
        <w:rPr>
          <w:lang w:val="fr-FR"/>
        </w:rPr>
      </w:pPr>
      <w:r>
        <w:rPr>
          <w:lang w:val="fr-FR"/>
        </w:rPr>
        <w:t>113.</w:t>
      </w:r>
      <w:r>
        <w:rPr>
          <w:lang w:val="fr-FR"/>
        </w:rPr>
        <w:tab/>
        <w:t xml:space="preserve">Il en est de même en matière de mariage, d’autorité parentale, de la santé et de la situation des handicapés: </w:t>
      </w:r>
    </w:p>
    <w:p w:rsidR="00000000" w:rsidRDefault="00000000">
      <w:pPr>
        <w:pStyle w:val="Bullet1G"/>
        <w:rPr>
          <w:lang w:val="fr-FR"/>
        </w:rPr>
      </w:pPr>
      <w:r>
        <w:rPr>
          <w:lang w:val="fr-FR"/>
        </w:rPr>
        <w:t xml:space="preserve">La loi </w:t>
      </w:r>
      <w:r>
        <w:rPr>
          <w:rFonts w:eastAsia="MS Mincho"/>
          <w:lang w:val="fr-FR"/>
        </w:rPr>
        <w:t>n</w:t>
      </w:r>
      <w:r>
        <w:rPr>
          <w:rFonts w:eastAsia="MS Mincho"/>
          <w:vertAlign w:val="superscript"/>
          <w:lang w:val="fr-FR"/>
        </w:rPr>
        <w:t>o</w:t>
      </w:r>
      <w:r>
        <w:rPr>
          <w:lang w:val="fr-FR"/>
        </w:rPr>
        <w:t xml:space="preserve"> 2007-022 du 20 août 2007 relative au mariage détermine l’âge matrimonial à 18 ans sans discrimination entre les deux sexes; </w:t>
      </w:r>
    </w:p>
    <w:p w:rsidR="00000000" w:rsidRDefault="00000000">
      <w:pPr>
        <w:pStyle w:val="Bullet1G"/>
        <w:rPr>
          <w:lang w:val="fr-FR"/>
        </w:rPr>
      </w:pPr>
      <w:r>
        <w:rPr>
          <w:lang w:val="fr-FR"/>
        </w:rPr>
        <w:t xml:space="preserve">La loi </w:t>
      </w:r>
      <w:r>
        <w:rPr>
          <w:rFonts w:eastAsia="MS Mincho"/>
          <w:lang w:val="fr-FR"/>
        </w:rPr>
        <w:t>n</w:t>
      </w:r>
      <w:r>
        <w:rPr>
          <w:rFonts w:eastAsia="MS Mincho"/>
          <w:vertAlign w:val="superscript"/>
          <w:lang w:val="fr-FR"/>
        </w:rPr>
        <w:t>o</w:t>
      </w:r>
      <w:r>
        <w:rPr>
          <w:lang w:val="fr-FR"/>
        </w:rPr>
        <w:t xml:space="preserve"> 2007-023 du 20 août 2007 sur les droits et la protection de l’enfant prévoit l’exercice conjoint de l’autorité parentale par la mère et le père. La tutelle ne s’ouvre que lorsque tous deux sont décédés où se trouvent dans l’impossibilité d’exercer leurs responsabilités envers leurs enfants;</w:t>
      </w:r>
    </w:p>
    <w:p w:rsidR="00000000" w:rsidRDefault="00000000">
      <w:pPr>
        <w:pStyle w:val="Bullet1G"/>
        <w:rPr>
          <w:lang w:val="fr-FR"/>
        </w:rPr>
      </w:pPr>
      <w:r>
        <w:rPr>
          <w:lang w:val="fr-FR"/>
        </w:rPr>
        <w:t xml:space="preserve">La loi </w:t>
      </w:r>
      <w:r>
        <w:rPr>
          <w:rFonts w:eastAsia="MS Mincho"/>
          <w:lang w:val="fr-FR"/>
        </w:rPr>
        <w:t>n</w:t>
      </w:r>
      <w:r>
        <w:rPr>
          <w:rFonts w:eastAsia="MS Mincho"/>
          <w:vertAlign w:val="superscript"/>
          <w:lang w:val="fr-FR"/>
        </w:rPr>
        <w:t>o</w:t>
      </w:r>
      <w:r>
        <w:rPr>
          <w:lang w:val="fr-FR"/>
        </w:rPr>
        <w:t xml:space="preserve"> 2005-040 du 20 février 2006 sur le VIH/sida protège les personnes et les enfants vivant avec le VIH/sida, y compris les partenaires et des membres de la famille proche, contre toute forme de discrimination;</w:t>
      </w:r>
    </w:p>
    <w:p w:rsidR="00000000" w:rsidRDefault="00000000">
      <w:pPr>
        <w:pStyle w:val="Bullet1G"/>
        <w:rPr>
          <w:lang w:val="fr-FR"/>
        </w:rPr>
      </w:pPr>
      <w:r>
        <w:rPr>
          <w:lang w:val="fr-FR"/>
        </w:rPr>
        <w:t xml:space="preserve">Le décret </w:t>
      </w:r>
      <w:r>
        <w:rPr>
          <w:rFonts w:eastAsia="MS Mincho"/>
          <w:lang w:val="fr-FR"/>
        </w:rPr>
        <w:t>n</w:t>
      </w:r>
      <w:r>
        <w:rPr>
          <w:rFonts w:eastAsia="MS Mincho"/>
          <w:vertAlign w:val="superscript"/>
          <w:lang w:val="fr-FR"/>
        </w:rPr>
        <w:t>o</w:t>
      </w:r>
      <w:r>
        <w:rPr>
          <w:lang w:val="fr-FR"/>
        </w:rPr>
        <w:t xml:space="preserve"> 2001-162 portant application de la loi </w:t>
      </w:r>
      <w:r>
        <w:rPr>
          <w:rFonts w:eastAsia="MS Mincho"/>
          <w:lang w:val="fr-FR"/>
        </w:rPr>
        <w:t>n</w:t>
      </w:r>
      <w:r>
        <w:rPr>
          <w:rFonts w:eastAsia="MS Mincho"/>
          <w:vertAlign w:val="superscript"/>
          <w:lang w:val="fr-FR"/>
        </w:rPr>
        <w:t>o</w:t>
      </w:r>
      <w:r>
        <w:rPr>
          <w:lang w:val="fr-FR"/>
        </w:rPr>
        <w:t xml:space="preserve"> 97-044 sur les droits des personnes avec des handicaps vise à éradiquer toute forme de discrimination des personnes avec des handicaps en matière des droits sociaux.</w:t>
      </w:r>
    </w:p>
    <w:p w:rsidR="00000000" w:rsidRDefault="00000000">
      <w:pPr>
        <w:pStyle w:val="H23G"/>
        <w:rPr>
          <w:i/>
          <w:lang w:val="fr-FR"/>
        </w:rPr>
      </w:pPr>
      <w:bookmarkStart w:id="227" w:name="_Toc206414494"/>
      <w:bookmarkStart w:id="228" w:name="_Toc206460336"/>
      <w:bookmarkStart w:id="229" w:name="_Toc206460668"/>
      <w:bookmarkStart w:id="230" w:name="_Toc206461390"/>
      <w:bookmarkStart w:id="231" w:name="_Toc206476184"/>
      <w:bookmarkStart w:id="232" w:name="_Toc207788719"/>
      <w:bookmarkStart w:id="233" w:name="_Toc211835390"/>
      <w:bookmarkStart w:id="234" w:name="_Toc211926697"/>
      <w:r>
        <w:rPr>
          <w:lang w:val="fr-FR"/>
        </w:rPr>
        <w:tab/>
        <w:t>2.</w:t>
      </w:r>
      <w:r>
        <w:rPr>
          <w:lang w:val="fr-FR"/>
        </w:rPr>
        <w:tab/>
        <w:t>Mesures d’ordre</w:t>
      </w:r>
      <w:r>
        <w:rPr>
          <w:i/>
          <w:lang w:val="fr-FR"/>
        </w:rPr>
        <w:t xml:space="preserve"> </w:t>
      </w:r>
      <w:r>
        <w:rPr>
          <w:lang w:val="fr-FR"/>
        </w:rPr>
        <w:t>administratif</w:t>
      </w:r>
      <w:bookmarkEnd w:id="227"/>
      <w:bookmarkEnd w:id="228"/>
      <w:bookmarkEnd w:id="229"/>
      <w:bookmarkEnd w:id="230"/>
      <w:bookmarkEnd w:id="231"/>
      <w:bookmarkEnd w:id="232"/>
      <w:bookmarkEnd w:id="233"/>
      <w:bookmarkEnd w:id="234"/>
    </w:p>
    <w:p w:rsidR="00000000" w:rsidRDefault="00000000">
      <w:pPr>
        <w:pStyle w:val="SingleTxtG"/>
        <w:rPr>
          <w:lang w:val="fr-FR"/>
        </w:rPr>
      </w:pPr>
      <w:r>
        <w:rPr>
          <w:lang w:val="fr-FR"/>
        </w:rPr>
        <w:t>114.</w:t>
      </w:r>
      <w:r>
        <w:rPr>
          <w:lang w:val="fr-FR"/>
        </w:rPr>
        <w:tab/>
        <w:t>Face à la persistance de la discrimination dont sont victimes les enfants jumeaux de Mananjary, et les jeunes filles de la région Tsimihety, dans le cadre du «Moletry», le Ministère de la justice a engagé des processus de dialogues avec les acteurs locaux incluant les responsables étatiques et non étatiques y compris les autorités traditionnelles pour rechercher les voies et moyens susceptibles de mettre fin aux pratiques discriminatoires à l’encontre des enfants.</w:t>
      </w:r>
    </w:p>
    <w:p w:rsidR="00000000" w:rsidRDefault="00000000">
      <w:pPr>
        <w:pStyle w:val="SingleTxtG"/>
        <w:rPr>
          <w:lang w:val="fr-FR"/>
        </w:rPr>
      </w:pPr>
      <w:r>
        <w:rPr>
          <w:lang w:val="fr-FR"/>
        </w:rPr>
        <w:t>115.</w:t>
      </w:r>
      <w:r>
        <w:rPr>
          <w:lang w:val="fr-FR"/>
        </w:rPr>
        <w:tab/>
        <w:t>Le plan stratégique national de lutte contre le VIH/sida inclut des mesures contre la discrimination des personnes vivant avec le VIH/sida.</w:t>
      </w:r>
    </w:p>
    <w:p w:rsidR="00000000" w:rsidRDefault="00000000">
      <w:pPr>
        <w:pStyle w:val="SingleTxtG"/>
        <w:rPr>
          <w:lang w:val="fr-FR"/>
        </w:rPr>
      </w:pPr>
      <w:r>
        <w:rPr>
          <w:lang w:val="fr-FR"/>
        </w:rPr>
        <w:t>116.</w:t>
      </w:r>
      <w:r>
        <w:rPr>
          <w:lang w:val="fr-FR"/>
        </w:rPr>
        <w:tab/>
        <w:t>En 2007, dans les 22 régions, le MENRS, le MTPC et des stations de radio privées, ont initié des émissions de rattrapage scolaire dans le but de venir en aide aux personnes qui ont du abandonner le système scolaire. Sont surtout ciblées celles vivant dans des zones enclavées.</w:t>
      </w:r>
    </w:p>
    <w:p w:rsidR="00000000" w:rsidRDefault="00000000">
      <w:pPr>
        <w:pStyle w:val="H1G"/>
        <w:rPr>
          <w:lang w:val="fr-FR"/>
        </w:rPr>
      </w:pPr>
      <w:bookmarkStart w:id="235" w:name="_Toc206414495"/>
      <w:bookmarkStart w:id="236" w:name="_Toc206460337"/>
      <w:bookmarkStart w:id="237" w:name="_Toc206460669"/>
      <w:bookmarkStart w:id="238" w:name="_Toc206461391"/>
      <w:bookmarkStart w:id="239" w:name="_Toc206476185"/>
      <w:bookmarkStart w:id="240" w:name="_Toc207788720"/>
      <w:bookmarkStart w:id="241" w:name="_Toc211835391"/>
      <w:bookmarkStart w:id="242" w:name="_Toc211926698"/>
      <w:r>
        <w:rPr>
          <w:lang w:val="fr-FR"/>
        </w:rPr>
        <w:tab/>
      </w:r>
      <w:bookmarkStart w:id="243" w:name="_Toc260298223"/>
      <w:r>
        <w:rPr>
          <w:lang w:val="fr-FR"/>
        </w:rPr>
        <w:t>B.</w:t>
      </w:r>
      <w:r>
        <w:rPr>
          <w:lang w:val="fr-FR"/>
        </w:rPr>
        <w:tab/>
        <w:t>Principe de l’intérêt supérieur de l’enfant</w:t>
      </w:r>
      <w:bookmarkEnd w:id="235"/>
      <w:bookmarkEnd w:id="236"/>
      <w:bookmarkEnd w:id="237"/>
      <w:bookmarkEnd w:id="238"/>
      <w:bookmarkEnd w:id="239"/>
      <w:bookmarkEnd w:id="240"/>
      <w:bookmarkEnd w:id="241"/>
      <w:bookmarkEnd w:id="242"/>
      <w:bookmarkEnd w:id="243"/>
    </w:p>
    <w:p w:rsidR="00000000" w:rsidRDefault="00000000">
      <w:pPr>
        <w:pStyle w:val="SingleTxtG"/>
        <w:rPr>
          <w:lang w:val="fr-FR"/>
        </w:rPr>
      </w:pPr>
      <w:r>
        <w:rPr>
          <w:lang w:val="fr-FR"/>
        </w:rPr>
        <w:t>117.</w:t>
      </w:r>
      <w:r>
        <w:rPr>
          <w:lang w:val="fr-FR"/>
        </w:rPr>
        <w:tab/>
        <w:t>Pour l’application de la Convention, la législation nationale a adopté la prise en compte de l’intérêt supérieur de l’enfant dans différents domaines</w:t>
      </w:r>
    </w:p>
    <w:p w:rsidR="00000000" w:rsidRDefault="00000000">
      <w:pPr>
        <w:pStyle w:val="H23G"/>
        <w:rPr>
          <w:lang w:val="fr-FR"/>
        </w:rPr>
      </w:pPr>
      <w:bookmarkStart w:id="244" w:name="_Toc206414496"/>
      <w:bookmarkStart w:id="245" w:name="_Toc206460338"/>
      <w:bookmarkStart w:id="246" w:name="_Toc206460670"/>
      <w:bookmarkStart w:id="247" w:name="_Toc206461392"/>
      <w:bookmarkStart w:id="248" w:name="_Toc206476186"/>
      <w:bookmarkStart w:id="249" w:name="_Toc207788721"/>
      <w:bookmarkStart w:id="250" w:name="_Toc211835392"/>
      <w:bookmarkStart w:id="251" w:name="_Toc211926699"/>
      <w:r>
        <w:rPr>
          <w:lang w:val="fr-FR"/>
        </w:rPr>
        <w:tab/>
        <w:t>1.</w:t>
      </w:r>
      <w:r>
        <w:rPr>
          <w:lang w:val="fr-FR"/>
        </w:rPr>
        <w:tab/>
        <w:t>Mesures d’ordre législatif et réglementaire</w:t>
      </w:r>
      <w:bookmarkEnd w:id="244"/>
      <w:bookmarkEnd w:id="245"/>
      <w:bookmarkEnd w:id="246"/>
      <w:bookmarkEnd w:id="247"/>
      <w:bookmarkEnd w:id="248"/>
      <w:bookmarkEnd w:id="249"/>
      <w:bookmarkEnd w:id="250"/>
      <w:bookmarkEnd w:id="251"/>
    </w:p>
    <w:p w:rsidR="00000000" w:rsidRDefault="00000000">
      <w:pPr>
        <w:pStyle w:val="SingleTxtG"/>
        <w:rPr>
          <w:lang w:val="fr-FR"/>
        </w:rPr>
      </w:pPr>
      <w:r>
        <w:rPr>
          <w:lang w:val="fr-FR"/>
        </w:rPr>
        <w:t>118.</w:t>
      </w:r>
      <w:r>
        <w:rPr>
          <w:lang w:val="fr-FR"/>
        </w:rPr>
        <w:tab/>
        <w:t>La loi sur les droits et la protection de l’enfant et celle relative à l’adoption prévoient explicitement que dans toute décision à prendre l’intérêt supérieur de l’enfant doit être la considération primordiale.</w:t>
      </w:r>
    </w:p>
    <w:p w:rsidR="00000000" w:rsidRDefault="00000000">
      <w:pPr>
        <w:pStyle w:val="SingleTxtG"/>
        <w:rPr>
          <w:lang w:val="fr-FR"/>
        </w:rPr>
      </w:pPr>
      <w:r>
        <w:rPr>
          <w:lang w:val="fr-FR"/>
        </w:rPr>
        <w:t>119.</w:t>
      </w:r>
      <w:r>
        <w:rPr>
          <w:lang w:val="fr-FR"/>
        </w:rPr>
        <w:tab/>
        <w:t>La loi sur les droits et la protection de l’enfant prévoit que l’enfant capable de discernement soit informé de l’avis d’ouverture d’une procédure ouverte à son encontre et autorise l’utilisation de moyens vidéo pour éviter la répétition de l’audition.</w:t>
      </w:r>
    </w:p>
    <w:p w:rsidR="00000000" w:rsidRDefault="00000000">
      <w:pPr>
        <w:pStyle w:val="H23G"/>
        <w:rPr>
          <w:lang w:val="fr-FR"/>
        </w:rPr>
      </w:pPr>
      <w:bookmarkStart w:id="252" w:name="_Toc206414497"/>
      <w:bookmarkStart w:id="253" w:name="_Toc206460339"/>
      <w:bookmarkStart w:id="254" w:name="_Toc206460671"/>
      <w:bookmarkStart w:id="255" w:name="_Toc206461393"/>
      <w:bookmarkStart w:id="256" w:name="_Toc206476187"/>
      <w:bookmarkStart w:id="257" w:name="_Toc207788722"/>
      <w:bookmarkStart w:id="258" w:name="_Toc211835393"/>
      <w:bookmarkStart w:id="259" w:name="_Toc211926700"/>
      <w:r>
        <w:rPr>
          <w:lang w:val="fr-FR"/>
        </w:rPr>
        <w:tab/>
        <w:t>2.</w:t>
      </w:r>
      <w:r>
        <w:rPr>
          <w:lang w:val="fr-FR"/>
        </w:rPr>
        <w:tab/>
        <w:t>Autres mesures</w:t>
      </w:r>
      <w:bookmarkEnd w:id="252"/>
      <w:bookmarkEnd w:id="253"/>
      <w:bookmarkEnd w:id="254"/>
      <w:bookmarkEnd w:id="255"/>
      <w:bookmarkEnd w:id="256"/>
      <w:bookmarkEnd w:id="257"/>
      <w:bookmarkEnd w:id="258"/>
      <w:bookmarkEnd w:id="259"/>
    </w:p>
    <w:p w:rsidR="00000000" w:rsidRDefault="00000000">
      <w:pPr>
        <w:pStyle w:val="SingleTxtG"/>
        <w:rPr>
          <w:lang w:val="fr-FR"/>
        </w:rPr>
      </w:pPr>
      <w:r>
        <w:rPr>
          <w:lang w:val="fr-FR"/>
        </w:rPr>
        <w:t>120.</w:t>
      </w:r>
      <w:r>
        <w:rPr>
          <w:lang w:val="fr-FR"/>
        </w:rPr>
        <w:tab/>
        <w:t>La prise en considération de l’intérêt supérieur de l’enfant est traduite par l’augmentation des budgets affectés à la réalisation des politiques sociales en matière de santé et d’éducation, et par l’adoption et la mise en œuvre de plans nationaux de promotion des droits de l’enfant. Citons:</w:t>
      </w:r>
    </w:p>
    <w:p w:rsidR="00000000" w:rsidRDefault="00000000">
      <w:pPr>
        <w:pStyle w:val="Bullet1G"/>
        <w:rPr>
          <w:lang w:val="fr-FR"/>
        </w:rPr>
      </w:pPr>
      <w:r>
        <w:rPr>
          <w:lang w:val="fr-FR"/>
        </w:rPr>
        <w:t>Le Plan national de lutte contre le travail des enfants en 2004 et sa mise en œuvre poursuivi lors d’une descente à Nosy Be par une forte délégation composée des ministres de la justice, de la fonction publique et de l’enseignement au mois de juillet 2008;</w:t>
      </w:r>
    </w:p>
    <w:p w:rsidR="00000000" w:rsidRDefault="00000000">
      <w:pPr>
        <w:pStyle w:val="Bullet1G"/>
        <w:rPr>
          <w:lang w:val="fr-FR"/>
        </w:rPr>
      </w:pPr>
      <w:r>
        <w:rPr>
          <w:lang w:val="fr-FR"/>
        </w:rPr>
        <w:t>Le Plan de lutte contre la violence à l’égard des enfants (2007);</w:t>
      </w:r>
    </w:p>
    <w:p w:rsidR="00000000" w:rsidRDefault="00000000">
      <w:pPr>
        <w:pStyle w:val="Bullet1G"/>
        <w:rPr>
          <w:lang w:val="fr-FR"/>
        </w:rPr>
      </w:pPr>
      <w:r>
        <w:rPr>
          <w:lang w:val="fr-FR"/>
        </w:rPr>
        <w:t>Les réseaux de protection des enfants sont aussi des moyens de préserver l’intérêt supérieur de l’enfant à l’échelle locale, en particulier en ce qui concerne la protection contre la violence.</w:t>
      </w:r>
    </w:p>
    <w:p w:rsidR="00000000" w:rsidRDefault="00000000">
      <w:pPr>
        <w:pStyle w:val="SingleTxtG"/>
        <w:rPr>
          <w:lang w:val="fr-FR"/>
        </w:rPr>
      </w:pPr>
      <w:r>
        <w:rPr>
          <w:lang w:val="fr-FR"/>
        </w:rPr>
        <w:t>121.</w:t>
      </w:r>
      <w:r>
        <w:rPr>
          <w:lang w:val="fr-FR"/>
        </w:rPr>
        <w:tab/>
        <w:t>L’augmentation constante des signalements même en ce qui concerne la maltraitance familiale, autrefois sujet tabou, dans les sites des réseaux montre que les acteurs sont de plus en plus conscients de l’intérêt supérieur de l’enfant.</w:t>
      </w:r>
    </w:p>
    <w:p w:rsidR="00000000" w:rsidRDefault="00000000">
      <w:pPr>
        <w:pStyle w:val="H1G"/>
        <w:rPr>
          <w:lang w:val="fr-FR"/>
        </w:rPr>
      </w:pPr>
      <w:bookmarkStart w:id="260" w:name="_Toc206414498"/>
      <w:bookmarkStart w:id="261" w:name="_Toc206460340"/>
      <w:bookmarkStart w:id="262" w:name="_Toc206460672"/>
      <w:bookmarkStart w:id="263" w:name="_Toc206461394"/>
      <w:bookmarkStart w:id="264" w:name="_Toc206476188"/>
      <w:bookmarkStart w:id="265" w:name="_Toc207788723"/>
      <w:bookmarkStart w:id="266" w:name="_Toc211835394"/>
      <w:bookmarkStart w:id="267" w:name="_Toc211926701"/>
      <w:r>
        <w:rPr>
          <w:lang w:val="fr-FR"/>
        </w:rPr>
        <w:tab/>
      </w:r>
      <w:bookmarkStart w:id="268" w:name="_Toc260298224"/>
      <w:r>
        <w:rPr>
          <w:lang w:val="fr-FR"/>
        </w:rPr>
        <w:t>C.</w:t>
      </w:r>
      <w:r>
        <w:rPr>
          <w:lang w:val="fr-FR"/>
        </w:rPr>
        <w:tab/>
        <w:t>Principes du droit à la vie, à la survie et au développement</w:t>
      </w:r>
      <w:bookmarkEnd w:id="260"/>
      <w:bookmarkEnd w:id="261"/>
      <w:bookmarkEnd w:id="262"/>
      <w:bookmarkEnd w:id="263"/>
      <w:bookmarkEnd w:id="264"/>
      <w:bookmarkEnd w:id="265"/>
      <w:bookmarkEnd w:id="266"/>
      <w:bookmarkEnd w:id="267"/>
      <w:bookmarkEnd w:id="268"/>
    </w:p>
    <w:p w:rsidR="00000000" w:rsidRDefault="00000000">
      <w:pPr>
        <w:pStyle w:val="SingleTxtG"/>
        <w:rPr>
          <w:lang w:val="fr-FR"/>
        </w:rPr>
      </w:pPr>
      <w:r>
        <w:rPr>
          <w:lang w:val="fr-FR"/>
        </w:rPr>
        <w:t>122.</w:t>
      </w:r>
      <w:r>
        <w:rPr>
          <w:lang w:val="fr-FR"/>
        </w:rPr>
        <w:tab/>
        <w:t>Pour l’application de ces principes, diverses mesures législatives et réglementaires ont été réalisées.</w:t>
      </w:r>
    </w:p>
    <w:p w:rsidR="00000000" w:rsidRDefault="00000000">
      <w:pPr>
        <w:pStyle w:val="H23G"/>
        <w:rPr>
          <w:lang w:val="fr-FR"/>
        </w:rPr>
      </w:pPr>
      <w:bookmarkStart w:id="269" w:name="_Toc206414499"/>
      <w:bookmarkStart w:id="270" w:name="_Toc206460341"/>
      <w:bookmarkStart w:id="271" w:name="_Toc206460673"/>
      <w:bookmarkStart w:id="272" w:name="_Toc206461395"/>
      <w:bookmarkStart w:id="273" w:name="_Toc206476189"/>
      <w:bookmarkStart w:id="274" w:name="_Toc207788724"/>
      <w:bookmarkStart w:id="275" w:name="_Toc211835395"/>
      <w:bookmarkStart w:id="276" w:name="_Toc211926702"/>
      <w:r>
        <w:rPr>
          <w:lang w:val="fr-FR"/>
        </w:rPr>
        <w:tab/>
        <w:t>1.</w:t>
      </w:r>
      <w:r>
        <w:rPr>
          <w:lang w:val="fr-FR"/>
        </w:rPr>
        <w:tab/>
        <w:t>Mesures d’ordre législatif et réglementaire</w:t>
      </w:r>
      <w:bookmarkEnd w:id="269"/>
      <w:bookmarkEnd w:id="270"/>
      <w:bookmarkEnd w:id="271"/>
      <w:bookmarkEnd w:id="272"/>
      <w:bookmarkEnd w:id="273"/>
      <w:bookmarkEnd w:id="274"/>
      <w:bookmarkEnd w:id="275"/>
      <w:bookmarkEnd w:id="276"/>
    </w:p>
    <w:p w:rsidR="00000000" w:rsidRDefault="00000000">
      <w:pPr>
        <w:pStyle w:val="SingleTxtG"/>
        <w:rPr>
          <w:lang w:val="fr-FR"/>
        </w:rPr>
      </w:pPr>
      <w:r>
        <w:rPr>
          <w:lang w:val="fr-FR"/>
        </w:rPr>
        <w:t>123.</w:t>
      </w:r>
      <w:r>
        <w:rPr>
          <w:lang w:val="fr-FR"/>
        </w:rPr>
        <w:tab/>
        <w:t xml:space="preserve">La Constitution assure à tout individu la protection du droit à l’intégrité, à la santé dès la conception. </w:t>
      </w:r>
    </w:p>
    <w:p w:rsidR="00000000" w:rsidRDefault="00000000">
      <w:pPr>
        <w:pStyle w:val="SingleTxtG"/>
        <w:rPr>
          <w:lang w:val="fr-FR"/>
        </w:rPr>
      </w:pPr>
      <w:r>
        <w:rPr>
          <w:lang w:val="fr-FR"/>
        </w:rPr>
        <w:t>124.</w:t>
      </w:r>
      <w:r>
        <w:rPr>
          <w:lang w:val="fr-FR"/>
        </w:rPr>
        <w:tab/>
        <w:t>En vue de protéger l’enfant, le Code pénal malgache, mis à jour en 2005, réprime les infractions sur l’avortement, l’infanticide, la maltraitance des enfants, l’abandon d’enfant et l’abandon de famille.</w:t>
      </w:r>
    </w:p>
    <w:p w:rsidR="00000000" w:rsidRDefault="00000000">
      <w:pPr>
        <w:pStyle w:val="H23G"/>
        <w:rPr>
          <w:lang w:val="fr-FR"/>
        </w:rPr>
      </w:pPr>
      <w:bookmarkStart w:id="277" w:name="_Toc206414500"/>
      <w:bookmarkStart w:id="278" w:name="_Toc206460342"/>
      <w:bookmarkStart w:id="279" w:name="_Toc206460674"/>
      <w:bookmarkStart w:id="280" w:name="_Toc206461396"/>
      <w:bookmarkStart w:id="281" w:name="_Toc206476190"/>
      <w:bookmarkStart w:id="282" w:name="_Toc207788725"/>
      <w:bookmarkStart w:id="283" w:name="_Toc211835396"/>
      <w:bookmarkStart w:id="284" w:name="_Toc211926703"/>
      <w:r>
        <w:rPr>
          <w:lang w:val="fr-FR"/>
        </w:rPr>
        <w:tab/>
        <w:t>2.</w:t>
      </w:r>
      <w:r>
        <w:rPr>
          <w:lang w:val="fr-FR"/>
        </w:rPr>
        <w:tab/>
        <w:t>Mesures d’ordre administratif</w:t>
      </w:r>
      <w:bookmarkEnd w:id="277"/>
      <w:bookmarkEnd w:id="278"/>
      <w:bookmarkEnd w:id="279"/>
      <w:bookmarkEnd w:id="280"/>
      <w:bookmarkEnd w:id="281"/>
      <w:bookmarkEnd w:id="282"/>
      <w:bookmarkEnd w:id="283"/>
      <w:bookmarkEnd w:id="284"/>
    </w:p>
    <w:p w:rsidR="00000000" w:rsidRDefault="00000000">
      <w:pPr>
        <w:pStyle w:val="SingleTxtG"/>
        <w:rPr>
          <w:lang w:val="fr-FR"/>
        </w:rPr>
      </w:pPr>
      <w:r>
        <w:rPr>
          <w:lang w:val="fr-FR"/>
        </w:rPr>
        <w:t>125.</w:t>
      </w:r>
      <w:r>
        <w:rPr>
          <w:lang w:val="fr-FR"/>
        </w:rPr>
        <w:tab/>
        <w:t>Grâce aux efforts déployés par le Gouvernement en partenariat avec d’autres acteurs œuvrant pour les droits de l’enfant, les taux de mortalité infanto-juvénile et le taux de mortalité infantile ne cessent de baisser</w:t>
      </w:r>
    </w:p>
    <w:p w:rsidR="00000000" w:rsidRDefault="00000000">
      <w:pPr>
        <w:pStyle w:val="SingleTxtG"/>
        <w:spacing w:after="0"/>
      </w:pPr>
      <w:bookmarkStart w:id="285" w:name="_Toc260298225"/>
      <w:r>
        <w:t>Tableau 8</w:t>
      </w:r>
    </w:p>
    <w:p w:rsidR="00000000" w:rsidRDefault="00000000">
      <w:pPr>
        <w:spacing w:after="120"/>
        <w:ind w:left="1134"/>
        <w:rPr>
          <w:b/>
          <w:bCs/>
        </w:rPr>
      </w:pPr>
      <w:r>
        <w:rPr>
          <w:b/>
          <w:bCs/>
        </w:rPr>
        <w:t>Évolution du taux de mortalité infanto-juvénile et taux de mortalité infantile</w:t>
      </w:r>
      <w:bookmarkEnd w:id="285"/>
    </w:p>
    <w:tbl>
      <w:tblPr>
        <w:tblW w:w="7371" w:type="dxa"/>
        <w:tblInd w:w="1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2188"/>
        <w:gridCol w:w="2711"/>
        <w:gridCol w:w="2472"/>
      </w:tblGrid>
      <w:tr w:rsidR="00000000">
        <w:tc>
          <w:tcPr>
            <w:tcW w:w="2188" w:type="dxa"/>
            <w:tcBorders>
              <w:left w:val="nil"/>
              <w:bottom w:val="single" w:sz="12" w:space="0" w:color="auto"/>
              <w:right w:val="nil"/>
            </w:tcBorders>
            <w:shd w:val="clear" w:color="auto" w:fill="auto"/>
            <w:vAlign w:val="bottom"/>
          </w:tcPr>
          <w:p w:rsidR="00000000" w:rsidRDefault="00000000">
            <w:pPr>
              <w:spacing w:before="80" w:after="80" w:line="200" w:lineRule="exact"/>
              <w:rPr>
                <w:bCs/>
                <w:i/>
                <w:sz w:val="16"/>
                <w:szCs w:val="16"/>
              </w:rPr>
            </w:pPr>
            <w:r>
              <w:rPr>
                <w:bCs/>
                <w:i/>
                <w:sz w:val="16"/>
                <w:szCs w:val="16"/>
              </w:rPr>
              <w:t>Année</w:t>
            </w:r>
          </w:p>
        </w:tc>
        <w:tc>
          <w:tcPr>
            <w:tcW w:w="2711" w:type="dxa"/>
            <w:tcBorders>
              <w:left w:val="nil"/>
              <w:bottom w:val="single" w:sz="12" w:space="0" w:color="auto"/>
              <w:right w:val="nil"/>
            </w:tcBorders>
            <w:shd w:val="clear" w:color="auto" w:fill="auto"/>
            <w:vAlign w:val="bottom"/>
          </w:tcPr>
          <w:p w:rsidR="00000000" w:rsidRDefault="00000000">
            <w:pPr>
              <w:spacing w:before="80" w:after="80" w:line="200" w:lineRule="exact"/>
              <w:jc w:val="right"/>
              <w:rPr>
                <w:bCs/>
                <w:i/>
                <w:sz w:val="16"/>
                <w:szCs w:val="16"/>
              </w:rPr>
            </w:pPr>
            <w:r>
              <w:rPr>
                <w:bCs/>
                <w:i/>
                <w:sz w:val="16"/>
                <w:szCs w:val="16"/>
              </w:rPr>
              <w:t>Taux de mortalité infanto-juvénile</w:t>
            </w:r>
          </w:p>
        </w:tc>
        <w:tc>
          <w:tcPr>
            <w:tcW w:w="2472" w:type="dxa"/>
            <w:tcBorders>
              <w:left w:val="nil"/>
              <w:bottom w:val="single" w:sz="12" w:space="0" w:color="auto"/>
              <w:right w:val="nil"/>
            </w:tcBorders>
            <w:shd w:val="clear" w:color="auto" w:fill="auto"/>
            <w:vAlign w:val="bottom"/>
          </w:tcPr>
          <w:p w:rsidR="00000000" w:rsidRDefault="00000000">
            <w:pPr>
              <w:spacing w:before="80" w:after="80" w:line="200" w:lineRule="exact"/>
              <w:jc w:val="right"/>
              <w:rPr>
                <w:bCs/>
                <w:i/>
                <w:sz w:val="16"/>
                <w:szCs w:val="16"/>
              </w:rPr>
            </w:pPr>
            <w:r>
              <w:rPr>
                <w:bCs/>
                <w:i/>
                <w:sz w:val="16"/>
                <w:szCs w:val="16"/>
              </w:rPr>
              <w:t>Taux de mortalité infantile</w:t>
            </w:r>
          </w:p>
        </w:tc>
      </w:tr>
      <w:tr w:rsidR="00000000">
        <w:tc>
          <w:tcPr>
            <w:tcW w:w="2188" w:type="dxa"/>
            <w:tcBorders>
              <w:top w:val="single" w:sz="12" w:space="0" w:color="auto"/>
              <w:left w:val="nil"/>
              <w:bottom w:val="nil"/>
              <w:right w:val="nil"/>
            </w:tcBorders>
            <w:shd w:val="clear" w:color="auto" w:fill="auto"/>
            <w:vAlign w:val="bottom"/>
          </w:tcPr>
          <w:p w:rsidR="00000000" w:rsidRDefault="00000000">
            <w:pPr>
              <w:spacing w:before="40" w:after="40" w:line="220" w:lineRule="exact"/>
              <w:rPr>
                <w:sz w:val="18"/>
                <w:szCs w:val="18"/>
              </w:rPr>
            </w:pPr>
            <w:r>
              <w:rPr>
                <w:sz w:val="18"/>
                <w:szCs w:val="18"/>
              </w:rPr>
              <w:t>1992</w:t>
            </w:r>
          </w:p>
        </w:tc>
        <w:tc>
          <w:tcPr>
            <w:tcW w:w="2711" w:type="dxa"/>
            <w:tcBorders>
              <w:top w:val="single" w:sz="12" w:space="0" w:color="auto"/>
              <w:left w:val="nil"/>
              <w:bottom w:val="nil"/>
              <w:right w:val="nil"/>
            </w:tcBorders>
            <w:vAlign w:val="bottom"/>
          </w:tcPr>
          <w:p w:rsidR="00000000" w:rsidRDefault="00000000">
            <w:pPr>
              <w:spacing w:before="40" w:after="40" w:line="220" w:lineRule="exact"/>
              <w:jc w:val="right"/>
              <w:rPr>
                <w:sz w:val="18"/>
                <w:szCs w:val="18"/>
              </w:rPr>
            </w:pPr>
            <w:r>
              <w:rPr>
                <w:sz w:val="18"/>
                <w:szCs w:val="18"/>
              </w:rPr>
              <w:t>1 630/00</w:t>
            </w:r>
          </w:p>
        </w:tc>
        <w:tc>
          <w:tcPr>
            <w:tcW w:w="2472" w:type="dxa"/>
            <w:tcBorders>
              <w:top w:val="single" w:sz="12" w:space="0" w:color="auto"/>
              <w:left w:val="nil"/>
              <w:bottom w:val="nil"/>
              <w:right w:val="nil"/>
            </w:tcBorders>
            <w:vAlign w:val="bottom"/>
          </w:tcPr>
          <w:p w:rsidR="00000000" w:rsidRDefault="00000000">
            <w:pPr>
              <w:spacing w:before="40" w:after="40" w:line="220" w:lineRule="exact"/>
              <w:jc w:val="right"/>
              <w:rPr>
                <w:sz w:val="18"/>
                <w:szCs w:val="18"/>
              </w:rPr>
            </w:pPr>
            <w:r>
              <w:rPr>
                <w:sz w:val="18"/>
                <w:szCs w:val="18"/>
              </w:rPr>
              <w:t>930/00</w:t>
            </w:r>
          </w:p>
        </w:tc>
      </w:tr>
      <w:tr w:rsidR="00000000">
        <w:tc>
          <w:tcPr>
            <w:tcW w:w="2188" w:type="dxa"/>
            <w:tcBorders>
              <w:top w:val="nil"/>
              <w:left w:val="nil"/>
              <w:bottom w:val="nil"/>
              <w:right w:val="nil"/>
            </w:tcBorders>
            <w:shd w:val="clear" w:color="auto" w:fill="auto"/>
            <w:vAlign w:val="bottom"/>
          </w:tcPr>
          <w:p w:rsidR="00000000" w:rsidRDefault="00000000">
            <w:pPr>
              <w:spacing w:before="40" w:after="40" w:line="220" w:lineRule="exact"/>
              <w:rPr>
                <w:sz w:val="18"/>
                <w:szCs w:val="18"/>
              </w:rPr>
            </w:pPr>
            <w:r>
              <w:rPr>
                <w:sz w:val="18"/>
                <w:szCs w:val="18"/>
              </w:rPr>
              <w:t>1997</w:t>
            </w:r>
          </w:p>
        </w:tc>
        <w:tc>
          <w:tcPr>
            <w:tcW w:w="2711" w:type="dxa"/>
            <w:tcBorders>
              <w:top w:val="nil"/>
              <w:left w:val="nil"/>
              <w:bottom w:val="nil"/>
              <w:right w:val="nil"/>
            </w:tcBorders>
            <w:vAlign w:val="bottom"/>
          </w:tcPr>
          <w:p w:rsidR="00000000" w:rsidRDefault="00000000">
            <w:pPr>
              <w:spacing w:before="40" w:after="40" w:line="220" w:lineRule="exact"/>
              <w:jc w:val="right"/>
              <w:rPr>
                <w:sz w:val="18"/>
                <w:szCs w:val="18"/>
              </w:rPr>
            </w:pPr>
            <w:r>
              <w:rPr>
                <w:sz w:val="18"/>
                <w:szCs w:val="18"/>
              </w:rPr>
              <w:t>1 590/00</w:t>
            </w:r>
          </w:p>
        </w:tc>
        <w:tc>
          <w:tcPr>
            <w:tcW w:w="2472" w:type="dxa"/>
            <w:tcBorders>
              <w:top w:val="nil"/>
              <w:left w:val="nil"/>
              <w:bottom w:val="nil"/>
              <w:right w:val="nil"/>
            </w:tcBorders>
            <w:vAlign w:val="bottom"/>
          </w:tcPr>
          <w:p w:rsidR="00000000" w:rsidRDefault="00000000">
            <w:pPr>
              <w:spacing w:before="40" w:after="40" w:line="220" w:lineRule="exact"/>
              <w:jc w:val="right"/>
              <w:rPr>
                <w:sz w:val="18"/>
                <w:szCs w:val="18"/>
              </w:rPr>
            </w:pPr>
            <w:r>
              <w:rPr>
                <w:sz w:val="18"/>
                <w:szCs w:val="18"/>
              </w:rPr>
              <w:t>960/00</w:t>
            </w:r>
          </w:p>
        </w:tc>
      </w:tr>
      <w:tr w:rsidR="00000000">
        <w:tc>
          <w:tcPr>
            <w:tcW w:w="2188" w:type="dxa"/>
            <w:tcBorders>
              <w:top w:val="nil"/>
              <w:left w:val="nil"/>
              <w:bottom w:val="single" w:sz="12" w:space="0" w:color="auto"/>
              <w:right w:val="nil"/>
            </w:tcBorders>
            <w:shd w:val="clear" w:color="auto" w:fill="auto"/>
            <w:vAlign w:val="bottom"/>
          </w:tcPr>
          <w:p w:rsidR="00000000" w:rsidRDefault="00000000">
            <w:pPr>
              <w:spacing w:before="40" w:after="40" w:line="220" w:lineRule="exact"/>
              <w:rPr>
                <w:sz w:val="18"/>
                <w:szCs w:val="18"/>
              </w:rPr>
            </w:pPr>
            <w:r>
              <w:rPr>
                <w:sz w:val="18"/>
                <w:szCs w:val="18"/>
              </w:rPr>
              <w:t>2003</w:t>
            </w:r>
            <w:r>
              <w:rPr>
                <w:sz w:val="18"/>
                <w:szCs w:val="18"/>
              </w:rPr>
              <w:noBreakHyphen/>
              <w:t>2004</w:t>
            </w:r>
          </w:p>
        </w:tc>
        <w:tc>
          <w:tcPr>
            <w:tcW w:w="2711" w:type="dxa"/>
            <w:tcBorders>
              <w:top w:val="nil"/>
              <w:left w:val="nil"/>
              <w:bottom w:val="single" w:sz="12" w:space="0" w:color="auto"/>
              <w:right w:val="nil"/>
            </w:tcBorders>
            <w:vAlign w:val="bottom"/>
          </w:tcPr>
          <w:p w:rsidR="00000000" w:rsidRDefault="00000000">
            <w:pPr>
              <w:spacing w:before="40" w:after="40" w:line="220" w:lineRule="exact"/>
              <w:jc w:val="right"/>
              <w:rPr>
                <w:sz w:val="18"/>
                <w:szCs w:val="18"/>
              </w:rPr>
            </w:pPr>
            <w:r>
              <w:rPr>
                <w:sz w:val="18"/>
                <w:szCs w:val="18"/>
              </w:rPr>
              <w:t>940/00</w:t>
            </w:r>
          </w:p>
        </w:tc>
        <w:tc>
          <w:tcPr>
            <w:tcW w:w="2472" w:type="dxa"/>
            <w:tcBorders>
              <w:top w:val="nil"/>
              <w:left w:val="nil"/>
              <w:bottom w:val="single" w:sz="12" w:space="0" w:color="auto"/>
              <w:right w:val="nil"/>
            </w:tcBorders>
            <w:vAlign w:val="bottom"/>
          </w:tcPr>
          <w:p w:rsidR="00000000" w:rsidRDefault="00000000">
            <w:pPr>
              <w:spacing w:before="40" w:after="40" w:line="220" w:lineRule="exact"/>
              <w:jc w:val="right"/>
              <w:rPr>
                <w:sz w:val="18"/>
                <w:szCs w:val="18"/>
              </w:rPr>
            </w:pPr>
            <w:r>
              <w:rPr>
                <w:sz w:val="18"/>
                <w:szCs w:val="18"/>
              </w:rPr>
              <w:t>580/00</w:t>
            </w:r>
          </w:p>
        </w:tc>
      </w:tr>
    </w:tbl>
    <w:p w:rsidR="00000000" w:rsidRDefault="00000000">
      <w:pPr>
        <w:spacing w:before="120" w:after="240"/>
        <w:ind w:left="1134" w:firstLine="170"/>
        <w:rPr>
          <w:sz w:val="18"/>
          <w:szCs w:val="18"/>
          <w:lang w:val="fr-FR"/>
        </w:rPr>
      </w:pPr>
      <w:r>
        <w:rPr>
          <w:i/>
          <w:sz w:val="18"/>
          <w:szCs w:val="18"/>
          <w:lang w:val="fr-FR"/>
        </w:rPr>
        <w:t>Source</w:t>
      </w:r>
      <w:r>
        <w:rPr>
          <w:sz w:val="18"/>
          <w:szCs w:val="18"/>
          <w:lang w:val="fr-FR"/>
        </w:rPr>
        <w:t>: INSTAT/DDSS/EDSMD III 2003- 2004.</w:t>
      </w:r>
    </w:p>
    <w:p w:rsidR="00000000" w:rsidRDefault="00000000">
      <w:pPr>
        <w:pStyle w:val="SingleTxtG"/>
        <w:rPr>
          <w:lang w:val="fr-FR"/>
        </w:rPr>
      </w:pPr>
      <w:r>
        <w:rPr>
          <w:lang w:val="fr-FR"/>
        </w:rPr>
        <w:t>126.</w:t>
      </w:r>
      <w:r>
        <w:rPr>
          <w:lang w:val="fr-FR"/>
        </w:rPr>
        <w:tab/>
        <w:t>En ce qui concerne la sécurité alimentaire, le Gouvernement a mis en œuvre un Programme d’Appui nutritionnel des enfants en bas âge (0 à 5 ans) à travers l’Office national de nutrition (ONN) projet SEECALINE. D’autres initiatives dans le cadre de PPP: NUTRIMAD/Restaurants des enfants dans les milieux défavorisés, CRENI, CRENA, pour assurer la récupération nutritionnelle des enfants dénutris.</w:t>
      </w:r>
    </w:p>
    <w:p w:rsidR="00000000" w:rsidRDefault="00000000">
      <w:pPr>
        <w:pStyle w:val="SingleTxtG"/>
        <w:rPr>
          <w:lang w:val="fr-FR"/>
        </w:rPr>
      </w:pPr>
      <w:r>
        <w:rPr>
          <w:lang w:val="fr-FR"/>
        </w:rPr>
        <w:t>127.</w:t>
      </w:r>
      <w:r>
        <w:rPr>
          <w:lang w:val="fr-FR"/>
        </w:rPr>
        <w:tab/>
        <w:t>Dans le cadre de la réduction des taux de mortalité et de morbidité des enfants, des programmes comme WASH, HIP, adduction d’eau potable dans les milieux ruraux en collaboration avec FIKRIFAMA, USAID/CRS, ICCO, UNION EUROPEENNE sont mis en œuvre pour aider les mères</w:t>
      </w:r>
      <w:r>
        <w:rPr>
          <w:i/>
          <w:iCs/>
          <w:lang w:val="fr-FR"/>
        </w:rPr>
        <w:t xml:space="preserve"> </w:t>
      </w:r>
      <w:r>
        <w:rPr>
          <w:lang w:val="fr-FR"/>
        </w:rPr>
        <w:t>ou ceux qui s’occupent de l’enfant.</w:t>
      </w:r>
    </w:p>
    <w:p w:rsidR="00000000" w:rsidRDefault="00000000">
      <w:pPr>
        <w:pStyle w:val="SingleTxtG"/>
        <w:rPr>
          <w:lang w:val="fr-FR"/>
        </w:rPr>
      </w:pPr>
      <w:r>
        <w:rPr>
          <w:lang w:val="fr-FR"/>
        </w:rPr>
        <w:t>128.</w:t>
      </w:r>
      <w:r>
        <w:rPr>
          <w:lang w:val="fr-FR"/>
        </w:rPr>
        <w:tab/>
        <w:t>Dans le cadre du Programme alimentation en eau potable et assainissement en milieu rural (PAEAR), le gouvernement a initié en partenariat avec la BAD un projet dit «Projet Radio» pour le renforcement de capacités des radios locales dans la production et la diffusion de messages portant sur l’eau et l’assainissement, la santé, les AGR, le genre et développement.</w:t>
      </w:r>
    </w:p>
    <w:p w:rsidR="00000000" w:rsidRDefault="00000000">
      <w:pPr>
        <w:pStyle w:val="SingleTxtG"/>
        <w:rPr>
          <w:lang w:val="fr-FR"/>
        </w:rPr>
      </w:pPr>
      <w:r>
        <w:rPr>
          <w:lang w:val="fr-FR"/>
        </w:rPr>
        <w:t>129.</w:t>
      </w:r>
      <w:r>
        <w:rPr>
          <w:lang w:val="fr-FR"/>
        </w:rPr>
        <w:tab/>
        <w:t>Un programme de prise en charge d’orphelins et enfants vulnérables (OEV) est initié par le MSPFPS en collaboration avec le CNLS avec l’appui financier de Global Fund depuis l’année 2004 dans les domaines suivants: scolaire, nutrition, soins primaires, éducation et formation parentale, activités génératrices de revenus des parents repartis dans 11 villes.</w:t>
      </w:r>
    </w:p>
    <w:p w:rsidR="00000000" w:rsidRDefault="00000000">
      <w:pPr>
        <w:pStyle w:val="H1G"/>
        <w:rPr>
          <w:lang w:val="fr-FR"/>
        </w:rPr>
      </w:pPr>
      <w:bookmarkStart w:id="286" w:name="_Toc206414501"/>
      <w:bookmarkStart w:id="287" w:name="_Toc206460343"/>
      <w:bookmarkStart w:id="288" w:name="_Toc206460675"/>
      <w:bookmarkStart w:id="289" w:name="_Toc206461397"/>
      <w:bookmarkStart w:id="290" w:name="_Toc206476191"/>
      <w:bookmarkStart w:id="291" w:name="_Toc207788726"/>
      <w:bookmarkStart w:id="292" w:name="_Toc211835397"/>
      <w:bookmarkStart w:id="293" w:name="_Toc211926704"/>
      <w:r>
        <w:rPr>
          <w:lang w:val="fr-FR"/>
        </w:rPr>
        <w:tab/>
      </w:r>
      <w:bookmarkStart w:id="294" w:name="_Toc260298226"/>
      <w:r>
        <w:rPr>
          <w:lang w:val="fr-FR"/>
        </w:rPr>
        <w:t>D.</w:t>
      </w:r>
      <w:r>
        <w:rPr>
          <w:lang w:val="fr-FR"/>
        </w:rPr>
        <w:tab/>
        <w:t>Principe du respect de l’opinion de l’enfant</w:t>
      </w:r>
      <w:bookmarkEnd w:id="286"/>
      <w:bookmarkEnd w:id="287"/>
      <w:bookmarkEnd w:id="288"/>
      <w:bookmarkEnd w:id="289"/>
      <w:bookmarkEnd w:id="290"/>
      <w:bookmarkEnd w:id="291"/>
      <w:bookmarkEnd w:id="292"/>
      <w:bookmarkEnd w:id="293"/>
      <w:bookmarkEnd w:id="294"/>
    </w:p>
    <w:p w:rsidR="00000000" w:rsidRDefault="00000000">
      <w:pPr>
        <w:pStyle w:val="SingleTxtG"/>
        <w:rPr>
          <w:lang w:val="fr-FR"/>
        </w:rPr>
      </w:pPr>
      <w:r>
        <w:rPr>
          <w:lang w:val="fr-FR"/>
        </w:rPr>
        <w:t>130.</w:t>
      </w:r>
      <w:r>
        <w:rPr>
          <w:lang w:val="fr-FR"/>
        </w:rPr>
        <w:tab/>
        <w:t xml:space="preserve">La liberté d’expression et d’opinion est garantie par la Constitution en son article 10 sans discrimination fondée sur l’âge. En conséquence, il n’y a pas à priori exclusion de protection des mêmes droits au profit des enfants à la condition qu’ils sont reconnus capables de discernement. </w:t>
      </w:r>
    </w:p>
    <w:p w:rsidR="00000000" w:rsidRDefault="00000000">
      <w:pPr>
        <w:pStyle w:val="H23G"/>
        <w:rPr>
          <w:lang w:val="fr-FR"/>
        </w:rPr>
      </w:pPr>
      <w:bookmarkStart w:id="295" w:name="_Toc206414502"/>
      <w:bookmarkStart w:id="296" w:name="_Toc206460344"/>
      <w:bookmarkStart w:id="297" w:name="_Toc206460676"/>
      <w:bookmarkStart w:id="298" w:name="_Toc206461398"/>
      <w:bookmarkStart w:id="299" w:name="_Toc206476192"/>
      <w:bookmarkStart w:id="300" w:name="_Toc207788727"/>
      <w:bookmarkStart w:id="301" w:name="_Toc211835398"/>
      <w:bookmarkStart w:id="302" w:name="_Toc211926705"/>
      <w:r>
        <w:rPr>
          <w:lang w:val="fr-FR"/>
        </w:rPr>
        <w:tab/>
        <w:t>1.</w:t>
      </w:r>
      <w:r>
        <w:rPr>
          <w:lang w:val="fr-FR"/>
        </w:rPr>
        <w:tab/>
        <w:t>Mesures d’ordre législatif et réglementaire</w:t>
      </w:r>
      <w:bookmarkEnd w:id="295"/>
      <w:bookmarkEnd w:id="296"/>
      <w:bookmarkEnd w:id="297"/>
      <w:bookmarkEnd w:id="298"/>
      <w:bookmarkEnd w:id="299"/>
      <w:bookmarkEnd w:id="300"/>
      <w:bookmarkEnd w:id="301"/>
      <w:bookmarkEnd w:id="302"/>
    </w:p>
    <w:p w:rsidR="00000000" w:rsidRDefault="00000000">
      <w:pPr>
        <w:pStyle w:val="SingleTxtG"/>
        <w:rPr>
          <w:lang w:val="fr-FR"/>
        </w:rPr>
      </w:pPr>
      <w:r>
        <w:rPr>
          <w:lang w:val="fr-FR"/>
        </w:rPr>
        <w:t>131.</w:t>
      </w:r>
      <w:r>
        <w:rPr>
          <w:lang w:val="fr-FR"/>
        </w:rPr>
        <w:tab/>
        <w:t>L’article 38 de la loi sur les droits et la protection de l’enfant établit que l’enfant peut assister à titre consultatif lors de la prise de décision de tutelle.</w:t>
      </w:r>
    </w:p>
    <w:p w:rsidR="00000000" w:rsidRDefault="00000000">
      <w:pPr>
        <w:pStyle w:val="SingleTxtG"/>
        <w:rPr>
          <w:lang w:val="fr-FR"/>
        </w:rPr>
      </w:pPr>
      <w:r>
        <w:rPr>
          <w:lang w:val="fr-FR"/>
        </w:rPr>
        <w:t>132.</w:t>
      </w:r>
      <w:r>
        <w:rPr>
          <w:lang w:val="fr-FR"/>
        </w:rPr>
        <w:tab/>
        <w:t>L’article 6 de la loi relative à l’adoption dispose que l’enfant soit informé, consulté et que son opinion soit prise en considération sur toute question l’intéressant.</w:t>
      </w:r>
    </w:p>
    <w:p w:rsidR="00000000" w:rsidRDefault="00000000">
      <w:pPr>
        <w:pStyle w:val="SingleTxtG"/>
        <w:rPr>
          <w:lang w:val="fr-FR"/>
        </w:rPr>
      </w:pPr>
      <w:r>
        <w:rPr>
          <w:lang w:val="fr-FR"/>
        </w:rPr>
        <w:t>133.</w:t>
      </w:r>
      <w:r>
        <w:rPr>
          <w:lang w:val="fr-FR"/>
        </w:rPr>
        <w:tab/>
        <w:t>La loi sur la lutte contre le VIH/sida prévoit qu’en vue d’un dépistage, les enfants en âge de discernement doivent être consultés.</w:t>
      </w:r>
    </w:p>
    <w:p w:rsidR="00000000" w:rsidRDefault="00000000">
      <w:pPr>
        <w:pStyle w:val="SingleTxtG"/>
        <w:rPr>
          <w:lang w:val="fr-FR"/>
        </w:rPr>
      </w:pPr>
      <w:r>
        <w:rPr>
          <w:lang w:val="fr-FR"/>
        </w:rPr>
        <w:t>134.</w:t>
      </w:r>
      <w:r>
        <w:rPr>
          <w:lang w:val="fr-FR"/>
        </w:rPr>
        <w:tab/>
        <w:t>La loi relative au mariage stipule qu’en cas de divorce, la garde des enfants est dévolue conformément à leur intérêt supérieur tout en tenant compte de l’avis des enfants capables de discernement.</w:t>
      </w:r>
    </w:p>
    <w:p w:rsidR="00000000" w:rsidRDefault="00000000">
      <w:pPr>
        <w:pStyle w:val="SingleTxtG"/>
        <w:rPr>
          <w:lang w:val="fr-FR"/>
        </w:rPr>
      </w:pPr>
      <w:r>
        <w:rPr>
          <w:lang w:val="fr-FR"/>
        </w:rPr>
        <w:t>135.</w:t>
      </w:r>
      <w:r>
        <w:rPr>
          <w:lang w:val="fr-FR"/>
        </w:rPr>
        <w:tab/>
        <w:t>Le décret réglementant la famille d’accueil prévoit que l’enfant capable de discernement doit être consulté pour fixer les conditions d’exercice du placement.</w:t>
      </w:r>
    </w:p>
    <w:p w:rsidR="00000000" w:rsidRDefault="00000000">
      <w:pPr>
        <w:pStyle w:val="SingleTxtG"/>
        <w:rPr>
          <w:lang w:val="fr-FR"/>
        </w:rPr>
      </w:pPr>
      <w:r>
        <w:rPr>
          <w:lang w:val="fr-FR"/>
        </w:rPr>
        <w:t>136.</w:t>
      </w:r>
      <w:r>
        <w:rPr>
          <w:lang w:val="fr-FR"/>
        </w:rPr>
        <w:tab/>
        <w:t>L’âge de discernement est laissé à l’appréciation du juge au cas par cas, aux motifs que chaque enfant est différent et que le discernement peut ne pas dépendre exclusivement de l’âge, compte tenu de son milieu et du niveau de son éducation.</w:t>
      </w:r>
    </w:p>
    <w:p w:rsidR="00000000" w:rsidRDefault="00000000">
      <w:pPr>
        <w:pStyle w:val="H23G"/>
        <w:rPr>
          <w:lang w:val="fr-FR"/>
        </w:rPr>
      </w:pPr>
      <w:bookmarkStart w:id="303" w:name="_Toc206414503"/>
      <w:bookmarkStart w:id="304" w:name="_Toc206460345"/>
      <w:bookmarkStart w:id="305" w:name="_Toc206460677"/>
      <w:bookmarkStart w:id="306" w:name="_Toc206461399"/>
      <w:bookmarkStart w:id="307" w:name="_Toc206476193"/>
      <w:bookmarkStart w:id="308" w:name="_Toc207788728"/>
      <w:bookmarkStart w:id="309" w:name="_Toc211835399"/>
      <w:bookmarkStart w:id="310" w:name="_Toc211926706"/>
      <w:r>
        <w:rPr>
          <w:lang w:val="fr-FR"/>
        </w:rPr>
        <w:tab/>
        <w:t>2.</w:t>
      </w:r>
      <w:r>
        <w:rPr>
          <w:lang w:val="fr-FR"/>
        </w:rPr>
        <w:tab/>
        <w:t>Mesures d’ordre administratif</w:t>
      </w:r>
      <w:bookmarkEnd w:id="303"/>
      <w:bookmarkEnd w:id="304"/>
      <w:bookmarkEnd w:id="305"/>
      <w:bookmarkEnd w:id="306"/>
      <w:bookmarkEnd w:id="307"/>
      <w:bookmarkEnd w:id="308"/>
      <w:bookmarkEnd w:id="309"/>
      <w:bookmarkEnd w:id="310"/>
    </w:p>
    <w:p w:rsidR="00000000" w:rsidRDefault="00000000">
      <w:pPr>
        <w:pStyle w:val="H4G"/>
        <w:rPr>
          <w:lang w:val="fr-FR"/>
        </w:rPr>
      </w:pPr>
      <w:r>
        <w:rPr>
          <w:lang w:val="fr-FR"/>
        </w:rPr>
        <w:tab/>
      </w:r>
      <w:r>
        <w:rPr>
          <w:lang w:val="fr-FR"/>
        </w:rPr>
        <w:tab/>
        <w:t>Participation des enfants et des jeunes</w:t>
      </w:r>
    </w:p>
    <w:p w:rsidR="00000000" w:rsidRDefault="00000000">
      <w:pPr>
        <w:pStyle w:val="SingleTxtG"/>
        <w:rPr>
          <w:lang w:val="fr-FR"/>
        </w:rPr>
      </w:pPr>
      <w:r>
        <w:rPr>
          <w:lang w:val="fr-FR"/>
        </w:rPr>
        <w:t>137.</w:t>
      </w:r>
      <w:r>
        <w:rPr>
          <w:lang w:val="fr-FR"/>
        </w:rPr>
        <w:tab/>
        <w:t>En application du droit des enfants à la participation dans les affaires qui les concernent, des conseils municipaux des jeunes ont été crées en 2006 dans deux grandes villes du pays, Mahajanga et Diego Suarez.</w:t>
      </w:r>
    </w:p>
    <w:p w:rsidR="00000000" w:rsidRDefault="00000000">
      <w:pPr>
        <w:pStyle w:val="SingleTxtG"/>
        <w:rPr>
          <w:lang w:val="fr-FR"/>
        </w:rPr>
      </w:pPr>
      <w:r>
        <w:rPr>
          <w:lang w:val="fr-FR"/>
        </w:rPr>
        <w:t>138.</w:t>
      </w:r>
      <w:r>
        <w:rPr>
          <w:lang w:val="fr-FR"/>
        </w:rPr>
        <w:tab/>
        <w:t xml:space="preserve">Suivant l’objectif du MAP, les jeunes sont encouragés à émettre leurs opinions dans la prise des décisions les concernant auprès des conseils régionaux. Pour ce ils sont sensibilisés sur l’importance de leur participation à une vie associative, aux activités sportives et communautaires. </w:t>
      </w:r>
    </w:p>
    <w:p w:rsidR="00000000" w:rsidRDefault="00000000">
      <w:pPr>
        <w:pStyle w:val="SingleTxtG"/>
        <w:rPr>
          <w:lang w:val="fr-FR"/>
        </w:rPr>
      </w:pPr>
      <w:r>
        <w:rPr>
          <w:lang w:val="fr-FR"/>
        </w:rPr>
        <w:t>139.</w:t>
      </w:r>
      <w:r>
        <w:rPr>
          <w:lang w:val="fr-FR"/>
        </w:rPr>
        <w:tab/>
        <w:t>Des représentants d’enfants et de jeunes ont pu faire entendre leur voix à New York, à l’occasion de la session spéciale sur les enfants en 2002 et au forum de suivi de cette session en octobre 2007, ainsi qu’à Addis Abeba lors de l’African Development Forum en novembre 2006.</w:t>
      </w:r>
    </w:p>
    <w:p w:rsidR="00000000" w:rsidRDefault="00000000">
      <w:pPr>
        <w:pStyle w:val="SingleTxtG"/>
        <w:rPr>
          <w:lang w:val="fr-FR"/>
        </w:rPr>
      </w:pPr>
      <w:r>
        <w:rPr>
          <w:lang w:val="fr-FR"/>
        </w:rPr>
        <w:t>140.</w:t>
      </w:r>
      <w:r>
        <w:rPr>
          <w:lang w:val="fr-FR"/>
        </w:rPr>
        <w:tab/>
        <w:t>Lors de ce dernier événement, la délégation malgache, composée de membres du Conseil national de la jeunesse et du réseau «Jeunes OMD», a fait des échanges d’expériences avec d’autres jeunes africains sur les préoccupations de la jeunesse malgache et formuler des mesures visant à améliorer:</w:t>
      </w:r>
    </w:p>
    <w:p w:rsidR="00000000" w:rsidRDefault="00000000">
      <w:pPr>
        <w:pStyle w:val="Bullet1G"/>
        <w:rPr>
          <w:lang w:val="fr-FR"/>
        </w:rPr>
      </w:pPr>
      <w:r>
        <w:rPr>
          <w:lang w:val="fr-FR"/>
        </w:rPr>
        <w:t>L’égalité entre les sexes;</w:t>
      </w:r>
    </w:p>
    <w:p w:rsidR="00000000" w:rsidRDefault="00000000">
      <w:pPr>
        <w:pStyle w:val="Bullet1G"/>
        <w:rPr>
          <w:lang w:val="fr-FR"/>
        </w:rPr>
      </w:pPr>
      <w:r>
        <w:rPr>
          <w:lang w:val="fr-FR"/>
        </w:rPr>
        <w:t>L’accès à l’éducation;</w:t>
      </w:r>
    </w:p>
    <w:p w:rsidR="00000000" w:rsidRDefault="00000000">
      <w:pPr>
        <w:pStyle w:val="Bullet1G"/>
        <w:rPr>
          <w:lang w:val="fr-FR"/>
        </w:rPr>
      </w:pPr>
      <w:r>
        <w:rPr>
          <w:lang w:val="fr-FR"/>
        </w:rPr>
        <w:t>Les perspectives d’emploi;</w:t>
      </w:r>
    </w:p>
    <w:p w:rsidR="00000000" w:rsidRDefault="00000000">
      <w:pPr>
        <w:pStyle w:val="Bullet1G"/>
        <w:rPr>
          <w:lang w:val="fr-FR"/>
        </w:rPr>
      </w:pPr>
      <w:r>
        <w:rPr>
          <w:lang w:val="fr-FR"/>
        </w:rPr>
        <w:t>Les problèmes de santé;</w:t>
      </w:r>
    </w:p>
    <w:p w:rsidR="00000000" w:rsidRDefault="00000000">
      <w:pPr>
        <w:pStyle w:val="Bullet1G"/>
        <w:rPr>
          <w:lang w:val="fr-FR"/>
        </w:rPr>
      </w:pPr>
      <w:r>
        <w:rPr>
          <w:lang w:val="fr-FR"/>
        </w:rPr>
        <w:t>La participation de la société civile;</w:t>
      </w:r>
    </w:p>
    <w:p w:rsidR="00000000" w:rsidRDefault="00000000">
      <w:pPr>
        <w:pStyle w:val="Bullet1G"/>
        <w:rPr>
          <w:lang w:val="fr-FR"/>
        </w:rPr>
      </w:pPr>
      <w:r>
        <w:rPr>
          <w:lang w:val="fr-FR"/>
        </w:rPr>
        <w:t>La contribution à la prise de décision;</w:t>
      </w:r>
    </w:p>
    <w:p w:rsidR="00000000" w:rsidRDefault="00000000">
      <w:pPr>
        <w:pStyle w:val="Bullet1G"/>
        <w:rPr>
          <w:lang w:val="fr-FR"/>
        </w:rPr>
      </w:pPr>
      <w:r>
        <w:rPr>
          <w:lang w:val="fr-FR"/>
        </w:rPr>
        <w:t>La tolérance religieuse;</w:t>
      </w:r>
    </w:p>
    <w:p w:rsidR="00000000" w:rsidRDefault="00000000">
      <w:pPr>
        <w:pStyle w:val="Bullet1G"/>
        <w:rPr>
          <w:lang w:val="fr-FR"/>
        </w:rPr>
      </w:pPr>
      <w:r>
        <w:rPr>
          <w:lang w:val="fr-FR"/>
        </w:rPr>
        <w:t>Le règlement des conflits.</w:t>
      </w:r>
    </w:p>
    <w:p w:rsidR="00000000" w:rsidRDefault="00000000">
      <w:pPr>
        <w:pStyle w:val="SingleTxtG"/>
        <w:rPr>
          <w:lang w:val="fr-FR"/>
        </w:rPr>
      </w:pPr>
      <w:r>
        <w:rPr>
          <w:lang w:val="fr-FR"/>
        </w:rPr>
        <w:t>141.</w:t>
      </w:r>
      <w:r>
        <w:rPr>
          <w:lang w:val="fr-FR"/>
        </w:rPr>
        <w:tab/>
        <w:t>Lors de la rencontre annuelle du Conseil citoyen des jeunes de l’océan Indien (CCJOI ODEROI), tenue à l’île de la Réunion en décembre 2006, 25 enfants des cinq îles de la région dont des enfants malagasys y ont participé. Ils ont contribué à l’élaboration d’un plan de lutte contre la violence envers les enfants. Les pays membres sont tenus de sa mise en œuvre au niveau national, en partenariat avec des institutions publiques et privées.</w:t>
      </w:r>
    </w:p>
    <w:p w:rsidR="00000000" w:rsidRDefault="00000000">
      <w:pPr>
        <w:pStyle w:val="SingleTxtG"/>
        <w:rPr>
          <w:lang w:val="fr-FR"/>
        </w:rPr>
      </w:pPr>
      <w:r>
        <w:rPr>
          <w:lang w:val="fr-FR"/>
        </w:rPr>
        <w:t>142.</w:t>
      </w:r>
      <w:r>
        <w:rPr>
          <w:lang w:val="fr-FR"/>
        </w:rPr>
        <w:tab/>
        <w:t>En 2007 le MTPC avec l’appui de l’UNICEF a initié la mise en place de clubs de jeunes reporters âgés de 13 à 18 ans pour animer, couvrir les nouvelles, engager les discussions, nourrir des réflexions autour des thématiques qui préoccupent les jeunes dans 45 stations de radios locales. À cet effet 150 jeunes issus des six régions d’Anosy, Androy, Sava, Diana, Betsiboka, Menabe ont été formés sur la Convention des droits de l’enfant et sur les techniques de productions d’émissions radiophoniques y afférentes.</w:t>
      </w:r>
    </w:p>
    <w:p w:rsidR="00000000" w:rsidRDefault="00000000">
      <w:pPr>
        <w:pStyle w:val="SingleTxtG"/>
        <w:rPr>
          <w:lang w:val="fr-FR"/>
        </w:rPr>
      </w:pPr>
      <w:r>
        <w:rPr>
          <w:lang w:val="fr-FR"/>
        </w:rPr>
        <w:t>143.</w:t>
      </w:r>
      <w:r>
        <w:rPr>
          <w:lang w:val="fr-FR"/>
        </w:rPr>
        <w:tab/>
        <w:t>Le MTPC et l’UNICEF ont procédé à la nomination de deux ambassadeurs de bonne volonté, porte-parole des enfants en 2007. Ces jeunes ambassadeurs ont activement participé et mené des activités de plaidoyer auprès des décideurs lors des événements liés à l’enfance.</w:t>
      </w:r>
    </w:p>
    <w:p w:rsidR="00000000" w:rsidRDefault="00000000">
      <w:pPr>
        <w:pStyle w:val="SingleTxtG"/>
        <w:rPr>
          <w:lang w:val="fr-FR"/>
        </w:rPr>
      </w:pPr>
      <w:r>
        <w:rPr>
          <w:lang w:val="fr-FR"/>
        </w:rPr>
        <w:t>144.</w:t>
      </w:r>
      <w:r>
        <w:rPr>
          <w:lang w:val="fr-FR"/>
        </w:rPr>
        <w:tab/>
        <w:t>Ces activités ont été menées notamment durant la célébration du Mois de l’enfance, de la Journée internationale de l’enfance, de la Journée internationale de la jeunesse, de la Journée internationale de la radio et de la télévision pour les enfants.</w:t>
      </w:r>
    </w:p>
    <w:p w:rsidR="00000000" w:rsidRDefault="00000000">
      <w:pPr>
        <w:pStyle w:val="SingleTxtG"/>
        <w:rPr>
          <w:lang w:val="fr-FR"/>
        </w:rPr>
      </w:pPr>
      <w:r>
        <w:rPr>
          <w:lang w:val="fr-FR"/>
        </w:rPr>
        <w:t>145.</w:t>
      </w:r>
      <w:r>
        <w:rPr>
          <w:lang w:val="fr-FR"/>
        </w:rPr>
        <w:tab/>
        <w:t>En partenariat avec l’UNICEF, le MTPC a poursuivi les concours nationaux à destination des média audiovisuels, relatifs à la Journée internationale de la radio et de la télévision pour les enfants. Depuis 2006, un concours intitulé «Journaliste champion des droits de l’enfant» à destination de la presse écrite nationale a été initié et poursuivi en 2007.</w:t>
      </w:r>
    </w:p>
    <w:p w:rsidR="00000000" w:rsidRDefault="00000000">
      <w:pPr>
        <w:pStyle w:val="SingleTxtG"/>
        <w:rPr>
          <w:lang w:val="fr-FR"/>
        </w:rPr>
      </w:pPr>
      <w:r>
        <w:rPr>
          <w:lang w:val="fr-FR"/>
        </w:rPr>
        <w:t>146.</w:t>
      </w:r>
      <w:r>
        <w:rPr>
          <w:lang w:val="fr-FR"/>
        </w:rPr>
        <w:tab/>
        <w:t>L’objectif est de favoriser la participation des enfants à exprimer leurs idées pour les thématiques qui les concernent sur les médias. Il s’agit d’intégrer la «voix des enfants» sur les médias en vue de la promotion des produits médiatiques conçus par les enfants.</w:t>
      </w:r>
    </w:p>
    <w:p w:rsidR="00000000" w:rsidRDefault="00000000">
      <w:pPr>
        <w:pStyle w:val="SingleTxtG"/>
        <w:rPr>
          <w:lang w:val="fr-FR"/>
        </w:rPr>
      </w:pPr>
      <w:r>
        <w:rPr>
          <w:lang w:val="fr-FR"/>
        </w:rPr>
        <w:t>147.</w:t>
      </w:r>
      <w:r>
        <w:rPr>
          <w:lang w:val="fr-FR"/>
        </w:rPr>
        <w:tab/>
        <w:t xml:space="preserve">Dans le même sens, il a été organisé depuis 2004 à destination des médias nationaux des séries de formations en éthique de reportage sur les enfants. En vue de promouvoir la production de reportage de qualité sur des thématiques liées à l’enfance, 50 journalistes professionnels nationaux ont été formés. </w:t>
      </w:r>
    </w:p>
    <w:p w:rsidR="00000000" w:rsidRDefault="00000000">
      <w:pPr>
        <w:pStyle w:val="SingleTxtG"/>
        <w:rPr>
          <w:lang w:val="fr-FR"/>
        </w:rPr>
      </w:pPr>
      <w:r>
        <w:rPr>
          <w:lang w:val="fr-FR"/>
        </w:rPr>
        <w:t>148.</w:t>
      </w:r>
      <w:r>
        <w:rPr>
          <w:lang w:val="fr-FR"/>
        </w:rPr>
        <w:tab/>
        <w:t>Un guide pratique a été élaboré avec la participation des journalistes. Ce guide destiné aux professionnels des médias a été édité à 200 exemplaires. Les objectifs de ce guide sont:</w:t>
      </w:r>
    </w:p>
    <w:p w:rsidR="00000000" w:rsidRDefault="00000000">
      <w:pPr>
        <w:pStyle w:val="Bullet1G"/>
        <w:rPr>
          <w:lang w:val="fr-FR"/>
        </w:rPr>
      </w:pPr>
      <w:r>
        <w:rPr>
          <w:lang w:val="fr-FR"/>
        </w:rPr>
        <w:t>L’appropriation de la Convention par les journalistes;</w:t>
      </w:r>
    </w:p>
    <w:p w:rsidR="00000000" w:rsidRDefault="00000000">
      <w:pPr>
        <w:pStyle w:val="Bullet1G"/>
        <w:rPr>
          <w:lang w:val="fr-FR"/>
        </w:rPr>
      </w:pPr>
      <w:r>
        <w:rPr>
          <w:lang w:val="fr-FR"/>
        </w:rPr>
        <w:t xml:space="preserve">L’exploitation de pistes de reportage en conciliant l’éthique de traitement spécifiques des sujets sur l’enfance avec les intérêts particuliers de leur organe de presse. </w:t>
      </w:r>
    </w:p>
    <w:p w:rsidR="00000000" w:rsidRDefault="00000000">
      <w:pPr>
        <w:pStyle w:val="SingleTxtG"/>
        <w:rPr>
          <w:lang w:val="fr-FR"/>
        </w:rPr>
      </w:pPr>
      <w:r>
        <w:rPr>
          <w:lang w:val="fr-FR"/>
        </w:rPr>
        <w:t>149.</w:t>
      </w:r>
      <w:r>
        <w:rPr>
          <w:lang w:val="fr-FR"/>
        </w:rPr>
        <w:tab/>
        <w:t>Le système de monitoring interne de l’UNICEF a montré qu’entre 2004 et 2006, le nombre d’articles de qualité axés sur les droits de l’enfant dans les médias a augmenté annuellement de plus de 30 %. Ceci démontre l’intérêt toujours croissant des médias à traiter des sujets relatifs aux droits de l’enfant.</w:t>
      </w:r>
    </w:p>
    <w:p w:rsidR="00000000" w:rsidRDefault="00000000">
      <w:pPr>
        <w:pStyle w:val="SingleTxtG"/>
        <w:rPr>
          <w:lang w:val="fr-FR"/>
        </w:rPr>
      </w:pPr>
      <w:r>
        <w:rPr>
          <w:lang w:val="fr-FR"/>
        </w:rPr>
        <w:t>150.</w:t>
      </w:r>
      <w:r>
        <w:rPr>
          <w:lang w:val="fr-FR"/>
        </w:rPr>
        <w:tab/>
        <w:t>Il est à regretter que certains patrons de presse ne sont pas encore sensibles sur la nécessité de la diffusion de la convention et de son application à travers son organe. Les professionnels des médias ont émis le souhait d’un appui dans l’organisation des descentes en vue de reportages liés à l’enfance.</w:t>
      </w:r>
    </w:p>
    <w:p w:rsidR="00000000" w:rsidRDefault="00000000">
      <w:pPr>
        <w:pStyle w:val="HChG"/>
        <w:rPr>
          <w:lang w:val="fr-FR"/>
        </w:rPr>
      </w:pPr>
      <w:bookmarkStart w:id="311" w:name="_Toc206414504"/>
      <w:bookmarkStart w:id="312" w:name="_Toc206460346"/>
      <w:bookmarkStart w:id="313" w:name="_Toc206460678"/>
      <w:bookmarkStart w:id="314" w:name="_Toc206461400"/>
      <w:bookmarkStart w:id="315" w:name="_Toc206476194"/>
      <w:bookmarkStart w:id="316" w:name="_Toc207788729"/>
      <w:bookmarkStart w:id="317" w:name="_Toc211835400"/>
      <w:bookmarkStart w:id="318" w:name="_Toc211926707"/>
      <w:r>
        <w:rPr>
          <w:lang w:val="fr-FR"/>
        </w:rPr>
        <w:tab/>
      </w:r>
      <w:bookmarkStart w:id="319" w:name="_Toc260298227"/>
      <w:r>
        <w:rPr>
          <w:lang w:val="fr-FR"/>
        </w:rPr>
        <w:t>IV.</w:t>
      </w:r>
      <w:r>
        <w:rPr>
          <w:lang w:val="fr-FR"/>
        </w:rPr>
        <w:tab/>
        <w:t>Libertés et droits civils</w:t>
      </w:r>
      <w:bookmarkEnd w:id="311"/>
      <w:bookmarkEnd w:id="312"/>
      <w:bookmarkEnd w:id="313"/>
      <w:bookmarkEnd w:id="314"/>
      <w:bookmarkEnd w:id="315"/>
      <w:bookmarkEnd w:id="316"/>
      <w:bookmarkEnd w:id="317"/>
      <w:bookmarkEnd w:id="318"/>
      <w:bookmarkEnd w:id="319"/>
    </w:p>
    <w:p w:rsidR="00000000" w:rsidRDefault="00000000">
      <w:pPr>
        <w:pStyle w:val="H1G"/>
        <w:rPr>
          <w:lang w:val="fr-FR"/>
        </w:rPr>
      </w:pPr>
      <w:bookmarkStart w:id="320" w:name="_Toc206414505"/>
      <w:bookmarkStart w:id="321" w:name="_Toc206460347"/>
      <w:bookmarkStart w:id="322" w:name="_Toc206460679"/>
      <w:bookmarkStart w:id="323" w:name="_Toc206461401"/>
      <w:bookmarkStart w:id="324" w:name="_Toc206476195"/>
      <w:bookmarkStart w:id="325" w:name="_Toc207788730"/>
      <w:bookmarkStart w:id="326" w:name="_Toc211835401"/>
      <w:bookmarkStart w:id="327" w:name="_Toc211926708"/>
      <w:r>
        <w:rPr>
          <w:lang w:val="fr-FR"/>
        </w:rPr>
        <w:tab/>
      </w:r>
      <w:bookmarkStart w:id="328" w:name="_Toc260298228"/>
      <w:r>
        <w:rPr>
          <w:lang w:val="fr-FR"/>
        </w:rPr>
        <w:t>A.</w:t>
      </w:r>
      <w:r>
        <w:rPr>
          <w:lang w:val="fr-FR"/>
        </w:rPr>
        <w:tab/>
        <w:t>Nom et nationalité</w:t>
      </w:r>
      <w:bookmarkEnd w:id="320"/>
      <w:bookmarkEnd w:id="321"/>
      <w:bookmarkEnd w:id="322"/>
      <w:bookmarkEnd w:id="323"/>
      <w:bookmarkEnd w:id="324"/>
      <w:bookmarkEnd w:id="325"/>
      <w:bookmarkEnd w:id="326"/>
      <w:bookmarkEnd w:id="327"/>
      <w:bookmarkEnd w:id="328"/>
    </w:p>
    <w:p w:rsidR="00000000" w:rsidRDefault="00000000">
      <w:pPr>
        <w:pStyle w:val="H23G"/>
        <w:rPr>
          <w:lang w:val="fr-FR"/>
        </w:rPr>
      </w:pPr>
      <w:bookmarkStart w:id="329" w:name="_Toc206414506"/>
      <w:bookmarkStart w:id="330" w:name="_Toc206460348"/>
      <w:bookmarkStart w:id="331" w:name="_Toc206460680"/>
      <w:bookmarkStart w:id="332" w:name="_Toc206461402"/>
      <w:bookmarkStart w:id="333" w:name="_Toc206476196"/>
      <w:bookmarkStart w:id="334" w:name="_Toc207788731"/>
      <w:bookmarkStart w:id="335" w:name="_Toc211835402"/>
      <w:bookmarkStart w:id="336" w:name="_Toc211926709"/>
      <w:r>
        <w:rPr>
          <w:lang w:val="fr-FR"/>
        </w:rPr>
        <w:tab/>
        <w:t>1.</w:t>
      </w:r>
      <w:r>
        <w:rPr>
          <w:lang w:val="fr-FR"/>
        </w:rPr>
        <w:tab/>
        <w:t>Mesures d’ordre législatif et réglementaire</w:t>
      </w:r>
      <w:bookmarkEnd w:id="329"/>
      <w:bookmarkEnd w:id="330"/>
      <w:bookmarkEnd w:id="331"/>
      <w:bookmarkEnd w:id="332"/>
      <w:bookmarkEnd w:id="333"/>
      <w:bookmarkEnd w:id="334"/>
      <w:bookmarkEnd w:id="335"/>
      <w:bookmarkEnd w:id="336"/>
    </w:p>
    <w:p w:rsidR="00000000" w:rsidRDefault="00000000">
      <w:pPr>
        <w:pStyle w:val="H4G"/>
        <w:rPr>
          <w:lang w:val="fr-FR"/>
        </w:rPr>
      </w:pPr>
      <w:r>
        <w:rPr>
          <w:lang w:val="fr-FR"/>
        </w:rPr>
        <w:tab/>
      </w:r>
      <w:r>
        <w:rPr>
          <w:lang w:val="fr-FR"/>
        </w:rPr>
        <w:tab/>
        <w:t>Droit à la nationalité</w:t>
      </w:r>
    </w:p>
    <w:p w:rsidR="00000000" w:rsidRDefault="00000000">
      <w:pPr>
        <w:pStyle w:val="SingleTxtG"/>
        <w:rPr>
          <w:lang w:val="fr-FR"/>
        </w:rPr>
      </w:pPr>
      <w:r>
        <w:rPr>
          <w:lang w:val="fr-FR"/>
        </w:rPr>
        <w:t>151.</w:t>
      </w:r>
      <w:r>
        <w:rPr>
          <w:lang w:val="fr-FR"/>
        </w:rPr>
        <w:tab/>
        <w:t xml:space="preserve">L’ordonnance </w:t>
      </w:r>
      <w:r>
        <w:rPr>
          <w:rFonts w:eastAsia="MS Mincho"/>
          <w:lang w:val="fr-FR"/>
        </w:rPr>
        <w:t>n</w:t>
      </w:r>
      <w:r>
        <w:rPr>
          <w:rFonts w:eastAsia="MS Mincho"/>
          <w:vertAlign w:val="superscript"/>
          <w:lang w:val="fr-FR"/>
        </w:rPr>
        <w:t>o</w:t>
      </w:r>
      <w:r>
        <w:rPr>
          <w:lang w:val="fr-FR"/>
        </w:rPr>
        <w:t xml:space="preserve"> 60-064 du 22 juillet 1960 portant code de la nationalité malgache détermine les conditions dans lesquelles est attribué ou peut être acquise la nationalité malgache.</w:t>
      </w:r>
    </w:p>
    <w:p w:rsidR="00000000" w:rsidRDefault="00000000">
      <w:pPr>
        <w:pStyle w:val="SingleTxtG"/>
        <w:rPr>
          <w:lang w:val="fr-FR"/>
        </w:rPr>
      </w:pPr>
      <w:r>
        <w:rPr>
          <w:lang w:val="fr-FR"/>
        </w:rPr>
        <w:t>152.</w:t>
      </w:r>
      <w:r>
        <w:rPr>
          <w:lang w:val="fr-FR"/>
        </w:rPr>
        <w:tab/>
        <w:t>Seul est reconnu malgache l’enfant légitime né d’un père malgache.</w:t>
      </w:r>
    </w:p>
    <w:p w:rsidR="00000000" w:rsidRDefault="00000000">
      <w:pPr>
        <w:pStyle w:val="SingleTxtG"/>
        <w:rPr>
          <w:lang w:val="fr-FR"/>
        </w:rPr>
      </w:pPr>
      <w:r>
        <w:rPr>
          <w:lang w:val="fr-FR"/>
        </w:rPr>
        <w:t>153.</w:t>
      </w:r>
      <w:r>
        <w:rPr>
          <w:lang w:val="fr-FR"/>
        </w:rPr>
        <w:tab/>
        <w:t>Si l’enfant né d’une mère malgache et d’un père ayant une nationalité étrangère désire acquérir la nationalité malgache, il doit recourir, à sa majorité, à la procédure de naturalisation.</w:t>
      </w:r>
    </w:p>
    <w:p w:rsidR="00000000" w:rsidRDefault="00000000">
      <w:pPr>
        <w:pStyle w:val="SingleTxtG"/>
        <w:rPr>
          <w:lang w:val="fr-FR"/>
        </w:rPr>
      </w:pPr>
      <w:r>
        <w:rPr>
          <w:lang w:val="fr-FR"/>
        </w:rPr>
        <w:t>154.</w:t>
      </w:r>
      <w:r>
        <w:rPr>
          <w:lang w:val="fr-FR"/>
        </w:rPr>
        <w:tab/>
        <w:t>L’enfant nouveau né trouvé à Madagascar est présumé y être né, jusqu’à preuve du contraire. La personne qui le recueille lui donne un nom par l’intermédiaire d’un jugement supplétif de naissance. Si l’enfant n’est pas un nouveau né et si les critères de présomption de nationalité malgache ne sont pas réunis à savoir son nom, ses traits physiques…, il ne peut pas avoir la nationalité malgache.</w:t>
      </w:r>
    </w:p>
    <w:p w:rsidR="00000000" w:rsidRDefault="00000000">
      <w:pPr>
        <w:pStyle w:val="SingleTxtG"/>
        <w:rPr>
          <w:lang w:val="fr-FR"/>
        </w:rPr>
      </w:pPr>
      <w:r>
        <w:rPr>
          <w:lang w:val="fr-FR"/>
        </w:rPr>
        <w:t>155.</w:t>
      </w:r>
      <w:r>
        <w:rPr>
          <w:lang w:val="fr-FR"/>
        </w:rPr>
        <w:tab/>
        <w:t>Suite aux recommandations issues des consultations publiques organisées par le Ministère de la justice en partenariat avec Women’s Legal Right Initiative, des réformes concernant l’attribution de la nationalité malgache à tout enfant né d’une mère malgache sont en cours.</w:t>
      </w:r>
    </w:p>
    <w:p w:rsidR="00000000" w:rsidRDefault="00000000">
      <w:pPr>
        <w:pStyle w:val="H4G"/>
        <w:rPr>
          <w:lang w:val="fr-FR"/>
        </w:rPr>
      </w:pPr>
      <w:r>
        <w:rPr>
          <w:lang w:val="fr-FR"/>
        </w:rPr>
        <w:tab/>
      </w:r>
      <w:r>
        <w:rPr>
          <w:lang w:val="fr-FR"/>
        </w:rPr>
        <w:tab/>
        <w:t>Droit à un nom</w:t>
      </w:r>
    </w:p>
    <w:p w:rsidR="00000000" w:rsidRDefault="00000000">
      <w:pPr>
        <w:pStyle w:val="SingleTxtG"/>
        <w:rPr>
          <w:lang w:val="fr-FR"/>
        </w:rPr>
      </w:pPr>
      <w:r>
        <w:rPr>
          <w:lang w:val="fr-FR"/>
        </w:rPr>
        <w:t>156.</w:t>
      </w:r>
      <w:r>
        <w:rPr>
          <w:lang w:val="fr-FR"/>
        </w:rPr>
        <w:tab/>
        <w:t xml:space="preserve">La loi </w:t>
      </w:r>
      <w:r>
        <w:rPr>
          <w:rFonts w:eastAsia="MS Mincho"/>
          <w:lang w:val="fr-FR"/>
        </w:rPr>
        <w:t>n</w:t>
      </w:r>
      <w:r>
        <w:rPr>
          <w:rFonts w:eastAsia="MS Mincho"/>
          <w:vertAlign w:val="superscript"/>
          <w:lang w:val="fr-FR"/>
        </w:rPr>
        <w:t>o</w:t>
      </w:r>
      <w:r>
        <w:rPr>
          <w:lang w:val="fr-FR"/>
        </w:rPr>
        <w:t xml:space="preserve"> 61-025 du 9 octobre 1961 établit que toute naissance survenue sur le territoire malgache doit faire l’objet d’une déclaration à l’officier d’état civil dans un délai de 12 jours. Au-delà de ce délai la loi permet la régularisation de la situation par un jugement supplétif.</w:t>
      </w:r>
    </w:p>
    <w:p w:rsidR="00000000" w:rsidRDefault="00000000">
      <w:pPr>
        <w:pStyle w:val="SingleTxtG"/>
        <w:rPr>
          <w:lang w:val="fr-FR"/>
        </w:rPr>
      </w:pPr>
      <w:r>
        <w:rPr>
          <w:lang w:val="fr-FR"/>
        </w:rPr>
        <w:t>157.</w:t>
      </w:r>
      <w:r>
        <w:rPr>
          <w:lang w:val="fr-FR"/>
        </w:rPr>
        <w:tab/>
        <w:t xml:space="preserve">Face à l’insuffisance du nombre de magistrats et du personnel judiciaire et l’éloignement des tribunaux, la loi </w:t>
      </w:r>
      <w:r>
        <w:rPr>
          <w:rFonts w:eastAsia="MS Mincho"/>
          <w:lang w:val="fr-FR"/>
        </w:rPr>
        <w:t>n</w:t>
      </w:r>
      <w:r>
        <w:rPr>
          <w:rFonts w:eastAsia="MS Mincho"/>
          <w:vertAlign w:val="superscript"/>
          <w:lang w:val="fr-FR"/>
        </w:rPr>
        <w:t>o </w:t>
      </w:r>
      <w:r>
        <w:rPr>
          <w:lang w:val="fr-FR"/>
        </w:rPr>
        <w:t>2007-040 du 14 janvier 2008 relative à la délivrance des jugements supplétifs de naissance a habilité les autorités administratives du district à délivrer des jugements dans ce domaine. La mesure prise s’inscrit dans le cadre de la réalisation du Programme national de réhabilitation de l’enregistrement de naissance (EKA) jusqu’au 30 décembre 2011.</w:t>
      </w:r>
    </w:p>
    <w:p w:rsidR="00000000" w:rsidRDefault="00000000">
      <w:pPr>
        <w:pStyle w:val="H23G"/>
        <w:rPr>
          <w:i/>
          <w:lang w:val="fr-FR"/>
        </w:rPr>
      </w:pPr>
      <w:bookmarkStart w:id="337" w:name="_Toc206414507"/>
      <w:bookmarkStart w:id="338" w:name="_Toc206460349"/>
      <w:bookmarkStart w:id="339" w:name="_Toc206460681"/>
      <w:bookmarkStart w:id="340" w:name="_Toc206461403"/>
      <w:bookmarkStart w:id="341" w:name="_Toc206476197"/>
      <w:bookmarkStart w:id="342" w:name="_Toc207788732"/>
      <w:bookmarkStart w:id="343" w:name="_Toc211835403"/>
      <w:bookmarkStart w:id="344" w:name="_Toc211926710"/>
      <w:r>
        <w:rPr>
          <w:lang w:val="fr-FR"/>
        </w:rPr>
        <w:tab/>
        <w:t>2.</w:t>
      </w:r>
      <w:r>
        <w:rPr>
          <w:lang w:val="fr-FR"/>
        </w:rPr>
        <w:tab/>
        <w:t>Mesures d’ordre</w:t>
      </w:r>
      <w:r>
        <w:rPr>
          <w:i/>
          <w:lang w:val="fr-FR"/>
        </w:rPr>
        <w:t xml:space="preserve"> </w:t>
      </w:r>
      <w:r>
        <w:rPr>
          <w:lang w:val="fr-FR"/>
        </w:rPr>
        <w:t>administratif</w:t>
      </w:r>
      <w:bookmarkEnd w:id="337"/>
      <w:bookmarkEnd w:id="338"/>
      <w:bookmarkEnd w:id="339"/>
      <w:bookmarkEnd w:id="340"/>
      <w:bookmarkEnd w:id="341"/>
      <w:bookmarkEnd w:id="342"/>
      <w:bookmarkEnd w:id="343"/>
      <w:bookmarkEnd w:id="344"/>
    </w:p>
    <w:p w:rsidR="00000000" w:rsidRDefault="00000000">
      <w:pPr>
        <w:pStyle w:val="SingleTxtG"/>
        <w:rPr>
          <w:lang w:val="fr-FR"/>
        </w:rPr>
      </w:pPr>
      <w:r>
        <w:rPr>
          <w:lang w:val="fr-FR"/>
        </w:rPr>
        <w:t>158.</w:t>
      </w:r>
      <w:r>
        <w:rPr>
          <w:lang w:val="fr-FR"/>
        </w:rPr>
        <w:tab/>
        <w:t>Aujourd’hui environ, 2.5 millions d’enfants de moins de 18 ans, soit 33,2 % de la population ne sont pas enregistrés (MICS, 2000) Près de 25 % des naissances ne sont pas déclarées (EDS 2003-2004). Il existe des disparités géographiques importantes. Dans la capitale 95 % des naissances sont déclarées. Ce pourcentage tombe à 86 pour le milieu urbain en général et à 72 pour le milieu rural. Ce taux est de 60 % à Mahajanga.</w:t>
      </w:r>
    </w:p>
    <w:p w:rsidR="00000000" w:rsidRDefault="00000000">
      <w:pPr>
        <w:pStyle w:val="SingleTxtG"/>
        <w:rPr>
          <w:lang w:val="fr-FR"/>
        </w:rPr>
      </w:pPr>
      <w:r>
        <w:rPr>
          <w:lang w:val="fr-FR"/>
        </w:rPr>
        <w:t>159.</w:t>
      </w:r>
      <w:r>
        <w:rPr>
          <w:lang w:val="fr-FR"/>
        </w:rPr>
        <w:tab/>
        <w:t>En 2004, pour corriger cette situation, le Programme national de réhabilitation de l’enregistrement des naissances, a été élaboré avec l’implication de huit ministères (MIRA, INSTAT, MDAT, MSPFPS, MINJUST, MTPC, MENRS) et l’appui de l’UNICEF et l’UE. Le programme comprend la systématisation de l’enregistrement à la naissance et les jugements supplétifs.</w:t>
      </w:r>
    </w:p>
    <w:p w:rsidR="00000000" w:rsidRDefault="00000000">
      <w:pPr>
        <w:pStyle w:val="SingleTxtG"/>
        <w:rPr>
          <w:lang w:val="fr-FR"/>
        </w:rPr>
      </w:pPr>
      <w:r>
        <w:rPr>
          <w:lang w:val="fr-FR"/>
        </w:rPr>
        <w:t>160.</w:t>
      </w:r>
      <w:r>
        <w:rPr>
          <w:lang w:val="fr-FR"/>
        </w:rPr>
        <w:tab/>
        <w:t xml:space="preserve">Activités réalisées dans le cadre de l’amélioration de l’état civil: </w:t>
      </w:r>
    </w:p>
    <w:p w:rsidR="00000000" w:rsidRDefault="00000000">
      <w:pPr>
        <w:pStyle w:val="Bullet1G"/>
        <w:rPr>
          <w:lang w:val="fr-FR"/>
        </w:rPr>
      </w:pPr>
      <w:r>
        <w:rPr>
          <w:lang w:val="fr-FR"/>
        </w:rPr>
        <w:t>Réforme de la législation et de la réglementation – assouplissement, harmonisation des procédures, divulgation et application;</w:t>
      </w:r>
    </w:p>
    <w:p w:rsidR="00000000" w:rsidRDefault="00000000">
      <w:pPr>
        <w:pStyle w:val="Bullet1G"/>
        <w:rPr>
          <w:lang w:val="fr-FR"/>
        </w:rPr>
      </w:pPr>
      <w:r>
        <w:rPr>
          <w:lang w:val="fr-FR"/>
        </w:rPr>
        <w:t>Mise en place d’une structure de coordination des activités par région et adoption de l’approche RRI «Rapid Result Initiative»;</w:t>
      </w:r>
    </w:p>
    <w:p w:rsidR="00000000" w:rsidRDefault="00000000">
      <w:pPr>
        <w:pStyle w:val="Bullet1G"/>
        <w:rPr>
          <w:lang w:val="fr-FR"/>
        </w:rPr>
      </w:pPr>
      <w:r>
        <w:rPr>
          <w:lang w:val="fr-FR"/>
        </w:rPr>
        <w:t>Établissement d’un système de coordination en cascade, de mise en œuvre et de suivi entre les niveaux central, régional, communal et de fokontany;</w:t>
      </w:r>
    </w:p>
    <w:p w:rsidR="00000000" w:rsidRDefault="00000000">
      <w:pPr>
        <w:pStyle w:val="Bullet1G"/>
        <w:rPr>
          <w:lang w:val="fr-FR"/>
        </w:rPr>
      </w:pPr>
      <w:r>
        <w:rPr>
          <w:lang w:val="fr-FR"/>
        </w:rPr>
        <w:t>Création d’un bureau de coordination du programme national EKA auprès du Ministère de l’intérieur (août 2007);</w:t>
      </w:r>
    </w:p>
    <w:p w:rsidR="00000000" w:rsidRDefault="00000000">
      <w:pPr>
        <w:pStyle w:val="Bullet1G"/>
        <w:rPr>
          <w:lang w:val="fr-FR"/>
        </w:rPr>
      </w:pPr>
      <w:r>
        <w:rPr>
          <w:lang w:val="fr-FR"/>
        </w:rPr>
        <w:t>Systématisation du suivi, de la collecte et du traitement des données;</w:t>
      </w:r>
    </w:p>
    <w:p w:rsidR="00000000" w:rsidRDefault="00000000">
      <w:pPr>
        <w:pStyle w:val="Bullet1G"/>
        <w:rPr>
          <w:lang w:val="fr-FR"/>
        </w:rPr>
      </w:pPr>
      <w:r>
        <w:rPr>
          <w:lang w:val="fr-FR"/>
        </w:rPr>
        <w:t>Renforcement des capacités des acteurs locaux en matière d’état civil (maires, les secrétaires d’état civil, associations et ONG);</w:t>
      </w:r>
    </w:p>
    <w:p w:rsidR="00000000" w:rsidRDefault="00000000">
      <w:pPr>
        <w:pStyle w:val="Bullet1G"/>
        <w:rPr>
          <w:lang w:val="fr-FR"/>
        </w:rPr>
      </w:pPr>
      <w:r>
        <w:rPr>
          <w:lang w:val="fr-FR"/>
        </w:rPr>
        <w:t>Mobilisation des obligataires (parents, personnel de santé, école, organisations communautaires, fokontany);</w:t>
      </w:r>
    </w:p>
    <w:p w:rsidR="00000000" w:rsidRDefault="00000000">
      <w:pPr>
        <w:pStyle w:val="Bullet1G"/>
        <w:rPr>
          <w:lang w:val="fr-FR"/>
        </w:rPr>
      </w:pPr>
      <w:r>
        <w:rPr>
          <w:lang w:val="fr-FR"/>
        </w:rPr>
        <w:t>Confection et acheminement de supports IEC et outils de gestion.</w:t>
      </w:r>
    </w:p>
    <w:p w:rsidR="00000000" w:rsidRDefault="00000000">
      <w:pPr>
        <w:pStyle w:val="H1G"/>
        <w:rPr>
          <w:lang w:val="fr-FR"/>
        </w:rPr>
      </w:pPr>
      <w:bookmarkStart w:id="345" w:name="_Toc206414508"/>
      <w:bookmarkStart w:id="346" w:name="_Toc206460350"/>
      <w:bookmarkStart w:id="347" w:name="_Toc206460682"/>
      <w:bookmarkStart w:id="348" w:name="_Toc206461404"/>
      <w:bookmarkStart w:id="349" w:name="_Toc206476198"/>
      <w:bookmarkStart w:id="350" w:name="_Toc207788733"/>
      <w:bookmarkStart w:id="351" w:name="_Toc211835404"/>
      <w:bookmarkStart w:id="352" w:name="_Toc211926711"/>
      <w:r>
        <w:rPr>
          <w:lang w:val="fr-FR"/>
        </w:rPr>
        <w:tab/>
      </w:r>
      <w:bookmarkStart w:id="353" w:name="_Toc260298229"/>
      <w:r>
        <w:rPr>
          <w:lang w:val="fr-FR"/>
        </w:rPr>
        <w:t>B.</w:t>
      </w:r>
      <w:r>
        <w:rPr>
          <w:lang w:val="fr-FR"/>
        </w:rPr>
        <w:tab/>
        <w:t>Respect de l’intégrité physique et des droits de l’enfant</w:t>
      </w:r>
      <w:bookmarkEnd w:id="345"/>
      <w:bookmarkEnd w:id="346"/>
      <w:bookmarkEnd w:id="347"/>
      <w:bookmarkEnd w:id="348"/>
      <w:bookmarkEnd w:id="349"/>
      <w:bookmarkEnd w:id="350"/>
      <w:bookmarkEnd w:id="351"/>
      <w:bookmarkEnd w:id="352"/>
      <w:bookmarkEnd w:id="353"/>
    </w:p>
    <w:p w:rsidR="00000000" w:rsidRDefault="00000000">
      <w:pPr>
        <w:pStyle w:val="H23G"/>
        <w:rPr>
          <w:i/>
          <w:lang w:val="fr-FR"/>
        </w:rPr>
      </w:pPr>
      <w:bookmarkStart w:id="354" w:name="_Toc206414509"/>
      <w:bookmarkStart w:id="355" w:name="_Toc206460351"/>
      <w:bookmarkStart w:id="356" w:name="_Toc206460683"/>
      <w:bookmarkStart w:id="357" w:name="_Toc206461405"/>
      <w:bookmarkStart w:id="358" w:name="_Toc206476199"/>
      <w:bookmarkStart w:id="359" w:name="_Toc207788734"/>
      <w:bookmarkStart w:id="360" w:name="_Toc211835405"/>
      <w:bookmarkStart w:id="361" w:name="_Toc211926712"/>
      <w:r>
        <w:rPr>
          <w:lang w:val="fr-FR"/>
        </w:rPr>
        <w:tab/>
      </w:r>
      <w:r>
        <w:rPr>
          <w:lang w:val="fr-FR"/>
        </w:rPr>
        <w:tab/>
        <w:t>Mesures d’ordre</w:t>
      </w:r>
      <w:r>
        <w:rPr>
          <w:i/>
          <w:lang w:val="fr-FR"/>
        </w:rPr>
        <w:t xml:space="preserve"> </w:t>
      </w:r>
      <w:r>
        <w:rPr>
          <w:lang w:val="fr-FR"/>
        </w:rPr>
        <w:t>législatif</w:t>
      </w:r>
      <w:r>
        <w:rPr>
          <w:i/>
          <w:lang w:val="fr-FR"/>
        </w:rPr>
        <w:t xml:space="preserve"> </w:t>
      </w:r>
      <w:r>
        <w:rPr>
          <w:lang w:val="fr-FR"/>
        </w:rPr>
        <w:t>et réglementaire</w:t>
      </w:r>
      <w:bookmarkEnd w:id="354"/>
      <w:bookmarkEnd w:id="355"/>
      <w:bookmarkEnd w:id="356"/>
      <w:bookmarkEnd w:id="357"/>
      <w:bookmarkEnd w:id="358"/>
      <w:bookmarkEnd w:id="359"/>
      <w:bookmarkEnd w:id="360"/>
      <w:bookmarkEnd w:id="361"/>
    </w:p>
    <w:p w:rsidR="00000000" w:rsidRDefault="00000000">
      <w:pPr>
        <w:pStyle w:val="SingleTxtG"/>
        <w:rPr>
          <w:lang w:val="fr-FR"/>
        </w:rPr>
      </w:pPr>
      <w:r>
        <w:rPr>
          <w:lang w:val="fr-FR"/>
        </w:rPr>
        <w:t>161.</w:t>
      </w:r>
      <w:r>
        <w:rPr>
          <w:lang w:val="fr-FR"/>
        </w:rPr>
        <w:tab/>
        <w:t xml:space="preserve">La loi </w:t>
      </w:r>
      <w:r>
        <w:rPr>
          <w:rFonts w:eastAsia="MS Mincho"/>
          <w:lang w:val="fr-FR"/>
        </w:rPr>
        <w:t>n</w:t>
      </w:r>
      <w:r>
        <w:rPr>
          <w:rFonts w:eastAsia="MS Mincho"/>
          <w:vertAlign w:val="superscript"/>
          <w:lang w:val="fr-FR"/>
        </w:rPr>
        <w:t>o</w:t>
      </w:r>
      <w:r>
        <w:rPr>
          <w:lang w:val="fr-FR"/>
        </w:rPr>
        <w:t xml:space="preserve"> 2007-023 du 20 août 2007 sur les droits et la protection des enfants, énonce les mesures de protection des enfants en danger moral ou victimes de la maltraitance ainsi que les dispositions relatives au signalement en cas de maltraitance.</w:t>
      </w:r>
    </w:p>
    <w:p w:rsidR="00000000" w:rsidRDefault="00000000">
      <w:pPr>
        <w:pStyle w:val="H1G"/>
        <w:rPr>
          <w:lang w:val="fr-FR"/>
        </w:rPr>
      </w:pPr>
      <w:bookmarkStart w:id="362" w:name="_Toc206414510"/>
      <w:bookmarkStart w:id="363" w:name="_Toc206460352"/>
      <w:bookmarkStart w:id="364" w:name="_Toc206460684"/>
      <w:bookmarkStart w:id="365" w:name="_Toc206461406"/>
      <w:bookmarkStart w:id="366" w:name="_Toc206476200"/>
      <w:bookmarkStart w:id="367" w:name="_Toc207788735"/>
      <w:bookmarkStart w:id="368" w:name="_Toc211835406"/>
      <w:bookmarkStart w:id="369" w:name="_Toc211926713"/>
      <w:r>
        <w:rPr>
          <w:lang w:val="fr-FR"/>
        </w:rPr>
        <w:tab/>
      </w:r>
      <w:bookmarkStart w:id="370" w:name="_Toc260298230"/>
      <w:r>
        <w:rPr>
          <w:lang w:val="fr-FR"/>
        </w:rPr>
        <w:t>C.</w:t>
      </w:r>
      <w:r>
        <w:rPr>
          <w:lang w:val="fr-FR"/>
        </w:rPr>
        <w:tab/>
        <w:t>Liberté d’association et de réunion pacifique</w:t>
      </w:r>
      <w:bookmarkEnd w:id="362"/>
      <w:bookmarkEnd w:id="363"/>
      <w:bookmarkEnd w:id="364"/>
      <w:bookmarkEnd w:id="365"/>
      <w:bookmarkEnd w:id="366"/>
      <w:bookmarkEnd w:id="367"/>
      <w:bookmarkEnd w:id="368"/>
      <w:bookmarkEnd w:id="369"/>
      <w:bookmarkEnd w:id="370"/>
    </w:p>
    <w:p w:rsidR="00000000" w:rsidRDefault="00000000">
      <w:pPr>
        <w:pStyle w:val="H23G"/>
        <w:rPr>
          <w:lang w:val="fr-FR"/>
        </w:rPr>
      </w:pPr>
      <w:bookmarkStart w:id="371" w:name="_Toc206414511"/>
      <w:bookmarkStart w:id="372" w:name="_Toc206460353"/>
      <w:bookmarkStart w:id="373" w:name="_Toc206460685"/>
      <w:bookmarkStart w:id="374" w:name="_Toc206461407"/>
      <w:bookmarkStart w:id="375" w:name="_Toc206476201"/>
      <w:bookmarkStart w:id="376" w:name="_Toc207788736"/>
      <w:bookmarkStart w:id="377" w:name="_Toc211835407"/>
      <w:bookmarkStart w:id="378" w:name="_Toc211926714"/>
      <w:r>
        <w:rPr>
          <w:lang w:val="fr-FR"/>
        </w:rPr>
        <w:tab/>
        <w:t>1.</w:t>
      </w:r>
      <w:r>
        <w:rPr>
          <w:lang w:val="fr-FR"/>
        </w:rPr>
        <w:tab/>
        <w:t>Mesures d’ordre législatif et réglementaire</w:t>
      </w:r>
      <w:bookmarkEnd w:id="371"/>
      <w:bookmarkEnd w:id="372"/>
      <w:bookmarkEnd w:id="373"/>
      <w:bookmarkEnd w:id="374"/>
      <w:bookmarkEnd w:id="375"/>
      <w:bookmarkEnd w:id="376"/>
      <w:bookmarkEnd w:id="377"/>
      <w:bookmarkEnd w:id="378"/>
    </w:p>
    <w:p w:rsidR="00000000" w:rsidRDefault="00000000">
      <w:pPr>
        <w:pStyle w:val="SingleTxtG"/>
        <w:rPr>
          <w:lang w:val="fr-FR"/>
        </w:rPr>
      </w:pPr>
      <w:r>
        <w:rPr>
          <w:lang w:val="fr-FR"/>
        </w:rPr>
        <w:t>162.</w:t>
      </w:r>
      <w:r>
        <w:rPr>
          <w:lang w:val="fr-FR"/>
        </w:rPr>
        <w:tab/>
        <w:t xml:space="preserve">La liberté d’association et de réunion pacifique est garantie par la Constitution. Cependant, l’Ordonnance </w:t>
      </w:r>
      <w:r>
        <w:rPr>
          <w:rFonts w:eastAsia="MS Mincho"/>
          <w:lang w:val="fr-FR"/>
        </w:rPr>
        <w:t>n</w:t>
      </w:r>
      <w:r>
        <w:rPr>
          <w:rFonts w:eastAsia="MS Mincho"/>
          <w:vertAlign w:val="superscript"/>
          <w:lang w:val="fr-FR"/>
        </w:rPr>
        <w:t>o</w:t>
      </w:r>
      <w:r>
        <w:rPr>
          <w:lang w:val="fr-FR"/>
        </w:rPr>
        <w:t xml:space="preserve"> 60-133 du 30 octobre 1960 toujours en vigueur, exige la majorité civile pour la création d’une association. Cette restriction n’a pas empêché la constitution d’associations de jeunes sous l’égide de personnes ayant la majorité exigée.</w:t>
      </w:r>
    </w:p>
    <w:p w:rsidR="00000000" w:rsidRDefault="00000000">
      <w:pPr>
        <w:pStyle w:val="H23G"/>
        <w:rPr>
          <w:lang w:val="fr-FR"/>
        </w:rPr>
      </w:pPr>
      <w:bookmarkStart w:id="379" w:name="_Toc206414512"/>
      <w:bookmarkStart w:id="380" w:name="_Toc206460354"/>
      <w:bookmarkStart w:id="381" w:name="_Toc206460686"/>
      <w:bookmarkStart w:id="382" w:name="_Toc206461408"/>
      <w:bookmarkStart w:id="383" w:name="_Toc206476202"/>
      <w:bookmarkStart w:id="384" w:name="_Toc207788737"/>
      <w:bookmarkStart w:id="385" w:name="_Toc211835408"/>
      <w:bookmarkStart w:id="386" w:name="_Toc211926715"/>
      <w:r>
        <w:rPr>
          <w:lang w:val="fr-FR"/>
        </w:rPr>
        <w:tab/>
        <w:t>2.</w:t>
      </w:r>
      <w:r>
        <w:rPr>
          <w:lang w:val="fr-FR"/>
        </w:rPr>
        <w:tab/>
        <w:t>Mesures d’ordre administratif</w:t>
      </w:r>
      <w:bookmarkEnd w:id="379"/>
      <w:bookmarkEnd w:id="380"/>
      <w:bookmarkEnd w:id="381"/>
      <w:bookmarkEnd w:id="382"/>
      <w:bookmarkEnd w:id="383"/>
      <w:bookmarkEnd w:id="384"/>
      <w:bookmarkEnd w:id="385"/>
      <w:bookmarkEnd w:id="386"/>
    </w:p>
    <w:p w:rsidR="00000000" w:rsidRDefault="00000000">
      <w:pPr>
        <w:pStyle w:val="SingleTxtG"/>
        <w:rPr>
          <w:lang w:val="fr-FR"/>
        </w:rPr>
      </w:pPr>
      <w:r>
        <w:rPr>
          <w:lang w:val="fr-FR"/>
        </w:rPr>
        <w:t>163.</w:t>
      </w:r>
      <w:r>
        <w:rPr>
          <w:lang w:val="fr-FR"/>
        </w:rPr>
        <w:tab/>
        <w:t>Il existe des organisations de jeunes enfants et adolescents rattachés à des associations ou des organisations telles que les scouts, les clubs des enfants en matière environnementale comme le Vintsy, clubs des droits humains et protection des droits de l’enfant notamment à Antsiranana, Mahajanga, Fianarantsoa, Fenerive Est, Toamasina, Tuléar.</w:t>
      </w:r>
    </w:p>
    <w:p w:rsidR="00000000" w:rsidRDefault="00000000">
      <w:pPr>
        <w:pStyle w:val="SingleTxtG"/>
        <w:rPr>
          <w:lang w:val="fr-FR"/>
        </w:rPr>
      </w:pPr>
      <w:r>
        <w:rPr>
          <w:lang w:val="fr-FR"/>
        </w:rPr>
        <w:t>164.</w:t>
      </w:r>
      <w:r>
        <w:rPr>
          <w:lang w:val="fr-FR"/>
        </w:rPr>
        <w:tab/>
        <w:t>Chaque année, lors de la célébration du mois de l’enfance, des manifestations, défilés et réunions pacifiques des enfants sont organisées dans toutes les villes pour véhiculer leurs droits.</w:t>
      </w:r>
    </w:p>
    <w:p w:rsidR="00000000" w:rsidRDefault="00000000">
      <w:pPr>
        <w:pStyle w:val="H1G"/>
        <w:rPr>
          <w:lang w:val="fr-FR"/>
        </w:rPr>
      </w:pPr>
      <w:bookmarkStart w:id="387" w:name="_Toc206414513"/>
      <w:bookmarkStart w:id="388" w:name="_Toc206460355"/>
      <w:bookmarkStart w:id="389" w:name="_Toc206460687"/>
      <w:bookmarkStart w:id="390" w:name="_Toc206461409"/>
      <w:bookmarkStart w:id="391" w:name="_Toc206476203"/>
      <w:bookmarkStart w:id="392" w:name="_Toc207788738"/>
      <w:bookmarkStart w:id="393" w:name="_Toc211835409"/>
      <w:bookmarkStart w:id="394" w:name="_Toc211926716"/>
      <w:r>
        <w:rPr>
          <w:lang w:val="fr-FR"/>
        </w:rPr>
        <w:tab/>
      </w:r>
      <w:bookmarkStart w:id="395" w:name="_Toc260298231"/>
      <w:r>
        <w:rPr>
          <w:lang w:val="fr-FR"/>
        </w:rPr>
        <w:t>D.</w:t>
      </w:r>
      <w:r>
        <w:rPr>
          <w:lang w:val="fr-FR"/>
        </w:rPr>
        <w:tab/>
        <w:t>Accès à l’information</w:t>
      </w:r>
      <w:bookmarkEnd w:id="387"/>
      <w:bookmarkEnd w:id="388"/>
      <w:bookmarkEnd w:id="389"/>
      <w:bookmarkEnd w:id="390"/>
      <w:bookmarkEnd w:id="391"/>
      <w:bookmarkEnd w:id="392"/>
      <w:bookmarkEnd w:id="393"/>
      <w:bookmarkEnd w:id="394"/>
      <w:bookmarkEnd w:id="395"/>
    </w:p>
    <w:p w:rsidR="00000000" w:rsidRDefault="00000000">
      <w:pPr>
        <w:pStyle w:val="H23G"/>
        <w:rPr>
          <w:lang w:val="fr-FR"/>
        </w:rPr>
      </w:pPr>
      <w:bookmarkStart w:id="396" w:name="_Toc206414514"/>
      <w:bookmarkStart w:id="397" w:name="_Toc206460356"/>
      <w:bookmarkStart w:id="398" w:name="_Toc206460688"/>
      <w:bookmarkStart w:id="399" w:name="_Toc206461410"/>
      <w:bookmarkStart w:id="400" w:name="_Toc206476204"/>
      <w:bookmarkStart w:id="401" w:name="_Toc207788739"/>
      <w:bookmarkStart w:id="402" w:name="_Toc211835410"/>
      <w:bookmarkStart w:id="403" w:name="_Toc211926717"/>
      <w:r>
        <w:rPr>
          <w:lang w:val="fr-FR"/>
        </w:rPr>
        <w:tab/>
        <w:t>1.</w:t>
      </w:r>
      <w:r>
        <w:rPr>
          <w:lang w:val="fr-FR"/>
        </w:rPr>
        <w:tab/>
        <w:t>Mesures législatives et réglementaires</w:t>
      </w:r>
      <w:bookmarkEnd w:id="396"/>
      <w:bookmarkEnd w:id="397"/>
      <w:bookmarkEnd w:id="398"/>
      <w:bookmarkEnd w:id="399"/>
      <w:bookmarkEnd w:id="400"/>
      <w:bookmarkEnd w:id="401"/>
      <w:bookmarkEnd w:id="402"/>
      <w:bookmarkEnd w:id="403"/>
    </w:p>
    <w:p w:rsidR="00000000" w:rsidRDefault="00000000">
      <w:pPr>
        <w:pStyle w:val="SingleTxtG"/>
        <w:rPr>
          <w:lang w:val="fr-FR"/>
        </w:rPr>
      </w:pPr>
      <w:r>
        <w:rPr>
          <w:lang w:val="fr-FR"/>
        </w:rPr>
        <w:t>165.</w:t>
      </w:r>
      <w:r>
        <w:rPr>
          <w:lang w:val="fr-FR"/>
        </w:rPr>
        <w:tab/>
        <w:t xml:space="preserve">L’article 11 de la Constitution garantit à tout individu le droit à l’information et que celle-ci n’est soumise à aucune contrainte préalable. </w:t>
      </w:r>
    </w:p>
    <w:p w:rsidR="00000000" w:rsidRDefault="00000000">
      <w:pPr>
        <w:pStyle w:val="SingleTxtG"/>
        <w:rPr>
          <w:lang w:val="fr-FR"/>
        </w:rPr>
      </w:pPr>
      <w:r>
        <w:rPr>
          <w:lang w:val="fr-FR"/>
        </w:rPr>
        <w:t>166.</w:t>
      </w:r>
      <w:r>
        <w:rPr>
          <w:lang w:val="fr-FR"/>
        </w:rPr>
        <w:tab/>
        <w:t xml:space="preserve">Le décret </w:t>
      </w:r>
      <w:r>
        <w:rPr>
          <w:rFonts w:eastAsia="MS Mincho"/>
          <w:lang w:val="fr-FR"/>
        </w:rPr>
        <w:t>n</w:t>
      </w:r>
      <w:r>
        <w:rPr>
          <w:rFonts w:eastAsia="MS Mincho"/>
          <w:vertAlign w:val="superscript"/>
          <w:lang w:val="fr-FR"/>
        </w:rPr>
        <w:t>o</w:t>
      </w:r>
      <w:r>
        <w:rPr>
          <w:lang w:val="fr-FR"/>
        </w:rPr>
        <w:t xml:space="preserve"> 99-096 du 8 février 1999 du cahier des charges des entreprises audiovisuelles privées prévoit en son article 2 que </w:t>
      </w:r>
      <w:r>
        <w:rPr>
          <w:i/>
          <w:iCs/>
          <w:lang w:val="fr-FR"/>
        </w:rPr>
        <w:t>«</w:t>
      </w:r>
      <w:r>
        <w:rPr>
          <w:lang w:val="fr-FR"/>
        </w:rPr>
        <w:t>le titulaire est tenu de fournir des renseignements précis sur le contenu des programmes à diffuser et d’établir des restrictions horaires pour certaines catégories de programme, notamment celles comportant de forte dose de violence et de scènes érotiques»</w:t>
      </w:r>
      <w:r>
        <w:rPr>
          <w:i/>
          <w:iCs/>
          <w:lang w:val="fr-FR"/>
        </w:rPr>
        <w:t xml:space="preserve">. </w:t>
      </w:r>
    </w:p>
    <w:p w:rsidR="00000000" w:rsidRDefault="00000000">
      <w:pPr>
        <w:pStyle w:val="H23G"/>
        <w:rPr>
          <w:lang w:val="fr-FR"/>
        </w:rPr>
      </w:pPr>
      <w:bookmarkStart w:id="404" w:name="_Toc206414515"/>
      <w:bookmarkStart w:id="405" w:name="_Toc206460357"/>
      <w:bookmarkStart w:id="406" w:name="_Toc206460689"/>
      <w:bookmarkStart w:id="407" w:name="_Toc206461411"/>
      <w:bookmarkStart w:id="408" w:name="_Toc206476205"/>
      <w:bookmarkStart w:id="409" w:name="_Toc207788740"/>
      <w:bookmarkStart w:id="410" w:name="_Toc211835411"/>
      <w:bookmarkStart w:id="411" w:name="_Toc211926718"/>
      <w:r>
        <w:rPr>
          <w:lang w:val="fr-FR"/>
        </w:rPr>
        <w:tab/>
        <w:t>2.</w:t>
      </w:r>
      <w:r>
        <w:rPr>
          <w:lang w:val="fr-FR"/>
        </w:rPr>
        <w:tab/>
        <w:t>Mesures d’ordre administratif</w:t>
      </w:r>
      <w:bookmarkEnd w:id="404"/>
      <w:bookmarkEnd w:id="405"/>
      <w:bookmarkEnd w:id="406"/>
      <w:bookmarkEnd w:id="407"/>
      <w:bookmarkEnd w:id="408"/>
      <w:bookmarkEnd w:id="409"/>
      <w:bookmarkEnd w:id="410"/>
      <w:bookmarkEnd w:id="411"/>
    </w:p>
    <w:p w:rsidR="00000000" w:rsidRDefault="00000000">
      <w:pPr>
        <w:pStyle w:val="SingleTxtG"/>
        <w:rPr>
          <w:lang w:val="fr-FR"/>
        </w:rPr>
      </w:pPr>
      <w:r>
        <w:rPr>
          <w:lang w:val="fr-FR"/>
        </w:rPr>
        <w:t>167.</w:t>
      </w:r>
      <w:r>
        <w:rPr>
          <w:lang w:val="fr-FR"/>
        </w:rPr>
        <w:tab/>
        <w:t>Plus de 150 stations radios locales ont été formées depuis 2006 en vue de mobiliser les mères et les enfants à l’occasion des campagnes qui leur sont destinées durant la Semaine de la santé de la Mère et de l’Enfant. Des modules sur les droits de l’enfant ont été intégrés dans ces séries de formations périodiques dont l’enregistrement des naissances.</w:t>
      </w:r>
    </w:p>
    <w:p w:rsidR="00000000" w:rsidRDefault="00000000">
      <w:pPr>
        <w:pStyle w:val="SingleTxtG"/>
        <w:rPr>
          <w:b/>
          <w:lang w:val="fr-FR"/>
        </w:rPr>
      </w:pPr>
      <w:r>
        <w:rPr>
          <w:lang w:val="fr-FR"/>
        </w:rPr>
        <w:t>168.</w:t>
      </w:r>
      <w:r>
        <w:rPr>
          <w:lang w:val="fr-FR"/>
        </w:rPr>
        <w:tab/>
        <w:t>En 2004 une enquête a été réalisée par le MTPC en collaboration avec l’INSTAT et en partenariat avec l’UNICEF pour évaluer l’accessibilité des médias et sources d’information aux populations</w:t>
      </w:r>
      <w:r>
        <w:rPr>
          <w:rStyle w:val="FootnoteReference"/>
        </w:rPr>
        <w:footnoteReference w:id="8"/>
      </w:r>
      <w:r>
        <w:rPr>
          <w:lang w:val="fr-FR"/>
        </w:rPr>
        <w:t xml:space="preserve">. Si plus de 70 % des ménages enquêtés possèdent un poste de radio, seuls 47,7 % des enfants et des jeunes écoutent la radio, en particulier les programmes musicaux, les séries radio et les informations </w:t>
      </w:r>
    </w:p>
    <w:p w:rsidR="00000000" w:rsidRDefault="00000000">
      <w:pPr>
        <w:pStyle w:val="SingleTxtG"/>
        <w:keepNext/>
        <w:spacing w:after="0"/>
      </w:pPr>
      <w:bookmarkStart w:id="412" w:name="_Toc260298232"/>
      <w:r>
        <w:t>Tableau 9</w:t>
      </w:r>
    </w:p>
    <w:p w:rsidR="00000000" w:rsidRDefault="00000000">
      <w:pPr>
        <w:pStyle w:val="SingleTxtG"/>
        <w:keepNext/>
        <w:rPr>
          <w:b/>
        </w:rPr>
      </w:pPr>
      <w:r>
        <w:rPr>
          <w:b/>
        </w:rPr>
        <w:t>Audience des chaînes de radio dans les ménages</w:t>
      </w:r>
      <w:bookmarkEnd w:id="412"/>
    </w:p>
    <w:tbl>
      <w:tblPr>
        <w:tblW w:w="8505" w:type="dxa"/>
        <w:tblInd w:w="1134" w:type="dxa"/>
        <w:tblCellMar>
          <w:left w:w="0" w:type="dxa"/>
          <w:right w:w="0" w:type="dxa"/>
        </w:tblCellMar>
        <w:tblLook w:val="01E0" w:firstRow="1" w:lastRow="1" w:firstColumn="1" w:lastColumn="1" w:noHBand="0" w:noVBand="0"/>
      </w:tblPr>
      <w:tblGrid>
        <w:gridCol w:w="2126"/>
        <w:gridCol w:w="2131"/>
        <w:gridCol w:w="2124"/>
        <w:gridCol w:w="2124"/>
      </w:tblGrid>
      <w:tr w:rsidR="00000000">
        <w:tc>
          <w:tcPr>
            <w:tcW w:w="8505" w:type="dxa"/>
            <w:gridSpan w:val="4"/>
            <w:tcBorders>
              <w:top w:val="single" w:sz="4" w:space="0" w:color="auto"/>
              <w:bottom w:val="single" w:sz="4" w:space="0" w:color="auto"/>
            </w:tcBorders>
            <w:shd w:val="clear" w:color="auto" w:fill="auto"/>
            <w:vAlign w:val="bottom"/>
          </w:tcPr>
          <w:p w:rsidR="00000000" w:rsidRDefault="00000000">
            <w:pPr>
              <w:keepNext/>
              <w:spacing w:before="80" w:after="80" w:line="200" w:lineRule="exact"/>
              <w:jc w:val="center"/>
              <w:rPr>
                <w:i/>
                <w:sz w:val="16"/>
                <w:szCs w:val="16"/>
              </w:rPr>
            </w:pPr>
            <w:r>
              <w:rPr>
                <w:i/>
                <w:sz w:val="16"/>
                <w:szCs w:val="16"/>
              </w:rPr>
              <w:t xml:space="preserve"> % de ménages enquêtés qui écoutent la radio et de ceux dont les enfants et jeunes écoutent la radio</w:t>
            </w:r>
          </w:p>
        </w:tc>
      </w:tr>
      <w:tr w:rsidR="00000000">
        <w:tc>
          <w:tcPr>
            <w:tcW w:w="2126" w:type="dxa"/>
            <w:tcBorders>
              <w:top w:val="single" w:sz="4" w:space="0" w:color="auto"/>
              <w:bottom w:val="single" w:sz="12" w:space="0" w:color="auto"/>
            </w:tcBorders>
            <w:shd w:val="clear" w:color="auto" w:fill="auto"/>
            <w:vAlign w:val="bottom"/>
          </w:tcPr>
          <w:p w:rsidR="00000000" w:rsidRDefault="00000000">
            <w:pPr>
              <w:keepNext/>
              <w:spacing w:before="80" w:after="80" w:line="200" w:lineRule="exact"/>
              <w:rPr>
                <w:bCs/>
                <w:i/>
                <w:sz w:val="16"/>
                <w:szCs w:val="16"/>
              </w:rPr>
            </w:pPr>
            <w:r>
              <w:rPr>
                <w:bCs/>
                <w:i/>
                <w:sz w:val="16"/>
                <w:szCs w:val="16"/>
              </w:rPr>
              <w:t>Régions</w:t>
            </w:r>
          </w:p>
        </w:tc>
        <w:tc>
          <w:tcPr>
            <w:tcW w:w="2131" w:type="dxa"/>
            <w:tcBorders>
              <w:top w:val="single" w:sz="4" w:space="0" w:color="auto"/>
              <w:bottom w:val="single" w:sz="12" w:space="0" w:color="auto"/>
            </w:tcBorders>
            <w:shd w:val="clear" w:color="auto" w:fill="auto"/>
            <w:vAlign w:val="bottom"/>
          </w:tcPr>
          <w:p w:rsidR="00000000" w:rsidRDefault="00000000">
            <w:pPr>
              <w:keepNext/>
              <w:spacing w:before="80" w:after="80" w:line="200" w:lineRule="exact"/>
              <w:rPr>
                <w:bCs/>
                <w:i/>
                <w:sz w:val="16"/>
                <w:szCs w:val="16"/>
              </w:rPr>
            </w:pPr>
            <w:r>
              <w:rPr>
                <w:bCs/>
                <w:i/>
                <w:sz w:val="16"/>
                <w:szCs w:val="16"/>
              </w:rPr>
              <w:t>Districts</w:t>
            </w:r>
          </w:p>
        </w:tc>
        <w:tc>
          <w:tcPr>
            <w:tcW w:w="2124" w:type="dxa"/>
            <w:tcBorders>
              <w:top w:val="single" w:sz="4" w:space="0" w:color="auto"/>
              <w:bottom w:val="single" w:sz="12" w:space="0" w:color="auto"/>
            </w:tcBorders>
            <w:shd w:val="clear" w:color="auto" w:fill="auto"/>
            <w:vAlign w:val="bottom"/>
          </w:tcPr>
          <w:p w:rsidR="00000000" w:rsidRDefault="00000000">
            <w:pPr>
              <w:keepNext/>
              <w:spacing w:before="80" w:after="80" w:line="200" w:lineRule="exact"/>
              <w:jc w:val="right"/>
              <w:rPr>
                <w:bCs/>
                <w:i/>
                <w:sz w:val="16"/>
                <w:szCs w:val="16"/>
              </w:rPr>
            </w:pPr>
            <w:r>
              <w:rPr>
                <w:bCs/>
                <w:i/>
                <w:sz w:val="16"/>
                <w:szCs w:val="16"/>
              </w:rPr>
              <w:t>Ménages écoutant la radio</w:t>
            </w:r>
          </w:p>
        </w:tc>
        <w:tc>
          <w:tcPr>
            <w:tcW w:w="2124" w:type="dxa"/>
            <w:tcBorders>
              <w:top w:val="single" w:sz="4" w:space="0" w:color="auto"/>
              <w:bottom w:val="single" w:sz="12" w:space="0" w:color="auto"/>
            </w:tcBorders>
            <w:shd w:val="clear" w:color="auto" w:fill="auto"/>
            <w:vAlign w:val="bottom"/>
          </w:tcPr>
          <w:p w:rsidR="00000000" w:rsidRDefault="00000000">
            <w:pPr>
              <w:keepNext/>
              <w:spacing w:before="80" w:after="80" w:line="200" w:lineRule="exact"/>
              <w:jc w:val="right"/>
              <w:rPr>
                <w:bCs/>
                <w:i/>
                <w:sz w:val="16"/>
                <w:szCs w:val="16"/>
              </w:rPr>
            </w:pPr>
            <w:r>
              <w:rPr>
                <w:bCs/>
                <w:i/>
                <w:sz w:val="16"/>
                <w:szCs w:val="16"/>
              </w:rPr>
              <w:t>Ménages dont les enfants et les jeunes écoutent la radio</w:t>
            </w:r>
          </w:p>
        </w:tc>
      </w:tr>
      <w:tr w:rsidR="00000000">
        <w:tc>
          <w:tcPr>
            <w:tcW w:w="2126" w:type="dxa"/>
            <w:tcBorders>
              <w:top w:val="single" w:sz="12" w:space="0" w:color="auto"/>
            </w:tcBorders>
            <w:shd w:val="clear" w:color="auto" w:fill="auto"/>
          </w:tcPr>
          <w:p w:rsidR="00000000" w:rsidRDefault="00000000">
            <w:pPr>
              <w:spacing w:before="40" w:after="40" w:line="220" w:lineRule="exact"/>
              <w:rPr>
                <w:sz w:val="18"/>
                <w:szCs w:val="18"/>
              </w:rPr>
            </w:pPr>
            <w:r>
              <w:rPr>
                <w:sz w:val="18"/>
                <w:szCs w:val="18"/>
              </w:rPr>
              <w:t>Analamanga</w:t>
            </w:r>
          </w:p>
        </w:tc>
        <w:tc>
          <w:tcPr>
            <w:tcW w:w="2131" w:type="dxa"/>
            <w:tcBorders>
              <w:top w:val="single" w:sz="12" w:space="0" w:color="auto"/>
            </w:tcBorders>
            <w:shd w:val="clear" w:color="auto" w:fill="auto"/>
          </w:tcPr>
          <w:p w:rsidR="00000000" w:rsidRDefault="00000000">
            <w:pPr>
              <w:spacing w:before="40" w:after="40" w:line="220" w:lineRule="exact"/>
              <w:rPr>
                <w:sz w:val="18"/>
                <w:szCs w:val="18"/>
              </w:rPr>
            </w:pPr>
            <w:r>
              <w:rPr>
                <w:sz w:val="18"/>
                <w:szCs w:val="18"/>
              </w:rPr>
              <w:t>Antananarivo Renivohitra</w:t>
            </w:r>
          </w:p>
        </w:tc>
        <w:tc>
          <w:tcPr>
            <w:tcW w:w="2124" w:type="dxa"/>
            <w:tcBorders>
              <w:top w:val="single" w:sz="12" w:space="0" w:color="auto"/>
            </w:tcBorders>
            <w:shd w:val="clear" w:color="auto" w:fill="auto"/>
            <w:vAlign w:val="bottom"/>
          </w:tcPr>
          <w:p w:rsidR="00000000" w:rsidRDefault="00000000">
            <w:pPr>
              <w:spacing w:before="40" w:after="40" w:line="220" w:lineRule="exact"/>
              <w:jc w:val="right"/>
              <w:rPr>
                <w:sz w:val="18"/>
                <w:szCs w:val="18"/>
              </w:rPr>
            </w:pPr>
            <w:r>
              <w:rPr>
                <w:sz w:val="18"/>
                <w:szCs w:val="18"/>
              </w:rPr>
              <w:t>84,1</w:t>
            </w:r>
          </w:p>
        </w:tc>
        <w:tc>
          <w:tcPr>
            <w:tcW w:w="2124" w:type="dxa"/>
            <w:tcBorders>
              <w:top w:val="single" w:sz="12" w:space="0" w:color="auto"/>
            </w:tcBorders>
            <w:shd w:val="clear" w:color="auto" w:fill="auto"/>
            <w:vAlign w:val="bottom"/>
          </w:tcPr>
          <w:p w:rsidR="00000000" w:rsidRDefault="00000000">
            <w:pPr>
              <w:spacing w:before="40" w:after="40" w:line="220" w:lineRule="exact"/>
              <w:jc w:val="right"/>
              <w:rPr>
                <w:sz w:val="18"/>
                <w:szCs w:val="18"/>
              </w:rPr>
            </w:pPr>
            <w:r>
              <w:rPr>
                <w:sz w:val="18"/>
                <w:szCs w:val="18"/>
              </w:rPr>
              <w:t>49,2</w:t>
            </w:r>
          </w:p>
        </w:tc>
      </w:tr>
      <w:tr w:rsidR="00000000">
        <w:tc>
          <w:tcPr>
            <w:tcW w:w="2126" w:type="dxa"/>
            <w:shd w:val="clear" w:color="auto" w:fill="auto"/>
          </w:tcPr>
          <w:p w:rsidR="00000000" w:rsidRDefault="00000000">
            <w:pPr>
              <w:spacing w:before="40" w:after="40" w:line="220" w:lineRule="exact"/>
              <w:rPr>
                <w:sz w:val="18"/>
                <w:szCs w:val="18"/>
              </w:rPr>
            </w:pPr>
            <w:r>
              <w:rPr>
                <w:sz w:val="18"/>
                <w:szCs w:val="18"/>
              </w:rPr>
              <w:t>Bongolava</w:t>
            </w:r>
          </w:p>
        </w:tc>
        <w:tc>
          <w:tcPr>
            <w:tcW w:w="2131" w:type="dxa"/>
            <w:shd w:val="clear" w:color="auto" w:fill="auto"/>
          </w:tcPr>
          <w:p w:rsidR="00000000" w:rsidRDefault="00000000">
            <w:pPr>
              <w:spacing w:before="40" w:after="40" w:line="220" w:lineRule="exact"/>
              <w:rPr>
                <w:sz w:val="18"/>
                <w:szCs w:val="18"/>
              </w:rPr>
            </w:pPr>
            <w:r>
              <w:rPr>
                <w:sz w:val="18"/>
                <w:szCs w:val="18"/>
              </w:rPr>
              <w:t>Tsiroanomandidy</w:t>
            </w:r>
          </w:p>
        </w:tc>
        <w:tc>
          <w:tcPr>
            <w:tcW w:w="2124" w:type="dxa"/>
            <w:shd w:val="clear" w:color="auto" w:fill="auto"/>
            <w:vAlign w:val="bottom"/>
          </w:tcPr>
          <w:p w:rsidR="00000000" w:rsidRDefault="00000000">
            <w:pPr>
              <w:spacing w:before="40" w:after="40" w:line="220" w:lineRule="exact"/>
              <w:jc w:val="right"/>
              <w:rPr>
                <w:sz w:val="18"/>
                <w:szCs w:val="18"/>
              </w:rPr>
            </w:pPr>
            <w:r>
              <w:rPr>
                <w:sz w:val="18"/>
                <w:szCs w:val="18"/>
              </w:rPr>
              <w:t>81,3</w:t>
            </w:r>
          </w:p>
        </w:tc>
        <w:tc>
          <w:tcPr>
            <w:tcW w:w="2124" w:type="dxa"/>
            <w:shd w:val="clear" w:color="auto" w:fill="auto"/>
            <w:vAlign w:val="bottom"/>
          </w:tcPr>
          <w:p w:rsidR="00000000" w:rsidRDefault="00000000">
            <w:pPr>
              <w:spacing w:before="40" w:after="40" w:line="220" w:lineRule="exact"/>
              <w:jc w:val="right"/>
              <w:rPr>
                <w:sz w:val="18"/>
                <w:szCs w:val="18"/>
              </w:rPr>
            </w:pPr>
            <w:r>
              <w:rPr>
                <w:sz w:val="18"/>
                <w:szCs w:val="18"/>
              </w:rPr>
              <w:t>45,0</w:t>
            </w:r>
          </w:p>
        </w:tc>
      </w:tr>
      <w:tr w:rsidR="00000000">
        <w:tc>
          <w:tcPr>
            <w:tcW w:w="2126" w:type="dxa"/>
            <w:shd w:val="clear" w:color="auto" w:fill="auto"/>
          </w:tcPr>
          <w:p w:rsidR="00000000" w:rsidRDefault="00000000">
            <w:pPr>
              <w:spacing w:before="40" w:after="40" w:line="220" w:lineRule="exact"/>
              <w:rPr>
                <w:sz w:val="18"/>
                <w:szCs w:val="18"/>
              </w:rPr>
            </w:pPr>
            <w:r>
              <w:rPr>
                <w:sz w:val="18"/>
                <w:szCs w:val="18"/>
              </w:rPr>
              <w:t>Ihorombe</w:t>
            </w:r>
          </w:p>
        </w:tc>
        <w:tc>
          <w:tcPr>
            <w:tcW w:w="2131" w:type="dxa"/>
            <w:shd w:val="clear" w:color="auto" w:fill="auto"/>
          </w:tcPr>
          <w:p w:rsidR="00000000" w:rsidRDefault="00000000">
            <w:pPr>
              <w:spacing w:before="40" w:after="40" w:line="220" w:lineRule="exact"/>
              <w:rPr>
                <w:sz w:val="18"/>
                <w:szCs w:val="18"/>
              </w:rPr>
            </w:pPr>
            <w:r>
              <w:rPr>
                <w:sz w:val="18"/>
                <w:szCs w:val="18"/>
              </w:rPr>
              <w:t>Ihosy</w:t>
            </w:r>
          </w:p>
        </w:tc>
        <w:tc>
          <w:tcPr>
            <w:tcW w:w="2124" w:type="dxa"/>
            <w:shd w:val="clear" w:color="auto" w:fill="auto"/>
            <w:vAlign w:val="bottom"/>
          </w:tcPr>
          <w:p w:rsidR="00000000" w:rsidRDefault="00000000">
            <w:pPr>
              <w:spacing w:before="40" w:after="40" w:line="220" w:lineRule="exact"/>
              <w:jc w:val="right"/>
              <w:rPr>
                <w:sz w:val="18"/>
                <w:szCs w:val="18"/>
              </w:rPr>
            </w:pPr>
            <w:r>
              <w:rPr>
                <w:sz w:val="18"/>
                <w:szCs w:val="18"/>
              </w:rPr>
              <w:t>78,7</w:t>
            </w:r>
          </w:p>
        </w:tc>
        <w:tc>
          <w:tcPr>
            <w:tcW w:w="2124" w:type="dxa"/>
            <w:shd w:val="clear" w:color="auto" w:fill="auto"/>
            <w:vAlign w:val="bottom"/>
          </w:tcPr>
          <w:p w:rsidR="00000000" w:rsidRDefault="00000000">
            <w:pPr>
              <w:spacing w:before="40" w:after="40" w:line="220" w:lineRule="exact"/>
              <w:jc w:val="right"/>
              <w:rPr>
                <w:sz w:val="18"/>
                <w:szCs w:val="18"/>
              </w:rPr>
            </w:pPr>
            <w:r>
              <w:rPr>
                <w:sz w:val="18"/>
                <w:szCs w:val="18"/>
              </w:rPr>
              <w:t>66,1</w:t>
            </w:r>
          </w:p>
        </w:tc>
      </w:tr>
      <w:tr w:rsidR="00000000">
        <w:tc>
          <w:tcPr>
            <w:tcW w:w="2126" w:type="dxa"/>
            <w:shd w:val="clear" w:color="auto" w:fill="auto"/>
          </w:tcPr>
          <w:p w:rsidR="00000000" w:rsidRDefault="00000000">
            <w:pPr>
              <w:spacing w:before="40" w:after="40" w:line="220" w:lineRule="exact"/>
              <w:rPr>
                <w:sz w:val="18"/>
                <w:szCs w:val="18"/>
              </w:rPr>
            </w:pPr>
            <w:r>
              <w:rPr>
                <w:sz w:val="18"/>
                <w:szCs w:val="18"/>
              </w:rPr>
              <w:t>Atsinanana</w:t>
            </w:r>
          </w:p>
        </w:tc>
        <w:tc>
          <w:tcPr>
            <w:tcW w:w="2131" w:type="dxa"/>
            <w:shd w:val="clear" w:color="auto" w:fill="auto"/>
          </w:tcPr>
          <w:p w:rsidR="00000000" w:rsidRDefault="00000000">
            <w:pPr>
              <w:spacing w:before="40" w:after="40" w:line="220" w:lineRule="exact"/>
              <w:rPr>
                <w:sz w:val="18"/>
                <w:szCs w:val="18"/>
              </w:rPr>
            </w:pPr>
            <w:r>
              <w:rPr>
                <w:sz w:val="18"/>
                <w:szCs w:val="18"/>
              </w:rPr>
              <w:t>Toamasina I et II</w:t>
            </w:r>
          </w:p>
        </w:tc>
        <w:tc>
          <w:tcPr>
            <w:tcW w:w="2124" w:type="dxa"/>
            <w:shd w:val="clear" w:color="auto" w:fill="auto"/>
            <w:vAlign w:val="bottom"/>
          </w:tcPr>
          <w:p w:rsidR="00000000" w:rsidRDefault="00000000">
            <w:pPr>
              <w:spacing w:before="40" w:after="40" w:line="220" w:lineRule="exact"/>
              <w:jc w:val="right"/>
              <w:rPr>
                <w:sz w:val="18"/>
                <w:szCs w:val="18"/>
              </w:rPr>
            </w:pPr>
            <w:r>
              <w:rPr>
                <w:sz w:val="18"/>
                <w:szCs w:val="18"/>
              </w:rPr>
              <w:t>60,9</w:t>
            </w:r>
          </w:p>
        </w:tc>
        <w:tc>
          <w:tcPr>
            <w:tcW w:w="2124" w:type="dxa"/>
            <w:shd w:val="clear" w:color="auto" w:fill="auto"/>
            <w:vAlign w:val="bottom"/>
          </w:tcPr>
          <w:p w:rsidR="00000000" w:rsidRDefault="00000000">
            <w:pPr>
              <w:spacing w:before="40" w:after="40" w:line="220" w:lineRule="exact"/>
              <w:jc w:val="right"/>
              <w:rPr>
                <w:sz w:val="18"/>
                <w:szCs w:val="18"/>
              </w:rPr>
            </w:pPr>
            <w:r>
              <w:rPr>
                <w:sz w:val="18"/>
                <w:szCs w:val="18"/>
              </w:rPr>
              <w:t>33,8</w:t>
            </w:r>
          </w:p>
        </w:tc>
      </w:tr>
      <w:tr w:rsidR="00000000">
        <w:tc>
          <w:tcPr>
            <w:tcW w:w="2126" w:type="dxa"/>
            <w:shd w:val="clear" w:color="auto" w:fill="auto"/>
          </w:tcPr>
          <w:p w:rsidR="00000000" w:rsidRDefault="00000000">
            <w:pPr>
              <w:spacing w:before="40" w:after="40" w:line="220" w:lineRule="exact"/>
              <w:rPr>
                <w:sz w:val="18"/>
                <w:szCs w:val="18"/>
              </w:rPr>
            </w:pPr>
            <w:r>
              <w:rPr>
                <w:sz w:val="18"/>
                <w:szCs w:val="18"/>
              </w:rPr>
              <w:t>Alaotra Mangoro</w:t>
            </w:r>
          </w:p>
        </w:tc>
        <w:tc>
          <w:tcPr>
            <w:tcW w:w="2131" w:type="dxa"/>
            <w:shd w:val="clear" w:color="auto" w:fill="auto"/>
          </w:tcPr>
          <w:p w:rsidR="00000000" w:rsidRDefault="00000000">
            <w:pPr>
              <w:spacing w:before="40" w:after="40" w:line="220" w:lineRule="exact"/>
              <w:rPr>
                <w:sz w:val="18"/>
                <w:szCs w:val="18"/>
              </w:rPr>
            </w:pPr>
            <w:r>
              <w:rPr>
                <w:sz w:val="18"/>
                <w:szCs w:val="18"/>
              </w:rPr>
              <w:t>Ambatondrazaka</w:t>
            </w:r>
          </w:p>
        </w:tc>
        <w:tc>
          <w:tcPr>
            <w:tcW w:w="2124" w:type="dxa"/>
            <w:shd w:val="clear" w:color="auto" w:fill="auto"/>
            <w:vAlign w:val="bottom"/>
          </w:tcPr>
          <w:p w:rsidR="00000000" w:rsidRDefault="00000000">
            <w:pPr>
              <w:spacing w:before="40" w:after="40" w:line="220" w:lineRule="exact"/>
              <w:jc w:val="right"/>
              <w:rPr>
                <w:sz w:val="18"/>
                <w:szCs w:val="18"/>
              </w:rPr>
            </w:pPr>
            <w:r>
              <w:rPr>
                <w:sz w:val="18"/>
                <w:szCs w:val="18"/>
              </w:rPr>
              <w:t>98,2</w:t>
            </w:r>
          </w:p>
        </w:tc>
        <w:tc>
          <w:tcPr>
            <w:tcW w:w="2124" w:type="dxa"/>
            <w:shd w:val="clear" w:color="auto" w:fill="auto"/>
            <w:vAlign w:val="bottom"/>
          </w:tcPr>
          <w:p w:rsidR="00000000" w:rsidRDefault="00000000">
            <w:pPr>
              <w:spacing w:before="40" w:after="40" w:line="220" w:lineRule="exact"/>
              <w:jc w:val="right"/>
              <w:rPr>
                <w:sz w:val="18"/>
                <w:szCs w:val="18"/>
              </w:rPr>
            </w:pPr>
            <w:r>
              <w:rPr>
                <w:sz w:val="18"/>
                <w:szCs w:val="18"/>
              </w:rPr>
              <w:t>76,8</w:t>
            </w:r>
          </w:p>
        </w:tc>
      </w:tr>
      <w:tr w:rsidR="00000000">
        <w:tc>
          <w:tcPr>
            <w:tcW w:w="2126" w:type="dxa"/>
            <w:shd w:val="clear" w:color="auto" w:fill="auto"/>
          </w:tcPr>
          <w:p w:rsidR="00000000" w:rsidRDefault="00000000">
            <w:pPr>
              <w:spacing w:before="40" w:after="40" w:line="220" w:lineRule="exact"/>
              <w:rPr>
                <w:sz w:val="18"/>
                <w:szCs w:val="18"/>
              </w:rPr>
            </w:pPr>
            <w:r>
              <w:rPr>
                <w:sz w:val="18"/>
                <w:szCs w:val="18"/>
              </w:rPr>
              <w:t>Boeny</w:t>
            </w:r>
          </w:p>
        </w:tc>
        <w:tc>
          <w:tcPr>
            <w:tcW w:w="2131" w:type="dxa"/>
            <w:shd w:val="clear" w:color="auto" w:fill="auto"/>
          </w:tcPr>
          <w:p w:rsidR="00000000" w:rsidRDefault="00000000">
            <w:pPr>
              <w:spacing w:before="40" w:after="40" w:line="220" w:lineRule="exact"/>
              <w:rPr>
                <w:sz w:val="18"/>
                <w:szCs w:val="18"/>
              </w:rPr>
            </w:pPr>
            <w:r>
              <w:rPr>
                <w:sz w:val="18"/>
                <w:szCs w:val="18"/>
              </w:rPr>
              <w:t>Mahajanga I et II</w:t>
            </w:r>
          </w:p>
        </w:tc>
        <w:tc>
          <w:tcPr>
            <w:tcW w:w="2124" w:type="dxa"/>
            <w:shd w:val="clear" w:color="auto" w:fill="auto"/>
            <w:vAlign w:val="bottom"/>
          </w:tcPr>
          <w:p w:rsidR="00000000" w:rsidRDefault="00000000">
            <w:pPr>
              <w:spacing w:before="40" w:after="40" w:line="220" w:lineRule="exact"/>
              <w:jc w:val="right"/>
              <w:rPr>
                <w:sz w:val="18"/>
                <w:szCs w:val="18"/>
              </w:rPr>
            </w:pPr>
            <w:r>
              <w:rPr>
                <w:sz w:val="18"/>
                <w:szCs w:val="18"/>
              </w:rPr>
              <w:t>82,5</w:t>
            </w:r>
          </w:p>
        </w:tc>
        <w:tc>
          <w:tcPr>
            <w:tcW w:w="2124" w:type="dxa"/>
            <w:shd w:val="clear" w:color="auto" w:fill="auto"/>
            <w:vAlign w:val="bottom"/>
          </w:tcPr>
          <w:p w:rsidR="00000000" w:rsidRDefault="00000000">
            <w:pPr>
              <w:spacing w:before="40" w:after="40" w:line="220" w:lineRule="exact"/>
              <w:jc w:val="right"/>
              <w:rPr>
                <w:sz w:val="18"/>
                <w:szCs w:val="18"/>
              </w:rPr>
            </w:pPr>
            <w:r>
              <w:rPr>
                <w:sz w:val="18"/>
                <w:szCs w:val="18"/>
              </w:rPr>
              <w:t>36,1</w:t>
            </w:r>
          </w:p>
        </w:tc>
      </w:tr>
      <w:tr w:rsidR="00000000">
        <w:tc>
          <w:tcPr>
            <w:tcW w:w="2126" w:type="dxa"/>
            <w:shd w:val="clear" w:color="auto" w:fill="auto"/>
          </w:tcPr>
          <w:p w:rsidR="00000000" w:rsidRDefault="00000000">
            <w:pPr>
              <w:spacing w:before="40" w:after="40" w:line="220" w:lineRule="exact"/>
              <w:rPr>
                <w:sz w:val="18"/>
                <w:szCs w:val="18"/>
              </w:rPr>
            </w:pPr>
            <w:r>
              <w:rPr>
                <w:sz w:val="18"/>
                <w:szCs w:val="18"/>
              </w:rPr>
              <w:t>Betsiboka</w:t>
            </w:r>
          </w:p>
        </w:tc>
        <w:tc>
          <w:tcPr>
            <w:tcW w:w="2131" w:type="dxa"/>
            <w:shd w:val="clear" w:color="auto" w:fill="auto"/>
          </w:tcPr>
          <w:p w:rsidR="00000000" w:rsidRDefault="00000000">
            <w:pPr>
              <w:spacing w:before="40" w:after="40" w:line="220" w:lineRule="exact"/>
              <w:rPr>
                <w:sz w:val="18"/>
                <w:szCs w:val="18"/>
              </w:rPr>
            </w:pPr>
            <w:r>
              <w:rPr>
                <w:sz w:val="18"/>
                <w:szCs w:val="18"/>
              </w:rPr>
              <w:t>Maevatanàna</w:t>
            </w:r>
          </w:p>
        </w:tc>
        <w:tc>
          <w:tcPr>
            <w:tcW w:w="2124" w:type="dxa"/>
            <w:shd w:val="clear" w:color="auto" w:fill="auto"/>
            <w:vAlign w:val="bottom"/>
          </w:tcPr>
          <w:p w:rsidR="00000000" w:rsidRDefault="00000000">
            <w:pPr>
              <w:spacing w:before="40" w:after="40" w:line="220" w:lineRule="exact"/>
              <w:jc w:val="right"/>
              <w:rPr>
                <w:sz w:val="18"/>
                <w:szCs w:val="18"/>
              </w:rPr>
            </w:pPr>
            <w:r>
              <w:rPr>
                <w:sz w:val="18"/>
                <w:szCs w:val="18"/>
              </w:rPr>
              <w:t>51,0</w:t>
            </w:r>
          </w:p>
        </w:tc>
        <w:tc>
          <w:tcPr>
            <w:tcW w:w="2124" w:type="dxa"/>
            <w:shd w:val="clear" w:color="auto" w:fill="auto"/>
            <w:vAlign w:val="bottom"/>
          </w:tcPr>
          <w:p w:rsidR="00000000" w:rsidRDefault="00000000">
            <w:pPr>
              <w:spacing w:before="40" w:after="40" w:line="220" w:lineRule="exact"/>
              <w:jc w:val="right"/>
              <w:rPr>
                <w:sz w:val="18"/>
                <w:szCs w:val="18"/>
              </w:rPr>
            </w:pPr>
            <w:r>
              <w:rPr>
                <w:sz w:val="18"/>
                <w:szCs w:val="18"/>
              </w:rPr>
              <w:t>18,8</w:t>
            </w:r>
          </w:p>
        </w:tc>
      </w:tr>
      <w:tr w:rsidR="00000000">
        <w:tc>
          <w:tcPr>
            <w:tcW w:w="2126" w:type="dxa"/>
            <w:shd w:val="clear" w:color="auto" w:fill="auto"/>
          </w:tcPr>
          <w:p w:rsidR="00000000" w:rsidRDefault="00000000">
            <w:pPr>
              <w:spacing w:before="40" w:after="40" w:line="220" w:lineRule="exact"/>
              <w:rPr>
                <w:sz w:val="18"/>
                <w:szCs w:val="18"/>
              </w:rPr>
            </w:pPr>
            <w:r>
              <w:rPr>
                <w:sz w:val="18"/>
                <w:szCs w:val="18"/>
              </w:rPr>
              <w:t>Melaky</w:t>
            </w:r>
          </w:p>
        </w:tc>
        <w:tc>
          <w:tcPr>
            <w:tcW w:w="2131" w:type="dxa"/>
            <w:shd w:val="clear" w:color="auto" w:fill="auto"/>
          </w:tcPr>
          <w:p w:rsidR="00000000" w:rsidRDefault="00000000">
            <w:pPr>
              <w:spacing w:before="40" w:after="40" w:line="220" w:lineRule="exact"/>
              <w:rPr>
                <w:sz w:val="18"/>
                <w:szCs w:val="18"/>
              </w:rPr>
            </w:pPr>
            <w:r>
              <w:rPr>
                <w:sz w:val="18"/>
                <w:szCs w:val="18"/>
              </w:rPr>
              <w:t xml:space="preserve">Maintirano </w:t>
            </w:r>
          </w:p>
        </w:tc>
        <w:tc>
          <w:tcPr>
            <w:tcW w:w="2124" w:type="dxa"/>
            <w:shd w:val="clear" w:color="auto" w:fill="auto"/>
            <w:vAlign w:val="bottom"/>
          </w:tcPr>
          <w:p w:rsidR="00000000" w:rsidRDefault="00000000">
            <w:pPr>
              <w:spacing w:before="40" w:after="40" w:line="220" w:lineRule="exact"/>
              <w:jc w:val="right"/>
              <w:rPr>
                <w:sz w:val="18"/>
                <w:szCs w:val="18"/>
              </w:rPr>
            </w:pPr>
            <w:r>
              <w:rPr>
                <w:sz w:val="18"/>
                <w:szCs w:val="18"/>
              </w:rPr>
              <w:t>84,0</w:t>
            </w:r>
          </w:p>
        </w:tc>
        <w:tc>
          <w:tcPr>
            <w:tcW w:w="2124" w:type="dxa"/>
            <w:shd w:val="clear" w:color="auto" w:fill="auto"/>
            <w:vAlign w:val="bottom"/>
          </w:tcPr>
          <w:p w:rsidR="00000000" w:rsidRDefault="00000000">
            <w:pPr>
              <w:spacing w:before="40" w:after="40" w:line="220" w:lineRule="exact"/>
              <w:jc w:val="right"/>
              <w:rPr>
                <w:sz w:val="18"/>
                <w:szCs w:val="18"/>
              </w:rPr>
            </w:pPr>
            <w:r>
              <w:rPr>
                <w:sz w:val="18"/>
                <w:szCs w:val="18"/>
              </w:rPr>
              <w:t>48,2</w:t>
            </w:r>
          </w:p>
        </w:tc>
      </w:tr>
      <w:tr w:rsidR="00000000">
        <w:tc>
          <w:tcPr>
            <w:tcW w:w="2126" w:type="dxa"/>
            <w:vMerge w:val="restart"/>
            <w:shd w:val="clear" w:color="auto" w:fill="auto"/>
          </w:tcPr>
          <w:p w:rsidR="00000000" w:rsidRDefault="00000000">
            <w:pPr>
              <w:spacing w:before="40" w:after="40" w:line="220" w:lineRule="exact"/>
              <w:rPr>
                <w:sz w:val="18"/>
                <w:szCs w:val="18"/>
              </w:rPr>
            </w:pPr>
            <w:r>
              <w:rPr>
                <w:sz w:val="18"/>
                <w:szCs w:val="18"/>
              </w:rPr>
              <w:t>Atsimo Andrefana</w:t>
            </w:r>
          </w:p>
        </w:tc>
        <w:tc>
          <w:tcPr>
            <w:tcW w:w="2131" w:type="dxa"/>
            <w:shd w:val="clear" w:color="auto" w:fill="auto"/>
          </w:tcPr>
          <w:p w:rsidR="00000000" w:rsidRDefault="00000000">
            <w:pPr>
              <w:spacing w:before="40" w:after="40" w:line="220" w:lineRule="exact"/>
              <w:rPr>
                <w:sz w:val="18"/>
                <w:szCs w:val="18"/>
              </w:rPr>
            </w:pPr>
            <w:r>
              <w:rPr>
                <w:sz w:val="18"/>
                <w:szCs w:val="18"/>
              </w:rPr>
              <w:t>Ampanihy</w:t>
            </w:r>
          </w:p>
        </w:tc>
        <w:tc>
          <w:tcPr>
            <w:tcW w:w="2124" w:type="dxa"/>
            <w:shd w:val="clear" w:color="auto" w:fill="auto"/>
            <w:vAlign w:val="bottom"/>
          </w:tcPr>
          <w:p w:rsidR="00000000" w:rsidRDefault="00000000">
            <w:pPr>
              <w:spacing w:before="40" w:after="40" w:line="220" w:lineRule="exact"/>
              <w:jc w:val="right"/>
              <w:rPr>
                <w:sz w:val="18"/>
                <w:szCs w:val="18"/>
              </w:rPr>
            </w:pPr>
            <w:r>
              <w:rPr>
                <w:sz w:val="18"/>
                <w:szCs w:val="18"/>
              </w:rPr>
              <w:t>20,6</w:t>
            </w:r>
          </w:p>
        </w:tc>
        <w:tc>
          <w:tcPr>
            <w:tcW w:w="2124" w:type="dxa"/>
            <w:shd w:val="clear" w:color="auto" w:fill="auto"/>
            <w:vAlign w:val="bottom"/>
          </w:tcPr>
          <w:p w:rsidR="00000000" w:rsidRDefault="00000000">
            <w:pPr>
              <w:spacing w:before="40" w:after="40" w:line="220" w:lineRule="exact"/>
              <w:jc w:val="right"/>
              <w:rPr>
                <w:sz w:val="18"/>
                <w:szCs w:val="18"/>
              </w:rPr>
            </w:pPr>
            <w:r>
              <w:rPr>
                <w:sz w:val="18"/>
                <w:szCs w:val="18"/>
              </w:rPr>
              <w:t>7,9</w:t>
            </w:r>
          </w:p>
        </w:tc>
      </w:tr>
      <w:tr w:rsidR="00000000">
        <w:tc>
          <w:tcPr>
            <w:tcW w:w="2126" w:type="dxa"/>
            <w:vMerge/>
            <w:shd w:val="clear" w:color="auto" w:fill="auto"/>
          </w:tcPr>
          <w:p w:rsidR="00000000" w:rsidRDefault="00000000">
            <w:pPr>
              <w:spacing w:before="40" w:after="40" w:line="220" w:lineRule="exact"/>
              <w:rPr>
                <w:sz w:val="18"/>
                <w:szCs w:val="18"/>
              </w:rPr>
            </w:pPr>
          </w:p>
        </w:tc>
        <w:tc>
          <w:tcPr>
            <w:tcW w:w="2131" w:type="dxa"/>
            <w:shd w:val="clear" w:color="auto" w:fill="auto"/>
          </w:tcPr>
          <w:p w:rsidR="00000000" w:rsidRDefault="00000000">
            <w:pPr>
              <w:spacing w:before="40" w:after="40" w:line="220" w:lineRule="exact"/>
              <w:rPr>
                <w:sz w:val="18"/>
                <w:szCs w:val="18"/>
              </w:rPr>
            </w:pPr>
            <w:r>
              <w:rPr>
                <w:sz w:val="18"/>
                <w:szCs w:val="18"/>
              </w:rPr>
              <w:t>Toliara I et II</w:t>
            </w:r>
          </w:p>
        </w:tc>
        <w:tc>
          <w:tcPr>
            <w:tcW w:w="2124" w:type="dxa"/>
            <w:shd w:val="clear" w:color="auto" w:fill="auto"/>
            <w:vAlign w:val="bottom"/>
          </w:tcPr>
          <w:p w:rsidR="00000000" w:rsidRDefault="00000000">
            <w:pPr>
              <w:spacing w:before="40" w:after="40" w:line="220" w:lineRule="exact"/>
              <w:jc w:val="right"/>
              <w:rPr>
                <w:sz w:val="18"/>
                <w:szCs w:val="18"/>
              </w:rPr>
            </w:pPr>
            <w:r>
              <w:rPr>
                <w:sz w:val="18"/>
                <w:szCs w:val="18"/>
              </w:rPr>
              <w:t>80,6</w:t>
            </w:r>
          </w:p>
        </w:tc>
        <w:tc>
          <w:tcPr>
            <w:tcW w:w="2124" w:type="dxa"/>
            <w:shd w:val="clear" w:color="auto" w:fill="auto"/>
            <w:vAlign w:val="bottom"/>
          </w:tcPr>
          <w:p w:rsidR="00000000" w:rsidRDefault="00000000">
            <w:pPr>
              <w:spacing w:before="40" w:after="40" w:line="220" w:lineRule="exact"/>
              <w:jc w:val="right"/>
              <w:rPr>
                <w:sz w:val="18"/>
                <w:szCs w:val="18"/>
              </w:rPr>
            </w:pPr>
            <w:r>
              <w:rPr>
                <w:sz w:val="18"/>
                <w:szCs w:val="18"/>
              </w:rPr>
              <w:t>49,4</w:t>
            </w:r>
          </w:p>
        </w:tc>
      </w:tr>
      <w:tr w:rsidR="00000000">
        <w:tc>
          <w:tcPr>
            <w:tcW w:w="2126" w:type="dxa"/>
            <w:shd w:val="clear" w:color="auto" w:fill="auto"/>
          </w:tcPr>
          <w:p w:rsidR="00000000" w:rsidRDefault="00000000">
            <w:pPr>
              <w:spacing w:before="40" w:after="40" w:line="220" w:lineRule="exact"/>
              <w:rPr>
                <w:sz w:val="18"/>
                <w:szCs w:val="18"/>
              </w:rPr>
            </w:pPr>
            <w:r>
              <w:rPr>
                <w:sz w:val="18"/>
                <w:szCs w:val="18"/>
              </w:rPr>
              <w:t>Menabe</w:t>
            </w:r>
          </w:p>
        </w:tc>
        <w:tc>
          <w:tcPr>
            <w:tcW w:w="2131" w:type="dxa"/>
            <w:shd w:val="clear" w:color="auto" w:fill="auto"/>
          </w:tcPr>
          <w:p w:rsidR="00000000" w:rsidRDefault="00000000">
            <w:pPr>
              <w:spacing w:before="40" w:after="40" w:line="220" w:lineRule="exact"/>
              <w:rPr>
                <w:sz w:val="18"/>
                <w:szCs w:val="18"/>
              </w:rPr>
            </w:pPr>
            <w:r>
              <w:rPr>
                <w:sz w:val="18"/>
                <w:szCs w:val="18"/>
              </w:rPr>
              <w:t>Morondava</w:t>
            </w:r>
          </w:p>
        </w:tc>
        <w:tc>
          <w:tcPr>
            <w:tcW w:w="2124" w:type="dxa"/>
            <w:shd w:val="clear" w:color="auto" w:fill="auto"/>
            <w:vAlign w:val="bottom"/>
          </w:tcPr>
          <w:p w:rsidR="00000000" w:rsidRDefault="00000000">
            <w:pPr>
              <w:spacing w:before="40" w:after="40" w:line="220" w:lineRule="exact"/>
              <w:jc w:val="right"/>
              <w:rPr>
                <w:sz w:val="18"/>
                <w:szCs w:val="18"/>
              </w:rPr>
            </w:pPr>
            <w:r>
              <w:rPr>
                <w:sz w:val="18"/>
                <w:szCs w:val="18"/>
              </w:rPr>
              <w:t>71,6</w:t>
            </w:r>
          </w:p>
        </w:tc>
        <w:tc>
          <w:tcPr>
            <w:tcW w:w="2124" w:type="dxa"/>
            <w:shd w:val="clear" w:color="auto" w:fill="auto"/>
            <w:vAlign w:val="bottom"/>
          </w:tcPr>
          <w:p w:rsidR="00000000" w:rsidRDefault="00000000">
            <w:pPr>
              <w:spacing w:before="40" w:after="40" w:line="220" w:lineRule="exact"/>
              <w:jc w:val="right"/>
              <w:rPr>
                <w:sz w:val="18"/>
                <w:szCs w:val="18"/>
              </w:rPr>
            </w:pPr>
            <w:r>
              <w:rPr>
                <w:sz w:val="18"/>
                <w:szCs w:val="18"/>
              </w:rPr>
              <w:t>41,5</w:t>
            </w:r>
          </w:p>
        </w:tc>
      </w:tr>
      <w:tr w:rsidR="00000000">
        <w:tc>
          <w:tcPr>
            <w:tcW w:w="2126" w:type="dxa"/>
            <w:vMerge w:val="restart"/>
            <w:shd w:val="clear" w:color="auto" w:fill="auto"/>
          </w:tcPr>
          <w:p w:rsidR="00000000" w:rsidRDefault="00000000">
            <w:pPr>
              <w:spacing w:before="40" w:after="40" w:line="220" w:lineRule="exact"/>
              <w:rPr>
                <w:sz w:val="18"/>
                <w:szCs w:val="18"/>
              </w:rPr>
            </w:pPr>
            <w:r>
              <w:rPr>
                <w:sz w:val="18"/>
                <w:szCs w:val="18"/>
              </w:rPr>
              <w:t>Anosy</w:t>
            </w:r>
          </w:p>
        </w:tc>
        <w:tc>
          <w:tcPr>
            <w:tcW w:w="2131" w:type="dxa"/>
            <w:shd w:val="clear" w:color="auto" w:fill="auto"/>
          </w:tcPr>
          <w:p w:rsidR="00000000" w:rsidRDefault="00000000">
            <w:pPr>
              <w:spacing w:before="40" w:after="40" w:line="220" w:lineRule="exact"/>
              <w:rPr>
                <w:sz w:val="18"/>
                <w:szCs w:val="18"/>
              </w:rPr>
            </w:pPr>
            <w:r>
              <w:rPr>
                <w:sz w:val="18"/>
                <w:szCs w:val="18"/>
              </w:rPr>
              <w:t>Taolagnaro</w:t>
            </w:r>
          </w:p>
        </w:tc>
        <w:tc>
          <w:tcPr>
            <w:tcW w:w="2124" w:type="dxa"/>
            <w:shd w:val="clear" w:color="auto" w:fill="auto"/>
            <w:vAlign w:val="bottom"/>
          </w:tcPr>
          <w:p w:rsidR="00000000" w:rsidRDefault="00000000">
            <w:pPr>
              <w:spacing w:before="40" w:after="40" w:line="220" w:lineRule="exact"/>
              <w:jc w:val="right"/>
              <w:rPr>
                <w:sz w:val="18"/>
                <w:szCs w:val="18"/>
              </w:rPr>
            </w:pPr>
            <w:r>
              <w:rPr>
                <w:sz w:val="18"/>
                <w:szCs w:val="18"/>
              </w:rPr>
              <w:t>77,1</w:t>
            </w:r>
          </w:p>
        </w:tc>
        <w:tc>
          <w:tcPr>
            <w:tcW w:w="2124" w:type="dxa"/>
            <w:shd w:val="clear" w:color="auto" w:fill="auto"/>
            <w:vAlign w:val="bottom"/>
          </w:tcPr>
          <w:p w:rsidR="00000000" w:rsidRDefault="00000000">
            <w:pPr>
              <w:spacing w:before="40" w:after="40" w:line="220" w:lineRule="exact"/>
              <w:jc w:val="right"/>
              <w:rPr>
                <w:sz w:val="18"/>
                <w:szCs w:val="18"/>
              </w:rPr>
            </w:pPr>
            <w:r>
              <w:rPr>
                <w:sz w:val="18"/>
                <w:szCs w:val="18"/>
              </w:rPr>
              <w:t>61,7</w:t>
            </w:r>
          </w:p>
        </w:tc>
      </w:tr>
      <w:tr w:rsidR="00000000">
        <w:tc>
          <w:tcPr>
            <w:tcW w:w="2126" w:type="dxa"/>
            <w:vMerge/>
            <w:shd w:val="clear" w:color="auto" w:fill="auto"/>
          </w:tcPr>
          <w:p w:rsidR="00000000" w:rsidRDefault="00000000">
            <w:pPr>
              <w:spacing w:before="40" w:after="40" w:line="220" w:lineRule="exact"/>
              <w:rPr>
                <w:sz w:val="18"/>
                <w:szCs w:val="18"/>
              </w:rPr>
            </w:pPr>
          </w:p>
        </w:tc>
        <w:tc>
          <w:tcPr>
            <w:tcW w:w="2131" w:type="dxa"/>
            <w:shd w:val="clear" w:color="auto" w:fill="auto"/>
          </w:tcPr>
          <w:p w:rsidR="00000000" w:rsidRDefault="00000000">
            <w:pPr>
              <w:spacing w:before="40" w:after="40" w:line="220" w:lineRule="exact"/>
              <w:rPr>
                <w:sz w:val="18"/>
                <w:szCs w:val="18"/>
              </w:rPr>
            </w:pPr>
            <w:r>
              <w:rPr>
                <w:sz w:val="18"/>
                <w:szCs w:val="18"/>
              </w:rPr>
              <w:t>Betroka</w:t>
            </w:r>
          </w:p>
        </w:tc>
        <w:tc>
          <w:tcPr>
            <w:tcW w:w="2124" w:type="dxa"/>
            <w:shd w:val="clear" w:color="auto" w:fill="auto"/>
            <w:vAlign w:val="bottom"/>
          </w:tcPr>
          <w:p w:rsidR="00000000" w:rsidRDefault="00000000">
            <w:pPr>
              <w:spacing w:before="40" w:after="40" w:line="220" w:lineRule="exact"/>
              <w:jc w:val="right"/>
              <w:rPr>
                <w:sz w:val="18"/>
                <w:szCs w:val="18"/>
              </w:rPr>
            </w:pPr>
            <w:r>
              <w:rPr>
                <w:sz w:val="18"/>
                <w:szCs w:val="18"/>
              </w:rPr>
              <w:t>79,9</w:t>
            </w:r>
          </w:p>
        </w:tc>
        <w:tc>
          <w:tcPr>
            <w:tcW w:w="2124" w:type="dxa"/>
            <w:shd w:val="clear" w:color="auto" w:fill="auto"/>
            <w:vAlign w:val="bottom"/>
          </w:tcPr>
          <w:p w:rsidR="00000000" w:rsidRDefault="00000000">
            <w:pPr>
              <w:spacing w:before="40" w:after="40" w:line="220" w:lineRule="exact"/>
              <w:jc w:val="right"/>
              <w:rPr>
                <w:sz w:val="18"/>
                <w:szCs w:val="18"/>
              </w:rPr>
            </w:pPr>
            <w:r>
              <w:rPr>
                <w:sz w:val="18"/>
                <w:szCs w:val="18"/>
              </w:rPr>
              <w:t>37,2</w:t>
            </w:r>
          </w:p>
        </w:tc>
      </w:tr>
      <w:tr w:rsidR="00000000">
        <w:tc>
          <w:tcPr>
            <w:tcW w:w="2126" w:type="dxa"/>
            <w:tcBorders>
              <w:bottom w:val="single" w:sz="12" w:space="0" w:color="auto"/>
            </w:tcBorders>
            <w:shd w:val="clear" w:color="auto" w:fill="auto"/>
          </w:tcPr>
          <w:p w:rsidR="00000000" w:rsidRDefault="00000000">
            <w:pPr>
              <w:rPr>
                <w:sz w:val="18"/>
                <w:szCs w:val="18"/>
              </w:rPr>
            </w:pPr>
            <w:r>
              <w:rPr>
                <w:sz w:val="18"/>
                <w:szCs w:val="18"/>
              </w:rPr>
              <w:t>Ensemble</w:t>
            </w:r>
          </w:p>
        </w:tc>
        <w:tc>
          <w:tcPr>
            <w:tcW w:w="2131" w:type="dxa"/>
            <w:tcBorders>
              <w:bottom w:val="single" w:sz="12" w:space="0" w:color="auto"/>
            </w:tcBorders>
            <w:shd w:val="clear" w:color="auto" w:fill="auto"/>
          </w:tcPr>
          <w:p w:rsidR="00000000" w:rsidRDefault="00000000">
            <w:pPr>
              <w:rPr>
                <w:sz w:val="18"/>
                <w:szCs w:val="18"/>
              </w:rPr>
            </w:pPr>
          </w:p>
        </w:tc>
        <w:tc>
          <w:tcPr>
            <w:tcW w:w="2124" w:type="dxa"/>
            <w:tcBorders>
              <w:bottom w:val="single" w:sz="12" w:space="0" w:color="auto"/>
            </w:tcBorders>
            <w:shd w:val="clear" w:color="auto" w:fill="auto"/>
            <w:vAlign w:val="bottom"/>
          </w:tcPr>
          <w:p w:rsidR="00000000" w:rsidRDefault="00000000">
            <w:pPr>
              <w:jc w:val="right"/>
              <w:rPr>
                <w:sz w:val="18"/>
                <w:szCs w:val="18"/>
              </w:rPr>
            </w:pPr>
            <w:r>
              <w:rPr>
                <w:sz w:val="18"/>
                <w:szCs w:val="18"/>
              </w:rPr>
              <w:t>76,6</w:t>
            </w:r>
          </w:p>
        </w:tc>
        <w:tc>
          <w:tcPr>
            <w:tcW w:w="2124" w:type="dxa"/>
            <w:tcBorders>
              <w:bottom w:val="single" w:sz="12" w:space="0" w:color="auto"/>
            </w:tcBorders>
            <w:shd w:val="clear" w:color="auto" w:fill="auto"/>
            <w:vAlign w:val="bottom"/>
          </w:tcPr>
          <w:p w:rsidR="00000000" w:rsidRDefault="00000000">
            <w:pPr>
              <w:jc w:val="right"/>
              <w:rPr>
                <w:sz w:val="18"/>
                <w:szCs w:val="18"/>
              </w:rPr>
            </w:pPr>
            <w:r>
              <w:rPr>
                <w:sz w:val="18"/>
                <w:szCs w:val="18"/>
              </w:rPr>
              <w:t>47,7</w:t>
            </w:r>
          </w:p>
        </w:tc>
      </w:tr>
    </w:tbl>
    <w:p w:rsidR="00000000" w:rsidRDefault="00000000">
      <w:pPr>
        <w:spacing w:before="120" w:after="240"/>
        <w:ind w:left="1134" w:firstLine="170"/>
        <w:rPr>
          <w:sz w:val="18"/>
          <w:szCs w:val="18"/>
          <w:lang w:val="fr-FR"/>
        </w:rPr>
      </w:pPr>
      <w:r>
        <w:rPr>
          <w:i/>
          <w:sz w:val="18"/>
          <w:szCs w:val="18"/>
          <w:lang w:val="fr-FR"/>
        </w:rPr>
        <w:t>Source</w:t>
      </w:r>
      <w:r>
        <w:rPr>
          <w:sz w:val="18"/>
          <w:szCs w:val="18"/>
          <w:lang w:val="fr-FR"/>
        </w:rPr>
        <w:t>: Enquête AUDIMAT 2004, Direction de l’Information, de la Régulation des Média/UNICEF</w:t>
      </w:r>
    </w:p>
    <w:p w:rsidR="00000000" w:rsidRDefault="00000000">
      <w:pPr>
        <w:pStyle w:val="SingleTxtG"/>
        <w:rPr>
          <w:lang w:val="fr-FR"/>
        </w:rPr>
      </w:pPr>
      <w:r>
        <w:rPr>
          <w:lang w:val="fr-FR"/>
        </w:rPr>
        <w:t>169.</w:t>
      </w:r>
      <w:r>
        <w:rPr>
          <w:lang w:val="fr-FR"/>
        </w:rPr>
        <w:tab/>
        <w:t xml:space="preserve">Un tiers des ménages enquêtés regardent la télévision et ils sont plus nombreux en milieu urbain. En moyenne et selon les chefs de ménages seuls 25 % des jeunes et des enfants regardent la télévision, surtout en milieu urbain. Leurs préférences vont aux séries télévisées, dessins animés et programmes de musique. </w:t>
      </w:r>
    </w:p>
    <w:p w:rsidR="00000000" w:rsidRDefault="00000000">
      <w:pPr>
        <w:rPr>
          <w:bCs/>
        </w:rPr>
      </w:pPr>
      <w:r>
        <w:rPr>
          <w:b/>
          <w:bCs/>
        </w:rPr>
        <w:tab/>
      </w:r>
      <w:r>
        <w:rPr>
          <w:b/>
          <w:bCs/>
        </w:rPr>
        <w:tab/>
      </w:r>
      <w:bookmarkStart w:id="413" w:name="_Toc260298233"/>
      <w:r>
        <w:rPr>
          <w:bCs/>
        </w:rPr>
        <w:t>Tableau 10</w:t>
      </w:r>
    </w:p>
    <w:p w:rsidR="00000000" w:rsidRDefault="00000000">
      <w:pPr>
        <w:spacing w:after="120"/>
        <w:ind w:left="1134"/>
        <w:rPr>
          <w:b/>
          <w:bCs/>
        </w:rPr>
      </w:pPr>
      <w:r>
        <w:rPr>
          <w:b/>
          <w:bCs/>
        </w:rPr>
        <w:t>Taux d’audience selon le sexe, l’âge selon des districts choisis</w:t>
      </w:r>
      <w:bookmarkEnd w:id="413"/>
    </w:p>
    <w:tbl>
      <w:tblPr>
        <w:tblW w:w="7371" w:type="dxa"/>
        <w:tblInd w:w="1134" w:type="dxa"/>
        <w:tblCellMar>
          <w:left w:w="0" w:type="dxa"/>
          <w:right w:w="0" w:type="dxa"/>
        </w:tblCellMar>
        <w:tblLook w:val="01E0" w:firstRow="1" w:lastRow="1" w:firstColumn="1" w:lastColumn="1" w:noHBand="0" w:noVBand="0"/>
      </w:tblPr>
      <w:tblGrid>
        <w:gridCol w:w="2087"/>
        <w:gridCol w:w="865"/>
        <w:gridCol w:w="865"/>
        <w:gridCol w:w="866"/>
        <w:gridCol w:w="103"/>
        <w:gridCol w:w="861"/>
        <w:gridCol w:w="862"/>
        <w:gridCol w:w="862"/>
      </w:tblGrid>
      <w:tr w:rsidR="00000000">
        <w:tc>
          <w:tcPr>
            <w:tcW w:w="2087" w:type="dxa"/>
            <w:vMerge w:val="restart"/>
            <w:tcBorders>
              <w:top w:val="single" w:sz="4" w:space="0" w:color="auto"/>
              <w:bottom w:val="single" w:sz="12" w:space="0" w:color="auto"/>
            </w:tcBorders>
            <w:shd w:val="clear" w:color="auto" w:fill="auto"/>
            <w:vAlign w:val="bottom"/>
          </w:tcPr>
          <w:p w:rsidR="00000000" w:rsidRDefault="00000000">
            <w:pPr>
              <w:spacing w:before="80" w:after="80" w:line="200" w:lineRule="exact"/>
              <w:rPr>
                <w:b/>
                <w:bCs/>
                <w:i/>
                <w:sz w:val="16"/>
                <w:szCs w:val="16"/>
              </w:rPr>
            </w:pPr>
            <w:r>
              <w:rPr>
                <w:b/>
                <w:bCs/>
                <w:i/>
                <w:sz w:val="16"/>
                <w:szCs w:val="16"/>
              </w:rPr>
              <w:t>Districts</w:t>
            </w:r>
          </w:p>
        </w:tc>
        <w:tc>
          <w:tcPr>
            <w:tcW w:w="2596" w:type="dxa"/>
            <w:gridSpan w:val="3"/>
            <w:tcBorders>
              <w:top w:val="single" w:sz="4" w:space="0" w:color="auto"/>
              <w:bottom w:val="single" w:sz="4" w:space="0" w:color="auto"/>
            </w:tcBorders>
            <w:shd w:val="clear" w:color="auto" w:fill="auto"/>
            <w:vAlign w:val="bottom"/>
          </w:tcPr>
          <w:p w:rsidR="00000000" w:rsidRDefault="00000000">
            <w:pPr>
              <w:spacing w:before="80" w:after="80" w:line="200" w:lineRule="exact"/>
              <w:jc w:val="center"/>
              <w:rPr>
                <w:bCs/>
                <w:i/>
                <w:sz w:val="16"/>
                <w:szCs w:val="16"/>
              </w:rPr>
            </w:pPr>
            <w:r>
              <w:rPr>
                <w:bCs/>
                <w:i/>
                <w:sz w:val="16"/>
                <w:szCs w:val="16"/>
              </w:rPr>
              <w:t>Garçons</w:t>
            </w:r>
          </w:p>
        </w:tc>
        <w:tc>
          <w:tcPr>
            <w:tcW w:w="103" w:type="dxa"/>
            <w:tcBorders>
              <w:top w:val="single" w:sz="4" w:space="0" w:color="auto"/>
              <w:bottom w:val="single" w:sz="4" w:space="0" w:color="auto"/>
            </w:tcBorders>
          </w:tcPr>
          <w:p w:rsidR="00000000" w:rsidRDefault="00000000">
            <w:pPr>
              <w:spacing w:before="80" w:after="80" w:line="200" w:lineRule="exact"/>
              <w:rPr>
                <w:b/>
                <w:bCs/>
                <w:i/>
                <w:sz w:val="16"/>
                <w:szCs w:val="16"/>
              </w:rPr>
            </w:pPr>
          </w:p>
        </w:tc>
        <w:tc>
          <w:tcPr>
            <w:tcW w:w="2585" w:type="dxa"/>
            <w:gridSpan w:val="3"/>
            <w:tcBorders>
              <w:top w:val="single" w:sz="4" w:space="0" w:color="auto"/>
              <w:bottom w:val="single" w:sz="4" w:space="0" w:color="auto"/>
            </w:tcBorders>
            <w:shd w:val="clear" w:color="auto" w:fill="auto"/>
            <w:vAlign w:val="bottom"/>
          </w:tcPr>
          <w:p w:rsidR="00000000" w:rsidRDefault="00000000">
            <w:pPr>
              <w:spacing w:before="80" w:after="80" w:line="200" w:lineRule="exact"/>
              <w:jc w:val="center"/>
              <w:rPr>
                <w:bCs/>
                <w:i/>
                <w:sz w:val="16"/>
                <w:szCs w:val="16"/>
              </w:rPr>
            </w:pPr>
            <w:r>
              <w:rPr>
                <w:bCs/>
                <w:i/>
                <w:sz w:val="16"/>
                <w:szCs w:val="16"/>
              </w:rPr>
              <w:t>Filles</w:t>
            </w:r>
          </w:p>
        </w:tc>
      </w:tr>
      <w:tr w:rsidR="00000000">
        <w:tc>
          <w:tcPr>
            <w:tcW w:w="2087" w:type="dxa"/>
            <w:vMerge/>
            <w:tcBorders>
              <w:bottom w:val="single" w:sz="12" w:space="0" w:color="auto"/>
            </w:tcBorders>
            <w:shd w:val="clear" w:color="auto" w:fill="auto"/>
            <w:vAlign w:val="bottom"/>
          </w:tcPr>
          <w:p w:rsidR="00000000" w:rsidRDefault="00000000">
            <w:pPr>
              <w:spacing w:before="80" w:after="80" w:line="200" w:lineRule="exact"/>
              <w:rPr>
                <w:i/>
                <w:sz w:val="16"/>
                <w:szCs w:val="16"/>
              </w:rPr>
            </w:pPr>
          </w:p>
        </w:tc>
        <w:tc>
          <w:tcPr>
            <w:tcW w:w="865"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i/>
                <w:sz w:val="16"/>
                <w:szCs w:val="16"/>
              </w:rPr>
            </w:pPr>
            <w:r>
              <w:rPr>
                <w:i/>
                <w:sz w:val="16"/>
                <w:szCs w:val="16"/>
              </w:rPr>
              <w:t>5 à 12 ans</w:t>
            </w:r>
          </w:p>
        </w:tc>
        <w:tc>
          <w:tcPr>
            <w:tcW w:w="865"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i/>
                <w:sz w:val="16"/>
                <w:szCs w:val="16"/>
              </w:rPr>
            </w:pPr>
            <w:r>
              <w:rPr>
                <w:i/>
                <w:sz w:val="16"/>
                <w:szCs w:val="16"/>
              </w:rPr>
              <w:t>13 à 21 ans</w:t>
            </w:r>
          </w:p>
        </w:tc>
        <w:tc>
          <w:tcPr>
            <w:tcW w:w="866"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i/>
                <w:sz w:val="16"/>
                <w:szCs w:val="16"/>
              </w:rPr>
            </w:pPr>
            <w:r>
              <w:rPr>
                <w:i/>
                <w:sz w:val="16"/>
                <w:szCs w:val="16"/>
              </w:rPr>
              <w:t>Total</w:t>
            </w:r>
          </w:p>
        </w:tc>
        <w:tc>
          <w:tcPr>
            <w:tcW w:w="103" w:type="dxa"/>
            <w:tcBorders>
              <w:top w:val="single" w:sz="4" w:space="0" w:color="auto"/>
              <w:bottom w:val="single" w:sz="12" w:space="0" w:color="auto"/>
            </w:tcBorders>
            <w:vAlign w:val="bottom"/>
          </w:tcPr>
          <w:p w:rsidR="00000000" w:rsidRDefault="00000000">
            <w:pPr>
              <w:spacing w:before="80" w:after="80" w:line="200" w:lineRule="exact"/>
              <w:jc w:val="right"/>
              <w:rPr>
                <w:i/>
                <w:sz w:val="16"/>
                <w:szCs w:val="16"/>
              </w:rPr>
            </w:pPr>
          </w:p>
        </w:tc>
        <w:tc>
          <w:tcPr>
            <w:tcW w:w="861"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i/>
                <w:sz w:val="16"/>
                <w:szCs w:val="16"/>
              </w:rPr>
            </w:pPr>
            <w:r>
              <w:rPr>
                <w:i/>
                <w:sz w:val="16"/>
                <w:szCs w:val="16"/>
              </w:rPr>
              <w:t>5 à 12 ans</w:t>
            </w:r>
          </w:p>
        </w:tc>
        <w:tc>
          <w:tcPr>
            <w:tcW w:w="862"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i/>
                <w:sz w:val="16"/>
                <w:szCs w:val="16"/>
              </w:rPr>
            </w:pPr>
            <w:r>
              <w:rPr>
                <w:i/>
                <w:sz w:val="16"/>
                <w:szCs w:val="16"/>
              </w:rPr>
              <w:t>13 à 21 ans</w:t>
            </w:r>
          </w:p>
        </w:tc>
        <w:tc>
          <w:tcPr>
            <w:tcW w:w="862"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i/>
                <w:sz w:val="16"/>
                <w:szCs w:val="16"/>
              </w:rPr>
            </w:pPr>
            <w:r>
              <w:rPr>
                <w:i/>
                <w:sz w:val="16"/>
                <w:szCs w:val="16"/>
              </w:rPr>
              <w:t>Total</w:t>
            </w:r>
          </w:p>
        </w:tc>
      </w:tr>
      <w:tr w:rsidR="00000000">
        <w:tc>
          <w:tcPr>
            <w:tcW w:w="2087" w:type="dxa"/>
            <w:tcBorders>
              <w:top w:val="single" w:sz="12" w:space="0" w:color="auto"/>
            </w:tcBorders>
            <w:shd w:val="clear" w:color="auto" w:fill="auto"/>
          </w:tcPr>
          <w:p w:rsidR="00000000" w:rsidRDefault="00000000">
            <w:pPr>
              <w:spacing w:before="20" w:after="20" w:line="220" w:lineRule="exact"/>
              <w:rPr>
                <w:sz w:val="18"/>
                <w:szCs w:val="18"/>
              </w:rPr>
            </w:pPr>
            <w:r>
              <w:rPr>
                <w:sz w:val="18"/>
                <w:szCs w:val="18"/>
              </w:rPr>
              <w:t>Antananarivo I et II</w:t>
            </w:r>
          </w:p>
        </w:tc>
        <w:tc>
          <w:tcPr>
            <w:tcW w:w="865" w:type="dxa"/>
            <w:tcBorders>
              <w:top w:val="single" w:sz="12" w:space="0" w:color="auto"/>
            </w:tcBorders>
            <w:shd w:val="clear" w:color="auto" w:fill="auto"/>
            <w:vAlign w:val="bottom"/>
          </w:tcPr>
          <w:p w:rsidR="00000000" w:rsidRDefault="00000000">
            <w:pPr>
              <w:spacing w:before="20" w:after="20" w:line="220" w:lineRule="exact"/>
              <w:jc w:val="right"/>
              <w:rPr>
                <w:sz w:val="18"/>
                <w:szCs w:val="18"/>
              </w:rPr>
            </w:pPr>
            <w:r>
              <w:rPr>
                <w:sz w:val="18"/>
                <w:szCs w:val="18"/>
              </w:rPr>
              <w:t>16,5</w:t>
            </w:r>
          </w:p>
        </w:tc>
        <w:tc>
          <w:tcPr>
            <w:tcW w:w="865" w:type="dxa"/>
            <w:tcBorders>
              <w:top w:val="single" w:sz="12" w:space="0" w:color="auto"/>
            </w:tcBorders>
            <w:shd w:val="clear" w:color="auto" w:fill="auto"/>
            <w:vAlign w:val="bottom"/>
          </w:tcPr>
          <w:p w:rsidR="00000000" w:rsidRDefault="00000000">
            <w:pPr>
              <w:spacing w:before="20" w:after="20" w:line="220" w:lineRule="exact"/>
              <w:jc w:val="right"/>
              <w:rPr>
                <w:sz w:val="18"/>
                <w:szCs w:val="18"/>
              </w:rPr>
            </w:pPr>
            <w:r>
              <w:rPr>
                <w:sz w:val="18"/>
                <w:szCs w:val="18"/>
              </w:rPr>
              <w:t>14,7</w:t>
            </w:r>
          </w:p>
        </w:tc>
        <w:tc>
          <w:tcPr>
            <w:tcW w:w="866" w:type="dxa"/>
            <w:tcBorders>
              <w:top w:val="single" w:sz="12" w:space="0" w:color="auto"/>
            </w:tcBorders>
            <w:shd w:val="clear" w:color="auto" w:fill="auto"/>
            <w:vAlign w:val="bottom"/>
          </w:tcPr>
          <w:p w:rsidR="00000000" w:rsidRDefault="00000000">
            <w:pPr>
              <w:spacing w:before="20" w:after="20" w:line="220" w:lineRule="exact"/>
              <w:jc w:val="right"/>
              <w:rPr>
                <w:sz w:val="18"/>
                <w:szCs w:val="18"/>
              </w:rPr>
            </w:pPr>
            <w:r>
              <w:rPr>
                <w:sz w:val="18"/>
                <w:szCs w:val="18"/>
              </w:rPr>
              <w:t>36,9</w:t>
            </w:r>
          </w:p>
        </w:tc>
        <w:tc>
          <w:tcPr>
            <w:tcW w:w="103" w:type="dxa"/>
            <w:tcBorders>
              <w:top w:val="single" w:sz="12" w:space="0" w:color="auto"/>
            </w:tcBorders>
            <w:vAlign w:val="bottom"/>
          </w:tcPr>
          <w:p w:rsidR="00000000" w:rsidRDefault="00000000">
            <w:pPr>
              <w:spacing w:before="20" w:after="20" w:line="220" w:lineRule="exact"/>
              <w:jc w:val="right"/>
              <w:rPr>
                <w:sz w:val="18"/>
                <w:szCs w:val="18"/>
              </w:rPr>
            </w:pPr>
          </w:p>
        </w:tc>
        <w:tc>
          <w:tcPr>
            <w:tcW w:w="861" w:type="dxa"/>
            <w:tcBorders>
              <w:top w:val="single" w:sz="12" w:space="0" w:color="auto"/>
            </w:tcBorders>
            <w:shd w:val="clear" w:color="auto" w:fill="auto"/>
            <w:vAlign w:val="bottom"/>
          </w:tcPr>
          <w:p w:rsidR="00000000" w:rsidRDefault="00000000">
            <w:pPr>
              <w:spacing w:before="20" w:after="20" w:line="220" w:lineRule="exact"/>
              <w:jc w:val="right"/>
              <w:rPr>
                <w:sz w:val="18"/>
                <w:szCs w:val="18"/>
              </w:rPr>
            </w:pPr>
            <w:r>
              <w:rPr>
                <w:sz w:val="18"/>
                <w:szCs w:val="18"/>
              </w:rPr>
              <w:t>16,6</w:t>
            </w:r>
          </w:p>
        </w:tc>
        <w:tc>
          <w:tcPr>
            <w:tcW w:w="862" w:type="dxa"/>
            <w:tcBorders>
              <w:top w:val="single" w:sz="12" w:space="0" w:color="auto"/>
            </w:tcBorders>
            <w:shd w:val="clear" w:color="auto" w:fill="auto"/>
            <w:vAlign w:val="bottom"/>
          </w:tcPr>
          <w:p w:rsidR="00000000" w:rsidRDefault="00000000">
            <w:pPr>
              <w:spacing w:before="20" w:after="20" w:line="220" w:lineRule="exact"/>
              <w:jc w:val="right"/>
              <w:rPr>
                <w:sz w:val="18"/>
                <w:szCs w:val="18"/>
              </w:rPr>
            </w:pPr>
            <w:r>
              <w:rPr>
                <w:sz w:val="18"/>
                <w:szCs w:val="18"/>
              </w:rPr>
              <w:t>14,4</w:t>
            </w:r>
          </w:p>
        </w:tc>
        <w:tc>
          <w:tcPr>
            <w:tcW w:w="862" w:type="dxa"/>
            <w:tcBorders>
              <w:top w:val="single" w:sz="12" w:space="0" w:color="auto"/>
            </w:tcBorders>
            <w:shd w:val="clear" w:color="auto" w:fill="auto"/>
            <w:vAlign w:val="bottom"/>
          </w:tcPr>
          <w:p w:rsidR="00000000" w:rsidRDefault="00000000">
            <w:pPr>
              <w:spacing w:before="20" w:after="20" w:line="220" w:lineRule="exact"/>
              <w:jc w:val="right"/>
              <w:rPr>
                <w:sz w:val="18"/>
                <w:szCs w:val="18"/>
              </w:rPr>
            </w:pPr>
            <w:r>
              <w:rPr>
                <w:sz w:val="18"/>
                <w:szCs w:val="18"/>
              </w:rPr>
              <w:t>36,6</w:t>
            </w:r>
          </w:p>
        </w:tc>
      </w:tr>
      <w:tr w:rsidR="00000000">
        <w:tc>
          <w:tcPr>
            <w:tcW w:w="2087" w:type="dxa"/>
            <w:shd w:val="clear" w:color="auto" w:fill="auto"/>
          </w:tcPr>
          <w:p w:rsidR="00000000" w:rsidRDefault="00000000">
            <w:pPr>
              <w:spacing w:before="20" w:after="20" w:line="220" w:lineRule="exact"/>
              <w:rPr>
                <w:sz w:val="18"/>
                <w:szCs w:val="18"/>
              </w:rPr>
            </w:pPr>
            <w:r>
              <w:rPr>
                <w:sz w:val="18"/>
                <w:szCs w:val="18"/>
              </w:rPr>
              <w:t>Tsiroanomandidy</w:t>
            </w:r>
          </w:p>
        </w:tc>
        <w:tc>
          <w:tcPr>
            <w:tcW w:w="865" w:type="dxa"/>
            <w:shd w:val="clear" w:color="auto" w:fill="auto"/>
            <w:vAlign w:val="bottom"/>
          </w:tcPr>
          <w:p w:rsidR="00000000" w:rsidRDefault="00000000">
            <w:pPr>
              <w:spacing w:before="20" w:after="20" w:line="220" w:lineRule="exact"/>
              <w:jc w:val="right"/>
              <w:rPr>
                <w:sz w:val="18"/>
                <w:szCs w:val="18"/>
              </w:rPr>
            </w:pPr>
            <w:r>
              <w:rPr>
                <w:sz w:val="18"/>
                <w:szCs w:val="18"/>
              </w:rPr>
              <w:t>20,6</w:t>
            </w:r>
          </w:p>
        </w:tc>
        <w:tc>
          <w:tcPr>
            <w:tcW w:w="865" w:type="dxa"/>
            <w:shd w:val="clear" w:color="auto" w:fill="auto"/>
            <w:vAlign w:val="bottom"/>
          </w:tcPr>
          <w:p w:rsidR="00000000" w:rsidRDefault="00000000">
            <w:pPr>
              <w:spacing w:before="20" w:after="20" w:line="220" w:lineRule="exact"/>
              <w:jc w:val="right"/>
              <w:rPr>
                <w:sz w:val="18"/>
                <w:szCs w:val="18"/>
              </w:rPr>
            </w:pPr>
            <w:r>
              <w:rPr>
                <w:sz w:val="18"/>
                <w:szCs w:val="18"/>
              </w:rPr>
              <w:t>20,1</w:t>
            </w:r>
          </w:p>
        </w:tc>
        <w:tc>
          <w:tcPr>
            <w:tcW w:w="866" w:type="dxa"/>
            <w:shd w:val="clear" w:color="auto" w:fill="auto"/>
            <w:vAlign w:val="bottom"/>
          </w:tcPr>
          <w:p w:rsidR="00000000" w:rsidRDefault="00000000">
            <w:pPr>
              <w:spacing w:before="20" w:after="20" w:line="220" w:lineRule="exact"/>
              <w:jc w:val="right"/>
              <w:rPr>
                <w:sz w:val="18"/>
                <w:szCs w:val="18"/>
              </w:rPr>
            </w:pPr>
            <w:r>
              <w:rPr>
                <w:sz w:val="18"/>
                <w:szCs w:val="18"/>
              </w:rPr>
              <w:t>47,4</w:t>
            </w:r>
          </w:p>
        </w:tc>
        <w:tc>
          <w:tcPr>
            <w:tcW w:w="103" w:type="dxa"/>
            <w:vAlign w:val="bottom"/>
          </w:tcPr>
          <w:p w:rsidR="00000000" w:rsidRDefault="00000000">
            <w:pPr>
              <w:spacing w:before="20" w:after="20" w:line="220" w:lineRule="exact"/>
              <w:jc w:val="right"/>
              <w:rPr>
                <w:sz w:val="18"/>
                <w:szCs w:val="18"/>
              </w:rPr>
            </w:pPr>
          </w:p>
        </w:tc>
        <w:tc>
          <w:tcPr>
            <w:tcW w:w="861" w:type="dxa"/>
            <w:shd w:val="clear" w:color="auto" w:fill="auto"/>
            <w:vAlign w:val="bottom"/>
          </w:tcPr>
          <w:p w:rsidR="00000000" w:rsidRDefault="00000000">
            <w:pPr>
              <w:spacing w:before="20" w:after="20" w:line="220" w:lineRule="exact"/>
              <w:jc w:val="right"/>
              <w:rPr>
                <w:sz w:val="18"/>
                <w:szCs w:val="18"/>
              </w:rPr>
            </w:pPr>
            <w:r>
              <w:rPr>
                <w:sz w:val="18"/>
                <w:szCs w:val="18"/>
              </w:rPr>
              <w:t>17,9</w:t>
            </w:r>
          </w:p>
        </w:tc>
        <w:tc>
          <w:tcPr>
            <w:tcW w:w="862" w:type="dxa"/>
            <w:shd w:val="clear" w:color="auto" w:fill="auto"/>
            <w:vAlign w:val="bottom"/>
          </w:tcPr>
          <w:p w:rsidR="00000000" w:rsidRDefault="00000000">
            <w:pPr>
              <w:spacing w:before="20" w:after="20" w:line="220" w:lineRule="exact"/>
              <w:jc w:val="right"/>
              <w:rPr>
                <w:sz w:val="18"/>
                <w:szCs w:val="18"/>
              </w:rPr>
            </w:pPr>
            <w:r>
              <w:rPr>
                <w:sz w:val="18"/>
                <w:szCs w:val="18"/>
              </w:rPr>
              <w:t>13,6</w:t>
            </w:r>
          </w:p>
        </w:tc>
        <w:tc>
          <w:tcPr>
            <w:tcW w:w="862" w:type="dxa"/>
            <w:shd w:val="clear" w:color="auto" w:fill="auto"/>
            <w:vAlign w:val="bottom"/>
          </w:tcPr>
          <w:p w:rsidR="00000000" w:rsidRDefault="00000000">
            <w:pPr>
              <w:spacing w:before="20" w:after="20" w:line="220" w:lineRule="exact"/>
              <w:jc w:val="right"/>
              <w:rPr>
                <w:sz w:val="18"/>
                <w:szCs w:val="18"/>
              </w:rPr>
            </w:pPr>
            <w:r>
              <w:rPr>
                <w:sz w:val="18"/>
                <w:szCs w:val="18"/>
              </w:rPr>
              <w:t>34,9</w:t>
            </w:r>
          </w:p>
        </w:tc>
      </w:tr>
      <w:tr w:rsidR="00000000">
        <w:tc>
          <w:tcPr>
            <w:tcW w:w="2087" w:type="dxa"/>
            <w:shd w:val="clear" w:color="auto" w:fill="auto"/>
          </w:tcPr>
          <w:p w:rsidR="00000000" w:rsidRDefault="00000000">
            <w:pPr>
              <w:spacing w:before="20" w:after="20" w:line="220" w:lineRule="exact"/>
              <w:rPr>
                <w:sz w:val="18"/>
                <w:szCs w:val="18"/>
              </w:rPr>
            </w:pPr>
            <w:r>
              <w:rPr>
                <w:sz w:val="18"/>
                <w:szCs w:val="18"/>
              </w:rPr>
              <w:t>Ihosy</w:t>
            </w:r>
          </w:p>
        </w:tc>
        <w:tc>
          <w:tcPr>
            <w:tcW w:w="865" w:type="dxa"/>
            <w:shd w:val="clear" w:color="auto" w:fill="auto"/>
            <w:vAlign w:val="bottom"/>
          </w:tcPr>
          <w:p w:rsidR="00000000" w:rsidRDefault="00000000">
            <w:pPr>
              <w:spacing w:before="20" w:after="20" w:line="220" w:lineRule="exact"/>
              <w:jc w:val="right"/>
              <w:rPr>
                <w:sz w:val="18"/>
                <w:szCs w:val="18"/>
              </w:rPr>
            </w:pPr>
            <w:r>
              <w:rPr>
                <w:sz w:val="18"/>
                <w:szCs w:val="18"/>
              </w:rPr>
              <w:t>15,7</w:t>
            </w:r>
          </w:p>
        </w:tc>
        <w:tc>
          <w:tcPr>
            <w:tcW w:w="865" w:type="dxa"/>
            <w:shd w:val="clear" w:color="auto" w:fill="auto"/>
            <w:vAlign w:val="bottom"/>
          </w:tcPr>
          <w:p w:rsidR="00000000" w:rsidRDefault="00000000">
            <w:pPr>
              <w:spacing w:before="20" w:after="20" w:line="220" w:lineRule="exact"/>
              <w:jc w:val="right"/>
              <w:rPr>
                <w:sz w:val="18"/>
                <w:szCs w:val="18"/>
              </w:rPr>
            </w:pPr>
            <w:r>
              <w:rPr>
                <w:sz w:val="18"/>
                <w:szCs w:val="18"/>
              </w:rPr>
              <w:t>15,6</w:t>
            </w:r>
          </w:p>
        </w:tc>
        <w:tc>
          <w:tcPr>
            <w:tcW w:w="866" w:type="dxa"/>
            <w:shd w:val="clear" w:color="auto" w:fill="auto"/>
            <w:vAlign w:val="bottom"/>
          </w:tcPr>
          <w:p w:rsidR="00000000" w:rsidRDefault="00000000">
            <w:pPr>
              <w:spacing w:before="20" w:after="20" w:line="220" w:lineRule="exact"/>
              <w:jc w:val="right"/>
              <w:rPr>
                <w:sz w:val="18"/>
                <w:szCs w:val="18"/>
              </w:rPr>
            </w:pPr>
            <w:r>
              <w:rPr>
                <w:sz w:val="18"/>
                <w:szCs w:val="18"/>
              </w:rPr>
              <w:t>38,4</w:t>
            </w:r>
          </w:p>
        </w:tc>
        <w:tc>
          <w:tcPr>
            <w:tcW w:w="103" w:type="dxa"/>
            <w:vAlign w:val="bottom"/>
          </w:tcPr>
          <w:p w:rsidR="00000000" w:rsidRDefault="00000000">
            <w:pPr>
              <w:spacing w:before="20" w:after="20" w:line="220" w:lineRule="exact"/>
              <w:jc w:val="right"/>
              <w:rPr>
                <w:sz w:val="18"/>
                <w:szCs w:val="18"/>
              </w:rPr>
            </w:pPr>
          </w:p>
        </w:tc>
        <w:tc>
          <w:tcPr>
            <w:tcW w:w="861" w:type="dxa"/>
            <w:shd w:val="clear" w:color="auto" w:fill="auto"/>
            <w:vAlign w:val="bottom"/>
          </w:tcPr>
          <w:p w:rsidR="00000000" w:rsidRDefault="00000000">
            <w:pPr>
              <w:spacing w:before="20" w:after="20" w:line="220" w:lineRule="exact"/>
              <w:jc w:val="right"/>
              <w:rPr>
                <w:sz w:val="18"/>
                <w:szCs w:val="18"/>
              </w:rPr>
            </w:pPr>
            <w:r>
              <w:rPr>
                <w:sz w:val="18"/>
                <w:szCs w:val="18"/>
              </w:rPr>
              <w:t>16,3</w:t>
            </w:r>
          </w:p>
        </w:tc>
        <w:tc>
          <w:tcPr>
            <w:tcW w:w="862" w:type="dxa"/>
            <w:shd w:val="clear" w:color="auto" w:fill="auto"/>
            <w:vAlign w:val="bottom"/>
          </w:tcPr>
          <w:p w:rsidR="00000000" w:rsidRDefault="00000000">
            <w:pPr>
              <w:spacing w:before="20" w:after="20" w:line="220" w:lineRule="exact"/>
              <w:jc w:val="right"/>
              <w:rPr>
                <w:sz w:val="18"/>
                <w:szCs w:val="18"/>
              </w:rPr>
            </w:pPr>
            <w:r>
              <w:rPr>
                <w:sz w:val="18"/>
                <w:szCs w:val="18"/>
              </w:rPr>
              <w:t>13,9</w:t>
            </w:r>
          </w:p>
        </w:tc>
        <w:tc>
          <w:tcPr>
            <w:tcW w:w="862" w:type="dxa"/>
            <w:shd w:val="clear" w:color="auto" w:fill="auto"/>
            <w:vAlign w:val="bottom"/>
          </w:tcPr>
          <w:p w:rsidR="00000000" w:rsidRDefault="00000000">
            <w:pPr>
              <w:spacing w:before="20" w:after="20" w:line="220" w:lineRule="exact"/>
              <w:jc w:val="right"/>
              <w:rPr>
                <w:sz w:val="18"/>
                <w:szCs w:val="18"/>
              </w:rPr>
            </w:pPr>
            <w:r>
              <w:rPr>
                <w:sz w:val="18"/>
                <w:szCs w:val="18"/>
              </w:rPr>
              <w:t>36,7</w:t>
            </w:r>
          </w:p>
        </w:tc>
      </w:tr>
      <w:tr w:rsidR="00000000">
        <w:tc>
          <w:tcPr>
            <w:tcW w:w="2087" w:type="dxa"/>
            <w:shd w:val="clear" w:color="auto" w:fill="auto"/>
          </w:tcPr>
          <w:p w:rsidR="00000000" w:rsidRDefault="00000000">
            <w:pPr>
              <w:spacing w:before="20" w:after="20" w:line="220" w:lineRule="exact"/>
              <w:rPr>
                <w:sz w:val="18"/>
                <w:szCs w:val="18"/>
              </w:rPr>
            </w:pPr>
            <w:r>
              <w:rPr>
                <w:sz w:val="18"/>
                <w:szCs w:val="18"/>
              </w:rPr>
              <w:t>Toamasina I et II</w:t>
            </w:r>
          </w:p>
        </w:tc>
        <w:tc>
          <w:tcPr>
            <w:tcW w:w="865" w:type="dxa"/>
            <w:shd w:val="clear" w:color="auto" w:fill="auto"/>
            <w:vAlign w:val="bottom"/>
          </w:tcPr>
          <w:p w:rsidR="00000000" w:rsidRDefault="00000000">
            <w:pPr>
              <w:spacing w:before="20" w:after="20" w:line="220" w:lineRule="exact"/>
              <w:jc w:val="right"/>
              <w:rPr>
                <w:sz w:val="18"/>
                <w:szCs w:val="18"/>
              </w:rPr>
            </w:pPr>
            <w:r>
              <w:rPr>
                <w:sz w:val="18"/>
                <w:szCs w:val="18"/>
              </w:rPr>
              <w:t>15,8</w:t>
            </w:r>
          </w:p>
        </w:tc>
        <w:tc>
          <w:tcPr>
            <w:tcW w:w="865" w:type="dxa"/>
            <w:shd w:val="clear" w:color="auto" w:fill="auto"/>
            <w:vAlign w:val="bottom"/>
          </w:tcPr>
          <w:p w:rsidR="00000000" w:rsidRDefault="00000000">
            <w:pPr>
              <w:spacing w:before="20" w:after="20" w:line="220" w:lineRule="exact"/>
              <w:jc w:val="right"/>
              <w:rPr>
                <w:sz w:val="18"/>
                <w:szCs w:val="18"/>
              </w:rPr>
            </w:pPr>
            <w:r>
              <w:rPr>
                <w:sz w:val="18"/>
                <w:szCs w:val="18"/>
              </w:rPr>
              <w:t>17,8</w:t>
            </w:r>
          </w:p>
        </w:tc>
        <w:tc>
          <w:tcPr>
            <w:tcW w:w="866" w:type="dxa"/>
            <w:shd w:val="clear" w:color="auto" w:fill="auto"/>
            <w:vAlign w:val="bottom"/>
          </w:tcPr>
          <w:p w:rsidR="00000000" w:rsidRDefault="00000000">
            <w:pPr>
              <w:spacing w:before="20" w:after="20" w:line="220" w:lineRule="exact"/>
              <w:jc w:val="right"/>
              <w:rPr>
                <w:sz w:val="18"/>
                <w:szCs w:val="18"/>
              </w:rPr>
            </w:pPr>
            <w:r>
              <w:rPr>
                <w:sz w:val="18"/>
                <w:szCs w:val="18"/>
              </w:rPr>
              <w:t>47,1</w:t>
            </w:r>
          </w:p>
        </w:tc>
        <w:tc>
          <w:tcPr>
            <w:tcW w:w="103" w:type="dxa"/>
            <w:vAlign w:val="bottom"/>
          </w:tcPr>
          <w:p w:rsidR="00000000" w:rsidRDefault="00000000">
            <w:pPr>
              <w:spacing w:before="20" w:after="20" w:line="220" w:lineRule="exact"/>
              <w:jc w:val="right"/>
              <w:rPr>
                <w:sz w:val="18"/>
                <w:szCs w:val="18"/>
              </w:rPr>
            </w:pPr>
          </w:p>
        </w:tc>
        <w:tc>
          <w:tcPr>
            <w:tcW w:w="861" w:type="dxa"/>
            <w:shd w:val="clear" w:color="auto" w:fill="auto"/>
            <w:vAlign w:val="bottom"/>
          </w:tcPr>
          <w:p w:rsidR="00000000" w:rsidRDefault="00000000">
            <w:pPr>
              <w:spacing w:before="20" w:after="20" w:line="220" w:lineRule="exact"/>
              <w:jc w:val="right"/>
              <w:rPr>
                <w:sz w:val="18"/>
                <w:szCs w:val="18"/>
              </w:rPr>
            </w:pPr>
            <w:r>
              <w:rPr>
                <w:sz w:val="18"/>
                <w:szCs w:val="18"/>
              </w:rPr>
              <w:t>16,9</w:t>
            </w:r>
          </w:p>
        </w:tc>
        <w:tc>
          <w:tcPr>
            <w:tcW w:w="862" w:type="dxa"/>
            <w:shd w:val="clear" w:color="auto" w:fill="auto"/>
            <w:vAlign w:val="bottom"/>
          </w:tcPr>
          <w:p w:rsidR="00000000" w:rsidRDefault="00000000">
            <w:pPr>
              <w:spacing w:before="20" w:after="20" w:line="220" w:lineRule="exact"/>
              <w:jc w:val="right"/>
              <w:rPr>
                <w:sz w:val="18"/>
                <w:szCs w:val="18"/>
              </w:rPr>
            </w:pPr>
            <w:r>
              <w:rPr>
                <w:sz w:val="18"/>
                <w:szCs w:val="18"/>
              </w:rPr>
              <w:t>16,6</w:t>
            </w:r>
          </w:p>
        </w:tc>
        <w:tc>
          <w:tcPr>
            <w:tcW w:w="862" w:type="dxa"/>
            <w:shd w:val="clear" w:color="auto" w:fill="auto"/>
            <w:vAlign w:val="bottom"/>
          </w:tcPr>
          <w:p w:rsidR="00000000" w:rsidRDefault="00000000">
            <w:pPr>
              <w:spacing w:before="20" w:after="20" w:line="220" w:lineRule="exact"/>
              <w:jc w:val="right"/>
              <w:rPr>
                <w:sz w:val="18"/>
                <w:szCs w:val="18"/>
              </w:rPr>
            </w:pPr>
            <w:r>
              <w:rPr>
                <w:sz w:val="18"/>
                <w:szCs w:val="18"/>
              </w:rPr>
              <w:t>48</w:t>
            </w:r>
          </w:p>
        </w:tc>
      </w:tr>
      <w:tr w:rsidR="00000000">
        <w:tc>
          <w:tcPr>
            <w:tcW w:w="2087" w:type="dxa"/>
            <w:shd w:val="clear" w:color="auto" w:fill="auto"/>
          </w:tcPr>
          <w:p w:rsidR="00000000" w:rsidRDefault="00000000">
            <w:pPr>
              <w:spacing w:before="20" w:after="20" w:line="220" w:lineRule="exact"/>
              <w:rPr>
                <w:sz w:val="18"/>
                <w:szCs w:val="18"/>
              </w:rPr>
            </w:pPr>
            <w:r>
              <w:rPr>
                <w:sz w:val="18"/>
                <w:szCs w:val="18"/>
              </w:rPr>
              <w:t>Ambatondrazaka</w:t>
            </w:r>
          </w:p>
        </w:tc>
        <w:tc>
          <w:tcPr>
            <w:tcW w:w="865" w:type="dxa"/>
            <w:shd w:val="clear" w:color="auto" w:fill="auto"/>
            <w:vAlign w:val="bottom"/>
          </w:tcPr>
          <w:p w:rsidR="00000000" w:rsidRDefault="00000000">
            <w:pPr>
              <w:spacing w:before="20" w:after="20" w:line="220" w:lineRule="exact"/>
              <w:jc w:val="right"/>
              <w:rPr>
                <w:sz w:val="18"/>
                <w:szCs w:val="18"/>
              </w:rPr>
            </w:pPr>
            <w:r>
              <w:rPr>
                <w:sz w:val="18"/>
                <w:szCs w:val="18"/>
              </w:rPr>
              <w:t>9,3</w:t>
            </w:r>
          </w:p>
        </w:tc>
        <w:tc>
          <w:tcPr>
            <w:tcW w:w="865" w:type="dxa"/>
            <w:shd w:val="clear" w:color="auto" w:fill="auto"/>
            <w:vAlign w:val="bottom"/>
          </w:tcPr>
          <w:p w:rsidR="00000000" w:rsidRDefault="00000000">
            <w:pPr>
              <w:spacing w:before="20" w:after="20" w:line="220" w:lineRule="exact"/>
              <w:jc w:val="right"/>
              <w:rPr>
                <w:sz w:val="18"/>
                <w:szCs w:val="18"/>
              </w:rPr>
            </w:pPr>
            <w:r>
              <w:rPr>
                <w:sz w:val="18"/>
                <w:szCs w:val="18"/>
              </w:rPr>
              <w:t>15,6</w:t>
            </w:r>
          </w:p>
        </w:tc>
        <w:tc>
          <w:tcPr>
            <w:tcW w:w="866" w:type="dxa"/>
            <w:shd w:val="clear" w:color="auto" w:fill="auto"/>
            <w:vAlign w:val="bottom"/>
          </w:tcPr>
          <w:p w:rsidR="00000000" w:rsidRDefault="00000000">
            <w:pPr>
              <w:spacing w:before="20" w:after="20" w:line="220" w:lineRule="exact"/>
              <w:jc w:val="right"/>
              <w:rPr>
                <w:sz w:val="18"/>
                <w:szCs w:val="18"/>
              </w:rPr>
            </w:pPr>
            <w:r>
              <w:rPr>
                <w:sz w:val="18"/>
                <w:szCs w:val="18"/>
              </w:rPr>
              <w:t>43,7</w:t>
            </w:r>
          </w:p>
        </w:tc>
        <w:tc>
          <w:tcPr>
            <w:tcW w:w="103" w:type="dxa"/>
            <w:vAlign w:val="bottom"/>
          </w:tcPr>
          <w:p w:rsidR="00000000" w:rsidRDefault="00000000">
            <w:pPr>
              <w:spacing w:before="20" w:after="20" w:line="220" w:lineRule="exact"/>
              <w:jc w:val="right"/>
              <w:rPr>
                <w:sz w:val="18"/>
                <w:szCs w:val="18"/>
              </w:rPr>
            </w:pPr>
          </w:p>
        </w:tc>
        <w:tc>
          <w:tcPr>
            <w:tcW w:w="861" w:type="dxa"/>
            <w:shd w:val="clear" w:color="auto" w:fill="auto"/>
            <w:vAlign w:val="bottom"/>
          </w:tcPr>
          <w:p w:rsidR="00000000" w:rsidRDefault="00000000">
            <w:pPr>
              <w:spacing w:before="20" w:after="20" w:line="220" w:lineRule="exact"/>
              <w:jc w:val="right"/>
              <w:rPr>
                <w:sz w:val="18"/>
                <w:szCs w:val="18"/>
              </w:rPr>
            </w:pPr>
            <w:r>
              <w:rPr>
                <w:sz w:val="18"/>
                <w:szCs w:val="18"/>
              </w:rPr>
              <w:t>17,5</w:t>
            </w:r>
          </w:p>
        </w:tc>
        <w:tc>
          <w:tcPr>
            <w:tcW w:w="862" w:type="dxa"/>
            <w:shd w:val="clear" w:color="auto" w:fill="auto"/>
            <w:vAlign w:val="bottom"/>
          </w:tcPr>
          <w:p w:rsidR="00000000" w:rsidRDefault="00000000">
            <w:pPr>
              <w:spacing w:before="20" w:after="20" w:line="220" w:lineRule="exact"/>
              <w:jc w:val="right"/>
              <w:rPr>
                <w:sz w:val="18"/>
                <w:szCs w:val="18"/>
              </w:rPr>
            </w:pPr>
            <w:r>
              <w:rPr>
                <w:sz w:val="18"/>
                <w:szCs w:val="18"/>
              </w:rPr>
              <w:t>14,4</w:t>
            </w:r>
          </w:p>
        </w:tc>
        <w:tc>
          <w:tcPr>
            <w:tcW w:w="862" w:type="dxa"/>
            <w:shd w:val="clear" w:color="auto" w:fill="auto"/>
            <w:vAlign w:val="bottom"/>
          </w:tcPr>
          <w:p w:rsidR="00000000" w:rsidRDefault="00000000">
            <w:pPr>
              <w:spacing w:before="20" w:after="20" w:line="220" w:lineRule="exact"/>
              <w:jc w:val="right"/>
              <w:rPr>
                <w:sz w:val="18"/>
                <w:szCs w:val="18"/>
              </w:rPr>
            </w:pPr>
            <w:r>
              <w:rPr>
                <w:sz w:val="18"/>
                <w:szCs w:val="18"/>
              </w:rPr>
              <w:t>48,5</w:t>
            </w:r>
          </w:p>
        </w:tc>
      </w:tr>
      <w:tr w:rsidR="00000000">
        <w:tc>
          <w:tcPr>
            <w:tcW w:w="2087" w:type="dxa"/>
            <w:shd w:val="clear" w:color="auto" w:fill="auto"/>
          </w:tcPr>
          <w:p w:rsidR="00000000" w:rsidRDefault="00000000">
            <w:pPr>
              <w:spacing w:before="20" w:after="20" w:line="220" w:lineRule="exact"/>
              <w:rPr>
                <w:sz w:val="18"/>
                <w:szCs w:val="18"/>
              </w:rPr>
            </w:pPr>
            <w:r>
              <w:rPr>
                <w:sz w:val="18"/>
                <w:szCs w:val="18"/>
              </w:rPr>
              <w:t>Mahajanga I et II</w:t>
            </w:r>
          </w:p>
        </w:tc>
        <w:tc>
          <w:tcPr>
            <w:tcW w:w="865" w:type="dxa"/>
            <w:shd w:val="clear" w:color="auto" w:fill="auto"/>
            <w:vAlign w:val="bottom"/>
          </w:tcPr>
          <w:p w:rsidR="00000000" w:rsidRDefault="00000000">
            <w:pPr>
              <w:spacing w:before="20" w:after="20" w:line="220" w:lineRule="exact"/>
              <w:jc w:val="right"/>
              <w:rPr>
                <w:sz w:val="18"/>
                <w:szCs w:val="18"/>
              </w:rPr>
            </w:pPr>
            <w:r>
              <w:rPr>
                <w:sz w:val="18"/>
                <w:szCs w:val="18"/>
              </w:rPr>
              <w:t>15,3</w:t>
            </w:r>
          </w:p>
        </w:tc>
        <w:tc>
          <w:tcPr>
            <w:tcW w:w="865" w:type="dxa"/>
            <w:shd w:val="clear" w:color="auto" w:fill="auto"/>
            <w:vAlign w:val="bottom"/>
          </w:tcPr>
          <w:p w:rsidR="00000000" w:rsidRDefault="00000000">
            <w:pPr>
              <w:spacing w:before="20" w:after="20" w:line="220" w:lineRule="exact"/>
              <w:jc w:val="right"/>
              <w:rPr>
                <w:sz w:val="18"/>
                <w:szCs w:val="18"/>
              </w:rPr>
            </w:pPr>
            <w:r>
              <w:rPr>
                <w:sz w:val="18"/>
                <w:szCs w:val="18"/>
              </w:rPr>
              <w:t>14,1</w:t>
            </w:r>
          </w:p>
        </w:tc>
        <w:tc>
          <w:tcPr>
            <w:tcW w:w="866" w:type="dxa"/>
            <w:shd w:val="clear" w:color="auto" w:fill="auto"/>
            <w:vAlign w:val="bottom"/>
          </w:tcPr>
          <w:p w:rsidR="00000000" w:rsidRDefault="00000000">
            <w:pPr>
              <w:spacing w:before="20" w:after="20" w:line="220" w:lineRule="exact"/>
              <w:jc w:val="right"/>
              <w:rPr>
                <w:sz w:val="18"/>
                <w:szCs w:val="18"/>
              </w:rPr>
            </w:pPr>
            <w:r>
              <w:rPr>
                <w:sz w:val="18"/>
                <w:szCs w:val="18"/>
              </w:rPr>
              <w:t>35,2</w:t>
            </w:r>
          </w:p>
        </w:tc>
        <w:tc>
          <w:tcPr>
            <w:tcW w:w="103" w:type="dxa"/>
            <w:vAlign w:val="bottom"/>
          </w:tcPr>
          <w:p w:rsidR="00000000" w:rsidRDefault="00000000">
            <w:pPr>
              <w:spacing w:before="20" w:after="20" w:line="220" w:lineRule="exact"/>
              <w:jc w:val="right"/>
              <w:rPr>
                <w:sz w:val="18"/>
                <w:szCs w:val="18"/>
              </w:rPr>
            </w:pPr>
          </w:p>
        </w:tc>
        <w:tc>
          <w:tcPr>
            <w:tcW w:w="861" w:type="dxa"/>
            <w:shd w:val="clear" w:color="auto" w:fill="auto"/>
            <w:vAlign w:val="bottom"/>
          </w:tcPr>
          <w:p w:rsidR="00000000" w:rsidRDefault="00000000">
            <w:pPr>
              <w:spacing w:before="20" w:after="20" w:line="220" w:lineRule="exact"/>
              <w:jc w:val="right"/>
              <w:rPr>
                <w:sz w:val="18"/>
                <w:szCs w:val="18"/>
              </w:rPr>
            </w:pPr>
            <w:r>
              <w:rPr>
                <w:sz w:val="18"/>
                <w:szCs w:val="18"/>
              </w:rPr>
              <w:t>16</w:t>
            </w:r>
          </w:p>
        </w:tc>
        <w:tc>
          <w:tcPr>
            <w:tcW w:w="862" w:type="dxa"/>
            <w:shd w:val="clear" w:color="auto" w:fill="auto"/>
            <w:vAlign w:val="bottom"/>
          </w:tcPr>
          <w:p w:rsidR="00000000" w:rsidRDefault="00000000">
            <w:pPr>
              <w:spacing w:before="20" w:after="20" w:line="220" w:lineRule="exact"/>
              <w:jc w:val="right"/>
              <w:rPr>
                <w:sz w:val="18"/>
                <w:szCs w:val="18"/>
              </w:rPr>
            </w:pPr>
            <w:r>
              <w:rPr>
                <w:sz w:val="18"/>
                <w:szCs w:val="18"/>
              </w:rPr>
              <w:t>13,6</w:t>
            </w:r>
          </w:p>
        </w:tc>
        <w:tc>
          <w:tcPr>
            <w:tcW w:w="862" w:type="dxa"/>
            <w:shd w:val="clear" w:color="auto" w:fill="auto"/>
            <w:vAlign w:val="bottom"/>
          </w:tcPr>
          <w:p w:rsidR="00000000" w:rsidRDefault="00000000">
            <w:pPr>
              <w:spacing w:before="20" w:after="20" w:line="220" w:lineRule="exact"/>
              <w:jc w:val="right"/>
              <w:rPr>
                <w:sz w:val="18"/>
                <w:szCs w:val="18"/>
              </w:rPr>
            </w:pPr>
            <w:r>
              <w:rPr>
                <w:sz w:val="18"/>
                <w:szCs w:val="18"/>
              </w:rPr>
              <w:t>34</w:t>
            </w:r>
          </w:p>
        </w:tc>
      </w:tr>
      <w:tr w:rsidR="00000000">
        <w:tc>
          <w:tcPr>
            <w:tcW w:w="2087" w:type="dxa"/>
            <w:shd w:val="clear" w:color="auto" w:fill="auto"/>
          </w:tcPr>
          <w:p w:rsidR="00000000" w:rsidRDefault="00000000">
            <w:pPr>
              <w:spacing w:before="20" w:after="20" w:line="220" w:lineRule="exact"/>
              <w:rPr>
                <w:sz w:val="18"/>
                <w:szCs w:val="18"/>
              </w:rPr>
            </w:pPr>
            <w:r>
              <w:rPr>
                <w:sz w:val="18"/>
                <w:szCs w:val="18"/>
              </w:rPr>
              <w:t>Maevatanàna</w:t>
            </w:r>
          </w:p>
        </w:tc>
        <w:tc>
          <w:tcPr>
            <w:tcW w:w="865" w:type="dxa"/>
            <w:shd w:val="clear" w:color="auto" w:fill="auto"/>
            <w:vAlign w:val="bottom"/>
          </w:tcPr>
          <w:p w:rsidR="00000000" w:rsidRDefault="00000000">
            <w:pPr>
              <w:spacing w:before="20" w:after="20" w:line="220" w:lineRule="exact"/>
              <w:jc w:val="right"/>
              <w:rPr>
                <w:sz w:val="18"/>
                <w:szCs w:val="18"/>
              </w:rPr>
            </w:pPr>
            <w:r>
              <w:rPr>
                <w:sz w:val="18"/>
                <w:szCs w:val="18"/>
              </w:rPr>
              <w:t>7,7</w:t>
            </w:r>
          </w:p>
        </w:tc>
        <w:tc>
          <w:tcPr>
            <w:tcW w:w="865" w:type="dxa"/>
            <w:shd w:val="clear" w:color="auto" w:fill="auto"/>
            <w:vAlign w:val="bottom"/>
          </w:tcPr>
          <w:p w:rsidR="00000000" w:rsidRDefault="00000000">
            <w:pPr>
              <w:spacing w:before="20" w:after="20" w:line="220" w:lineRule="exact"/>
              <w:jc w:val="right"/>
              <w:rPr>
                <w:sz w:val="18"/>
                <w:szCs w:val="18"/>
              </w:rPr>
            </w:pPr>
            <w:r>
              <w:rPr>
                <w:sz w:val="18"/>
                <w:szCs w:val="18"/>
              </w:rPr>
              <w:t>24,3</w:t>
            </w:r>
          </w:p>
        </w:tc>
        <w:tc>
          <w:tcPr>
            <w:tcW w:w="866" w:type="dxa"/>
            <w:shd w:val="clear" w:color="auto" w:fill="auto"/>
            <w:vAlign w:val="bottom"/>
          </w:tcPr>
          <w:p w:rsidR="00000000" w:rsidRDefault="00000000">
            <w:pPr>
              <w:spacing w:before="20" w:after="20" w:line="220" w:lineRule="exact"/>
              <w:jc w:val="right"/>
              <w:rPr>
                <w:sz w:val="18"/>
                <w:szCs w:val="18"/>
              </w:rPr>
            </w:pPr>
            <w:r>
              <w:rPr>
                <w:sz w:val="18"/>
                <w:szCs w:val="18"/>
              </w:rPr>
              <w:t>34,3</w:t>
            </w:r>
          </w:p>
        </w:tc>
        <w:tc>
          <w:tcPr>
            <w:tcW w:w="103" w:type="dxa"/>
            <w:vAlign w:val="bottom"/>
          </w:tcPr>
          <w:p w:rsidR="00000000" w:rsidRDefault="00000000">
            <w:pPr>
              <w:spacing w:before="20" w:after="20" w:line="220" w:lineRule="exact"/>
              <w:jc w:val="right"/>
              <w:rPr>
                <w:sz w:val="18"/>
                <w:szCs w:val="18"/>
              </w:rPr>
            </w:pPr>
          </w:p>
        </w:tc>
        <w:tc>
          <w:tcPr>
            <w:tcW w:w="861" w:type="dxa"/>
            <w:shd w:val="clear" w:color="auto" w:fill="auto"/>
            <w:vAlign w:val="bottom"/>
          </w:tcPr>
          <w:p w:rsidR="00000000" w:rsidRDefault="00000000">
            <w:pPr>
              <w:spacing w:before="20" w:after="20" w:line="220" w:lineRule="exact"/>
              <w:jc w:val="right"/>
              <w:rPr>
                <w:sz w:val="18"/>
                <w:szCs w:val="18"/>
              </w:rPr>
            </w:pPr>
            <w:r>
              <w:rPr>
                <w:sz w:val="18"/>
                <w:szCs w:val="18"/>
              </w:rPr>
              <w:t>8,4</w:t>
            </w:r>
          </w:p>
        </w:tc>
        <w:tc>
          <w:tcPr>
            <w:tcW w:w="862" w:type="dxa"/>
            <w:shd w:val="clear" w:color="auto" w:fill="auto"/>
            <w:vAlign w:val="bottom"/>
          </w:tcPr>
          <w:p w:rsidR="00000000" w:rsidRDefault="00000000">
            <w:pPr>
              <w:spacing w:before="20" w:after="20" w:line="220" w:lineRule="exact"/>
              <w:jc w:val="right"/>
              <w:rPr>
                <w:sz w:val="18"/>
                <w:szCs w:val="18"/>
              </w:rPr>
            </w:pPr>
            <w:r>
              <w:rPr>
                <w:sz w:val="18"/>
                <w:szCs w:val="18"/>
              </w:rPr>
              <w:t>22</w:t>
            </w:r>
          </w:p>
        </w:tc>
        <w:tc>
          <w:tcPr>
            <w:tcW w:w="862" w:type="dxa"/>
            <w:shd w:val="clear" w:color="auto" w:fill="auto"/>
            <w:vAlign w:val="bottom"/>
          </w:tcPr>
          <w:p w:rsidR="00000000" w:rsidRDefault="00000000">
            <w:pPr>
              <w:spacing w:before="20" w:after="20" w:line="220" w:lineRule="exact"/>
              <w:jc w:val="right"/>
              <w:rPr>
                <w:sz w:val="18"/>
                <w:szCs w:val="18"/>
              </w:rPr>
            </w:pPr>
            <w:r>
              <w:rPr>
                <w:sz w:val="18"/>
                <w:szCs w:val="18"/>
              </w:rPr>
              <w:t>32,3</w:t>
            </w:r>
          </w:p>
        </w:tc>
      </w:tr>
      <w:tr w:rsidR="00000000">
        <w:tc>
          <w:tcPr>
            <w:tcW w:w="2087" w:type="dxa"/>
            <w:shd w:val="clear" w:color="auto" w:fill="auto"/>
          </w:tcPr>
          <w:p w:rsidR="00000000" w:rsidRDefault="00000000">
            <w:pPr>
              <w:spacing w:before="20" w:after="20" w:line="220" w:lineRule="exact"/>
              <w:rPr>
                <w:sz w:val="18"/>
                <w:szCs w:val="18"/>
              </w:rPr>
            </w:pPr>
            <w:r>
              <w:rPr>
                <w:sz w:val="18"/>
                <w:szCs w:val="18"/>
              </w:rPr>
              <w:t>Maintirano</w:t>
            </w:r>
          </w:p>
        </w:tc>
        <w:tc>
          <w:tcPr>
            <w:tcW w:w="865" w:type="dxa"/>
            <w:shd w:val="clear" w:color="auto" w:fill="auto"/>
            <w:vAlign w:val="bottom"/>
          </w:tcPr>
          <w:p w:rsidR="00000000" w:rsidRDefault="00000000">
            <w:pPr>
              <w:spacing w:before="20" w:after="20" w:line="220" w:lineRule="exact"/>
              <w:jc w:val="right"/>
              <w:rPr>
                <w:sz w:val="18"/>
                <w:szCs w:val="18"/>
              </w:rPr>
            </w:pPr>
            <w:r>
              <w:rPr>
                <w:sz w:val="18"/>
                <w:szCs w:val="18"/>
              </w:rPr>
              <w:t>21,3</w:t>
            </w:r>
          </w:p>
        </w:tc>
        <w:tc>
          <w:tcPr>
            <w:tcW w:w="865" w:type="dxa"/>
            <w:shd w:val="clear" w:color="auto" w:fill="auto"/>
            <w:vAlign w:val="bottom"/>
          </w:tcPr>
          <w:p w:rsidR="00000000" w:rsidRDefault="00000000">
            <w:pPr>
              <w:spacing w:before="20" w:after="20" w:line="220" w:lineRule="exact"/>
              <w:jc w:val="right"/>
              <w:rPr>
                <w:sz w:val="18"/>
                <w:szCs w:val="18"/>
              </w:rPr>
            </w:pPr>
            <w:r>
              <w:rPr>
                <w:sz w:val="18"/>
                <w:szCs w:val="18"/>
              </w:rPr>
              <w:t>25,8</w:t>
            </w:r>
          </w:p>
        </w:tc>
        <w:tc>
          <w:tcPr>
            <w:tcW w:w="866" w:type="dxa"/>
            <w:shd w:val="clear" w:color="auto" w:fill="auto"/>
            <w:vAlign w:val="bottom"/>
          </w:tcPr>
          <w:p w:rsidR="00000000" w:rsidRDefault="00000000">
            <w:pPr>
              <w:spacing w:before="20" w:after="20" w:line="220" w:lineRule="exact"/>
              <w:jc w:val="right"/>
              <w:rPr>
                <w:sz w:val="18"/>
                <w:szCs w:val="18"/>
              </w:rPr>
            </w:pPr>
            <w:r>
              <w:rPr>
                <w:sz w:val="18"/>
                <w:szCs w:val="18"/>
              </w:rPr>
              <w:t>55,4</w:t>
            </w:r>
          </w:p>
        </w:tc>
        <w:tc>
          <w:tcPr>
            <w:tcW w:w="103" w:type="dxa"/>
            <w:vAlign w:val="bottom"/>
          </w:tcPr>
          <w:p w:rsidR="00000000" w:rsidRDefault="00000000">
            <w:pPr>
              <w:spacing w:before="20" w:after="20" w:line="220" w:lineRule="exact"/>
              <w:jc w:val="right"/>
              <w:rPr>
                <w:sz w:val="18"/>
                <w:szCs w:val="18"/>
              </w:rPr>
            </w:pPr>
          </w:p>
        </w:tc>
        <w:tc>
          <w:tcPr>
            <w:tcW w:w="861" w:type="dxa"/>
            <w:shd w:val="clear" w:color="auto" w:fill="auto"/>
            <w:vAlign w:val="bottom"/>
          </w:tcPr>
          <w:p w:rsidR="00000000" w:rsidRDefault="00000000">
            <w:pPr>
              <w:spacing w:before="20" w:after="20" w:line="220" w:lineRule="exact"/>
              <w:jc w:val="right"/>
              <w:rPr>
                <w:sz w:val="18"/>
                <w:szCs w:val="18"/>
              </w:rPr>
            </w:pPr>
            <w:r>
              <w:rPr>
                <w:sz w:val="18"/>
                <w:szCs w:val="18"/>
              </w:rPr>
              <w:t>20,6</w:t>
            </w:r>
          </w:p>
        </w:tc>
        <w:tc>
          <w:tcPr>
            <w:tcW w:w="862" w:type="dxa"/>
            <w:shd w:val="clear" w:color="auto" w:fill="auto"/>
            <w:vAlign w:val="bottom"/>
          </w:tcPr>
          <w:p w:rsidR="00000000" w:rsidRDefault="00000000">
            <w:pPr>
              <w:spacing w:before="20" w:after="20" w:line="220" w:lineRule="exact"/>
              <w:jc w:val="right"/>
              <w:rPr>
                <w:sz w:val="18"/>
                <w:szCs w:val="18"/>
              </w:rPr>
            </w:pPr>
            <w:r>
              <w:rPr>
                <w:sz w:val="18"/>
                <w:szCs w:val="18"/>
              </w:rPr>
              <w:t>19,4</w:t>
            </w:r>
          </w:p>
        </w:tc>
        <w:tc>
          <w:tcPr>
            <w:tcW w:w="862" w:type="dxa"/>
            <w:shd w:val="clear" w:color="auto" w:fill="auto"/>
            <w:vAlign w:val="bottom"/>
          </w:tcPr>
          <w:p w:rsidR="00000000" w:rsidRDefault="00000000">
            <w:pPr>
              <w:spacing w:before="20" w:after="20" w:line="220" w:lineRule="exact"/>
              <w:jc w:val="right"/>
              <w:rPr>
                <w:sz w:val="18"/>
                <w:szCs w:val="18"/>
              </w:rPr>
            </w:pPr>
            <w:r>
              <w:rPr>
                <w:sz w:val="18"/>
                <w:szCs w:val="18"/>
              </w:rPr>
              <w:t>44</w:t>
            </w:r>
          </w:p>
        </w:tc>
      </w:tr>
      <w:tr w:rsidR="00000000">
        <w:tc>
          <w:tcPr>
            <w:tcW w:w="2087" w:type="dxa"/>
            <w:shd w:val="clear" w:color="auto" w:fill="auto"/>
          </w:tcPr>
          <w:p w:rsidR="00000000" w:rsidRDefault="00000000">
            <w:pPr>
              <w:spacing w:before="20" w:after="20" w:line="220" w:lineRule="exact"/>
              <w:rPr>
                <w:sz w:val="18"/>
                <w:szCs w:val="18"/>
              </w:rPr>
            </w:pPr>
            <w:r>
              <w:rPr>
                <w:sz w:val="18"/>
                <w:szCs w:val="18"/>
              </w:rPr>
              <w:t>Ampanihy</w:t>
            </w:r>
          </w:p>
        </w:tc>
        <w:tc>
          <w:tcPr>
            <w:tcW w:w="865" w:type="dxa"/>
            <w:shd w:val="clear" w:color="auto" w:fill="auto"/>
            <w:vAlign w:val="bottom"/>
          </w:tcPr>
          <w:p w:rsidR="00000000" w:rsidRDefault="00000000">
            <w:pPr>
              <w:spacing w:before="20" w:after="20" w:line="220" w:lineRule="exact"/>
              <w:jc w:val="right"/>
              <w:rPr>
                <w:sz w:val="18"/>
                <w:szCs w:val="18"/>
              </w:rPr>
            </w:pPr>
            <w:r>
              <w:rPr>
                <w:sz w:val="18"/>
                <w:szCs w:val="18"/>
              </w:rPr>
              <w:t>10,4</w:t>
            </w:r>
          </w:p>
        </w:tc>
        <w:tc>
          <w:tcPr>
            <w:tcW w:w="865" w:type="dxa"/>
            <w:shd w:val="clear" w:color="auto" w:fill="auto"/>
            <w:vAlign w:val="bottom"/>
          </w:tcPr>
          <w:p w:rsidR="00000000" w:rsidRDefault="00000000">
            <w:pPr>
              <w:spacing w:before="20" w:after="20" w:line="220" w:lineRule="exact"/>
              <w:jc w:val="right"/>
              <w:rPr>
                <w:sz w:val="18"/>
                <w:szCs w:val="18"/>
              </w:rPr>
            </w:pPr>
            <w:r>
              <w:rPr>
                <w:sz w:val="18"/>
                <w:szCs w:val="18"/>
              </w:rPr>
              <w:t>12,2</w:t>
            </w:r>
          </w:p>
        </w:tc>
        <w:tc>
          <w:tcPr>
            <w:tcW w:w="866" w:type="dxa"/>
            <w:shd w:val="clear" w:color="auto" w:fill="auto"/>
            <w:vAlign w:val="bottom"/>
          </w:tcPr>
          <w:p w:rsidR="00000000" w:rsidRDefault="00000000">
            <w:pPr>
              <w:spacing w:before="20" w:after="20" w:line="220" w:lineRule="exact"/>
              <w:jc w:val="right"/>
              <w:rPr>
                <w:sz w:val="18"/>
                <w:szCs w:val="18"/>
              </w:rPr>
            </w:pPr>
            <w:r>
              <w:rPr>
                <w:sz w:val="18"/>
                <w:szCs w:val="18"/>
              </w:rPr>
              <w:t>32,2</w:t>
            </w:r>
          </w:p>
        </w:tc>
        <w:tc>
          <w:tcPr>
            <w:tcW w:w="103" w:type="dxa"/>
            <w:vAlign w:val="bottom"/>
          </w:tcPr>
          <w:p w:rsidR="00000000" w:rsidRDefault="00000000">
            <w:pPr>
              <w:spacing w:before="20" w:after="20" w:line="220" w:lineRule="exact"/>
              <w:jc w:val="right"/>
              <w:rPr>
                <w:sz w:val="18"/>
                <w:szCs w:val="18"/>
              </w:rPr>
            </w:pPr>
          </w:p>
        </w:tc>
        <w:tc>
          <w:tcPr>
            <w:tcW w:w="861" w:type="dxa"/>
            <w:shd w:val="clear" w:color="auto" w:fill="auto"/>
            <w:vAlign w:val="bottom"/>
          </w:tcPr>
          <w:p w:rsidR="00000000" w:rsidRDefault="00000000">
            <w:pPr>
              <w:spacing w:before="20" w:after="20" w:line="220" w:lineRule="exact"/>
              <w:jc w:val="right"/>
              <w:rPr>
                <w:sz w:val="18"/>
                <w:szCs w:val="18"/>
              </w:rPr>
            </w:pPr>
            <w:r>
              <w:rPr>
                <w:sz w:val="18"/>
                <w:szCs w:val="18"/>
              </w:rPr>
              <w:t>13,9</w:t>
            </w:r>
          </w:p>
        </w:tc>
        <w:tc>
          <w:tcPr>
            <w:tcW w:w="862" w:type="dxa"/>
            <w:shd w:val="clear" w:color="auto" w:fill="auto"/>
            <w:vAlign w:val="bottom"/>
          </w:tcPr>
          <w:p w:rsidR="00000000" w:rsidRDefault="00000000">
            <w:pPr>
              <w:spacing w:before="20" w:after="20" w:line="220" w:lineRule="exact"/>
              <w:jc w:val="right"/>
              <w:rPr>
                <w:sz w:val="18"/>
                <w:szCs w:val="18"/>
              </w:rPr>
            </w:pPr>
            <w:r>
              <w:rPr>
                <w:sz w:val="18"/>
                <w:szCs w:val="18"/>
              </w:rPr>
              <w:t>19,8</w:t>
            </w:r>
          </w:p>
        </w:tc>
        <w:tc>
          <w:tcPr>
            <w:tcW w:w="862" w:type="dxa"/>
            <w:shd w:val="clear" w:color="auto" w:fill="auto"/>
            <w:vAlign w:val="bottom"/>
          </w:tcPr>
          <w:p w:rsidR="00000000" w:rsidRDefault="00000000">
            <w:pPr>
              <w:spacing w:before="20" w:after="20" w:line="220" w:lineRule="exact"/>
              <w:jc w:val="right"/>
              <w:rPr>
                <w:sz w:val="18"/>
                <w:szCs w:val="18"/>
              </w:rPr>
            </w:pPr>
            <w:r>
              <w:rPr>
                <w:sz w:val="18"/>
                <w:szCs w:val="18"/>
              </w:rPr>
              <w:t>48,7</w:t>
            </w:r>
          </w:p>
        </w:tc>
      </w:tr>
      <w:tr w:rsidR="00000000">
        <w:tc>
          <w:tcPr>
            <w:tcW w:w="2087" w:type="dxa"/>
            <w:shd w:val="clear" w:color="auto" w:fill="auto"/>
          </w:tcPr>
          <w:p w:rsidR="00000000" w:rsidRDefault="00000000">
            <w:pPr>
              <w:spacing w:before="20" w:after="20" w:line="220" w:lineRule="exact"/>
              <w:rPr>
                <w:sz w:val="18"/>
                <w:szCs w:val="18"/>
              </w:rPr>
            </w:pPr>
            <w:r>
              <w:rPr>
                <w:sz w:val="18"/>
                <w:szCs w:val="18"/>
              </w:rPr>
              <w:t>Morondava</w:t>
            </w:r>
          </w:p>
        </w:tc>
        <w:tc>
          <w:tcPr>
            <w:tcW w:w="865" w:type="dxa"/>
            <w:shd w:val="clear" w:color="auto" w:fill="auto"/>
            <w:vAlign w:val="bottom"/>
          </w:tcPr>
          <w:p w:rsidR="00000000" w:rsidRDefault="00000000">
            <w:pPr>
              <w:spacing w:before="20" w:after="20" w:line="220" w:lineRule="exact"/>
              <w:jc w:val="right"/>
              <w:rPr>
                <w:sz w:val="18"/>
                <w:szCs w:val="18"/>
              </w:rPr>
            </w:pPr>
            <w:r>
              <w:rPr>
                <w:sz w:val="18"/>
                <w:szCs w:val="18"/>
              </w:rPr>
              <w:t>10,1</w:t>
            </w:r>
          </w:p>
        </w:tc>
        <w:tc>
          <w:tcPr>
            <w:tcW w:w="865" w:type="dxa"/>
            <w:shd w:val="clear" w:color="auto" w:fill="auto"/>
            <w:vAlign w:val="bottom"/>
          </w:tcPr>
          <w:p w:rsidR="00000000" w:rsidRDefault="00000000">
            <w:pPr>
              <w:spacing w:before="20" w:after="20" w:line="220" w:lineRule="exact"/>
              <w:jc w:val="right"/>
              <w:rPr>
                <w:sz w:val="18"/>
                <w:szCs w:val="18"/>
              </w:rPr>
            </w:pPr>
            <w:r>
              <w:rPr>
                <w:sz w:val="18"/>
                <w:szCs w:val="18"/>
              </w:rPr>
              <w:t>12,7</w:t>
            </w:r>
          </w:p>
        </w:tc>
        <w:tc>
          <w:tcPr>
            <w:tcW w:w="866" w:type="dxa"/>
            <w:shd w:val="clear" w:color="auto" w:fill="auto"/>
            <w:vAlign w:val="bottom"/>
          </w:tcPr>
          <w:p w:rsidR="00000000" w:rsidRDefault="00000000">
            <w:pPr>
              <w:spacing w:before="20" w:after="20" w:line="220" w:lineRule="exact"/>
              <w:jc w:val="right"/>
              <w:rPr>
                <w:sz w:val="18"/>
                <w:szCs w:val="18"/>
              </w:rPr>
            </w:pPr>
            <w:r>
              <w:rPr>
                <w:sz w:val="18"/>
                <w:szCs w:val="18"/>
              </w:rPr>
              <w:t>29,3</w:t>
            </w:r>
          </w:p>
        </w:tc>
        <w:tc>
          <w:tcPr>
            <w:tcW w:w="103" w:type="dxa"/>
            <w:vAlign w:val="bottom"/>
          </w:tcPr>
          <w:p w:rsidR="00000000" w:rsidRDefault="00000000">
            <w:pPr>
              <w:spacing w:before="20" w:after="20" w:line="220" w:lineRule="exact"/>
              <w:jc w:val="right"/>
              <w:rPr>
                <w:sz w:val="18"/>
                <w:szCs w:val="18"/>
              </w:rPr>
            </w:pPr>
          </w:p>
        </w:tc>
        <w:tc>
          <w:tcPr>
            <w:tcW w:w="861" w:type="dxa"/>
            <w:shd w:val="clear" w:color="auto" w:fill="auto"/>
            <w:vAlign w:val="bottom"/>
          </w:tcPr>
          <w:p w:rsidR="00000000" w:rsidRDefault="00000000">
            <w:pPr>
              <w:spacing w:before="20" w:after="20" w:line="220" w:lineRule="exact"/>
              <w:jc w:val="right"/>
              <w:rPr>
                <w:sz w:val="18"/>
                <w:szCs w:val="18"/>
              </w:rPr>
            </w:pPr>
            <w:r>
              <w:rPr>
                <w:sz w:val="18"/>
                <w:szCs w:val="18"/>
              </w:rPr>
              <w:t>12,5</w:t>
            </w:r>
          </w:p>
        </w:tc>
        <w:tc>
          <w:tcPr>
            <w:tcW w:w="862" w:type="dxa"/>
            <w:shd w:val="clear" w:color="auto" w:fill="auto"/>
            <w:vAlign w:val="bottom"/>
          </w:tcPr>
          <w:p w:rsidR="00000000" w:rsidRDefault="00000000">
            <w:pPr>
              <w:spacing w:before="20" w:after="20" w:line="220" w:lineRule="exact"/>
              <w:jc w:val="right"/>
              <w:rPr>
                <w:sz w:val="18"/>
                <w:szCs w:val="18"/>
              </w:rPr>
            </w:pPr>
            <w:r>
              <w:rPr>
                <w:sz w:val="18"/>
                <w:szCs w:val="18"/>
              </w:rPr>
              <w:t>12</w:t>
            </w:r>
          </w:p>
        </w:tc>
        <w:tc>
          <w:tcPr>
            <w:tcW w:w="862" w:type="dxa"/>
            <w:shd w:val="clear" w:color="auto" w:fill="auto"/>
            <w:vAlign w:val="bottom"/>
          </w:tcPr>
          <w:p w:rsidR="00000000" w:rsidRDefault="00000000">
            <w:pPr>
              <w:spacing w:before="20" w:after="20" w:line="220" w:lineRule="exact"/>
              <w:jc w:val="right"/>
              <w:rPr>
                <w:sz w:val="18"/>
                <w:szCs w:val="18"/>
              </w:rPr>
            </w:pPr>
            <w:r>
              <w:rPr>
                <w:sz w:val="18"/>
                <w:szCs w:val="18"/>
              </w:rPr>
              <w:t>29,3</w:t>
            </w:r>
          </w:p>
        </w:tc>
      </w:tr>
      <w:tr w:rsidR="00000000">
        <w:tc>
          <w:tcPr>
            <w:tcW w:w="2087" w:type="dxa"/>
            <w:shd w:val="clear" w:color="auto" w:fill="auto"/>
          </w:tcPr>
          <w:p w:rsidR="00000000" w:rsidRDefault="00000000">
            <w:pPr>
              <w:spacing w:before="20" w:after="20" w:line="220" w:lineRule="exact"/>
              <w:rPr>
                <w:sz w:val="18"/>
                <w:szCs w:val="18"/>
              </w:rPr>
            </w:pPr>
            <w:r>
              <w:rPr>
                <w:sz w:val="18"/>
                <w:szCs w:val="18"/>
              </w:rPr>
              <w:t>Taolagnaro</w:t>
            </w:r>
          </w:p>
        </w:tc>
        <w:tc>
          <w:tcPr>
            <w:tcW w:w="865" w:type="dxa"/>
            <w:shd w:val="clear" w:color="auto" w:fill="auto"/>
            <w:vAlign w:val="bottom"/>
          </w:tcPr>
          <w:p w:rsidR="00000000" w:rsidRDefault="00000000">
            <w:pPr>
              <w:spacing w:before="20" w:after="20" w:line="220" w:lineRule="exact"/>
              <w:jc w:val="right"/>
              <w:rPr>
                <w:sz w:val="18"/>
                <w:szCs w:val="18"/>
              </w:rPr>
            </w:pPr>
            <w:r>
              <w:rPr>
                <w:sz w:val="18"/>
                <w:szCs w:val="18"/>
              </w:rPr>
              <w:t>11,6</w:t>
            </w:r>
          </w:p>
        </w:tc>
        <w:tc>
          <w:tcPr>
            <w:tcW w:w="865" w:type="dxa"/>
            <w:shd w:val="clear" w:color="auto" w:fill="auto"/>
            <w:vAlign w:val="bottom"/>
          </w:tcPr>
          <w:p w:rsidR="00000000" w:rsidRDefault="00000000">
            <w:pPr>
              <w:spacing w:before="20" w:after="20" w:line="220" w:lineRule="exact"/>
              <w:jc w:val="right"/>
              <w:rPr>
                <w:sz w:val="18"/>
                <w:szCs w:val="18"/>
              </w:rPr>
            </w:pPr>
            <w:r>
              <w:rPr>
                <w:sz w:val="18"/>
                <w:szCs w:val="18"/>
              </w:rPr>
              <w:t>25,6</w:t>
            </w:r>
          </w:p>
        </w:tc>
        <w:tc>
          <w:tcPr>
            <w:tcW w:w="866" w:type="dxa"/>
            <w:shd w:val="clear" w:color="auto" w:fill="auto"/>
            <w:vAlign w:val="bottom"/>
          </w:tcPr>
          <w:p w:rsidR="00000000" w:rsidRDefault="00000000">
            <w:pPr>
              <w:spacing w:before="20" w:after="20" w:line="220" w:lineRule="exact"/>
              <w:jc w:val="right"/>
              <w:rPr>
                <w:sz w:val="18"/>
                <w:szCs w:val="18"/>
              </w:rPr>
            </w:pPr>
            <w:r>
              <w:rPr>
                <w:sz w:val="18"/>
                <w:szCs w:val="18"/>
              </w:rPr>
              <w:t>50,2</w:t>
            </w:r>
          </w:p>
        </w:tc>
        <w:tc>
          <w:tcPr>
            <w:tcW w:w="103" w:type="dxa"/>
            <w:vAlign w:val="bottom"/>
          </w:tcPr>
          <w:p w:rsidR="00000000" w:rsidRDefault="00000000">
            <w:pPr>
              <w:spacing w:before="20" w:after="20" w:line="220" w:lineRule="exact"/>
              <w:jc w:val="right"/>
              <w:rPr>
                <w:sz w:val="18"/>
                <w:szCs w:val="18"/>
              </w:rPr>
            </w:pPr>
          </w:p>
        </w:tc>
        <w:tc>
          <w:tcPr>
            <w:tcW w:w="861" w:type="dxa"/>
            <w:shd w:val="clear" w:color="auto" w:fill="auto"/>
            <w:vAlign w:val="bottom"/>
          </w:tcPr>
          <w:p w:rsidR="00000000" w:rsidRDefault="00000000">
            <w:pPr>
              <w:spacing w:before="20" w:after="20" w:line="220" w:lineRule="exact"/>
              <w:jc w:val="right"/>
              <w:rPr>
                <w:sz w:val="18"/>
                <w:szCs w:val="18"/>
              </w:rPr>
            </w:pPr>
            <w:r>
              <w:rPr>
                <w:sz w:val="18"/>
                <w:szCs w:val="18"/>
              </w:rPr>
              <w:t>11,5</w:t>
            </w:r>
          </w:p>
        </w:tc>
        <w:tc>
          <w:tcPr>
            <w:tcW w:w="862" w:type="dxa"/>
            <w:shd w:val="clear" w:color="auto" w:fill="auto"/>
            <w:vAlign w:val="bottom"/>
          </w:tcPr>
          <w:p w:rsidR="00000000" w:rsidRDefault="00000000">
            <w:pPr>
              <w:spacing w:before="20" w:after="20" w:line="220" w:lineRule="exact"/>
              <w:jc w:val="right"/>
              <w:rPr>
                <w:sz w:val="18"/>
                <w:szCs w:val="18"/>
              </w:rPr>
            </w:pPr>
            <w:r>
              <w:rPr>
                <w:sz w:val="18"/>
                <w:szCs w:val="18"/>
              </w:rPr>
              <w:t>23</w:t>
            </w:r>
          </w:p>
        </w:tc>
        <w:tc>
          <w:tcPr>
            <w:tcW w:w="862" w:type="dxa"/>
            <w:shd w:val="clear" w:color="auto" w:fill="auto"/>
            <w:vAlign w:val="bottom"/>
          </w:tcPr>
          <w:p w:rsidR="00000000" w:rsidRDefault="00000000">
            <w:pPr>
              <w:spacing w:before="20" w:after="20" w:line="220" w:lineRule="exact"/>
              <w:jc w:val="right"/>
              <w:rPr>
                <w:sz w:val="18"/>
                <w:szCs w:val="18"/>
              </w:rPr>
            </w:pPr>
            <w:r>
              <w:rPr>
                <w:sz w:val="18"/>
                <w:szCs w:val="18"/>
              </w:rPr>
              <w:t>46,4</w:t>
            </w:r>
          </w:p>
        </w:tc>
      </w:tr>
      <w:tr w:rsidR="00000000">
        <w:tc>
          <w:tcPr>
            <w:tcW w:w="2087" w:type="dxa"/>
            <w:shd w:val="clear" w:color="auto" w:fill="auto"/>
          </w:tcPr>
          <w:p w:rsidR="00000000" w:rsidRDefault="00000000">
            <w:pPr>
              <w:spacing w:before="20" w:after="20" w:line="220" w:lineRule="exact"/>
              <w:rPr>
                <w:sz w:val="18"/>
                <w:szCs w:val="18"/>
              </w:rPr>
            </w:pPr>
            <w:r>
              <w:rPr>
                <w:sz w:val="18"/>
                <w:szCs w:val="18"/>
              </w:rPr>
              <w:t>Toliara I et II</w:t>
            </w:r>
          </w:p>
        </w:tc>
        <w:tc>
          <w:tcPr>
            <w:tcW w:w="865" w:type="dxa"/>
            <w:shd w:val="clear" w:color="auto" w:fill="auto"/>
            <w:vAlign w:val="bottom"/>
          </w:tcPr>
          <w:p w:rsidR="00000000" w:rsidRDefault="00000000">
            <w:pPr>
              <w:spacing w:before="20" w:after="20" w:line="220" w:lineRule="exact"/>
              <w:jc w:val="right"/>
              <w:rPr>
                <w:sz w:val="18"/>
                <w:szCs w:val="18"/>
              </w:rPr>
            </w:pPr>
            <w:r>
              <w:rPr>
                <w:sz w:val="18"/>
                <w:szCs w:val="18"/>
              </w:rPr>
              <w:t>15,6</w:t>
            </w:r>
          </w:p>
        </w:tc>
        <w:tc>
          <w:tcPr>
            <w:tcW w:w="865" w:type="dxa"/>
            <w:shd w:val="clear" w:color="auto" w:fill="auto"/>
            <w:vAlign w:val="bottom"/>
          </w:tcPr>
          <w:p w:rsidR="00000000" w:rsidRDefault="00000000">
            <w:pPr>
              <w:spacing w:before="20" w:after="20" w:line="220" w:lineRule="exact"/>
              <w:jc w:val="right"/>
              <w:rPr>
                <w:sz w:val="18"/>
                <w:szCs w:val="18"/>
              </w:rPr>
            </w:pPr>
            <w:r>
              <w:rPr>
                <w:sz w:val="18"/>
                <w:szCs w:val="18"/>
              </w:rPr>
              <w:t>15,6</w:t>
            </w:r>
          </w:p>
        </w:tc>
        <w:tc>
          <w:tcPr>
            <w:tcW w:w="866" w:type="dxa"/>
            <w:shd w:val="clear" w:color="auto" w:fill="auto"/>
            <w:vAlign w:val="bottom"/>
          </w:tcPr>
          <w:p w:rsidR="00000000" w:rsidRDefault="00000000">
            <w:pPr>
              <w:spacing w:before="20" w:after="20" w:line="220" w:lineRule="exact"/>
              <w:jc w:val="right"/>
              <w:rPr>
                <w:sz w:val="18"/>
                <w:szCs w:val="18"/>
              </w:rPr>
            </w:pPr>
            <w:r>
              <w:rPr>
                <w:sz w:val="18"/>
                <w:szCs w:val="18"/>
              </w:rPr>
              <w:t>42,5</w:t>
            </w:r>
          </w:p>
        </w:tc>
        <w:tc>
          <w:tcPr>
            <w:tcW w:w="103" w:type="dxa"/>
            <w:vAlign w:val="bottom"/>
          </w:tcPr>
          <w:p w:rsidR="00000000" w:rsidRDefault="00000000">
            <w:pPr>
              <w:spacing w:before="20" w:after="20" w:line="220" w:lineRule="exact"/>
              <w:jc w:val="right"/>
              <w:rPr>
                <w:sz w:val="18"/>
                <w:szCs w:val="18"/>
              </w:rPr>
            </w:pPr>
          </w:p>
        </w:tc>
        <w:tc>
          <w:tcPr>
            <w:tcW w:w="861" w:type="dxa"/>
            <w:shd w:val="clear" w:color="auto" w:fill="auto"/>
            <w:vAlign w:val="bottom"/>
          </w:tcPr>
          <w:p w:rsidR="00000000" w:rsidRDefault="00000000">
            <w:pPr>
              <w:spacing w:before="20" w:after="20" w:line="220" w:lineRule="exact"/>
              <w:jc w:val="right"/>
              <w:rPr>
                <w:sz w:val="18"/>
                <w:szCs w:val="18"/>
              </w:rPr>
            </w:pPr>
            <w:r>
              <w:rPr>
                <w:sz w:val="18"/>
                <w:szCs w:val="18"/>
              </w:rPr>
              <w:t>14,1</w:t>
            </w:r>
          </w:p>
        </w:tc>
        <w:tc>
          <w:tcPr>
            <w:tcW w:w="862" w:type="dxa"/>
            <w:shd w:val="clear" w:color="auto" w:fill="auto"/>
            <w:vAlign w:val="bottom"/>
          </w:tcPr>
          <w:p w:rsidR="00000000" w:rsidRDefault="00000000">
            <w:pPr>
              <w:spacing w:before="20" w:after="20" w:line="220" w:lineRule="exact"/>
              <w:jc w:val="right"/>
              <w:rPr>
                <w:sz w:val="18"/>
                <w:szCs w:val="18"/>
              </w:rPr>
            </w:pPr>
            <w:r>
              <w:rPr>
                <w:sz w:val="18"/>
                <w:szCs w:val="18"/>
              </w:rPr>
              <w:t>16,3</w:t>
            </w:r>
          </w:p>
        </w:tc>
        <w:tc>
          <w:tcPr>
            <w:tcW w:w="862" w:type="dxa"/>
            <w:shd w:val="clear" w:color="auto" w:fill="auto"/>
            <w:vAlign w:val="bottom"/>
          </w:tcPr>
          <w:p w:rsidR="00000000" w:rsidRDefault="00000000">
            <w:pPr>
              <w:spacing w:before="20" w:after="20" w:line="220" w:lineRule="exact"/>
              <w:jc w:val="right"/>
              <w:rPr>
                <w:sz w:val="18"/>
                <w:szCs w:val="18"/>
              </w:rPr>
            </w:pPr>
            <w:r>
              <w:rPr>
                <w:sz w:val="18"/>
                <w:szCs w:val="18"/>
              </w:rPr>
              <w:t>40,7</w:t>
            </w:r>
          </w:p>
        </w:tc>
      </w:tr>
      <w:tr w:rsidR="00000000">
        <w:tc>
          <w:tcPr>
            <w:tcW w:w="2087" w:type="dxa"/>
            <w:tcBorders>
              <w:bottom w:val="single" w:sz="12" w:space="0" w:color="auto"/>
            </w:tcBorders>
            <w:shd w:val="clear" w:color="auto" w:fill="auto"/>
          </w:tcPr>
          <w:p w:rsidR="00000000" w:rsidRDefault="00000000">
            <w:pPr>
              <w:spacing w:before="20" w:after="20" w:line="220" w:lineRule="exact"/>
              <w:rPr>
                <w:sz w:val="18"/>
                <w:szCs w:val="18"/>
              </w:rPr>
            </w:pPr>
            <w:r>
              <w:rPr>
                <w:sz w:val="18"/>
                <w:szCs w:val="18"/>
              </w:rPr>
              <w:t>Ensemble</w:t>
            </w:r>
          </w:p>
        </w:tc>
        <w:tc>
          <w:tcPr>
            <w:tcW w:w="865" w:type="dxa"/>
            <w:tcBorders>
              <w:bottom w:val="single" w:sz="12" w:space="0" w:color="auto"/>
            </w:tcBorders>
            <w:shd w:val="clear" w:color="auto" w:fill="auto"/>
            <w:vAlign w:val="bottom"/>
          </w:tcPr>
          <w:p w:rsidR="00000000" w:rsidRDefault="00000000">
            <w:pPr>
              <w:spacing w:before="20" w:after="20" w:line="220" w:lineRule="exact"/>
              <w:jc w:val="right"/>
              <w:rPr>
                <w:sz w:val="18"/>
                <w:szCs w:val="18"/>
              </w:rPr>
            </w:pPr>
            <w:r>
              <w:rPr>
                <w:sz w:val="18"/>
                <w:szCs w:val="18"/>
              </w:rPr>
              <w:t>12,8</w:t>
            </w:r>
          </w:p>
        </w:tc>
        <w:tc>
          <w:tcPr>
            <w:tcW w:w="865" w:type="dxa"/>
            <w:tcBorders>
              <w:bottom w:val="single" w:sz="12" w:space="0" w:color="auto"/>
            </w:tcBorders>
            <w:shd w:val="clear" w:color="auto" w:fill="auto"/>
            <w:vAlign w:val="bottom"/>
          </w:tcPr>
          <w:p w:rsidR="00000000" w:rsidRDefault="00000000">
            <w:pPr>
              <w:spacing w:before="20" w:after="20" w:line="220" w:lineRule="exact"/>
              <w:jc w:val="right"/>
              <w:rPr>
                <w:sz w:val="18"/>
                <w:szCs w:val="18"/>
              </w:rPr>
            </w:pPr>
            <w:r>
              <w:rPr>
                <w:sz w:val="18"/>
                <w:szCs w:val="18"/>
              </w:rPr>
              <w:t>21,0</w:t>
            </w:r>
          </w:p>
        </w:tc>
        <w:tc>
          <w:tcPr>
            <w:tcW w:w="866" w:type="dxa"/>
            <w:tcBorders>
              <w:bottom w:val="single" w:sz="12" w:space="0" w:color="auto"/>
            </w:tcBorders>
            <w:shd w:val="clear" w:color="auto" w:fill="auto"/>
            <w:vAlign w:val="bottom"/>
          </w:tcPr>
          <w:p w:rsidR="00000000" w:rsidRDefault="00000000">
            <w:pPr>
              <w:spacing w:before="20" w:after="20" w:line="220" w:lineRule="exact"/>
              <w:jc w:val="right"/>
              <w:rPr>
                <w:sz w:val="18"/>
                <w:szCs w:val="18"/>
              </w:rPr>
            </w:pPr>
            <w:r>
              <w:rPr>
                <w:sz w:val="18"/>
                <w:szCs w:val="18"/>
              </w:rPr>
              <w:t>46,9</w:t>
            </w:r>
          </w:p>
        </w:tc>
        <w:tc>
          <w:tcPr>
            <w:tcW w:w="103" w:type="dxa"/>
            <w:tcBorders>
              <w:bottom w:val="single" w:sz="12" w:space="0" w:color="auto"/>
            </w:tcBorders>
            <w:vAlign w:val="bottom"/>
          </w:tcPr>
          <w:p w:rsidR="00000000" w:rsidRDefault="00000000">
            <w:pPr>
              <w:spacing w:before="20" w:after="20" w:line="220" w:lineRule="exact"/>
              <w:jc w:val="right"/>
              <w:rPr>
                <w:sz w:val="18"/>
                <w:szCs w:val="18"/>
              </w:rPr>
            </w:pPr>
          </w:p>
        </w:tc>
        <w:tc>
          <w:tcPr>
            <w:tcW w:w="861" w:type="dxa"/>
            <w:tcBorders>
              <w:bottom w:val="single" w:sz="12" w:space="0" w:color="auto"/>
            </w:tcBorders>
            <w:shd w:val="clear" w:color="auto" w:fill="auto"/>
            <w:vAlign w:val="bottom"/>
          </w:tcPr>
          <w:p w:rsidR="00000000" w:rsidRDefault="00000000">
            <w:pPr>
              <w:spacing w:before="20" w:after="20" w:line="220" w:lineRule="exact"/>
              <w:jc w:val="right"/>
              <w:rPr>
                <w:sz w:val="18"/>
                <w:szCs w:val="18"/>
              </w:rPr>
            </w:pPr>
            <w:r>
              <w:rPr>
                <w:sz w:val="18"/>
                <w:szCs w:val="18"/>
              </w:rPr>
              <w:t>19,9</w:t>
            </w:r>
          </w:p>
        </w:tc>
        <w:tc>
          <w:tcPr>
            <w:tcW w:w="862" w:type="dxa"/>
            <w:tcBorders>
              <w:bottom w:val="single" w:sz="12" w:space="0" w:color="auto"/>
            </w:tcBorders>
            <w:shd w:val="clear" w:color="auto" w:fill="auto"/>
            <w:vAlign w:val="bottom"/>
          </w:tcPr>
          <w:p w:rsidR="00000000" w:rsidRDefault="00000000">
            <w:pPr>
              <w:spacing w:before="20" w:after="20" w:line="220" w:lineRule="exact"/>
              <w:jc w:val="right"/>
              <w:rPr>
                <w:sz w:val="18"/>
                <w:szCs w:val="18"/>
              </w:rPr>
            </w:pPr>
            <w:r>
              <w:rPr>
                <w:sz w:val="18"/>
                <w:szCs w:val="18"/>
              </w:rPr>
              <w:t>19,2</w:t>
            </w:r>
          </w:p>
        </w:tc>
        <w:tc>
          <w:tcPr>
            <w:tcW w:w="862" w:type="dxa"/>
            <w:tcBorders>
              <w:bottom w:val="single" w:sz="12" w:space="0" w:color="auto"/>
            </w:tcBorders>
            <w:shd w:val="clear" w:color="auto" w:fill="auto"/>
            <w:vAlign w:val="bottom"/>
          </w:tcPr>
          <w:p w:rsidR="00000000" w:rsidRDefault="00000000">
            <w:pPr>
              <w:spacing w:before="20" w:after="20" w:line="220" w:lineRule="exact"/>
              <w:jc w:val="right"/>
              <w:rPr>
                <w:sz w:val="18"/>
                <w:szCs w:val="18"/>
              </w:rPr>
            </w:pPr>
            <w:r>
              <w:rPr>
                <w:sz w:val="18"/>
                <w:szCs w:val="18"/>
              </w:rPr>
              <w:t>50,6</w:t>
            </w:r>
          </w:p>
        </w:tc>
      </w:tr>
    </w:tbl>
    <w:p w:rsidR="00000000" w:rsidRDefault="00000000">
      <w:pPr>
        <w:pStyle w:val="SingleTxtG"/>
        <w:ind w:firstLine="170"/>
        <w:rPr>
          <w:sz w:val="18"/>
          <w:szCs w:val="18"/>
          <w:lang w:val="fr-FR"/>
        </w:rPr>
      </w:pPr>
      <w:r>
        <w:rPr>
          <w:i/>
          <w:sz w:val="18"/>
          <w:szCs w:val="18"/>
          <w:lang w:val="fr-FR"/>
        </w:rPr>
        <w:t>Source</w:t>
      </w:r>
      <w:r>
        <w:rPr>
          <w:sz w:val="18"/>
          <w:szCs w:val="18"/>
          <w:lang w:val="fr-FR"/>
        </w:rPr>
        <w:t>: Enquête AUDIMAT 2004, Direction de l’Information, de la Régulation des Média/UNICEF.</w:t>
      </w:r>
    </w:p>
    <w:p w:rsidR="00000000" w:rsidRDefault="00000000">
      <w:pPr>
        <w:pStyle w:val="HChG"/>
        <w:rPr>
          <w:lang w:val="fr-FR"/>
        </w:rPr>
      </w:pPr>
      <w:bookmarkStart w:id="414" w:name="_Toc206414516"/>
      <w:bookmarkStart w:id="415" w:name="_Toc206460358"/>
      <w:bookmarkStart w:id="416" w:name="_Toc206460690"/>
      <w:bookmarkStart w:id="417" w:name="_Toc206461412"/>
      <w:bookmarkStart w:id="418" w:name="_Toc206476206"/>
      <w:bookmarkStart w:id="419" w:name="_Toc207788741"/>
      <w:bookmarkStart w:id="420" w:name="_Toc211835412"/>
      <w:bookmarkStart w:id="421" w:name="_Toc211926719"/>
      <w:r>
        <w:rPr>
          <w:lang w:val="fr-FR"/>
        </w:rPr>
        <w:tab/>
      </w:r>
      <w:bookmarkStart w:id="422" w:name="_Toc260298234"/>
      <w:r>
        <w:rPr>
          <w:lang w:val="fr-FR"/>
        </w:rPr>
        <w:t>V.</w:t>
      </w:r>
      <w:r>
        <w:rPr>
          <w:lang w:val="fr-FR"/>
        </w:rPr>
        <w:tab/>
        <w:t>Milieu familial et placement alternatif</w:t>
      </w:r>
      <w:bookmarkEnd w:id="414"/>
      <w:bookmarkEnd w:id="415"/>
      <w:bookmarkEnd w:id="416"/>
      <w:bookmarkEnd w:id="417"/>
      <w:bookmarkEnd w:id="418"/>
      <w:bookmarkEnd w:id="419"/>
      <w:bookmarkEnd w:id="420"/>
      <w:bookmarkEnd w:id="421"/>
      <w:bookmarkEnd w:id="422"/>
    </w:p>
    <w:p w:rsidR="00000000" w:rsidRDefault="00000000">
      <w:pPr>
        <w:pStyle w:val="H1G"/>
        <w:rPr>
          <w:lang w:val="fr-FR"/>
        </w:rPr>
      </w:pPr>
      <w:bookmarkStart w:id="423" w:name="_Toc206414517"/>
      <w:bookmarkStart w:id="424" w:name="_Toc206460359"/>
      <w:bookmarkStart w:id="425" w:name="_Toc206460691"/>
      <w:bookmarkStart w:id="426" w:name="_Toc206461413"/>
      <w:bookmarkStart w:id="427" w:name="_Toc206476207"/>
      <w:bookmarkStart w:id="428" w:name="_Toc207788742"/>
      <w:bookmarkStart w:id="429" w:name="_Toc211835413"/>
      <w:bookmarkStart w:id="430" w:name="_Toc211926720"/>
      <w:r>
        <w:rPr>
          <w:lang w:val="fr-FR"/>
        </w:rPr>
        <w:tab/>
      </w:r>
      <w:bookmarkStart w:id="431" w:name="_Toc260298235"/>
      <w:r>
        <w:rPr>
          <w:lang w:val="fr-FR"/>
        </w:rPr>
        <w:t>A.</w:t>
      </w:r>
      <w:r>
        <w:rPr>
          <w:lang w:val="fr-FR"/>
        </w:rPr>
        <w:tab/>
        <w:t>Orientation parentale</w:t>
      </w:r>
      <w:bookmarkEnd w:id="423"/>
      <w:bookmarkEnd w:id="424"/>
      <w:bookmarkEnd w:id="425"/>
      <w:bookmarkEnd w:id="426"/>
      <w:bookmarkEnd w:id="427"/>
      <w:bookmarkEnd w:id="428"/>
      <w:bookmarkEnd w:id="429"/>
      <w:bookmarkEnd w:id="430"/>
      <w:bookmarkEnd w:id="431"/>
    </w:p>
    <w:p w:rsidR="00000000" w:rsidRDefault="00000000">
      <w:pPr>
        <w:pStyle w:val="H23G"/>
        <w:rPr>
          <w:i/>
          <w:lang w:val="fr-FR"/>
        </w:rPr>
      </w:pPr>
      <w:bookmarkStart w:id="432" w:name="_Toc206414518"/>
      <w:bookmarkStart w:id="433" w:name="_Toc206460360"/>
      <w:bookmarkStart w:id="434" w:name="_Toc206460692"/>
      <w:bookmarkStart w:id="435" w:name="_Toc206461414"/>
      <w:bookmarkStart w:id="436" w:name="_Toc206476208"/>
      <w:bookmarkStart w:id="437" w:name="_Toc207788743"/>
      <w:bookmarkStart w:id="438" w:name="_Toc211835414"/>
      <w:bookmarkStart w:id="439" w:name="_Toc211926721"/>
      <w:r>
        <w:rPr>
          <w:lang w:val="fr-FR"/>
        </w:rPr>
        <w:tab/>
        <w:t>1.</w:t>
      </w:r>
      <w:r>
        <w:rPr>
          <w:lang w:val="fr-FR"/>
        </w:rPr>
        <w:tab/>
        <w:t>Structures</w:t>
      </w:r>
      <w:r>
        <w:rPr>
          <w:i/>
          <w:lang w:val="fr-FR"/>
        </w:rPr>
        <w:t xml:space="preserve"> </w:t>
      </w:r>
      <w:r>
        <w:rPr>
          <w:lang w:val="fr-FR"/>
        </w:rPr>
        <w:t>familiales</w:t>
      </w:r>
      <w:bookmarkEnd w:id="432"/>
      <w:bookmarkEnd w:id="433"/>
      <w:bookmarkEnd w:id="434"/>
      <w:bookmarkEnd w:id="435"/>
      <w:bookmarkEnd w:id="436"/>
      <w:bookmarkEnd w:id="437"/>
      <w:bookmarkEnd w:id="438"/>
      <w:bookmarkEnd w:id="439"/>
    </w:p>
    <w:p w:rsidR="00000000" w:rsidRDefault="00000000">
      <w:pPr>
        <w:pStyle w:val="SingleTxtG"/>
        <w:rPr>
          <w:lang w:val="fr-FR"/>
        </w:rPr>
      </w:pPr>
      <w:r>
        <w:rPr>
          <w:lang w:val="fr-FR"/>
        </w:rPr>
        <w:t>170.</w:t>
      </w:r>
      <w:r>
        <w:rPr>
          <w:lang w:val="fr-FR"/>
        </w:rPr>
        <w:tab/>
        <w:t>En moyenne, un ménage malgache comporte 4,9 personnes. La taille moyenne des ménages en milieu urbain varie de 3,7 (Analanjirofo) à 5,5 (Anosy), avec une moyenne nationale de 4,6</w:t>
      </w:r>
    </w:p>
    <w:p w:rsidR="00000000" w:rsidRDefault="00000000">
      <w:pPr>
        <w:pStyle w:val="SingleTxtG"/>
        <w:rPr>
          <w:lang w:val="fr-FR"/>
        </w:rPr>
      </w:pPr>
      <w:r>
        <w:rPr>
          <w:lang w:val="fr-FR"/>
        </w:rPr>
        <w:t>171.</w:t>
      </w:r>
      <w:r>
        <w:rPr>
          <w:lang w:val="fr-FR"/>
        </w:rPr>
        <w:tab/>
        <w:t>Celle des ménages en milieu rural varie de 3,9 (Diana) à 5,5 (Androy) avec une moyenne nationale de 4,9</w:t>
      </w:r>
    </w:p>
    <w:p w:rsidR="00000000" w:rsidRDefault="00000000">
      <w:pPr>
        <w:pStyle w:val="SingleTxtG"/>
        <w:rPr>
          <w:lang w:val="fr-FR"/>
        </w:rPr>
      </w:pPr>
      <w:r>
        <w:rPr>
          <w:lang w:val="fr-FR"/>
        </w:rPr>
        <w:t>172.</w:t>
      </w:r>
      <w:r>
        <w:rPr>
          <w:lang w:val="fr-FR"/>
        </w:rPr>
        <w:tab/>
        <w:t xml:space="preserve">Le mariage coutumier atteint un taux de 43,3 % contre 32,4 % de mariage légal. </w:t>
      </w:r>
    </w:p>
    <w:p w:rsidR="00000000" w:rsidRDefault="00000000">
      <w:pPr>
        <w:pStyle w:val="SingleTxtG"/>
        <w:rPr>
          <w:lang w:val="fr-FR"/>
        </w:rPr>
      </w:pPr>
      <w:r>
        <w:rPr>
          <w:lang w:val="fr-FR"/>
        </w:rPr>
        <w:t>173.</w:t>
      </w:r>
      <w:r>
        <w:rPr>
          <w:lang w:val="fr-FR"/>
        </w:rPr>
        <w:tab/>
        <w:t>Les femmes dirigent 18, 9 % des ménages. Ce taux atteint cinq ménages sur neuf en milieu urbain. Les femmes chefs de ménage sont en majorité veuves (43,4 %) ou séparées (38,6 %).</w:t>
      </w:r>
    </w:p>
    <w:p w:rsidR="00000000" w:rsidRDefault="00000000">
      <w:pPr>
        <w:pStyle w:val="SingleTxtG"/>
        <w:rPr>
          <w:lang w:val="fr-FR"/>
        </w:rPr>
      </w:pPr>
      <w:r>
        <w:rPr>
          <w:lang w:val="fr-FR"/>
        </w:rPr>
        <w:t>174.</w:t>
      </w:r>
      <w:r>
        <w:rPr>
          <w:lang w:val="fr-FR"/>
        </w:rPr>
        <w:tab/>
        <w:t>La société malgache est fondée sur le système patriarcal.</w:t>
      </w:r>
    </w:p>
    <w:p w:rsidR="00000000" w:rsidRDefault="00000000">
      <w:pPr>
        <w:pStyle w:val="SingleTxtG"/>
        <w:rPr>
          <w:lang w:val="fr-FR"/>
        </w:rPr>
      </w:pPr>
      <w:r>
        <w:rPr>
          <w:lang w:val="fr-FR"/>
        </w:rPr>
        <w:t>175.</w:t>
      </w:r>
      <w:r>
        <w:rPr>
          <w:lang w:val="fr-FR"/>
        </w:rPr>
        <w:tab/>
        <w:t>Certaines circonstances fragilisent la famille: famille éclatée, famille monoparentale, décès de l’un ou des deux conjoints.</w:t>
      </w:r>
    </w:p>
    <w:p w:rsidR="00000000" w:rsidRDefault="00000000">
      <w:pPr>
        <w:pStyle w:val="SingleTxtG"/>
        <w:rPr>
          <w:lang w:val="fr-FR"/>
        </w:rPr>
      </w:pPr>
      <w:r>
        <w:rPr>
          <w:lang w:val="fr-FR"/>
        </w:rPr>
        <w:t>176.</w:t>
      </w:r>
      <w:r>
        <w:rPr>
          <w:lang w:val="fr-FR"/>
        </w:rPr>
        <w:tab/>
        <w:t xml:space="preserve">La famille élargie, à travers le Conseil de famille, intervient dans les cas où les parents biologiques font face à des difficultés graves. Les autorités traditionnelles: </w:t>
      </w:r>
      <w:r>
        <w:rPr>
          <w:i/>
          <w:lang w:val="fr-FR"/>
        </w:rPr>
        <w:t>Tangalamena, Sojabe, Ampanjaka, Ray Aman-dreny</w:t>
      </w:r>
      <w:r>
        <w:rPr>
          <w:lang w:val="fr-FR"/>
        </w:rPr>
        <w:t xml:space="preserve">, jouent aussi un rôle important dans l’orientation parentale. Les chefs de fokontany, ainsi que les différents membres des collectivités locales viennent en aide aux familles en difficulté dans le cadre du </w:t>
      </w:r>
      <w:r>
        <w:rPr>
          <w:i/>
          <w:lang w:val="fr-FR"/>
        </w:rPr>
        <w:t>«fihavanana»</w:t>
      </w:r>
      <w:r>
        <w:rPr>
          <w:lang w:val="fr-FR"/>
        </w:rPr>
        <w:t>, expression de l’entraide sociale au niveau de la communauté.</w:t>
      </w:r>
    </w:p>
    <w:p w:rsidR="00000000" w:rsidRDefault="00000000">
      <w:pPr>
        <w:pStyle w:val="SingleTxtG"/>
        <w:rPr>
          <w:lang w:val="fr-FR"/>
        </w:rPr>
      </w:pPr>
      <w:r>
        <w:rPr>
          <w:lang w:val="fr-FR"/>
        </w:rPr>
        <w:t>177.</w:t>
      </w:r>
      <w:r>
        <w:rPr>
          <w:lang w:val="fr-FR"/>
        </w:rPr>
        <w:tab/>
        <w:t>Actuellement, la faiblesse de la prise de responsabilité parentale se traduit par des cas d’abandon de famille, ou d’abandon de foyer, et d’abandon d’enfant. Le service central de la police des mœurs et de la protection des mineurs a enregistré 03 cas d’abandon d’enfant en 2003, 11 cas en 2004, 06 cas en 2005, 11 cas en 2006 et 17 cas en 2007.</w:t>
      </w:r>
    </w:p>
    <w:p w:rsidR="00000000" w:rsidRDefault="00000000">
      <w:pPr>
        <w:pStyle w:val="SingleTxtG"/>
        <w:rPr>
          <w:lang w:val="fr-FR"/>
        </w:rPr>
      </w:pPr>
      <w:r>
        <w:rPr>
          <w:lang w:val="fr-FR"/>
        </w:rPr>
        <w:t>178.</w:t>
      </w:r>
      <w:r>
        <w:rPr>
          <w:lang w:val="fr-FR"/>
        </w:rPr>
        <w:tab/>
        <w:t>Dans tous les cas, la situation de vulnérabilité de la famille est liée à un niveau de vie très faible et à l’insuffisance du niveau d’instruction des parents.</w:t>
      </w:r>
    </w:p>
    <w:p w:rsidR="00000000" w:rsidRDefault="00000000">
      <w:pPr>
        <w:pStyle w:val="H23G"/>
        <w:rPr>
          <w:i/>
          <w:lang w:val="fr-FR"/>
        </w:rPr>
      </w:pPr>
      <w:bookmarkStart w:id="440" w:name="_Toc206414519"/>
      <w:bookmarkStart w:id="441" w:name="_Toc206460361"/>
      <w:bookmarkStart w:id="442" w:name="_Toc206460693"/>
      <w:bookmarkStart w:id="443" w:name="_Toc206461415"/>
      <w:bookmarkStart w:id="444" w:name="_Toc206476209"/>
      <w:bookmarkStart w:id="445" w:name="_Toc207788744"/>
      <w:bookmarkStart w:id="446" w:name="_Toc211835415"/>
      <w:bookmarkStart w:id="447" w:name="_Toc211926722"/>
      <w:r>
        <w:rPr>
          <w:lang w:val="fr-FR"/>
        </w:rPr>
        <w:tab/>
        <w:t>2.</w:t>
      </w:r>
      <w:r>
        <w:rPr>
          <w:lang w:val="fr-FR"/>
        </w:rPr>
        <w:tab/>
        <w:t>Mesures</w:t>
      </w:r>
      <w:r>
        <w:rPr>
          <w:i/>
          <w:lang w:val="fr-FR"/>
        </w:rPr>
        <w:t xml:space="preserve"> </w:t>
      </w:r>
      <w:r>
        <w:rPr>
          <w:lang w:val="fr-FR"/>
        </w:rPr>
        <w:t>législatives</w:t>
      </w:r>
      <w:bookmarkEnd w:id="440"/>
      <w:bookmarkEnd w:id="441"/>
      <w:bookmarkEnd w:id="442"/>
      <w:bookmarkEnd w:id="443"/>
      <w:bookmarkEnd w:id="444"/>
      <w:bookmarkEnd w:id="445"/>
      <w:bookmarkEnd w:id="446"/>
      <w:bookmarkEnd w:id="447"/>
    </w:p>
    <w:p w:rsidR="00000000" w:rsidRDefault="00000000">
      <w:pPr>
        <w:pStyle w:val="SingleTxtG"/>
        <w:rPr>
          <w:lang w:val="fr-FR"/>
        </w:rPr>
      </w:pPr>
      <w:r>
        <w:rPr>
          <w:lang w:val="fr-FR"/>
        </w:rPr>
        <w:t>179.</w:t>
      </w:r>
      <w:r>
        <w:rPr>
          <w:lang w:val="fr-FR"/>
        </w:rPr>
        <w:tab/>
        <w:t xml:space="preserve">La Constitution reconnaît la famille comme étant l’élément naturel et fondamental de la société et assure sa protection. </w:t>
      </w:r>
    </w:p>
    <w:p w:rsidR="00000000" w:rsidRDefault="00000000">
      <w:pPr>
        <w:pStyle w:val="SingleTxtG"/>
        <w:rPr>
          <w:lang w:val="fr-FR"/>
        </w:rPr>
      </w:pPr>
      <w:r>
        <w:rPr>
          <w:lang w:val="fr-FR"/>
        </w:rPr>
        <w:t>180.</w:t>
      </w:r>
      <w:r>
        <w:rPr>
          <w:lang w:val="fr-FR"/>
        </w:rPr>
        <w:tab/>
        <w:t>La nouvelle loi sur les droits et la protection de l’enfant stipule l’égalité des pères et mères dans leurs droits et obligations envers leurs enfants et l’exercice en commun de l’autorité parentale. Elle détermine aussi la responsabilité successive de la famille d’origine ou élargie, des pouvoirs publics et de l’État pour assurer la survie, le développement et la protection de l’enfant. Le Conseil de famille est une institution que le Président de la Juridiction peut convoquer dans le cadre de la prise de décision de tutelle de l’enfant.</w:t>
      </w:r>
    </w:p>
    <w:p w:rsidR="00000000" w:rsidRDefault="00000000">
      <w:pPr>
        <w:pStyle w:val="SingleTxtG"/>
        <w:rPr>
          <w:b/>
          <w:lang w:val="fr-FR"/>
        </w:rPr>
      </w:pPr>
      <w:r>
        <w:rPr>
          <w:lang w:val="fr-FR"/>
        </w:rPr>
        <w:t>181.</w:t>
      </w:r>
      <w:r>
        <w:rPr>
          <w:lang w:val="fr-FR"/>
        </w:rPr>
        <w:tab/>
        <w:t>La loi sur l’adoption souligne pour sa part le droit de l’enfant à grandir au sein de sa famille d’origine et la responsabilité de l’État d’appuyer les familles (art. 7).</w:t>
      </w:r>
      <w:bookmarkStart w:id="448" w:name="_Toc206414520"/>
      <w:bookmarkStart w:id="449" w:name="_Toc206460362"/>
      <w:bookmarkStart w:id="450" w:name="_Toc206460694"/>
      <w:bookmarkStart w:id="451" w:name="_Toc206461416"/>
      <w:bookmarkStart w:id="452" w:name="_Toc206476210"/>
      <w:bookmarkStart w:id="453" w:name="_Toc207788745"/>
    </w:p>
    <w:p w:rsidR="00000000" w:rsidRDefault="00000000">
      <w:pPr>
        <w:pStyle w:val="H23G"/>
        <w:rPr>
          <w:lang w:val="fr-FR"/>
        </w:rPr>
      </w:pPr>
      <w:bookmarkStart w:id="454" w:name="_Toc211835416"/>
      <w:bookmarkStart w:id="455" w:name="_Toc211926723"/>
      <w:r>
        <w:rPr>
          <w:lang w:val="fr-FR"/>
        </w:rPr>
        <w:tab/>
        <w:t>3.</w:t>
      </w:r>
      <w:r>
        <w:rPr>
          <w:lang w:val="fr-FR"/>
        </w:rPr>
        <w:tab/>
        <w:t>Mesures administratives</w:t>
      </w:r>
      <w:bookmarkEnd w:id="448"/>
      <w:bookmarkEnd w:id="449"/>
      <w:bookmarkEnd w:id="450"/>
      <w:bookmarkEnd w:id="451"/>
      <w:bookmarkEnd w:id="452"/>
      <w:bookmarkEnd w:id="453"/>
      <w:bookmarkEnd w:id="454"/>
      <w:bookmarkEnd w:id="455"/>
    </w:p>
    <w:p w:rsidR="00000000" w:rsidRDefault="00000000">
      <w:pPr>
        <w:pStyle w:val="SingleTxtG"/>
        <w:rPr>
          <w:lang w:val="fr-FR"/>
        </w:rPr>
      </w:pPr>
      <w:r>
        <w:rPr>
          <w:lang w:val="fr-FR"/>
        </w:rPr>
        <w:t>182.</w:t>
      </w:r>
      <w:r>
        <w:rPr>
          <w:lang w:val="fr-FR"/>
        </w:rPr>
        <w:tab/>
        <w:t>Une politique de la famille n’est pas encore en place. Toutefois, des programmes d’orientation parentale sont en cours, comme le Programme de l’Éducation à la vie familiale (EVF) et le Développement intégral du jeune enfant (DIJE).</w:t>
      </w:r>
    </w:p>
    <w:p w:rsidR="00000000" w:rsidRDefault="00000000">
      <w:pPr>
        <w:pStyle w:val="SingleTxtG"/>
        <w:rPr>
          <w:lang w:val="fr-FR"/>
        </w:rPr>
      </w:pPr>
      <w:r>
        <w:rPr>
          <w:lang w:val="fr-FR"/>
        </w:rPr>
        <w:t>183.</w:t>
      </w:r>
      <w:r>
        <w:rPr>
          <w:lang w:val="fr-FR"/>
        </w:rPr>
        <w:tab/>
        <w:t>Le Programme Éducation à la vie familiale, appuyé par le FNUAP, organise des séances de sensibilisation s’adressant à la population, et plus particulièrement aux femmes, dans les principales villes du pays. Des organisations, associations et groupements de femmes sont formées, en tant que partenaires du projet, pour mener des sensibilisations auprès de la population.</w:t>
      </w:r>
    </w:p>
    <w:p w:rsidR="00000000" w:rsidRDefault="00000000">
      <w:pPr>
        <w:pStyle w:val="SingleTxtG"/>
        <w:rPr>
          <w:lang w:val="fr-FR"/>
        </w:rPr>
      </w:pPr>
      <w:r>
        <w:rPr>
          <w:lang w:val="fr-FR"/>
        </w:rPr>
        <w:t>184.</w:t>
      </w:r>
      <w:r>
        <w:rPr>
          <w:lang w:val="fr-FR"/>
        </w:rPr>
        <w:tab/>
        <w:t>Le DIJE est un programme orienté vers l’information et le renforcement du rôle des parents, des familles et des communautés dans la prise en charge intégrée des enfants de moins de 6 ans.</w:t>
      </w:r>
    </w:p>
    <w:p w:rsidR="00000000" w:rsidRDefault="00000000">
      <w:pPr>
        <w:pStyle w:val="SingleTxtG"/>
        <w:rPr>
          <w:lang w:val="fr-FR"/>
        </w:rPr>
      </w:pPr>
      <w:r>
        <w:rPr>
          <w:lang w:val="fr-FR"/>
        </w:rPr>
        <w:t>185.</w:t>
      </w:r>
      <w:r>
        <w:rPr>
          <w:lang w:val="fr-FR"/>
        </w:rPr>
        <w:tab/>
        <w:t>Suite à l’expérience acquise dans les 14 sites pilotes du programme DIJE à partir de l’année 2004, ainsi qu’à la promulgation de la loi n° 2004-004 du 26 juillet 2004 portant orientation du système d’éducation, d’enseignement et de formation, des nouveaux textes d’application relatifs à l’encadrement de la petite enfance de 0 à 6 ans et à l’orientation familiale sont en cours de validation au niveau du Gouvernement.</w:t>
      </w:r>
    </w:p>
    <w:p w:rsidR="00000000" w:rsidRDefault="00000000">
      <w:pPr>
        <w:pStyle w:val="SingleTxtG"/>
        <w:rPr>
          <w:lang w:val="fr-FR"/>
        </w:rPr>
      </w:pPr>
      <w:r>
        <w:rPr>
          <w:lang w:val="fr-FR"/>
        </w:rPr>
        <w:t>186.</w:t>
      </w:r>
      <w:r>
        <w:rPr>
          <w:lang w:val="fr-FR"/>
        </w:rPr>
        <w:tab/>
        <w:t>Un autre programme d’orientation parentale est celui de l’Office de l’éducation de masse et du civisme (OEMC) et dénommé Programme d’éducation et d’orientation des parents, dont les activités sont présentées ci-dessous:</w:t>
      </w:r>
    </w:p>
    <w:p w:rsidR="00000000" w:rsidRDefault="00000000">
      <w:pPr>
        <w:pStyle w:val="SingleTxtG"/>
        <w:spacing w:after="0"/>
      </w:pPr>
      <w:bookmarkStart w:id="456" w:name="_Toc260298236"/>
      <w:r>
        <w:t>Tableau 11</w:t>
      </w:r>
    </w:p>
    <w:p w:rsidR="00000000" w:rsidRDefault="00000000">
      <w:pPr>
        <w:pStyle w:val="SingleTxtG"/>
        <w:rPr>
          <w:b/>
        </w:rPr>
      </w:pPr>
      <w:r>
        <w:rPr>
          <w:b/>
        </w:rPr>
        <w:t>Les activités de l’OEMC vis-à-vis des parents</w:t>
      </w:r>
      <w:bookmarkEnd w:id="456"/>
    </w:p>
    <w:tbl>
      <w:tblPr>
        <w:tblW w:w="7371" w:type="dxa"/>
        <w:tblInd w:w="1134" w:type="dxa"/>
        <w:tblCellMar>
          <w:left w:w="0" w:type="dxa"/>
          <w:right w:w="0" w:type="dxa"/>
        </w:tblCellMar>
        <w:tblLook w:val="01E0" w:firstRow="1" w:lastRow="1" w:firstColumn="1" w:lastColumn="1" w:noHBand="0" w:noVBand="0"/>
      </w:tblPr>
      <w:tblGrid>
        <w:gridCol w:w="2787"/>
        <w:gridCol w:w="1146"/>
        <w:gridCol w:w="1146"/>
        <w:gridCol w:w="1146"/>
        <w:gridCol w:w="1146"/>
      </w:tblGrid>
      <w:tr w:rsidR="00000000">
        <w:tc>
          <w:tcPr>
            <w:tcW w:w="3900" w:type="dxa"/>
            <w:tcBorders>
              <w:top w:val="single" w:sz="4" w:space="0" w:color="auto"/>
              <w:bottom w:val="single" w:sz="12" w:space="0" w:color="auto"/>
            </w:tcBorders>
            <w:shd w:val="clear" w:color="auto" w:fill="auto"/>
            <w:vAlign w:val="bottom"/>
          </w:tcPr>
          <w:p w:rsidR="00000000" w:rsidRDefault="00000000">
            <w:pPr>
              <w:spacing w:before="80" w:after="80" w:line="200" w:lineRule="exact"/>
              <w:rPr>
                <w:i/>
                <w:sz w:val="16"/>
                <w:szCs w:val="16"/>
              </w:rPr>
            </w:pPr>
            <w:r>
              <w:rPr>
                <w:i/>
                <w:sz w:val="16"/>
                <w:szCs w:val="16"/>
              </w:rPr>
              <w:t>Activités</w:t>
            </w:r>
          </w:p>
        </w:tc>
        <w:tc>
          <w:tcPr>
            <w:tcW w:w="1701"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i/>
                <w:sz w:val="16"/>
                <w:szCs w:val="16"/>
              </w:rPr>
            </w:pPr>
            <w:r>
              <w:rPr>
                <w:i/>
                <w:sz w:val="16"/>
                <w:szCs w:val="16"/>
              </w:rPr>
              <w:t>2004</w:t>
            </w:r>
          </w:p>
        </w:tc>
        <w:tc>
          <w:tcPr>
            <w:tcW w:w="1701"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i/>
                <w:sz w:val="16"/>
                <w:szCs w:val="16"/>
              </w:rPr>
            </w:pPr>
            <w:r>
              <w:rPr>
                <w:i/>
                <w:sz w:val="16"/>
                <w:szCs w:val="16"/>
              </w:rPr>
              <w:t>2005</w:t>
            </w:r>
          </w:p>
        </w:tc>
        <w:tc>
          <w:tcPr>
            <w:tcW w:w="1701"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i/>
                <w:sz w:val="16"/>
                <w:szCs w:val="16"/>
              </w:rPr>
            </w:pPr>
            <w:r>
              <w:rPr>
                <w:i/>
                <w:sz w:val="16"/>
                <w:szCs w:val="16"/>
              </w:rPr>
              <w:t>2006</w:t>
            </w:r>
          </w:p>
        </w:tc>
        <w:tc>
          <w:tcPr>
            <w:tcW w:w="1701"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i/>
                <w:sz w:val="16"/>
                <w:szCs w:val="16"/>
              </w:rPr>
            </w:pPr>
            <w:r>
              <w:rPr>
                <w:i/>
                <w:sz w:val="16"/>
                <w:szCs w:val="16"/>
              </w:rPr>
              <w:t>2007</w:t>
            </w:r>
          </w:p>
        </w:tc>
      </w:tr>
      <w:tr w:rsidR="00000000">
        <w:tc>
          <w:tcPr>
            <w:tcW w:w="3900" w:type="dxa"/>
            <w:tcBorders>
              <w:top w:val="single" w:sz="12" w:space="0" w:color="auto"/>
            </w:tcBorders>
            <w:shd w:val="clear" w:color="auto" w:fill="auto"/>
            <w:vAlign w:val="bottom"/>
          </w:tcPr>
          <w:p w:rsidR="00000000" w:rsidRDefault="00000000">
            <w:pPr>
              <w:spacing w:before="40" w:after="40" w:line="220" w:lineRule="exact"/>
              <w:rPr>
                <w:sz w:val="18"/>
                <w:szCs w:val="18"/>
              </w:rPr>
            </w:pPr>
            <w:r>
              <w:rPr>
                <w:sz w:val="18"/>
                <w:szCs w:val="18"/>
              </w:rPr>
              <w:t>Visites d’établissement suivis de séances de sensibilisation</w:t>
            </w:r>
          </w:p>
        </w:tc>
        <w:tc>
          <w:tcPr>
            <w:tcW w:w="1701" w:type="dxa"/>
            <w:tcBorders>
              <w:top w:val="single" w:sz="12" w:space="0" w:color="auto"/>
            </w:tcBorders>
            <w:shd w:val="clear" w:color="auto" w:fill="auto"/>
            <w:vAlign w:val="bottom"/>
          </w:tcPr>
          <w:p w:rsidR="00000000" w:rsidRDefault="00000000">
            <w:pPr>
              <w:spacing w:before="40" w:after="40" w:line="220" w:lineRule="exact"/>
              <w:jc w:val="right"/>
              <w:rPr>
                <w:sz w:val="18"/>
                <w:szCs w:val="18"/>
              </w:rPr>
            </w:pPr>
            <w:r>
              <w:rPr>
                <w:sz w:val="18"/>
                <w:szCs w:val="18"/>
              </w:rPr>
              <w:t>2 700</w:t>
            </w:r>
          </w:p>
        </w:tc>
        <w:tc>
          <w:tcPr>
            <w:tcW w:w="1701" w:type="dxa"/>
            <w:tcBorders>
              <w:top w:val="single" w:sz="12" w:space="0" w:color="auto"/>
            </w:tcBorders>
            <w:shd w:val="clear" w:color="auto" w:fill="auto"/>
            <w:vAlign w:val="bottom"/>
          </w:tcPr>
          <w:p w:rsidR="00000000" w:rsidRDefault="00000000">
            <w:pPr>
              <w:spacing w:before="40" w:after="40" w:line="220" w:lineRule="exact"/>
              <w:jc w:val="right"/>
              <w:rPr>
                <w:sz w:val="18"/>
                <w:szCs w:val="18"/>
              </w:rPr>
            </w:pPr>
            <w:r>
              <w:rPr>
                <w:sz w:val="18"/>
                <w:szCs w:val="18"/>
              </w:rPr>
              <w:t>3 072</w:t>
            </w:r>
          </w:p>
        </w:tc>
        <w:tc>
          <w:tcPr>
            <w:tcW w:w="1701" w:type="dxa"/>
            <w:tcBorders>
              <w:top w:val="single" w:sz="12" w:space="0" w:color="auto"/>
            </w:tcBorders>
            <w:shd w:val="clear" w:color="auto" w:fill="auto"/>
            <w:vAlign w:val="bottom"/>
          </w:tcPr>
          <w:p w:rsidR="00000000" w:rsidRDefault="00000000">
            <w:pPr>
              <w:spacing w:before="40" w:after="40" w:line="220" w:lineRule="exact"/>
              <w:jc w:val="right"/>
              <w:rPr>
                <w:sz w:val="18"/>
                <w:szCs w:val="18"/>
              </w:rPr>
            </w:pPr>
            <w:r>
              <w:rPr>
                <w:sz w:val="18"/>
                <w:szCs w:val="18"/>
              </w:rPr>
              <w:t>3 900</w:t>
            </w:r>
          </w:p>
        </w:tc>
        <w:tc>
          <w:tcPr>
            <w:tcW w:w="1701" w:type="dxa"/>
            <w:tcBorders>
              <w:top w:val="single" w:sz="12" w:space="0" w:color="auto"/>
            </w:tcBorders>
            <w:shd w:val="clear" w:color="auto" w:fill="auto"/>
            <w:vAlign w:val="bottom"/>
          </w:tcPr>
          <w:p w:rsidR="00000000" w:rsidRDefault="00000000">
            <w:pPr>
              <w:spacing w:before="40" w:after="40" w:line="220" w:lineRule="exact"/>
              <w:jc w:val="right"/>
              <w:rPr>
                <w:sz w:val="18"/>
                <w:szCs w:val="18"/>
              </w:rPr>
            </w:pPr>
            <w:r>
              <w:rPr>
                <w:sz w:val="18"/>
                <w:szCs w:val="18"/>
              </w:rPr>
              <w:t>1 911</w:t>
            </w:r>
          </w:p>
        </w:tc>
      </w:tr>
      <w:tr w:rsidR="00000000">
        <w:tc>
          <w:tcPr>
            <w:tcW w:w="3900" w:type="dxa"/>
            <w:shd w:val="clear" w:color="auto" w:fill="auto"/>
            <w:vAlign w:val="bottom"/>
          </w:tcPr>
          <w:p w:rsidR="00000000" w:rsidRDefault="00000000">
            <w:pPr>
              <w:spacing w:before="40" w:after="40" w:line="220" w:lineRule="exact"/>
              <w:rPr>
                <w:sz w:val="18"/>
                <w:szCs w:val="18"/>
              </w:rPr>
            </w:pPr>
            <w:r>
              <w:rPr>
                <w:sz w:val="18"/>
                <w:szCs w:val="18"/>
              </w:rPr>
              <w:t>Émissions à la Radio nationale (RNM) sur les droits de l’enfant</w:t>
            </w:r>
          </w:p>
        </w:tc>
        <w:tc>
          <w:tcPr>
            <w:tcW w:w="1701" w:type="dxa"/>
            <w:shd w:val="clear" w:color="auto" w:fill="auto"/>
            <w:vAlign w:val="bottom"/>
          </w:tcPr>
          <w:p w:rsidR="00000000" w:rsidRDefault="00000000">
            <w:pPr>
              <w:spacing w:before="40" w:after="40" w:line="220" w:lineRule="exact"/>
              <w:jc w:val="right"/>
              <w:rPr>
                <w:sz w:val="18"/>
                <w:szCs w:val="18"/>
              </w:rPr>
            </w:pPr>
            <w:r>
              <w:rPr>
                <w:sz w:val="18"/>
                <w:szCs w:val="18"/>
              </w:rPr>
              <w:t>36</w:t>
            </w:r>
          </w:p>
        </w:tc>
        <w:tc>
          <w:tcPr>
            <w:tcW w:w="1701" w:type="dxa"/>
            <w:shd w:val="clear" w:color="auto" w:fill="auto"/>
            <w:vAlign w:val="bottom"/>
          </w:tcPr>
          <w:p w:rsidR="00000000" w:rsidRDefault="00000000">
            <w:pPr>
              <w:spacing w:before="40" w:after="40" w:line="220" w:lineRule="exact"/>
              <w:jc w:val="right"/>
              <w:rPr>
                <w:sz w:val="18"/>
                <w:szCs w:val="18"/>
              </w:rPr>
            </w:pPr>
            <w:r>
              <w:rPr>
                <w:sz w:val="18"/>
                <w:szCs w:val="18"/>
              </w:rPr>
              <w:t>45</w:t>
            </w:r>
          </w:p>
        </w:tc>
        <w:tc>
          <w:tcPr>
            <w:tcW w:w="1701" w:type="dxa"/>
            <w:shd w:val="clear" w:color="auto" w:fill="auto"/>
            <w:vAlign w:val="bottom"/>
          </w:tcPr>
          <w:p w:rsidR="00000000" w:rsidRDefault="00000000">
            <w:pPr>
              <w:spacing w:before="40" w:after="40" w:line="220" w:lineRule="exact"/>
              <w:jc w:val="right"/>
              <w:rPr>
                <w:sz w:val="18"/>
                <w:szCs w:val="18"/>
              </w:rPr>
            </w:pPr>
            <w:r>
              <w:rPr>
                <w:sz w:val="18"/>
                <w:szCs w:val="18"/>
              </w:rPr>
              <w:t>51</w:t>
            </w:r>
          </w:p>
        </w:tc>
        <w:tc>
          <w:tcPr>
            <w:tcW w:w="1701" w:type="dxa"/>
            <w:shd w:val="clear" w:color="auto" w:fill="auto"/>
            <w:vAlign w:val="bottom"/>
          </w:tcPr>
          <w:p w:rsidR="00000000" w:rsidRDefault="00000000">
            <w:pPr>
              <w:spacing w:before="40" w:after="40" w:line="220" w:lineRule="exact"/>
              <w:jc w:val="right"/>
              <w:rPr>
                <w:sz w:val="18"/>
                <w:szCs w:val="18"/>
              </w:rPr>
            </w:pPr>
            <w:r>
              <w:rPr>
                <w:sz w:val="18"/>
                <w:szCs w:val="18"/>
              </w:rPr>
              <w:t>65</w:t>
            </w:r>
          </w:p>
        </w:tc>
      </w:tr>
      <w:tr w:rsidR="00000000">
        <w:tc>
          <w:tcPr>
            <w:tcW w:w="3900" w:type="dxa"/>
            <w:tcBorders>
              <w:bottom w:val="single" w:sz="12" w:space="0" w:color="auto"/>
            </w:tcBorders>
            <w:shd w:val="clear" w:color="auto" w:fill="auto"/>
            <w:vAlign w:val="bottom"/>
          </w:tcPr>
          <w:p w:rsidR="00000000" w:rsidRDefault="00000000">
            <w:pPr>
              <w:spacing w:before="40" w:after="40" w:line="220" w:lineRule="exact"/>
              <w:rPr>
                <w:sz w:val="18"/>
                <w:szCs w:val="18"/>
              </w:rPr>
            </w:pPr>
            <w:r>
              <w:rPr>
                <w:sz w:val="18"/>
                <w:szCs w:val="18"/>
              </w:rPr>
              <w:t>Émissions Radio au niveau local (BEMC) sur les droits de l’enfant</w:t>
            </w:r>
          </w:p>
        </w:tc>
        <w:tc>
          <w:tcPr>
            <w:tcW w:w="1701" w:type="dxa"/>
            <w:tcBorders>
              <w:bottom w:val="single" w:sz="12" w:space="0" w:color="auto"/>
            </w:tcBorders>
            <w:shd w:val="clear" w:color="auto" w:fill="auto"/>
            <w:vAlign w:val="bottom"/>
          </w:tcPr>
          <w:p w:rsidR="00000000" w:rsidRDefault="00000000">
            <w:pPr>
              <w:spacing w:before="40" w:after="40" w:line="220" w:lineRule="exact"/>
              <w:jc w:val="right"/>
              <w:rPr>
                <w:sz w:val="18"/>
                <w:szCs w:val="18"/>
              </w:rPr>
            </w:pPr>
            <w:r>
              <w:rPr>
                <w:sz w:val="18"/>
                <w:szCs w:val="18"/>
              </w:rPr>
              <w:t>22</w:t>
            </w:r>
          </w:p>
        </w:tc>
        <w:tc>
          <w:tcPr>
            <w:tcW w:w="1701" w:type="dxa"/>
            <w:tcBorders>
              <w:bottom w:val="single" w:sz="12" w:space="0" w:color="auto"/>
            </w:tcBorders>
            <w:shd w:val="clear" w:color="auto" w:fill="auto"/>
            <w:vAlign w:val="bottom"/>
          </w:tcPr>
          <w:p w:rsidR="00000000" w:rsidRDefault="00000000">
            <w:pPr>
              <w:spacing w:before="40" w:after="40" w:line="220" w:lineRule="exact"/>
              <w:jc w:val="right"/>
              <w:rPr>
                <w:sz w:val="18"/>
                <w:szCs w:val="18"/>
              </w:rPr>
            </w:pPr>
            <w:r>
              <w:rPr>
                <w:sz w:val="18"/>
                <w:szCs w:val="18"/>
              </w:rPr>
              <w:t>29</w:t>
            </w:r>
          </w:p>
        </w:tc>
        <w:tc>
          <w:tcPr>
            <w:tcW w:w="1701" w:type="dxa"/>
            <w:tcBorders>
              <w:bottom w:val="single" w:sz="12" w:space="0" w:color="auto"/>
            </w:tcBorders>
            <w:shd w:val="clear" w:color="auto" w:fill="auto"/>
            <w:vAlign w:val="bottom"/>
          </w:tcPr>
          <w:p w:rsidR="00000000" w:rsidRDefault="00000000">
            <w:pPr>
              <w:spacing w:before="40" w:after="40" w:line="220" w:lineRule="exact"/>
              <w:jc w:val="right"/>
              <w:rPr>
                <w:sz w:val="18"/>
                <w:szCs w:val="18"/>
              </w:rPr>
            </w:pPr>
            <w:r>
              <w:rPr>
                <w:sz w:val="18"/>
                <w:szCs w:val="18"/>
              </w:rPr>
              <w:t>30</w:t>
            </w:r>
          </w:p>
        </w:tc>
        <w:tc>
          <w:tcPr>
            <w:tcW w:w="1701" w:type="dxa"/>
            <w:tcBorders>
              <w:bottom w:val="single" w:sz="12" w:space="0" w:color="auto"/>
            </w:tcBorders>
            <w:shd w:val="clear" w:color="auto" w:fill="auto"/>
            <w:vAlign w:val="bottom"/>
          </w:tcPr>
          <w:p w:rsidR="00000000" w:rsidRDefault="00000000">
            <w:pPr>
              <w:spacing w:before="40" w:after="40" w:line="220" w:lineRule="exact"/>
              <w:jc w:val="right"/>
              <w:rPr>
                <w:sz w:val="18"/>
                <w:szCs w:val="18"/>
              </w:rPr>
            </w:pPr>
            <w:r>
              <w:rPr>
                <w:sz w:val="18"/>
                <w:szCs w:val="18"/>
              </w:rPr>
              <w:t>23</w:t>
            </w:r>
          </w:p>
        </w:tc>
      </w:tr>
    </w:tbl>
    <w:p w:rsidR="00000000" w:rsidRDefault="00000000">
      <w:pPr>
        <w:spacing w:before="120" w:after="240"/>
        <w:ind w:left="1134" w:firstLine="170"/>
        <w:rPr>
          <w:i/>
          <w:iCs/>
          <w:sz w:val="18"/>
          <w:szCs w:val="18"/>
          <w:lang w:val="fr-FR"/>
        </w:rPr>
      </w:pPr>
      <w:r>
        <w:rPr>
          <w:i/>
          <w:iCs/>
          <w:sz w:val="18"/>
          <w:szCs w:val="18"/>
          <w:lang w:val="fr-FR"/>
        </w:rPr>
        <w:t xml:space="preserve">Source: </w:t>
      </w:r>
      <w:r>
        <w:rPr>
          <w:iCs/>
          <w:sz w:val="18"/>
          <w:szCs w:val="18"/>
          <w:lang w:val="fr-FR"/>
        </w:rPr>
        <w:t>MENRS/OEMC.</w:t>
      </w:r>
    </w:p>
    <w:p w:rsidR="00000000" w:rsidRDefault="00000000">
      <w:pPr>
        <w:pStyle w:val="SingleTxtG"/>
        <w:rPr>
          <w:lang w:val="fr-FR"/>
        </w:rPr>
      </w:pPr>
      <w:r>
        <w:rPr>
          <w:lang w:val="fr-FR"/>
        </w:rPr>
        <w:t>187.</w:t>
      </w:r>
      <w:r>
        <w:rPr>
          <w:lang w:val="fr-FR"/>
        </w:rPr>
        <w:tab/>
        <w:t>Des ONG œuvrent aussi dans ce domaine. À titre d’exemple, l’ONG TEZA «Organisation malagasy de l’éducation des parents pour le développement et le bien</w:t>
      </w:r>
      <w:r>
        <w:rPr>
          <w:lang w:val="fr-FR"/>
        </w:rPr>
        <w:noBreakHyphen/>
        <w:t>être à la vie familiale» travaille dans l’éducation non formelle, des droits de la famille et du planning familial au niveau national.</w:t>
      </w:r>
    </w:p>
    <w:p w:rsidR="00000000" w:rsidRDefault="00000000">
      <w:pPr>
        <w:pStyle w:val="H1G"/>
        <w:rPr>
          <w:lang w:val="fr-FR"/>
        </w:rPr>
      </w:pPr>
      <w:bookmarkStart w:id="457" w:name="_Toc206414521"/>
      <w:bookmarkStart w:id="458" w:name="_Toc206460363"/>
      <w:bookmarkStart w:id="459" w:name="_Toc206460695"/>
      <w:bookmarkStart w:id="460" w:name="_Toc206461417"/>
      <w:bookmarkStart w:id="461" w:name="_Toc206476211"/>
      <w:bookmarkStart w:id="462" w:name="_Toc207788746"/>
      <w:bookmarkStart w:id="463" w:name="_Toc211835417"/>
      <w:bookmarkStart w:id="464" w:name="_Toc211926724"/>
      <w:r>
        <w:rPr>
          <w:lang w:val="fr-FR"/>
        </w:rPr>
        <w:tab/>
      </w:r>
      <w:bookmarkStart w:id="465" w:name="_Toc260298237"/>
      <w:r>
        <w:rPr>
          <w:lang w:val="fr-FR"/>
        </w:rPr>
        <w:t>B.</w:t>
      </w:r>
      <w:r>
        <w:rPr>
          <w:lang w:val="fr-FR"/>
        </w:rPr>
        <w:tab/>
        <w:t>Responsabilité parentale</w:t>
      </w:r>
      <w:bookmarkEnd w:id="457"/>
      <w:bookmarkEnd w:id="458"/>
      <w:bookmarkEnd w:id="459"/>
      <w:bookmarkEnd w:id="460"/>
      <w:bookmarkEnd w:id="461"/>
      <w:bookmarkEnd w:id="462"/>
      <w:bookmarkEnd w:id="463"/>
      <w:bookmarkEnd w:id="464"/>
      <w:bookmarkEnd w:id="465"/>
    </w:p>
    <w:p w:rsidR="00000000" w:rsidRDefault="00000000">
      <w:pPr>
        <w:pStyle w:val="H23G"/>
        <w:rPr>
          <w:lang w:val="fr-FR"/>
        </w:rPr>
      </w:pPr>
      <w:r>
        <w:rPr>
          <w:lang w:val="fr-FR"/>
        </w:rPr>
        <w:tab/>
      </w:r>
      <w:r>
        <w:rPr>
          <w:lang w:val="fr-FR"/>
        </w:rPr>
        <w:tab/>
        <w:t>Cadre juridique</w:t>
      </w:r>
    </w:p>
    <w:p w:rsidR="00000000" w:rsidRDefault="00000000">
      <w:pPr>
        <w:pStyle w:val="SingleTxtG"/>
        <w:rPr>
          <w:lang w:val="fr-FR"/>
        </w:rPr>
      </w:pPr>
      <w:r>
        <w:rPr>
          <w:lang w:val="fr-FR"/>
        </w:rPr>
        <w:t>188.</w:t>
      </w:r>
      <w:r>
        <w:rPr>
          <w:lang w:val="fr-FR"/>
        </w:rPr>
        <w:tab/>
        <w:t xml:space="preserve">La loi </w:t>
      </w:r>
      <w:r>
        <w:rPr>
          <w:rFonts w:eastAsia="MS Mincho"/>
          <w:lang w:val="fr-FR"/>
        </w:rPr>
        <w:t>n</w:t>
      </w:r>
      <w:r>
        <w:rPr>
          <w:rFonts w:eastAsia="MS Mincho"/>
          <w:vertAlign w:val="superscript"/>
          <w:lang w:val="fr-FR"/>
        </w:rPr>
        <w:t>o</w:t>
      </w:r>
      <w:r>
        <w:rPr>
          <w:lang w:val="fr-FR"/>
        </w:rPr>
        <w:t xml:space="preserve"> 2007-023 sur les droits et la protection des enfants stipule que la responsabilité du développement harmonieux de l’enfant incombe en premier lieu aux parents. Elle dispose aussi que l’autorité parentale appartient aux pères et mères (art. 13). Cette disposition est reprise par la nouvelle loi relative au mariage en son article 54. Les cas de possibilité de modification de l’autorité parentale sont énumérés à l’article 22.</w:t>
      </w:r>
    </w:p>
    <w:p w:rsidR="00000000" w:rsidRDefault="00000000">
      <w:pPr>
        <w:pStyle w:val="SingleTxtG"/>
        <w:rPr>
          <w:lang w:val="fr-FR"/>
        </w:rPr>
      </w:pPr>
      <w:r>
        <w:rPr>
          <w:lang w:val="fr-FR"/>
        </w:rPr>
        <w:t>189.</w:t>
      </w:r>
      <w:r>
        <w:rPr>
          <w:lang w:val="fr-FR"/>
        </w:rPr>
        <w:tab/>
        <w:t xml:space="preserve">Les principes de l’intérêt supérieur de l’enfant, du respect des opinions de l’enfant, et du principe de non-discrimination sont expressément exprimés dans la loi </w:t>
      </w:r>
      <w:r>
        <w:rPr>
          <w:rFonts w:eastAsia="MS Mincho"/>
          <w:lang w:val="fr-FR"/>
        </w:rPr>
        <w:t>n</w:t>
      </w:r>
      <w:r>
        <w:rPr>
          <w:rFonts w:eastAsia="MS Mincho"/>
          <w:vertAlign w:val="superscript"/>
          <w:lang w:val="fr-FR"/>
        </w:rPr>
        <w:t>o</w:t>
      </w:r>
      <w:r>
        <w:rPr>
          <w:lang w:val="fr-FR"/>
        </w:rPr>
        <w:t xml:space="preserve"> 2007-023.</w:t>
      </w:r>
    </w:p>
    <w:p w:rsidR="00000000" w:rsidRDefault="00000000">
      <w:pPr>
        <w:pStyle w:val="SingleTxtG"/>
        <w:rPr>
          <w:i/>
          <w:iCs/>
          <w:lang w:val="fr-FR"/>
        </w:rPr>
      </w:pPr>
      <w:r>
        <w:rPr>
          <w:lang w:val="fr-FR"/>
        </w:rPr>
        <w:t>190.</w:t>
      </w:r>
      <w:r>
        <w:rPr>
          <w:lang w:val="fr-FR"/>
        </w:rPr>
        <w:tab/>
        <w:t xml:space="preserve">Aux termes de l’article 48 de la loi </w:t>
      </w:r>
      <w:r>
        <w:rPr>
          <w:rFonts w:eastAsia="MS Mincho"/>
          <w:lang w:val="fr-FR"/>
        </w:rPr>
        <w:t>n</w:t>
      </w:r>
      <w:r>
        <w:rPr>
          <w:rFonts w:eastAsia="MS Mincho"/>
          <w:vertAlign w:val="superscript"/>
          <w:lang w:val="fr-FR"/>
        </w:rPr>
        <w:t>o</w:t>
      </w:r>
      <w:r>
        <w:rPr>
          <w:lang w:val="fr-FR"/>
        </w:rPr>
        <w:t xml:space="preserve"> 2007</w:t>
      </w:r>
      <w:r>
        <w:rPr>
          <w:lang w:val="fr-FR"/>
        </w:rPr>
        <w:noBreakHyphen/>
        <w:t>023 «lorsque la sécurité, l’intégrité physique ou morale, la santé ou l’éducation d’un enfant sont compromises, le juge des enfants intervient avec l’aide de travailleurs sociaux, soit pour aider et assister la famille dans son rôle d’éducateur naturel de l’enfant, soit pour prendre des mesures d’assistance éducative appropriées et d’assurer leur suivi.».</w:t>
      </w:r>
    </w:p>
    <w:p w:rsidR="00000000" w:rsidRDefault="00000000">
      <w:pPr>
        <w:pStyle w:val="SingleTxtG"/>
        <w:rPr>
          <w:lang w:val="fr-FR"/>
        </w:rPr>
      </w:pPr>
      <w:r>
        <w:rPr>
          <w:lang w:val="fr-FR"/>
        </w:rPr>
        <w:t>191.</w:t>
      </w:r>
      <w:r>
        <w:rPr>
          <w:lang w:val="fr-FR"/>
        </w:rPr>
        <w:tab/>
        <w:t>Selon l’article 49 de la dite loi, le juge des enfants est compétent pour décider des mesures d’assistance éducative adaptées à la situation de l’enfant.</w:t>
      </w:r>
    </w:p>
    <w:p w:rsidR="00000000" w:rsidRDefault="00000000">
      <w:pPr>
        <w:pStyle w:val="SingleTxtG"/>
        <w:rPr>
          <w:lang w:val="fr-FR"/>
        </w:rPr>
      </w:pPr>
      <w:r>
        <w:rPr>
          <w:lang w:val="fr-FR"/>
        </w:rPr>
        <w:t>192.</w:t>
      </w:r>
      <w:r>
        <w:rPr>
          <w:lang w:val="fr-FR"/>
        </w:rPr>
        <w:tab/>
        <w:t xml:space="preserve">L’article 50 détermine les différentes mesures d’assistance éducative: </w:t>
      </w:r>
    </w:p>
    <w:p w:rsidR="00000000" w:rsidRDefault="00000000">
      <w:pPr>
        <w:pStyle w:val="Bullet1G"/>
        <w:rPr>
          <w:lang w:val="fr-FR"/>
        </w:rPr>
      </w:pPr>
      <w:r>
        <w:rPr>
          <w:lang w:val="fr-FR"/>
        </w:rPr>
        <w:t>Remise aux parents ou à toute personne ayant autorité sur l’enfant moyennant certains engagements concernant son éducation;</w:t>
      </w:r>
    </w:p>
    <w:p w:rsidR="00000000" w:rsidRDefault="00000000">
      <w:pPr>
        <w:pStyle w:val="Bullet1G"/>
        <w:rPr>
          <w:lang w:val="fr-FR"/>
        </w:rPr>
      </w:pPr>
      <w:r>
        <w:rPr>
          <w:lang w:val="fr-FR"/>
        </w:rPr>
        <w:t xml:space="preserve">Orientation, appui et accompagnement temporaire, fréquentation obligatoire de l’enfant, inscrit dans des établissements officiels d’enseignement; </w:t>
      </w:r>
    </w:p>
    <w:p w:rsidR="00000000" w:rsidRDefault="00000000">
      <w:pPr>
        <w:pStyle w:val="Bullet1G"/>
        <w:rPr>
          <w:lang w:val="fr-FR"/>
        </w:rPr>
      </w:pPr>
      <w:r>
        <w:rPr>
          <w:lang w:val="fr-FR"/>
        </w:rPr>
        <w:t>Placement dans une autre famille, institution agréée ou une personne digne de confiance.</w:t>
      </w:r>
    </w:p>
    <w:p w:rsidR="00000000" w:rsidRDefault="00000000">
      <w:pPr>
        <w:pStyle w:val="SingleTxtG"/>
        <w:rPr>
          <w:lang w:val="fr-FR"/>
        </w:rPr>
      </w:pPr>
      <w:r>
        <w:rPr>
          <w:lang w:val="fr-FR"/>
        </w:rPr>
        <w:t>193.</w:t>
      </w:r>
      <w:r>
        <w:rPr>
          <w:lang w:val="fr-FR"/>
        </w:rPr>
        <w:tab/>
        <w:t>Ces mesures peuvent être prises à la requête des père et mère conjointement ou de l’un d’eux, de la personne ou du service à qui l’enfant a été confié, ou du tuteur, de l’enfant lui-même ou du magistrat du ministère public. Le juge des enfants peut aussi se saisir d’office.</w:t>
      </w:r>
    </w:p>
    <w:p w:rsidR="00000000" w:rsidRDefault="00000000">
      <w:pPr>
        <w:pStyle w:val="SingleTxtG"/>
        <w:rPr>
          <w:lang w:val="fr-FR"/>
        </w:rPr>
      </w:pPr>
      <w:r>
        <w:rPr>
          <w:lang w:val="fr-FR"/>
        </w:rPr>
        <w:t>194.</w:t>
      </w:r>
      <w:r>
        <w:rPr>
          <w:lang w:val="fr-FR"/>
        </w:rPr>
        <w:tab/>
        <w:t>Le placement de l’enfant dans une autre famille ou institution peut être décidé par le juge pour une durée de trois mois renouvelable et en aucun cas la durée de la mesure prise ne peut excéder deux ans.</w:t>
      </w:r>
    </w:p>
    <w:p w:rsidR="00000000" w:rsidRDefault="00000000">
      <w:pPr>
        <w:pStyle w:val="SingleTxtG"/>
        <w:rPr>
          <w:lang w:val="fr-FR"/>
        </w:rPr>
      </w:pPr>
      <w:r>
        <w:rPr>
          <w:lang w:val="fr-FR"/>
        </w:rPr>
        <w:t>195.</w:t>
      </w:r>
      <w:r>
        <w:rPr>
          <w:lang w:val="fr-FR"/>
        </w:rPr>
        <w:tab/>
        <w:t>Selon l’article 57, dans les cas où il est nécessaire de retirer l’enfant de son milieu familial le Juge des enfants peut décider de le confier au père ou à la mère qui n’avait pas l’exercice de l’autorité parentale, ou encore à un autre membre de la famille ou à la famille élargie, à un tiers digne de confiance ou à un service ou établissement socio-sanitaire.</w:t>
      </w:r>
    </w:p>
    <w:p w:rsidR="00000000" w:rsidRDefault="00000000">
      <w:pPr>
        <w:pStyle w:val="H1G"/>
        <w:rPr>
          <w:lang w:val="fr-FR"/>
        </w:rPr>
      </w:pPr>
      <w:bookmarkStart w:id="466" w:name="_Toc206414522"/>
      <w:bookmarkStart w:id="467" w:name="_Toc206460364"/>
      <w:bookmarkStart w:id="468" w:name="_Toc206460696"/>
      <w:bookmarkStart w:id="469" w:name="_Toc206461418"/>
      <w:bookmarkStart w:id="470" w:name="_Toc206476212"/>
      <w:bookmarkStart w:id="471" w:name="_Toc207788747"/>
      <w:bookmarkStart w:id="472" w:name="_Toc211835418"/>
      <w:bookmarkStart w:id="473" w:name="_Toc211926725"/>
      <w:r>
        <w:rPr>
          <w:lang w:val="fr-FR"/>
        </w:rPr>
        <w:tab/>
      </w:r>
      <w:bookmarkStart w:id="474" w:name="_Toc260298238"/>
      <w:r>
        <w:rPr>
          <w:lang w:val="fr-FR"/>
        </w:rPr>
        <w:t>C.</w:t>
      </w:r>
      <w:r>
        <w:rPr>
          <w:lang w:val="fr-FR"/>
        </w:rPr>
        <w:tab/>
        <w:t>Séparation d’avec les parents</w:t>
      </w:r>
      <w:bookmarkEnd w:id="466"/>
      <w:bookmarkEnd w:id="467"/>
      <w:bookmarkEnd w:id="468"/>
      <w:bookmarkEnd w:id="469"/>
      <w:bookmarkEnd w:id="470"/>
      <w:bookmarkEnd w:id="471"/>
      <w:bookmarkEnd w:id="472"/>
      <w:bookmarkEnd w:id="473"/>
      <w:bookmarkEnd w:id="474"/>
    </w:p>
    <w:p w:rsidR="00000000" w:rsidRDefault="00000000">
      <w:pPr>
        <w:pStyle w:val="H23G"/>
        <w:rPr>
          <w:lang w:val="fr-FR"/>
        </w:rPr>
      </w:pPr>
      <w:r>
        <w:rPr>
          <w:lang w:val="fr-FR"/>
        </w:rPr>
        <w:tab/>
      </w:r>
      <w:r>
        <w:rPr>
          <w:lang w:val="fr-FR"/>
        </w:rPr>
        <w:tab/>
        <w:t>Cadre juridique</w:t>
      </w:r>
    </w:p>
    <w:p w:rsidR="00000000" w:rsidRDefault="00000000">
      <w:pPr>
        <w:pStyle w:val="SingleTxtG"/>
        <w:rPr>
          <w:lang w:val="fr-FR"/>
        </w:rPr>
      </w:pPr>
      <w:r>
        <w:rPr>
          <w:lang w:val="fr-FR"/>
        </w:rPr>
        <w:t>196.</w:t>
      </w:r>
      <w:r>
        <w:rPr>
          <w:lang w:val="fr-FR"/>
        </w:rPr>
        <w:tab/>
        <w:t>La nouvelle loi sur les droits et la protection des enfants renforce le droit de l’enfant à la vie familiale et apporte plus de sécurité pour les enfants séparés de leurs parents. Un enfant ne peut être séparé de ses parents que par décision judiciaire fondée sur son intérêt supérieur, lorsque sa sécurité, sa santé, son éducation sont compromises. Le Juge décide quant au maintien du contact de l’enfant avec les parents.</w:t>
      </w:r>
    </w:p>
    <w:p w:rsidR="00000000" w:rsidRDefault="00000000">
      <w:pPr>
        <w:pStyle w:val="SingleTxtG"/>
        <w:rPr>
          <w:lang w:val="fr-FR"/>
        </w:rPr>
      </w:pPr>
      <w:r>
        <w:rPr>
          <w:lang w:val="fr-FR"/>
        </w:rPr>
        <w:t>197.</w:t>
      </w:r>
      <w:r>
        <w:rPr>
          <w:lang w:val="fr-FR"/>
        </w:rPr>
        <w:tab/>
        <w:t xml:space="preserve">Selon l’article 62, les enfants placés en dehors de sa famille d’origine conservent un droit de correspondance et de visite et l’article 63 de la même loi impose au juge des enfants l’obligation d’informer les parents ou toute personne ayant autorité sur l’enfant du lieu de placement de celui-ci afin de faciliter le droit de visite. </w:t>
      </w:r>
    </w:p>
    <w:p w:rsidR="00000000" w:rsidRDefault="00000000">
      <w:pPr>
        <w:pStyle w:val="H1G"/>
        <w:rPr>
          <w:lang w:val="fr-FR"/>
        </w:rPr>
      </w:pPr>
      <w:bookmarkStart w:id="475" w:name="_Toc206414523"/>
      <w:bookmarkStart w:id="476" w:name="_Toc206460365"/>
      <w:bookmarkStart w:id="477" w:name="_Toc206460697"/>
      <w:bookmarkStart w:id="478" w:name="_Toc206461419"/>
      <w:bookmarkStart w:id="479" w:name="_Toc206476213"/>
      <w:bookmarkStart w:id="480" w:name="_Toc207788748"/>
      <w:bookmarkStart w:id="481" w:name="_Toc211835419"/>
      <w:bookmarkStart w:id="482" w:name="_Toc211926726"/>
      <w:r>
        <w:rPr>
          <w:lang w:val="fr-FR"/>
        </w:rPr>
        <w:tab/>
      </w:r>
      <w:bookmarkStart w:id="483" w:name="_Toc260298239"/>
      <w:r>
        <w:rPr>
          <w:lang w:val="fr-FR"/>
        </w:rPr>
        <w:t>D.</w:t>
      </w:r>
      <w:r>
        <w:rPr>
          <w:lang w:val="fr-FR"/>
        </w:rPr>
        <w:tab/>
        <w:t>Réunification familiale</w:t>
      </w:r>
      <w:bookmarkEnd w:id="475"/>
      <w:bookmarkEnd w:id="476"/>
      <w:bookmarkEnd w:id="477"/>
      <w:bookmarkEnd w:id="478"/>
      <w:bookmarkEnd w:id="479"/>
      <w:bookmarkEnd w:id="480"/>
      <w:bookmarkEnd w:id="481"/>
      <w:bookmarkEnd w:id="482"/>
      <w:bookmarkEnd w:id="483"/>
    </w:p>
    <w:p w:rsidR="00000000" w:rsidRDefault="00000000">
      <w:pPr>
        <w:pStyle w:val="H23G"/>
        <w:rPr>
          <w:lang w:val="fr-FR"/>
        </w:rPr>
      </w:pPr>
      <w:r>
        <w:rPr>
          <w:lang w:val="fr-FR"/>
        </w:rPr>
        <w:tab/>
      </w:r>
      <w:r>
        <w:rPr>
          <w:lang w:val="fr-FR"/>
        </w:rPr>
        <w:tab/>
        <w:t>Cadre juridique</w:t>
      </w:r>
    </w:p>
    <w:p w:rsidR="00000000" w:rsidRDefault="00000000">
      <w:pPr>
        <w:pStyle w:val="SingleTxtG"/>
        <w:rPr>
          <w:lang w:val="fr-FR"/>
        </w:rPr>
      </w:pPr>
      <w:r>
        <w:rPr>
          <w:lang w:val="fr-FR"/>
        </w:rPr>
        <w:t>198.</w:t>
      </w:r>
      <w:r>
        <w:rPr>
          <w:lang w:val="fr-FR"/>
        </w:rPr>
        <w:tab/>
        <w:t>La législation malgache a facilité l’octroi du visa d’entrée à Madagascar en vue d’un regroupement familial.</w:t>
      </w:r>
    </w:p>
    <w:p w:rsidR="00000000" w:rsidRDefault="00000000">
      <w:pPr>
        <w:pStyle w:val="SingleTxtG"/>
        <w:rPr>
          <w:lang w:val="fr-FR"/>
        </w:rPr>
      </w:pPr>
      <w:r>
        <w:rPr>
          <w:lang w:val="fr-FR"/>
        </w:rPr>
        <w:t>199.</w:t>
      </w:r>
      <w:r>
        <w:rPr>
          <w:lang w:val="fr-FR"/>
        </w:rPr>
        <w:tab/>
        <w:t>Dans le cadre d’une procédure d’adoption, une fois constatée par une décision judiciaire, les parents adoptifs munis de l’extrait de l’acte de naissance mentionnant l’adoption peuvent demander l’établissement et la délivrance d’un document de voyage pour ramener l’enfant à son pays d’accueil. Le visa d’entrée dans le pays d’accueil est délivré par la représentation diplomatique dudit pays à Madagascar.</w:t>
      </w:r>
    </w:p>
    <w:p w:rsidR="00000000" w:rsidRDefault="00000000">
      <w:pPr>
        <w:pStyle w:val="SingleTxtG"/>
        <w:rPr>
          <w:lang w:val="fr-FR"/>
        </w:rPr>
      </w:pPr>
      <w:r>
        <w:rPr>
          <w:lang w:val="fr-FR"/>
        </w:rPr>
        <w:t>200.</w:t>
      </w:r>
      <w:r>
        <w:rPr>
          <w:lang w:val="fr-FR"/>
        </w:rPr>
        <w:tab/>
        <w:t>En ce qui concerne les mesures garantissant le droit d’un enfant dont les parents résident dans des pays différents d’entretenir des relations personnelles et des contacts directs réguliers avec ses deux parents, on peut noter:</w:t>
      </w:r>
    </w:p>
    <w:p w:rsidR="00000000" w:rsidRDefault="00000000">
      <w:pPr>
        <w:pStyle w:val="Bullet1G"/>
        <w:rPr>
          <w:lang w:val="fr-FR"/>
        </w:rPr>
      </w:pPr>
      <w:r>
        <w:rPr>
          <w:lang w:val="fr-FR"/>
        </w:rPr>
        <w:t>Pour les fonctionnaires, le droit au rapprochement des époux;</w:t>
      </w:r>
    </w:p>
    <w:p w:rsidR="00000000" w:rsidRDefault="00000000">
      <w:pPr>
        <w:pStyle w:val="Bullet1G"/>
        <w:rPr>
          <w:lang w:val="fr-FR"/>
        </w:rPr>
      </w:pPr>
      <w:r>
        <w:rPr>
          <w:lang w:val="fr-FR"/>
        </w:rPr>
        <w:t xml:space="preserve">Pour les couples mixtes séparés, le droit dépend de l’existence d’un accord bilatérale; </w:t>
      </w:r>
    </w:p>
    <w:p w:rsidR="00000000" w:rsidRDefault="00000000">
      <w:pPr>
        <w:pStyle w:val="Bullet1G"/>
        <w:rPr>
          <w:lang w:val="fr-FR"/>
        </w:rPr>
      </w:pPr>
      <w:r>
        <w:rPr>
          <w:lang w:val="fr-FR"/>
        </w:rPr>
        <w:t>Pour les parents séparés, en principe, toute ordonnance de garde d’enfants doit stipuler le partage de garde de l’enfant entre les deux époux. L’époux ayant obtenu la garde principale de l’enfant doit concéder un droit de visite à l’autre époux. Ce droit de visite peut être large ou restreint suivant le cas.</w:t>
      </w:r>
    </w:p>
    <w:p w:rsidR="00000000" w:rsidRDefault="00000000">
      <w:pPr>
        <w:pStyle w:val="SingleTxtG"/>
        <w:rPr>
          <w:lang w:val="fr-FR"/>
        </w:rPr>
      </w:pPr>
      <w:r>
        <w:rPr>
          <w:lang w:val="fr-FR"/>
        </w:rPr>
        <w:t>201.</w:t>
      </w:r>
      <w:r>
        <w:rPr>
          <w:lang w:val="fr-FR"/>
        </w:rPr>
        <w:tab/>
        <w:t>Dans le cas d’une déchéance de l’autorité parentale prononcée par voie judiciaire, l’époux reconnu indigne n’aura pas le droit de visite ci-dessus évoqué.</w:t>
      </w:r>
    </w:p>
    <w:p w:rsidR="00000000" w:rsidRDefault="00000000">
      <w:pPr>
        <w:pStyle w:val="SingleTxtG"/>
        <w:rPr>
          <w:lang w:val="fr-FR"/>
        </w:rPr>
      </w:pPr>
      <w:r>
        <w:rPr>
          <w:lang w:val="fr-FR"/>
        </w:rPr>
        <w:t>202.</w:t>
      </w:r>
      <w:r>
        <w:rPr>
          <w:lang w:val="fr-FR"/>
        </w:rPr>
        <w:tab/>
        <w:t xml:space="preserve">Par application de l’article 12 alinéa 1 de la Constitution, et de la loi </w:t>
      </w:r>
      <w:r>
        <w:rPr>
          <w:rFonts w:eastAsia="MS Mincho"/>
          <w:lang w:val="fr-FR"/>
        </w:rPr>
        <w:t>n</w:t>
      </w:r>
      <w:r>
        <w:rPr>
          <w:rFonts w:eastAsia="MS Mincho"/>
          <w:vertAlign w:val="superscript"/>
          <w:lang w:val="fr-FR"/>
        </w:rPr>
        <w:t>o</w:t>
      </w:r>
      <w:r>
        <w:rPr>
          <w:lang w:val="fr-FR"/>
        </w:rPr>
        <w:t xml:space="preserve"> 91 025 du 12 août 1991 portant organisation et contrôle de la circulation des nationaux vers l’extérieur, modifiée par la loi </w:t>
      </w:r>
      <w:r>
        <w:rPr>
          <w:rFonts w:eastAsia="MS Mincho"/>
          <w:lang w:val="fr-FR"/>
        </w:rPr>
        <w:t>n</w:t>
      </w:r>
      <w:r>
        <w:rPr>
          <w:rFonts w:eastAsia="MS Mincho"/>
          <w:vertAlign w:val="superscript"/>
          <w:lang w:val="fr-FR"/>
        </w:rPr>
        <w:t>o</w:t>
      </w:r>
      <w:r>
        <w:rPr>
          <w:lang w:val="fr-FR"/>
        </w:rPr>
        <w:t xml:space="preserve"> 96 017 du 13 août 1996, l’enfant et ses parents ont le droit de quitter le territoire et d’y entrer </w:t>
      </w:r>
      <w:r>
        <w:rPr>
          <w:i/>
          <w:iCs/>
          <w:lang w:val="fr-FR"/>
        </w:rPr>
        <w:t xml:space="preserve">dans les conditions fixées par la loi. </w:t>
      </w:r>
      <w:r>
        <w:rPr>
          <w:lang w:val="fr-FR"/>
        </w:rPr>
        <w:t>La restriction admise est fondée sur la souveraineté nationale et la sûreté. Celle-ci doit faire l’objet d’une constatation écrite de l’autorité compétente. Dans ce sens, des mesures d’interdiction de sortie ou d’entrée peuvent être prises suivant les circonstances.</w:t>
      </w:r>
    </w:p>
    <w:p w:rsidR="00000000" w:rsidRDefault="00000000">
      <w:pPr>
        <w:pStyle w:val="SingleTxtG"/>
        <w:rPr>
          <w:lang w:val="fr-FR"/>
        </w:rPr>
      </w:pPr>
      <w:r>
        <w:rPr>
          <w:lang w:val="fr-FR"/>
        </w:rPr>
        <w:t>203.</w:t>
      </w:r>
      <w:r>
        <w:rPr>
          <w:lang w:val="fr-FR"/>
        </w:rPr>
        <w:tab/>
        <w:t xml:space="preserve"> La levée de cette mesure est également prévue par la législation: soit d’office, soit sur requête. Il en sera ainsi dans le cas d’un classement sans suite, de prescription de l’action publique ou de la peine lorsque la restriction était fondée sur une poursuite pénale. De même il en sera ainsi pour des raisons impérieuses de santé ou de famille dûment prouvées.</w:t>
      </w:r>
    </w:p>
    <w:p w:rsidR="00000000" w:rsidRDefault="00000000">
      <w:pPr>
        <w:pStyle w:val="H1G"/>
        <w:rPr>
          <w:lang w:val="fr-FR"/>
        </w:rPr>
      </w:pPr>
      <w:bookmarkStart w:id="484" w:name="_Toc206414524"/>
      <w:bookmarkStart w:id="485" w:name="_Toc206460366"/>
      <w:bookmarkStart w:id="486" w:name="_Toc206460698"/>
      <w:bookmarkStart w:id="487" w:name="_Toc206461420"/>
      <w:bookmarkStart w:id="488" w:name="_Toc206476214"/>
      <w:bookmarkStart w:id="489" w:name="_Toc207788749"/>
      <w:bookmarkStart w:id="490" w:name="_Toc211835420"/>
      <w:bookmarkStart w:id="491" w:name="_Toc211926727"/>
      <w:r>
        <w:rPr>
          <w:lang w:val="fr-FR"/>
        </w:rPr>
        <w:tab/>
      </w:r>
      <w:bookmarkStart w:id="492" w:name="_Toc260298240"/>
      <w:r>
        <w:rPr>
          <w:lang w:val="fr-FR"/>
        </w:rPr>
        <w:t>E.</w:t>
      </w:r>
      <w:r>
        <w:rPr>
          <w:lang w:val="fr-FR"/>
        </w:rPr>
        <w:tab/>
        <w:t>Déplacement illicite et non-retour</w:t>
      </w:r>
      <w:bookmarkEnd w:id="484"/>
      <w:bookmarkEnd w:id="485"/>
      <w:bookmarkEnd w:id="486"/>
      <w:bookmarkEnd w:id="487"/>
      <w:bookmarkEnd w:id="488"/>
      <w:bookmarkEnd w:id="489"/>
      <w:bookmarkEnd w:id="490"/>
      <w:bookmarkEnd w:id="491"/>
      <w:bookmarkEnd w:id="492"/>
      <w:r>
        <w:rPr>
          <w:lang w:val="fr-FR"/>
        </w:rPr>
        <w:t xml:space="preserve"> </w:t>
      </w:r>
    </w:p>
    <w:p w:rsidR="00000000" w:rsidRDefault="00000000">
      <w:pPr>
        <w:pStyle w:val="H23G"/>
        <w:rPr>
          <w:lang w:val="fr-FR"/>
        </w:rPr>
      </w:pPr>
      <w:r>
        <w:rPr>
          <w:lang w:val="fr-FR"/>
        </w:rPr>
        <w:tab/>
      </w:r>
      <w:r>
        <w:rPr>
          <w:lang w:val="fr-FR"/>
        </w:rPr>
        <w:tab/>
        <w:t>Cadre juridique</w:t>
      </w:r>
    </w:p>
    <w:p w:rsidR="00000000" w:rsidRDefault="00000000">
      <w:pPr>
        <w:pStyle w:val="SingleTxtG"/>
        <w:rPr>
          <w:lang w:val="fr-FR"/>
        </w:rPr>
      </w:pPr>
      <w:r>
        <w:rPr>
          <w:lang w:val="fr-FR"/>
        </w:rPr>
        <w:t>204.</w:t>
      </w:r>
      <w:r>
        <w:rPr>
          <w:lang w:val="fr-FR"/>
        </w:rPr>
        <w:tab/>
        <w:t>Le déplacement illicite et le non-retour de l’enfant ont été observés dans le cadre du trafic d’enfant par l’intermédiaire d’une adoption internationale. Pour y mettre fin, une nouvelle loi sur l’adoption fut adoptée.</w:t>
      </w:r>
    </w:p>
    <w:p w:rsidR="00000000" w:rsidRDefault="00000000">
      <w:pPr>
        <w:pStyle w:val="SingleTxtG"/>
        <w:rPr>
          <w:lang w:val="fr-FR"/>
        </w:rPr>
      </w:pPr>
      <w:r>
        <w:rPr>
          <w:lang w:val="fr-FR"/>
        </w:rPr>
        <w:t>205.</w:t>
      </w:r>
      <w:r>
        <w:rPr>
          <w:lang w:val="fr-FR"/>
        </w:rPr>
        <w:tab/>
        <w:t xml:space="preserve">Après la ratification du Protocole additionnel à la Convention des Nations Unies contre la criminalité transnationale organisée, l’incorporation dudit Protocole s’est traduite par l’adoption de la loi </w:t>
      </w:r>
      <w:r>
        <w:rPr>
          <w:rFonts w:eastAsia="MS Mincho"/>
          <w:lang w:val="fr-FR"/>
        </w:rPr>
        <w:t>n</w:t>
      </w:r>
      <w:r>
        <w:rPr>
          <w:rFonts w:eastAsia="MS Mincho"/>
          <w:vertAlign w:val="superscript"/>
          <w:lang w:val="fr-FR"/>
        </w:rPr>
        <w:t>o</w:t>
      </w:r>
      <w:r>
        <w:rPr>
          <w:lang w:val="fr-FR"/>
        </w:rPr>
        <w:t xml:space="preserve"> 2007-038 du 14 janvier 2008 modifiant et complétant certaines dispositions du Code pénal sur la lutte contre la traite des personnes et le tourisme sexuel.</w:t>
      </w:r>
    </w:p>
    <w:p w:rsidR="00000000" w:rsidRDefault="00000000">
      <w:pPr>
        <w:pStyle w:val="SingleTxtG"/>
        <w:rPr>
          <w:lang w:val="fr-FR"/>
        </w:rPr>
      </w:pPr>
      <w:r>
        <w:rPr>
          <w:lang w:val="fr-FR"/>
        </w:rPr>
        <w:t>206.</w:t>
      </w:r>
      <w:r>
        <w:rPr>
          <w:lang w:val="fr-FR"/>
        </w:rPr>
        <w:tab/>
        <w:t>Toute sortie d’un enfant du territoire doit recevoir l’autorisation écrite et légalisée des deux parents, même si les parents sont séparés. Si l’un des parents est décédé, le parent survivant doit donner son autorisation ainsi que toute personne à qui la garde de l’enfant est confiée.</w:t>
      </w:r>
    </w:p>
    <w:p w:rsidR="00000000" w:rsidRDefault="00000000">
      <w:pPr>
        <w:pStyle w:val="SingleTxtG"/>
        <w:rPr>
          <w:lang w:val="fr-FR"/>
        </w:rPr>
      </w:pPr>
      <w:r>
        <w:rPr>
          <w:lang w:val="fr-FR"/>
        </w:rPr>
        <w:t>207.</w:t>
      </w:r>
      <w:r>
        <w:rPr>
          <w:lang w:val="fr-FR"/>
        </w:rPr>
        <w:tab/>
        <w:t>Par ailleurs, un grand effort a été entrepris pour la réhabilitation de l’état civil des enfants, par le biais du programme EKA. En effet, force est de constater que les enfants qui ne sont pas inscrits sur le registre de l’état civil sont facilement exposés à ce genre de trafic.</w:t>
      </w:r>
    </w:p>
    <w:p w:rsidR="00000000" w:rsidRDefault="00000000">
      <w:pPr>
        <w:pStyle w:val="SingleTxtG"/>
        <w:rPr>
          <w:lang w:val="fr-FR"/>
        </w:rPr>
      </w:pPr>
      <w:r>
        <w:rPr>
          <w:lang w:val="fr-FR"/>
        </w:rPr>
        <w:t>208.</w:t>
      </w:r>
      <w:r>
        <w:rPr>
          <w:lang w:val="fr-FR"/>
        </w:rPr>
        <w:tab/>
        <w:t>La difficulté au niveau du contrôle réside dans l’inefficacité du système de contrôle en rapport avec l’étendue de la frontière malgache. Un contrôle et une surveillance stricte sont mis en place concernant la frontière aérienne. Ce contrôle est relativement limité concernant la frontière maritime avec plus de 5 000 km de côtes.</w:t>
      </w:r>
    </w:p>
    <w:p w:rsidR="00000000" w:rsidRDefault="00000000">
      <w:pPr>
        <w:pStyle w:val="H1G"/>
        <w:rPr>
          <w:lang w:val="fr-FR"/>
        </w:rPr>
      </w:pPr>
      <w:bookmarkStart w:id="493" w:name="_Toc206414525"/>
      <w:bookmarkStart w:id="494" w:name="_Toc206460367"/>
      <w:bookmarkStart w:id="495" w:name="_Toc206460699"/>
      <w:bookmarkStart w:id="496" w:name="_Toc206461421"/>
      <w:bookmarkStart w:id="497" w:name="_Toc206476215"/>
      <w:bookmarkStart w:id="498" w:name="_Toc207788750"/>
      <w:bookmarkStart w:id="499" w:name="_Toc211835421"/>
      <w:bookmarkStart w:id="500" w:name="_Toc211926728"/>
      <w:r>
        <w:rPr>
          <w:lang w:val="fr-FR"/>
        </w:rPr>
        <w:tab/>
      </w:r>
      <w:bookmarkStart w:id="501" w:name="_Toc260298241"/>
      <w:r>
        <w:rPr>
          <w:lang w:val="fr-FR"/>
        </w:rPr>
        <w:t>F.</w:t>
      </w:r>
      <w:r>
        <w:rPr>
          <w:lang w:val="fr-FR"/>
        </w:rPr>
        <w:tab/>
        <w:t>Recouvrement de pension alimentaire</w:t>
      </w:r>
      <w:bookmarkEnd w:id="493"/>
      <w:bookmarkEnd w:id="494"/>
      <w:bookmarkEnd w:id="495"/>
      <w:bookmarkEnd w:id="496"/>
      <w:bookmarkEnd w:id="497"/>
      <w:bookmarkEnd w:id="498"/>
      <w:bookmarkEnd w:id="499"/>
      <w:bookmarkEnd w:id="500"/>
      <w:bookmarkEnd w:id="501"/>
    </w:p>
    <w:p w:rsidR="00000000" w:rsidRDefault="00000000">
      <w:pPr>
        <w:pStyle w:val="H23G"/>
        <w:rPr>
          <w:lang w:val="fr-FR"/>
        </w:rPr>
      </w:pPr>
      <w:r>
        <w:rPr>
          <w:lang w:val="fr-FR"/>
        </w:rPr>
        <w:tab/>
      </w:r>
      <w:r>
        <w:rPr>
          <w:lang w:val="fr-FR"/>
        </w:rPr>
        <w:tab/>
        <w:t>Cadre juridique</w:t>
      </w:r>
    </w:p>
    <w:p w:rsidR="00000000" w:rsidRDefault="00000000">
      <w:pPr>
        <w:pStyle w:val="SingleTxtG"/>
        <w:rPr>
          <w:lang w:val="fr-FR"/>
        </w:rPr>
      </w:pPr>
      <w:r>
        <w:rPr>
          <w:lang w:val="fr-FR"/>
        </w:rPr>
        <w:t>209.</w:t>
      </w:r>
      <w:r>
        <w:rPr>
          <w:lang w:val="fr-FR"/>
        </w:rPr>
        <w:tab/>
        <w:t>L’enfant naturel peut réclamer son droit à l’alimentation à son géniteur.</w:t>
      </w:r>
    </w:p>
    <w:p w:rsidR="00000000" w:rsidRDefault="00000000">
      <w:pPr>
        <w:pStyle w:val="SingleTxtG"/>
        <w:rPr>
          <w:lang w:val="fr-FR"/>
        </w:rPr>
      </w:pPr>
      <w:r>
        <w:rPr>
          <w:lang w:val="fr-FR"/>
        </w:rPr>
        <w:t>210.</w:t>
      </w:r>
      <w:r>
        <w:rPr>
          <w:lang w:val="fr-FR"/>
        </w:rPr>
        <w:tab/>
        <w:t>L’enfant, par le biais de sa mère ou son père, peut demander une pension alimentaire.</w:t>
      </w:r>
    </w:p>
    <w:p w:rsidR="00000000" w:rsidRDefault="00000000">
      <w:pPr>
        <w:pStyle w:val="SingleTxtG"/>
        <w:rPr>
          <w:lang w:val="fr-FR"/>
        </w:rPr>
      </w:pPr>
      <w:r>
        <w:rPr>
          <w:lang w:val="fr-FR"/>
        </w:rPr>
        <w:t>211.</w:t>
      </w:r>
      <w:r>
        <w:rPr>
          <w:lang w:val="fr-FR"/>
        </w:rPr>
        <w:tab/>
        <w:t>La loi réprime l’abandon de famille, et plus particulièrement l’abandon pécuniaire. L’enfant victime de l’abandon pécuniaire, par l’intermédiaire de son civilement responsable, peut saisir la justice.</w:t>
      </w:r>
    </w:p>
    <w:p w:rsidR="00000000" w:rsidRDefault="00000000">
      <w:pPr>
        <w:pStyle w:val="SingleTxtG"/>
        <w:rPr>
          <w:lang w:val="fr-FR"/>
        </w:rPr>
      </w:pPr>
      <w:r>
        <w:rPr>
          <w:lang w:val="fr-FR"/>
        </w:rPr>
        <w:t>212.</w:t>
      </w:r>
      <w:r>
        <w:rPr>
          <w:lang w:val="fr-FR"/>
        </w:rPr>
        <w:tab/>
        <w:t>À noter que dans ce cas le droit coutumier se révèle plus favorable à l’enfant, au motif qu’il n’admet pas l’abandon de subsistance.</w:t>
      </w:r>
    </w:p>
    <w:p w:rsidR="00000000" w:rsidRDefault="00000000">
      <w:pPr>
        <w:pStyle w:val="SingleTxtG"/>
        <w:rPr>
          <w:lang w:val="fr-FR"/>
        </w:rPr>
      </w:pPr>
      <w:r>
        <w:rPr>
          <w:lang w:val="fr-FR"/>
        </w:rPr>
        <w:t>213.</w:t>
      </w:r>
      <w:r>
        <w:rPr>
          <w:lang w:val="fr-FR"/>
        </w:rPr>
        <w:tab/>
        <w:t>Nombre de facteurs peuvent entraver le recouvrement de la pension alimentaire. L’esprit malgache n’est pas très favorable à intenter une action en justice contre une personne ayant un lien de parenté étroit avec l’intéressé. Même si l’ordonnance a une force exécutoire, en cas de non-exécution, il est rare que la mère porte plainte contre le père défaillant</w:t>
      </w:r>
    </w:p>
    <w:p w:rsidR="00000000" w:rsidRDefault="00000000">
      <w:pPr>
        <w:pStyle w:val="H1G"/>
        <w:rPr>
          <w:lang w:val="fr-FR"/>
        </w:rPr>
      </w:pPr>
      <w:bookmarkStart w:id="502" w:name="_Toc206414526"/>
      <w:bookmarkStart w:id="503" w:name="_Toc206460368"/>
      <w:bookmarkStart w:id="504" w:name="_Toc206460700"/>
      <w:bookmarkStart w:id="505" w:name="_Toc206461422"/>
      <w:bookmarkStart w:id="506" w:name="_Toc206476216"/>
      <w:bookmarkStart w:id="507" w:name="_Toc207788751"/>
      <w:bookmarkStart w:id="508" w:name="_Toc211835422"/>
      <w:bookmarkStart w:id="509" w:name="_Toc211926729"/>
      <w:r>
        <w:rPr>
          <w:lang w:val="fr-FR"/>
        </w:rPr>
        <w:tab/>
      </w:r>
      <w:bookmarkStart w:id="510" w:name="_Toc260298242"/>
      <w:r>
        <w:rPr>
          <w:lang w:val="fr-FR"/>
        </w:rPr>
        <w:t>G.</w:t>
      </w:r>
      <w:r>
        <w:rPr>
          <w:lang w:val="fr-FR"/>
        </w:rPr>
        <w:tab/>
        <w:t>Enfants privés de leur milieu familial</w:t>
      </w:r>
      <w:bookmarkEnd w:id="502"/>
      <w:bookmarkEnd w:id="503"/>
      <w:bookmarkEnd w:id="504"/>
      <w:bookmarkEnd w:id="505"/>
      <w:bookmarkEnd w:id="506"/>
      <w:bookmarkEnd w:id="507"/>
      <w:bookmarkEnd w:id="508"/>
      <w:bookmarkEnd w:id="509"/>
      <w:bookmarkEnd w:id="510"/>
    </w:p>
    <w:p w:rsidR="00000000" w:rsidRDefault="00000000">
      <w:pPr>
        <w:pStyle w:val="H23G"/>
        <w:rPr>
          <w:lang w:val="fr-FR"/>
        </w:rPr>
      </w:pPr>
      <w:bookmarkStart w:id="511" w:name="_Toc206414527"/>
      <w:bookmarkStart w:id="512" w:name="_Toc206460369"/>
      <w:bookmarkStart w:id="513" w:name="_Toc206460701"/>
      <w:bookmarkStart w:id="514" w:name="_Toc206461423"/>
      <w:bookmarkStart w:id="515" w:name="_Toc206476217"/>
      <w:bookmarkStart w:id="516" w:name="_Toc207788752"/>
      <w:bookmarkStart w:id="517" w:name="_Toc211835423"/>
      <w:bookmarkStart w:id="518" w:name="_Toc211926730"/>
      <w:r>
        <w:rPr>
          <w:lang w:val="fr-FR"/>
        </w:rPr>
        <w:tab/>
        <w:t>1.</w:t>
      </w:r>
      <w:r>
        <w:rPr>
          <w:lang w:val="fr-FR"/>
        </w:rPr>
        <w:tab/>
        <w:t>Cadre juridique</w:t>
      </w:r>
      <w:bookmarkEnd w:id="511"/>
      <w:bookmarkEnd w:id="512"/>
      <w:bookmarkEnd w:id="513"/>
      <w:bookmarkEnd w:id="514"/>
      <w:bookmarkEnd w:id="515"/>
      <w:bookmarkEnd w:id="516"/>
      <w:bookmarkEnd w:id="517"/>
      <w:bookmarkEnd w:id="518"/>
    </w:p>
    <w:p w:rsidR="00000000" w:rsidRDefault="00000000">
      <w:pPr>
        <w:pStyle w:val="SingleTxtG"/>
        <w:rPr>
          <w:lang w:val="fr-FR"/>
        </w:rPr>
      </w:pPr>
      <w:r>
        <w:rPr>
          <w:lang w:val="fr-FR"/>
        </w:rPr>
        <w:t>214.</w:t>
      </w:r>
      <w:r>
        <w:rPr>
          <w:lang w:val="fr-FR"/>
        </w:rPr>
        <w:tab/>
        <w:t xml:space="preserve">L’article 7 de la loi sur l’adoption protège le droit de l’enfant à grandir au sein de sa famille d’origine. Elle établit la séquence à suivre pour son remplacement dans le cas ou elle ne serait pas à même d’assurer son rôle fondamental: </w:t>
      </w:r>
    </w:p>
    <w:p w:rsidR="00000000" w:rsidRDefault="00000000">
      <w:pPr>
        <w:pStyle w:val="Bullet1G"/>
        <w:rPr>
          <w:lang w:val="fr-FR"/>
        </w:rPr>
      </w:pPr>
      <w:r>
        <w:rPr>
          <w:lang w:val="fr-FR"/>
        </w:rPr>
        <w:t>Placement dans la famille élargie (art. 8);</w:t>
      </w:r>
    </w:p>
    <w:p w:rsidR="00000000" w:rsidRDefault="00000000">
      <w:pPr>
        <w:pStyle w:val="Bullet1G"/>
        <w:rPr>
          <w:lang w:val="fr-FR"/>
        </w:rPr>
      </w:pPr>
      <w:r>
        <w:rPr>
          <w:lang w:val="fr-FR"/>
        </w:rPr>
        <w:t xml:space="preserve">Famille de substitution (art. 11) dite famille d’accueil, réglementée par le décret </w:t>
      </w:r>
      <w:r>
        <w:rPr>
          <w:rFonts w:eastAsia="MS Mincho"/>
          <w:lang w:val="fr-FR"/>
        </w:rPr>
        <w:t>n</w:t>
      </w:r>
      <w:r>
        <w:rPr>
          <w:rFonts w:eastAsia="MS Mincho"/>
          <w:vertAlign w:val="superscript"/>
          <w:lang w:val="fr-FR"/>
        </w:rPr>
        <w:t>o </w:t>
      </w:r>
      <w:r>
        <w:rPr>
          <w:lang w:val="fr-FR"/>
        </w:rPr>
        <w:t xml:space="preserve">2006-885 du 5 décembre 2006; </w:t>
      </w:r>
    </w:p>
    <w:p w:rsidR="00000000" w:rsidRDefault="00000000">
      <w:pPr>
        <w:pStyle w:val="Bullet1G"/>
        <w:rPr>
          <w:lang w:val="fr-FR"/>
        </w:rPr>
      </w:pPr>
      <w:r>
        <w:rPr>
          <w:lang w:val="fr-FR"/>
        </w:rPr>
        <w:t>En dehors de toute alternative familiale, il y aura placement provisoire dans une institution agréée (art. 12).</w:t>
      </w:r>
    </w:p>
    <w:p w:rsidR="00000000" w:rsidRDefault="00000000">
      <w:pPr>
        <w:pStyle w:val="SingleTxtG"/>
        <w:rPr>
          <w:lang w:val="fr-FR"/>
        </w:rPr>
      </w:pPr>
      <w:r>
        <w:rPr>
          <w:lang w:val="fr-FR"/>
        </w:rPr>
        <w:t>215.</w:t>
      </w:r>
      <w:r>
        <w:rPr>
          <w:lang w:val="fr-FR"/>
        </w:rPr>
        <w:tab/>
        <w:t>L’adoption simple ou plénière intervient en dernier lieu comme solution définitive. L’adoption internationale n’est permise que dans les cas où le placement ou l’adoption nationale s’avèrent incompatibles avec l’intérêt supérieur de l’enfant.</w:t>
      </w:r>
    </w:p>
    <w:p w:rsidR="00000000" w:rsidRDefault="00000000">
      <w:pPr>
        <w:pStyle w:val="SingleTxtG"/>
        <w:rPr>
          <w:lang w:val="fr-FR"/>
        </w:rPr>
      </w:pPr>
      <w:r>
        <w:rPr>
          <w:lang w:val="fr-FR"/>
        </w:rPr>
        <w:t>216.</w:t>
      </w:r>
      <w:r>
        <w:rPr>
          <w:lang w:val="fr-FR"/>
        </w:rPr>
        <w:tab/>
        <w:t xml:space="preserve">Les enfants susceptibles d’être privés définitivement de leur milieu familial sont: les enfants orphelins, les enfants abandonnés et ceux qui peuvent en être privés temporairement sont les enfants maltraités et ceux en conflit avec la loi. </w:t>
      </w:r>
    </w:p>
    <w:p w:rsidR="00000000" w:rsidRDefault="00000000">
      <w:pPr>
        <w:pStyle w:val="H23G"/>
        <w:rPr>
          <w:i/>
          <w:lang w:val="fr-FR"/>
        </w:rPr>
      </w:pPr>
      <w:bookmarkStart w:id="519" w:name="_Toc206414528"/>
      <w:bookmarkStart w:id="520" w:name="_Toc206460370"/>
      <w:bookmarkStart w:id="521" w:name="_Toc206460702"/>
      <w:bookmarkStart w:id="522" w:name="_Toc206461424"/>
      <w:bookmarkStart w:id="523" w:name="_Toc206476218"/>
      <w:bookmarkStart w:id="524" w:name="_Toc207788753"/>
      <w:bookmarkStart w:id="525" w:name="_Toc211835424"/>
      <w:bookmarkStart w:id="526" w:name="_Toc211926731"/>
      <w:r>
        <w:rPr>
          <w:lang w:val="fr-FR"/>
        </w:rPr>
        <w:tab/>
        <w:t>2.</w:t>
      </w:r>
      <w:r>
        <w:rPr>
          <w:lang w:val="fr-FR"/>
        </w:rPr>
        <w:tab/>
        <w:t>Analyse</w:t>
      </w:r>
      <w:r>
        <w:rPr>
          <w:i/>
          <w:lang w:val="fr-FR"/>
        </w:rPr>
        <w:t xml:space="preserve"> </w:t>
      </w:r>
      <w:r>
        <w:rPr>
          <w:lang w:val="fr-FR"/>
        </w:rPr>
        <w:t>situationnelle</w:t>
      </w:r>
      <w:bookmarkEnd w:id="519"/>
      <w:bookmarkEnd w:id="520"/>
      <w:bookmarkEnd w:id="521"/>
      <w:bookmarkEnd w:id="522"/>
      <w:bookmarkEnd w:id="523"/>
      <w:bookmarkEnd w:id="524"/>
      <w:bookmarkEnd w:id="525"/>
      <w:bookmarkEnd w:id="526"/>
    </w:p>
    <w:p w:rsidR="00000000" w:rsidRDefault="00000000">
      <w:pPr>
        <w:pStyle w:val="SingleTxtG"/>
        <w:rPr>
          <w:lang w:val="fr-FR"/>
        </w:rPr>
      </w:pPr>
      <w:r>
        <w:rPr>
          <w:lang w:val="fr-FR"/>
        </w:rPr>
        <w:t>217.</w:t>
      </w:r>
      <w:r>
        <w:rPr>
          <w:lang w:val="fr-FR"/>
        </w:rPr>
        <w:tab/>
        <w:t>Trente-trois pour cent des enfants de moins de 15 ans ne vivent pas avec les deux parents. Tandis que 13 % des enfants de moins de 18 ans ne vivent ni avec leur mère ni avec leur père.</w:t>
      </w:r>
    </w:p>
    <w:p w:rsidR="00000000" w:rsidRDefault="00000000">
      <w:pPr>
        <w:pStyle w:val="SingleTxtG"/>
        <w:rPr>
          <w:lang w:val="fr-FR"/>
        </w:rPr>
      </w:pPr>
      <w:r>
        <w:rPr>
          <w:lang w:val="fr-FR"/>
        </w:rPr>
        <w:t>218.</w:t>
      </w:r>
      <w:r>
        <w:rPr>
          <w:lang w:val="fr-FR"/>
        </w:rPr>
        <w:tab/>
        <w:t xml:space="preserve">0,4 % des enfants âgés de 0 à 14 ans sont orphelins des deux parents, et 6 % d’entre eux sont orphelins d’un seul parent. </w:t>
      </w:r>
    </w:p>
    <w:p w:rsidR="00000000" w:rsidRDefault="00000000">
      <w:pPr>
        <w:pStyle w:val="SingleTxtG"/>
        <w:rPr>
          <w:lang w:val="fr-FR"/>
        </w:rPr>
      </w:pPr>
      <w:r>
        <w:rPr>
          <w:lang w:val="fr-FR"/>
        </w:rPr>
        <w:t>219.</w:t>
      </w:r>
      <w:r>
        <w:rPr>
          <w:lang w:val="fr-FR"/>
        </w:rPr>
        <w:tab/>
        <w:t>Dans la structure de la société malgache, si les parents biologiques sont défaillants, il appartient à la famille élargie de dispenser aux enfants l’orientation appropriée et d’assister la famille démunie sur le plan financier et psychologique. Cet appui s’effectue dans le cadre d’un conseil de famille.</w:t>
      </w:r>
    </w:p>
    <w:p w:rsidR="00000000" w:rsidRDefault="00000000">
      <w:pPr>
        <w:pStyle w:val="SingleTxtG"/>
        <w:rPr>
          <w:lang w:val="fr-FR"/>
        </w:rPr>
      </w:pPr>
      <w:r>
        <w:rPr>
          <w:lang w:val="fr-FR"/>
        </w:rPr>
        <w:t>220.</w:t>
      </w:r>
      <w:r>
        <w:rPr>
          <w:lang w:val="fr-FR"/>
        </w:rPr>
        <w:tab/>
        <w:t>Les diverses circonscriptions s’organisent pour être en mesure d’assurer le droit de l’enfant à vivre en milieu familial. Ceci implique la priorisation de leur prise en charge ainsi que le placement des enfants en danger dans une famille de substitution plutôt que dans des institutions. À titre d’exemple, à Antsiranana un réseau de 15 familles de substitution est en place pour assurer le placement provisoire.</w:t>
      </w:r>
    </w:p>
    <w:p w:rsidR="00000000" w:rsidRDefault="00000000">
      <w:pPr>
        <w:pStyle w:val="SingleTxtG"/>
        <w:rPr>
          <w:lang w:val="fr-FR"/>
        </w:rPr>
      </w:pPr>
      <w:r>
        <w:rPr>
          <w:lang w:val="fr-FR"/>
        </w:rPr>
        <w:t>221.</w:t>
      </w:r>
      <w:r>
        <w:rPr>
          <w:lang w:val="fr-FR"/>
        </w:rPr>
        <w:tab/>
        <w:t>Toutefois, en dehors du placement dans la famille élargie, et en raison du fait que l’organisation des familles de substitution vient de débuter, notamment à Diego, les enfants séparés de leur famille par ordonnance du juge des enfants sont placés en général dans les institutions. À titre d’exemple, de 2003 à mars 2008, le Tribunal pour enfants d’Antananarivo a placé un total de 113 enfants dans leur famille élargie, 54 dans une famille de substitution et 748 dans une institution.</w:t>
      </w:r>
    </w:p>
    <w:p w:rsidR="00000000" w:rsidRDefault="00000000">
      <w:pPr>
        <w:pStyle w:val="SingleTxtG"/>
        <w:rPr>
          <w:lang w:val="fr-FR"/>
        </w:rPr>
      </w:pPr>
      <w:r>
        <w:rPr>
          <w:lang w:val="fr-FR"/>
        </w:rPr>
        <w:t>222.</w:t>
      </w:r>
      <w:r>
        <w:rPr>
          <w:lang w:val="fr-FR"/>
        </w:rPr>
        <w:tab/>
        <w:t>En 2007 ont été répertoriés 170 centres d’accueil (dont 57 à Antananarivo), la plupart sont sous régime d’association, qui accueillaient un total de 12 325 enfants (en moyenne 72,5 enfants par centre). La plus grande partie de ces centres (63 %) accueillaient les enfants de la journée, le reste pratiquant un régime résidentiel. 5,25 % des enfants étaient placés par ordonnance de garde. Soixante pour cent des centres avaient un bâtiment en dur avec des salles d’étude, réfectoire, cuisine et toilettes. Les personnels de ces centres en général n’ont pas reçu une formation spécialisée dans le domaine de l’enfance.</w:t>
      </w:r>
    </w:p>
    <w:p w:rsidR="00000000" w:rsidRDefault="00000000">
      <w:pPr>
        <w:pStyle w:val="SingleTxtG"/>
        <w:rPr>
          <w:lang w:val="fr-FR"/>
        </w:rPr>
      </w:pPr>
      <w:r>
        <w:rPr>
          <w:lang w:val="fr-FR"/>
        </w:rPr>
        <w:t>223.</w:t>
      </w:r>
      <w:r>
        <w:rPr>
          <w:lang w:val="fr-FR"/>
        </w:rPr>
        <w:tab/>
        <w:t>Les centres de rééducation/réhabilitation (sept au total) sont des centres qui accueillent sur ordonnance judiciaire, les enfants en danger moral et les enfants en conflit avec la loi généralement auteurs d’infractions de moindre importance. Parmi les enfants en conflit avec la loi, on note la présence de ceux qui ont été déjà jugés et ceux en attente de leur jugement.</w:t>
      </w:r>
    </w:p>
    <w:p w:rsidR="00000000" w:rsidRDefault="00000000">
      <w:pPr>
        <w:pStyle w:val="H1G"/>
        <w:rPr>
          <w:lang w:val="fr-FR"/>
        </w:rPr>
      </w:pPr>
      <w:bookmarkStart w:id="527" w:name="_Toc206414529"/>
      <w:bookmarkStart w:id="528" w:name="_Toc206460371"/>
      <w:bookmarkStart w:id="529" w:name="_Toc206460703"/>
      <w:bookmarkStart w:id="530" w:name="_Toc206461425"/>
      <w:bookmarkStart w:id="531" w:name="_Toc206476219"/>
      <w:bookmarkStart w:id="532" w:name="_Toc207788754"/>
      <w:bookmarkStart w:id="533" w:name="_Toc211835425"/>
      <w:bookmarkStart w:id="534" w:name="_Toc211926732"/>
      <w:r>
        <w:rPr>
          <w:lang w:val="fr-FR"/>
        </w:rPr>
        <w:tab/>
      </w:r>
      <w:bookmarkStart w:id="535" w:name="_Toc260298243"/>
      <w:r>
        <w:rPr>
          <w:lang w:val="fr-FR"/>
        </w:rPr>
        <w:t>H.</w:t>
      </w:r>
      <w:r>
        <w:rPr>
          <w:lang w:val="fr-FR"/>
        </w:rPr>
        <w:tab/>
        <w:t>Adoption</w:t>
      </w:r>
      <w:bookmarkEnd w:id="527"/>
      <w:bookmarkEnd w:id="528"/>
      <w:bookmarkEnd w:id="529"/>
      <w:bookmarkEnd w:id="530"/>
      <w:bookmarkEnd w:id="531"/>
      <w:bookmarkEnd w:id="532"/>
      <w:bookmarkEnd w:id="533"/>
      <w:bookmarkEnd w:id="534"/>
      <w:bookmarkEnd w:id="535"/>
    </w:p>
    <w:p w:rsidR="00000000" w:rsidRDefault="00000000">
      <w:pPr>
        <w:pStyle w:val="H23G"/>
        <w:rPr>
          <w:i/>
          <w:lang w:val="fr-FR"/>
        </w:rPr>
      </w:pPr>
      <w:bookmarkStart w:id="536" w:name="_Toc206414530"/>
      <w:bookmarkStart w:id="537" w:name="_Toc206460372"/>
      <w:bookmarkStart w:id="538" w:name="_Toc206460704"/>
      <w:bookmarkStart w:id="539" w:name="_Toc206461426"/>
      <w:bookmarkStart w:id="540" w:name="_Toc206476220"/>
      <w:bookmarkStart w:id="541" w:name="_Toc207788755"/>
      <w:bookmarkStart w:id="542" w:name="_Toc211835426"/>
      <w:bookmarkStart w:id="543" w:name="_Toc211926733"/>
      <w:r>
        <w:rPr>
          <w:lang w:val="fr-FR"/>
        </w:rPr>
        <w:tab/>
        <w:t>1.</w:t>
      </w:r>
      <w:r>
        <w:rPr>
          <w:lang w:val="fr-FR"/>
        </w:rPr>
        <w:tab/>
        <w:t>Analyse</w:t>
      </w:r>
      <w:r>
        <w:rPr>
          <w:i/>
          <w:lang w:val="fr-FR"/>
        </w:rPr>
        <w:t xml:space="preserve"> </w:t>
      </w:r>
      <w:r>
        <w:rPr>
          <w:lang w:val="fr-FR"/>
        </w:rPr>
        <w:t>situationnelle</w:t>
      </w:r>
      <w:bookmarkEnd w:id="536"/>
      <w:bookmarkEnd w:id="537"/>
      <w:bookmarkEnd w:id="538"/>
      <w:bookmarkEnd w:id="539"/>
      <w:bookmarkEnd w:id="540"/>
      <w:bookmarkEnd w:id="541"/>
      <w:bookmarkEnd w:id="542"/>
      <w:bookmarkEnd w:id="543"/>
    </w:p>
    <w:p w:rsidR="00000000" w:rsidRDefault="00000000">
      <w:pPr>
        <w:pStyle w:val="SingleTxtG"/>
        <w:rPr>
          <w:lang w:val="fr-FR"/>
        </w:rPr>
      </w:pPr>
      <w:r>
        <w:rPr>
          <w:lang w:val="fr-FR"/>
        </w:rPr>
        <w:t>224.</w:t>
      </w:r>
      <w:r>
        <w:rPr>
          <w:lang w:val="fr-FR"/>
        </w:rPr>
        <w:tab/>
        <w:t xml:space="preserve">Jusqu’en avril 2006 l’adoption a été régie par la loi </w:t>
      </w:r>
      <w:r>
        <w:rPr>
          <w:rFonts w:eastAsia="MS Mincho"/>
          <w:lang w:val="fr-FR"/>
        </w:rPr>
        <w:t>n</w:t>
      </w:r>
      <w:r>
        <w:rPr>
          <w:rFonts w:eastAsia="MS Mincho"/>
          <w:vertAlign w:val="superscript"/>
          <w:lang w:val="fr-FR"/>
        </w:rPr>
        <w:t>o</w:t>
      </w:r>
      <w:r>
        <w:rPr>
          <w:lang w:val="fr-FR"/>
        </w:rPr>
        <w:t xml:space="preserve"> 63-022 du 20 novembre 1963 sur la filiation, l’adoption, le rejet et la tutelle. Cette ancienne loi comportait des dispositions sur l’apparentement et le consentement de parents biologiques. Ce qui avait favorisé dans une certaine mesure une forme de trafic d’enfants à travers une adoption internationale.</w:t>
      </w:r>
    </w:p>
    <w:p w:rsidR="00000000" w:rsidRDefault="00000000">
      <w:pPr>
        <w:pStyle w:val="SingleTxtG"/>
        <w:rPr>
          <w:lang w:val="fr-FR"/>
        </w:rPr>
      </w:pPr>
      <w:r>
        <w:rPr>
          <w:lang w:val="fr-FR"/>
        </w:rPr>
        <w:t>225.</w:t>
      </w:r>
      <w:r>
        <w:rPr>
          <w:lang w:val="fr-FR"/>
        </w:rPr>
        <w:tab/>
        <w:t xml:space="preserve">Des signalements et des plaintes pour séquestration d’enfants, de faux et d’usage de faux ont été enregistrés entre 2004 à 2005. </w:t>
      </w:r>
    </w:p>
    <w:p w:rsidR="00000000" w:rsidRDefault="00000000">
      <w:pPr>
        <w:pStyle w:val="SingleTxtG"/>
        <w:rPr>
          <w:lang w:val="fr-FR"/>
        </w:rPr>
      </w:pPr>
      <w:r>
        <w:rPr>
          <w:lang w:val="fr-FR"/>
        </w:rPr>
        <w:t>226.</w:t>
      </w:r>
      <w:r>
        <w:rPr>
          <w:lang w:val="fr-FR"/>
        </w:rPr>
        <w:tab/>
        <w:t xml:space="preserve">En 2004, le Service central de la Police des mœurs et de la protection des mineurs a reçu 17 plaintes et signalements dans ce sens dont 11 ont été traités. Cinq réseaux de trafiquants d’enfants ont pu être démantelés. </w:t>
      </w:r>
    </w:p>
    <w:p w:rsidR="00000000" w:rsidRDefault="00000000">
      <w:pPr>
        <w:pStyle w:val="SingleTxtG"/>
        <w:rPr>
          <w:lang w:val="fr-FR"/>
        </w:rPr>
      </w:pPr>
      <w:r>
        <w:rPr>
          <w:lang w:val="fr-FR"/>
        </w:rPr>
        <w:t>227.</w:t>
      </w:r>
      <w:r>
        <w:rPr>
          <w:lang w:val="fr-FR"/>
        </w:rPr>
        <w:tab/>
        <w:t>En 2005, 13 affaires sur 18 ont été traitées: 2 réseaux de trafiquants ont pu être démantelés.</w:t>
      </w:r>
    </w:p>
    <w:p w:rsidR="00000000" w:rsidRDefault="00000000">
      <w:pPr>
        <w:pStyle w:val="SingleTxtG"/>
        <w:rPr>
          <w:lang w:val="fr-FR"/>
        </w:rPr>
      </w:pPr>
      <w:r>
        <w:rPr>
          <w:lang w:val="fr-FR"/>
        </w:rPr>
        <w:t>228.</w:t>
      </w:r>
      <w:r>
        <w:rPr>
          <w:lang w:val="fr-FR"/>
        </w:rPr>
        <w:tab/>
        <w:t xml:space="preserve">En 2006, 2 affaires avaient été reçues. </w:t>
      </w:r>
    </w:p>
    <w:p w:rsidR="00000000" w:rsidRDefault="00000000">
      <w:pPr>
        <w:pStyle w:val="SingleTxtG"/>
        <w:rPr>
          <w:lang w:val="fr-FR"/>
        </w:rPr>
      </w:pPr>
      <w:r>
        <w:rPr>
          <w:lang w:val="fr-FR"/>
        </w:rPr>
        <w:t>229.</w:t>
      </w:r>
      <w:r>
        <w:rPr>
          <w:lang w:val="fr-FR"/>
        </w:rPr>
        <w:tab/>
        <w:t>Pendant ces trois années, sur les 43 enfants enlevés, 28 ont pu être remis aux parents légitimes tandis que 15 autres n’ont pas pu être récupérés.</w:t>
      </w:r>
    </w:p>
    <w:p w:rsidR="00000000" w:rsidRDefault="00000000">
      <w:pPr>
        <w:pStyle w:val="SingleTxtG"/>
        <w:rPr>
          <w:lang w:val="fr-FR"/>
        </w:rPr>
      </w:pPr>
      <w:r>
        <w:rPr>
          <w:lang w:val="fr-FR"/>
        </w:rPr>
        <w:t>230.</w:t>
      </w:r>
      <w:r>
        <w:rPr>
          <w:lang w:val="fr-FR"/>
        </w:rPr>
        <w:tab/>
        <w:t xml:space="preserve">Il faut signaler qu’à l’époque, une commission interministérielle sur l’adoption, chargé de procéder à l’examen préliminaire des dossiers de demande d’adoption judiciaire d’enfants malgache par des ressortissants étrangers a été créée par le décret </w:t>
      </w:r>
      <w:r>
        <w:rPr>
          <w:rFonts w:eastAsia="MS Mincho"/>
          <w:lang w:val="fr-FR"/>
        </w:rPr>
        <w:t>n</w:t>
      </w:r>
      <w:r>
        <w:rPr>
          <w:rFonts w:eastAsia="MS Mincho"/>
          <w:vertAlign w:val="superscript"/>
          <w:lang w:val="fr-FR"/>
        </w:rPr>
        <w:t>o</w:t>
      </w:r>
      <w:r>
        <w:rPr>
          <w:lang w:val="fr-FR"/>
        </w:rPr>
        <w:t xml:space="preserve"> 94 272 du 19 avril 1994. Face au développement préoccupant des cas de trafic d’enfants il a été pris la mesure de la remplacer par un comité ad hoc, avant l’adoption de la nouvelle loi régissant l’adoption.</w:t>
      </w:r>
    </w:p>
    <w:p w:rsidR="00000000" w:rsidRDefault="00000000">
      <w:pPr>
        <w:pStyle w:val="H23G"/>
        <w:rPr>
          <w:lang w:val="fr-FR"/>
        </w:rPr>
      </w:pPr>
      <w:bookmarkStart w:id="544" w:name="_Toc206414531"/>
      <w:bookmarkStart w:id="545" w:name="_Toc206460373"/>
      <w:bookmarkStart w:id="546" w:name="_Toc206460705"/>
      <w:bookmarkStart w:id="547" w:name="_Toc206461427"/>
      <w:bookmarkStart w:id="548" w:name="_Toc206476221"/>
      <w:bookmarkStart w:id="549" w:name="_Toc207788756"/>
      <w:bookmarkStart w:id="550" w:name="_Toc211835427"/>
      <w:bookmarkStart w:id="551" w:name="_Toc211926734"/>
      <w:r>
        <w:rPr>
          <w:lang w:val="fr-FR"/>
        </w:rPr>
        <w:tab/>
        <w:t>2.</w:t>
      </w:r>
      <w:r>
        <w:rPr>
          <w:lang w:val="fr-FR"/>
        </w:rPr>
        <w:tab/>
        <w:t>Cadre juridique</w:t>
      </w:r>
      <w:bookmarkEnd w:id="544"/>
      <w:bookmarkEnd w:id="545"/>
      <w:bookmarkEnd w:id="546"/>
      <w:bookmarkEnd w:id="547"/>
      <w:bookmarkEnd w:id="548"/>
      <w:bookmarkEnd w:id="549"/>
      <w:bookmarkEnd w:id="550"/>
      <w:bookmarkEnd w:id="551"/>
    </w:p>
    <w:p w:rsidR="00000000" w:rsidRDefault="00000000">
      <w:pPr>
        <w:pStyle w:val="SingleTxtG"/>
        <w:rPr>
          <w:lang w:val="fr-FR"/>
        </w:rPr>
      </w:pPr>
      <w:r>
        <w:rPr>
          <w:lang w:val="fr-FR"/>
        </w:rPr>
        <w:t>231.</w:t>
      </w:r>
      <w:r>
        <w:rPr>
          <w:lang w:val="fr-FR"/>
        </w:rPr>
        <w:tab/>
        <w:t xml:space="preserve">L’adoption est régie par la loi </w:t>
      </w:r>
      <w:r>
        <w:rPr>
          <w:rFonts w:eastAsia="MS Mincho"/>
          <w:lang w:val="fr-FR"/>
        </w:rPr>
        <w:t>n</w:t>
      </w:r>
      <w:r>
        <w:rPr>
          <w:rFonts w:eastAsia="MS Mincho"/>
          <w:vertAlign w:val="superscript"/>
          <w:lang w:val="fr-FR"/>
        </w:rPr>
        <w:t>o</w:t>
      </w:r>
      <w:r>
        <w:rPr>
          <w:lang w:val="fr-FR"/>
        </w:rPr>
        <w:t xml:space="preserve"> 2005-014 du 7 septembre 2005 et le décret d’application </w:t>
      </w:r>
      <w:r>
        <w:rPr>
          <w:rFonts w:eastAsia="MS Mincho"/>
          <w:lang w:val="fr-FR"/>
        </w:rPr>
        <w:t>n</w:t>
      </w:r>
      <w:r>
        <w:rPr>
          <w:rFonts w:eastAsia="MS Mincho"/>
          <w:vertAlign w:val="superscript"/>
          <w:lang w:val="fr-FR"/>
        </w:rPr>
        <w:t>o</w:t>
      </w:r>
      <w:r>
        <w:rPr>
          <w:lang w:val="fr-FR"/>
        </w:rPr>
        <w:t xml:space="preserve"> 2006-596 du 10 août 2006 réglementant les centres d’accueil en son titre II.</w:t>
      </w:r>
    </w:p>
    <w:p w:rsidR="00000000" w:rsidRDefault="00000000">
      <w:pPr>
        <w:pStyle w:val="SingleTxtG"/>
        <w:rPr>
          <w:lang w:val="fr-FR"/>
        </w:rPr>
      </w:pPr>
      <w:r>
        <w:rPr>
          <w:lang w:val="fr-FR"/>
        </w:rPr>
        <w:t>232.</w:t>
      </w:r>
      <w:r>
        <w:rPr>
          <w:lang w:val="fr-FR"/>
        </w:rPr>
        <w:tab/>
        <w:t xml:space="preserve">Le décret </w:t>
      </w:r>
      <w:r>
        <w:rPr>
          <w:rFonts w:eastAsia="MS Mincho"/>
          <w:lang w:val="fr-FR"/>
        </w:rPr>
        <w:t>n</w:t>
      </w:r>
      <w:r>
        <w:rPr>
          <w:rFonts w:eastAsia="MS Mincho"/>
          <w:vertAlign w:val="superscript"/>
          <w:lang w:val="fr-FR"/>
        </w:rPr>
        <w:t>o</w:t>
      </w:r>
      <w:r>
        <w:rPr>
          <w:lang w:val="fr-FR"/>
        </w:rPr>
        <w:t xml:space="preserve"> 2006-886 du 5 décembre 2006 réglemente la famille d’accueil.</w:t>
      </w:r>
    </w:p>
    <w:p w:rsidR="00000000" w:rsidRDefault="00000000">
      <w:pPr>
        <w:pStyle w:val="H4G"/>
        <w:rPr>
          <w:lang w:val="fr-FR"/>
        </w:rPr>
      </w:pPr>
      <w:r>
        <w:rPr>
          <w:lang w:val="fr-FR"/>
        </w:rPr>
        <w:tab/>
      </w:r>
      <w:r>
        <w:rPr>
          <w:lang w:val="fr-FR"/>
        </w:rPr>
        <w:tab/>
        <w:t>Autorités compétentes</w:t>
      </w:r>
    </w:p>
    <w:p w:rsidR="00000000" w:rsidRDefault="00000000">
      <w:pPr>
        <w:pStyle w:val="SingleTxtG"/>
        <w:rPr>
          <w:lang w:val="fr-FR"/>
        </w:rPr>
      </w:pPr>
      <w:r>
        <w:rPr>
          <w:lang w:val="fr-FR"/>
        </w:rPr>
        <w:t>233.</w:t>
      </w:r>
      <w:r>
        <w:rPr>
          <w:lang w:val="fr-FR"/>
        </w:rPr>
        <w:tab/>
        <w:t>Suivant la nouvelle loi, l'autorité centrale est l’organe clé de l’adoption à Madagascar. Cette institution est composée d’un bureau permanent (secrétariat administratif et technique et cellule d’experts) et d’un comité consultatif composé de représentants des ministères de la population, de la justice, des affaires étrangères, de l’intérieur, de la sécurité publique, de la décentralisation et de la santé.</w:t>
      </w:r>
    </w:p>
    <w:p w:rsidR="00000000" w:rsidRDefault="00000000">
      <w:pPr>
        <w:pStyle w:val="H4G"/>
        <w:rPr>
          <w:lang w:val="fr-FR"/>
        </w:rPr>
      </w:pPr>
      <w:r>
        <w:rPr>
          <w:lang w:val="fr-FR"/>
        </w:rPr>
        <w:tab/>
      </w:r>
      <w:r>
        <w:rPr>
          <w:lang w:val="fr-FR"/>
        </w:rPr>
        <w:tab/>
        <w:t>Procédures</w:t>
      </w:r>
    </w:p>
    <w:p w:rsidR="00000000" w:rsidRDefault="00000000">
      <w:pPr>
        <w:pStyle w:val="SingleTxtG"/>
        <w:rPr>
          <w:lang w:val="fr-FR"/>
        </w:rPr>
      </w:pPr>
      <w:r>
        <w:rPr>
          <w:lang w:val="fr-FR"/>
        </w:rPr>
        <w:t>234.</w:t>
      </w:r>
      <w:r>
        <w:rPr>
          <w:lang w:val="fr-FR"/>
        </w:rPr>
        <w:tab/>
        <w:t>L'autorité centrale assure la phase administrative de l’adoption, et la juridiction compétente est en charge de la phase judiciaire de la procédure.</w:t>
      </w:r>
    </w:p>
    <w:p w:rsidR="00000000" w:rsidRDefault="00000000">
      <w:pPr>
        <w:pStyle w:val="SingleTxtG"/>
        <w:rPr>
          <w:lang w:val="fr-FR"/>
        </w:rPr>
      </w:pPr>
      <w:r>
        <w:rPr>
          <w:lang w:val="fr-FR"/>
        </w:rPr>
        <w:t>235.</w:t>
      </w:r>
      <w:r>
        <w:rPr>
          <w:lang w:val="fr-FR"/>
        </w:rPr>
        <w:tab/>
        <w:t xml:space="preserve">Dans le cas d’enfant abandonné, une procédure judiciaire doit établir son abandon et son adoptabilité. S’il y a remise volontaire de l’enfant par les parents biologiques, leur consentement éclairé doit être donné devant le juge. Les parents disposent d’un délai de six mois pour se rétracter. </w:t>
      </w:r>
    </w:p>
    <w:p w:rsidR="00000000" w:rsidRDefault="00000000">
      <w:pPr>
        <w:pStyle w:val="SingleTxtG"/>
        <w:rPr>
          <w:lang w:val="fr-FR"/>
        </w:rPr>
      </w:pPr>
      <w:r>
        <w:rPr>
          <w:lang w:val="fr-FR"/>
        </w:rPr>
        <w:t>236.</w:t>
      </w:r>
      <w:r>
        <w:rPr>
          <w:lang w:val="fr-FR"/>
        </w:rPr>
        <w:tab/>
        <w:t>Dans la plupart des cas, les enfants adoptés sont des enfants en bas âge toutefois pour les enfants en âge de comprendre leur situation familiale, ils doivent aussi être éclairés et leur opinion tenue en compte.</w:t>
      </w:r>
    </w:p>
    <w:p w:rsidR="00000000" w:rsidRDefault="00000000">
      <w:pPr>
        <w:pStyle w:val="H4G"/>
        <w:rPr>
          <w:lang w:val="fr-FR"/>
        </w:rPr>
      </w:pPr>
      <w:r>
        <w:rPr>
          <w:lang w:val="fr-FR"/>
        </w:rPr>
        <w:tab/>
      </w:r>
      <w:r>
        <w:rPr>
          <w:lang w:val="fr-FR"/>
        </w:rPr>
        <w:tab/>
        <w:t>Garanties et mécanismes de suivi pour protéger l’enfant</w:t>
      </w:r>
    </w:p>
    <w:p w:rsidR="00000000" w:rsidRDefault="00000000">
      <w:pPr>
        <w:pStyle w:val="SingleTxtG"/>
        <w:rPr>
          <w:lang w:val="fr-FR"/>
        </w:rPr>
      </w:pPr>
      <w:r>
        <w:rPr>
          <w:lang w:val="fr-FR"/>
        </w:rPr>
        <w:t>237.</w:t>
      </w:r>
      <w:r>
        <w:rPr>
          <w:lang w:val="fr-FR"/>
        </w:rPr>
        <w:tab/>
        <w:t>Les parents adoptifs sont tenus de fournir des dossiers sur leur moralité, sur le fondement de leur couple (acte de mariage), sur leur revenu et cadre de vie. Durant la phase administrative, l’examen du dossier des parents adoptifs par les membres de l'autorité centrale peut aboutir à un rejet.</w:t>
      </w:r>
    </w:p>
    <w:p w:rsidR="00000000" w:rsidRDefault="00000000">
      <w:pPr>
        <w:pStyle w:val="SingleTxtG"/>
        <w:rPr>
          <w:lang w:val="fr-FR"/>
        </w:rPr>
      </w:pPr>
      <w:r>
        <w:rPr>
          <w:lang w:val="fr-FR"/>
        </w:rPr>
        <w:t>238.</w:t>
      </w:r>
      <w:r>
        <w:rPr>
          <w:lang w:val="fr-FR"/>
        </w:rPr>
        <w:tab/>
        <w:t>Si le dossier est recevable, l'autorité centrale procède à l’attribution de l’enfant. Les parents adoptifs ont six mois pour accepter ou refuser l’apparentement. En cas de non</w:t>
      </w:r>
      <w:r>
        <w:rPr>
          <w:lang w:val="fr-FR"/>
        </w:rPr>
        <w:noBreakHyphen/>
        <w:t>acceptation, la procédure est close.</w:t>
      </w:r>
    </w:p>
    <w:p w:rsidR="00000000" w:rsidRDefault="00000000">
      <w:pPr>
        <w:pStyle w:val="SingleTxtG"/>
        <w:rPr>
          <w:lang w:val="fr-FR"/>
        </w:rPr>
      </w:pPr>
      <w:r>
        <w:rPr>
          <w:lang w:val="fr-FR"/>
        </w:rPr>
        <w:t>239.</w:t>
      </w:r>
      <w:r>
        <w:rPr>
          <w:lang w:val="fr-FR"/>
        </w:rPr>
        <w:tab/>
        <w:t>Une fois l’adoption prononcée, elle est reconnue de plein droit par les autres États ayant ratifié la Convention de La Haye sur la coopération et la protection des enfants en matière d’adoption internationale du 29 mai 1993.</w:t>
      </w:r>
    </w:p>
    <w:p w:rsidR="00000000" w:rsidRDefault="00000000">
      <w:pPr>
        <w:pStyle w:val="SingleTxtG"/>
        <w:rPr>
          <w:lang w:val="fr-FR"/>
        </w:rPr>
      </w:pPr>
      <w:r>
        <w:rPr>
          <w:lang w:val="fr-FR"/>
        </w:rPr>
        <w:t>240.</w:t>
      </w:r>
      <w:r>
        <w:rPr>
          <w:lang w:val="fr-FR"/>
        </w:rPr>
        <w:tab/>
        <w:t xml:space="preserve">Les parents adoptifs sont tenus de toutes les obligations parentales vis-à-vis de l’enfant. Si les époux résident à l’étranger, ils sont tenus d’envoyer tous les six mois pendant la première année et annuellement pour les années suivantes un rapport relatif à l’intégration de l’enfant jusqu’à sa majorité, par le biais de l'autorité centrale du pays d’accueil qui se charge de l’envoyer à l'autorité centrale Malagasy. </w:t>
      </w:r>
    </w:p>
    <w:p w:rsidR="00000000" w:rsidRDefault="00000000">
      <w:pPr>
        <w:pStyle w:val="H4G"/>
        <w:rPr>
          <w:lang w:val="fr-FR"/>
        </w:rPr>
      </w:pPr>
      <w:r>
        <w:rPr>
          <w:lang w:val="fr-FR"/>
        </w:rPr>
        <w:tab/>
      </w:r>
      <w:r>
        <w:rPr>
          <w:lang w:val="fr-FR"/>
        </w:rPr>
        <w:tab/>
        <w:t>Effets de l’adoption sur l’enfant</w:t>
      </w:r>
    </w:p>
    <w:p w:rsidR="00000000" w:rsidRDefault="00000000">
      <w:pPr>
        <w:pStyle w:val="SingleTxtG"/>
        <w:rPr>
          <w:lang w:val="fr-FR"/>
        </w:rPr>
      </w:pPr>
      <w:r>
        <w:rPr>
          <w:lang w:val="fr-FR"/>
        </w:rPr>
        <w:t>241.</w:t>
      </w:r>
      <w:r>
        <w:rPr>
          <w:lang w:val="fr-FR"/>
        </w:rPr>
        <w:tab/>
        <w:t>L’adoption plénière provoquant une rupture des liens de parenté entre l’enfant et ses parents biologiques, est irrévocable et confère à l’enfant le statut d’enfant légitime au sein de sa famille adoptive. Mention de l’adoption est faite en marge de l’acte de naissance de l’enfant adopté.</w:t>
      </w:r>
    </w:p>
    <w:p w:rsidR="00000000" w:rsidRDefault="00000000">
      <w:pPr>
        <w:pStyle w:val="SingleTxtG"/>
        <w:keepNext/>
        <w:keepLines/>
        <w:rPr>
          <w:lang w:val="fr-FR"/>
        </w:rPr>
      </w:pPr>
      <w:r>
        <w:rPr>
          <w:lang w:val="fr-FR"/>
        </w:rPr>
        <w:t>242.</w:t>
      </w:r>
      <w:r>
        <w:rPr>
          <w:lang w:val="fr-FR"/>
        </w:rPr>
        <w:tab/>
        <w:t>La loi prévoit la constitution d’une banque de données sur les informations concernant l’origine des enfants adoptés auprès de l'autorité centrale. Ces informations sont confidentielles et seuls les intéressés et leurs descendants peuvent y avoir accès sur demande (art. 73).</w:t>
      </w:r>
    </w:p>
    <w:p w:rsidR="00000000" w:rsidRDefault="00000000">
      <w:pPr>
        <w:pStyle w:val="H4G"/>
        <w:rPr>
          <w:lang w:val="fr-FR"/>
        </w:rPr>
      </w:pPr>
      <w:r>
        <w:rPr>
          <w:lang w:val="fr-FR"/>
        </w:rPr>
        <w:tab/>
      </w:r>
      <w:r>
        <w:rPr>
          <w:lang w:val="fr-FR"/>
        </w:rPr>
        <w:tab/>
        <w:t>Principe de subsidiarité de l’adoption internationale</w:t>
      </w:r>
    </w:p>
    <w:p w:rsidR="00000000" w:rsidRDefault="00000000">
      <w:pPr>
        <w:pStyle w:val="SingleTxtG"/>
        <w:rPr>
          <w:lang w:val="fr-FR"/>
        </w:rPr>
      </w:pPr>
      <w:r>
        <w:rPr>
          <w:lang w:val="fr-FR"/>
        </w:rPr>
        <w:t>243.</w:t>
      </w:r>
      <w:r>
        <w:rPr>
          <w:lang w:val="fr-FR"/>
        </w:rPr>
        <w:tab/>
        <w:t>L’adoption internationale ne doit intervenir qu’en dernier ressort et ce, après avoir épuisé les différentes alternatives possibles pour l’enfant dans son pays d’origine, à savoir le maintien dans sa famille d’origine, le placement dans la famille élargie ou une adoption nationale. Elle doit, dans tous les cas, être décidée en tenant toujours compte de l’intérêt supérieur de l’enfant.</w:t>
      </w:r>
    </w:p>
    <w:p w:rsidR="00000000" w:rsidRDefault="00000000">
      <w:pPr>
        <w:pStyle w:val="H4G"/>
        <w:rPr>
          <w:lang w:val="fr-FR"/>
        </w:rPr>
      </w:pPr>
      <w:r>
        <w:rPr>
          <w:lang w:val="fr-FR"/>
        </w:rPr>
        <w:tab/>
      </w:r>
      <w:r>
        <w:rPr>
          <w:lang w:val="fr-FR"/>
        </w:rPr>
        <w:tab/>
        <w:t>Légalité de l’adoption à l’étranger</w:t>
      </w:r>
    </w:p>
    <w:p w:rsidR="00000000" w:rsidRDefault="00000000">
      <w:pPr>
        <w:pStyle w:val="SingleTxtG"/>
        <w:rPr>
          <w:lang w:val="fr-FR"/>
        </w:rPr>
      </w:pPr>
      <w:r>
        <w:rPr>
          <w:lang w:val="fr-FR"/>
        </w:rPr>
        <w:t>244.</w:t>
      </w:r>
      <w:r>
        <w:rPr>
          <w:lang w:val="fr-FR"/>
        </w:rPr>
        <w:tab/>
        <w:t xml:space="preserve">Pour assurer la légalité des procédures d’adoption internationale, la loi </w:t>
      </w:r>
      <w:r>
        <w:rPr>
          <w:rFonts w:eastAsia="MS Mincho"/>
          <w:lang w:val="fr-FR"/>
        </w:rPr>
        <w:t>n</w:t>
      </w:r>
      <w:r>
        <w:rPr>
          <w:rFonts w:eastAsia="MS Mincho"/>
          <w:vertAlign w:val="superscript"/>
          <w:lang w:val="fr-FR"/>
        </w:rPr>
        <w:t>o</w:t>
      </w:r>
      <w:r>
        <w:rPr>
          <w:lang w:val="fr-FR"/>
        </w:rPr>
        <w:t xml:space="preserve"> 2005</w:t>
      </w:r>
      <w:r>
        <w:rPr>
          <w:lang w:val="fr-FR"/>
        </w:rPr>
        <w:noBreakHyphen/>
        <w:t>014, dispose que les centres d’accueil doivent satisfaire notamment aux conditions précises sur la disposition d’infrastructures et de personnels qualifiés, et sur l’agrément de reconnaissance de buts à vocation sociale constaté par arrêté ministériel, et d’un agrément spécifique pour l’adoption délivré par l'autorité centrale.</w:t>
      </w:r>
    </w:p>
    <w:p w:rsidR="00000000" w:rsidRDefault="00000000">
      <w:pPr>
        <w:pStyle w:val="SingleTxtG"/>
        <w:rPr>
          <w:lang w:val="fr-FR"/>
        </w:rPr>
      </w:pPr>
      <w:r>
        <w:rPr>
          <w:lang w:val="fr-FR"/>
        </w:rPr>
        <w:t>245.</w:t>
      </w:r>
      <w:r>
        <w:rPr>
          <w:lang w:val="fr-FR"/>
        </w:rPr>
        <w:tab/>
        <w:t>Elle prévoit aussi que toute demande d’adoption internationale doit passer par l'autorité centrale du pays d’accueil qui transmettra le dossier auprès de la représentation diplomatique de Madagascar, à charge pour cette dernière d’acheminer le dossier au Ministère des affaires étrangères malagasy qui le transmet ensuite à l'autorité centrale.</w:t>
      </w:r>
    </w:p>
    <w:p w:rsidR="00000000" w:rsidRDefault="00000000">
      <w:pPr>
        <w:pStyle w:val="SingleTxtG"/>
        <w:rPr>
          <w:lang w:val="fr-FR"/>
        </w:rPr>
      </w:pPr>
      <w:r>
        <w:rPr>
          <w:lang w:val="fr-FR"/>
        </w:rPr>
        <w:t>246.</w:t>
      </w:r>
      <w:r>
        <w:rPr>
          <w:lang w:val="fr-FR"/>
        </w:rPr>
        <w:tab/>
        <w:t>L’article 72 prévoit la possibilité d’un accord de coopération entre l'autorité centrale du pays d’accueil et l'autorité centrale malgache. Actuellement, l'autorité centrale de Madagascar a déjà fait une démarche auprès de l’autorité centrale des pays où résident la grande majorité des parents désirant adopter des enfants malagasys. À savoir, la France par le biais de l’AFA, la Belgique et la Suède.</w:t>
      </w:r>
    </w:p>
    <w:p w:rsidR="00000000" w:rsidRDefault="00000000">
      <w:pPr>
        <w:pStyle w:val="H23G"/>
        <w:rPr>
          <w:lang w:val="fr-FR"/>
        </w:rPr>
      </w:pPr>
      <w:r>
        <w:rPr>
          <w:lang w:val="fr-FR"/>
        </w:rPr>
        <w:tab/>
        <w:t>3.</w:t>
      </w:r>
      <w:r>
        <w:rPr>
          <w:lang w:val="fr-FR"/>
        </w:rPr>
        <w:tab/>
        <w:t>Progrès réalisés dans l’application de l’article 21, les difficultés rencontrées, et les perspectives</w:t>
      </w:r>
    </w:p>
    <w:p w:rsidR="00000000" w:rsidRDefault="00000000">
      <w:pPr>
        <w:pStyle w:val="SingleTxtG"/>
        <w:rPr>
          <w:lang w:val="fr-FR"/>
        </w:rPr>
      </w:pPr>
      <w:r>
        <w:rPr>
          <w:lang w:val="fr-FR"/>
        </w:rPr>
        <w:t>247.</w:t>
      </w:r>
      <w:r>
        <w:rPr>
          <w:lang w:val="fr-FR"/>
        </w:rPr>
        <w:tab/>
        <w:t xml:space="preserve">L’adoption de la loi </w:t>
      </w:r>
      <w:r>
        <w:rPr>
          <w:rFonts w:eastAsia="MS Mincho"/>
          <w:lang w:val="fr-FR"/>
        </w:rPr>
        <w:t>n</w:t>
      </w:r>
      <w:r>
        <w:rPr>
          <w:rFonts w:eastAsia="MS Mincho"/>
          <w:vertAlign w:val="superscript"/>
          <w:lang w:val="fr-FR"/>
        </w:rPr>
        <w:t>o</w:t>
      </w:r>
      <w:r>
        <w:rPr>
          <w:lang w:val="fr-FR"/>
        </w:rPr>
        <w:t xml:space="preserve"> 2005</w:t>
      </w:r>
      <w:r>
        <w:rPr>
          <w:lang w:val="fr-FR"/>
        </w:rPr>
        <w:noBreakHyphen/>
        <w:t>014 du 7 septembre 2005 constitue une mesure positive dans l’application de l’article 21 de la Convention.</w:t>
      </w:r>
    </w:p>
    <w:p w:rsidR="00000000" w:rsidRDefault="00000000">
      <w:pPr>
        <w:pStyle w:val="SingleTxtG"/>
        <w:rPr>
          <w:lang w:val="fr-FR"/>
        </w:rPr>
      </w:pPr>
      <w:r>
        <w:rPr>
          <w:lang w:val="fr-FR"/>
        </w:rPr>
        <w:t>248.</w:t>
      </w:r>
      <w:r>
        <w:rPr>
          <w:lang w:val="fr-FR"/>
        </w:rPr>
        <w:tab/>
        <w:t>Les principales innovations apportées par cette loi résident dans les points suivants:</w:t>
      </w:r>
    </w:p>
    <w:p w:rsidR="00000000" w:rsidRDefault="00000000">
      <w:pPr>
        <w:pStyle w:val="Bullet1G"/>
        <w:rPr>
          <w:lang w:val="fr-FR"/>
        </w:rPr>
      </w:pPr>
      <w:r>
        <w:rPr>
          <w:lang w:val="fr-FR"/>
        </w:rPr>
        <w:t>La primauté de l’intérêt supérieur de l’enfant dans la décision judiciaire;</w:t>
      </w:r>
    </w:p>
    <w:p w:rsidR="00000000" w:rsidRDefault="00000000">
      <w:pPr>
        <w:pStyle w:val="Bullet1G"/>
        <w:rPr>
          <w:lang w:val="fr-FR"/>
        </w:rPr>
      </w:pPr>
      <w:r>
        <w:rPr>
          <w:lang w:val="fr-FR"/>
        </w:rPr>
        <w:t>Le principe de subsidiarité de l’adoption internationale (dernier recours);</w:t>
      </w:r>
    </w:p>
    <w:p w:rsidR="00000000" w:rsidRDefault="00000000">
      <w:pPr>
        <w:pStyle w:val="Bullet1G"/>
        <w:rPr>
          <w:lang w:val="fr-FR"/>
        </w:rPr>
      </w:pPr>
      <w:r>
        <w:rPr>
          <w:lang w:val="fr-FR"/>
        </w:rPr>
        <w:t>Le respect du principe de non-discrimination: aucun enfant ne doit être priorisé au détriment des autres.</w:t>
      </w:r>
    </w:p>
    <w:p w:rsidR="00000000" w:rsidRDefault="00000000">
      <w:pPr>
        <w:pStyle w:val="H23G"/>
        <w:rPr>
          <w:lang w:val="fr-FR"/>
        </w:rPr>
      </w:pPr>
      <w:r>
        <w:rPr>
          <w:lang w:val="fr-FR"/>
        </w:rPr>
        <w:tab/>
        <w:t>4.</w:t>
      </w:r>
      <w:r>
        <w:rPr>
          <w:lang w:val="fr-FR"/>
        </w:rPr>
        <w:tab/>
        <w:t>Établissement de la liste des enfants adoptables</w:t>
      </w:r>
    </w:p>
    <w:p w:rsidR="00000000" w:rsidRDefault="00000000">
      <w:pPr>
        <w:pStyle w:val="SingleTxtG"/>
        <w:rPr>
          <w:lang w:val="fr-FR"/>
        </w:rPr>
      </w:pPr>
      <w:r>
        <w:rPr>
          <w:lang w:val="fr-FR"/>
        </w:rPr>
        <w:t>249.</w:t>
      </w:r>
      <w:r>
        <w:rPr>
          <w:lang w:val="fr-FR"/>
        </w:rPr>
        <w:tab/>
        <w:t>Seuls les époux hétérosexuels sont autorisés à adopter.</w:t>
      </w:r>
    </w:p>
    <w:p w:rsidR="00000000" w:rsidRDefault="00000000">
      <w:pPr>
        <w:pStyle w:val="SingleTxtG"/>
        <w:rPr>
          <w:lang w:val="fr-FR"/>
        </w:rPr>
      </w:pPr>
      <w:r>
        <w:rPr>
          <w:lang w:val="fr-FR"/>
        </w:rPr>
        <w:t>250.</w:t>
      </w:r>
      <w:r>
        <w:rPr>
          <w:lang w:val="fr-FR"/>
        </w:rPr>
        <w:tab/>
        <w:t>Le consentement éclairé des parents biologiques à l’adoption doit être donné devant le juge des enfants et il est rétractable dans le délai de 6 mois.</w:t>
      </w:r>
    </w:p>
    <w:p w:rsidR="00000000" w:rsidRDefault="00000000">
      <w:pPr>
        <w:pStyle w:val="SingleTxtG"/>
        <w:rPr>
          <w:lang w:val="fr-FR"/>
        </w:rPr>
      </w:pPr>
      <w:r>
        <w:rPr>
          <w:lang w:val="fr-FR"/>
        </w:rPr>
        <w:t>251.</w:t>
      </w:r>
      <w:r>
        <w:rPr>
          <w:lang w:val="fr-FR"/>
        </w:rPr>
        <w:tab/>
        <w:t>Un rapport d’adoptabilité doit être établi afin de réaliser un apparentement tenant compte de l’intérêt supérieur de l’enfant.</w:t>
      </w:r>
    </w:p>
    <w:p w:rsidR="00000000" w:rsidRDefault="00000000">
      <w:pPr>
        <w:pStyle w:val="SingleTxtG"/>
        <w:rPr>
          <w:lang w:val="fr-FR"/>
        </w:rPr>
      </w:pPr>
      <w:r>
        <w:rPr>
          <w:lang w:val="fr-FR"/>
        </w:rPr>
        <w:t>252.</w:t>
      </w:r>
      <w:r>
        <w:rPr>
          <w:lang w:val="fr-FR"/>
        </w:rPr>
        <w:tab/>
        <w:t xml:space="preserve">La législation sur l’adoption accompagnée des décrets de son application fut diffusée à 1 500 exemplaires </w:t>
      </w:r>
    </w:p>
    <w:p w:rsidR="00000000" w:rsidRDefault="00000000">
      <w:pPr>
        <w:pStyle w:val="SingleTxtG"/>
        <w:rPr>
          <w:lang w:val="fr-FR"/>
        </w:rPr>
      </w:pPr>
      <w:r>
        <w:rPr>
          <w:lang w:val="fr-FR"/>
        </w:rPr>
        <w:t>253.</w:t>
      </w:r>
      <w:r>
        <w:rPr>
          <w:lang w:val="fr-FR"/>
        </w:rPr>
        <w:tab/>
        <w:t>Des séances d’informations et de renforcement des capacités des acteurs concernés au niveau de 192 centres d’accueil ont été tenues. Il en est de même pour les membres de l’autorité centrale.</w:t>
      </w:r>
    </w:p>
    <w:p w:rsidR="00000000" w:rsidRDefault="00000000">
      <w:pPr>
        <w:pStyle w:val="SingleTxtG"/>
        <w:rPr>
          <w:lang w:val="fr-FR"/>
        </w:rPr>
      </w:pPr>
      <w:r>
        <w:rPr>
          <w:lang w:val="fr-FR"/>
        </w:rPr>
        <w:t>254.</w:t>
      </w:r>
      <w:r>
        <w:rPr>
          <w:lang w:val="fr-FR"/>
        </w:rPr>
        <w:tab/>
        <w:t>Concernant les difficultés rencontrées, la grande majorité des contraintes résident dans le fonctionnement pratique de l'autorité centrale, qui ne dispose pas encore d’un budget de fonctionnement.</w:t>
      </w:r>
    </w:p>
    <w:p w:rsidR="00000000" w:rsidRDefault="00000000">
      <w:pPr>
        <w:pStyle w:val="SingleTxtG"/>
        <w:rPr>
          <w:lang w:val="fr-FR"/>
        </w:rPr>
      </w:pPr>
      <w:r>
        <w:rPr>
          <w:lang w:val="fr-FR"/>
        </w:rPr>
        <w:t>255.</w:t>
      </w:r>
      <w:r>
        <w:rPr>
          <w:lang w:val="fr-FR"/>
        </w:rPr>
        <w:tab/>
        <w:t>La contribution financière des parents adoptifs, strictement réglementée par la loi relative à l’adoption, a subi des modifications.</w:t>
      </w:r>
    </w:p>
    <w:p w:rsidR="00000000" w:rsidRDefault="00000000">
      <w:pPr>
        <w:pStyle w:val="SingleTxtG"/>
        <w:rPr>
          <w:lang w:val="fr-FR"/>
        </w:rPr>
      </w:pPr>
      <w:r>
        <w:rPr>
          <w:lang w:val="fr-FR"/>
        </w:rPr>
        <w:t>256.</w:t>
      </w:r>
      <w:r>
        <w:rPr>
          <w:lang w:val="fr-FR"/>
        </w:rPr>
        <w:tab/>
        <w:t>Pour favoriser l’adoption nationale cette contribution a été réduite: de 1 500 000 ariary elle est ramenée à 200 000 ariary.</w:t>
      </w:r>
    </w:p>
    <w:p w:rsidR="00000000" w:rsidRDefault="00000000">
      <w:pPr>
        <w:pStyle w:val="SingleTxtG"/>
        <w:rPr>
          <w:lang w:val="fr-FR"/>
        </w:rPr>
      </w:pPr>
      <w:r>
        <w:rPr>
          <w:lang w:val="fr-FR"/>
        </w:rPr>
        <w:t>257.</w:t>
      </w:r>
      <w:r>
        <w:rPr>
          <w:lang w:val="fr-FR"/>
        </w:rPr>
        <w:tab/>
        <w:t>Jusqu’à l’acceptation par les adoptants, les dépenses d’entretien de l’enfant sont à la charge de l’institution ou de la famille d’accueil. Ensuite, tous les frais sont à la charge du requérant. La contribution financière de l’institution ou de la famille d’accueil qui a accueilli l’enfant est adressée à l'autorité centrale. Elle est de l’ordre de 800 euros pour l’adoption internationale et de 1 500 000 ariary pour l’adoption nationale. Une bonne partie des centres d’accueil sont résistants au changement, du fait que la nouvelle loi modifie les conditions d’octroi des contributions financières des parents adoptifs. L’apparentement relevant désormais de l'autorité centrale, l’octroi de la contribution financière intervient seulement après acceptation de l’enfant attribué par les parents adoptifs, ce qui a des répercussions sur la gestion financière des centres.</w:t>
      </w:r>
    </w:p>
    <w:p w:rsidR="00000000" w:rsidRDefault="00000000">
      <w:pPr>
        <w:pStyle w:val="SingleTxtG"/>
        <w:rPr>
          <w:lang w:val="fr-FR"/>
        </w:rPr>
      </w:pPr>
      <w:r>
        <w:rPr>
          <w:lang w:val="fr-FR"/>
        </w:rPr>
        <w:t>258.</w:t>
      </w:r>
      <w:r>
        <w:rPr>
          <w:lang w:val="fr-FR"/>
        </w:rPr>
        <w:tab/>
        <w:t>Seuls 11 centres ont obtenu l’agrément à vocation sociale et 3 l’agrément pour adoption.</w:t>
      </w:r>
    </w:p>
    <w:p w:rsidR="00000000" w:rsidRDefault="00000000">
      <w:pPr>
        <w:pStyle w:val="H23G"/>
        <w:rPr>
          <w:lang w:val="fr-FR"/>
        </w:rPr>
      </w:pPr>
      <w:r>
        <w:rPr>
          <w:lang w:val="fr-FR"/>
        </w:rPr>
        <w:tab/>
        <w:t>5.</w:t>
      </w:r>
      <w:r>
        <w:rPr>
          <w:lang w:val="fr-FR"/>
        </w:rPr>
        <w:tab/>
        <w:t>Perspectives</w:t>
      </w:r>
    </w:p>
    <w:p w:rsidR="00000000" w:rsidRDefault="00000000">
      <w:pPr>
        <w:pStyle w:val="SingleTxtG"/>
        <w:rPr>
          <w:lang w:val="fr-FR"/>
        </w:rPr>
      </w:pPr>
      <w:r>
        <w:rPr>
          <w:lang w:val="fr-FR"/>
        </w:rPr>
        <w:t>259.</w:t>
      </w:r>
      <w:r>
        <w:rPr>
          <w:lang w:val="fr-FR"/>
        </w:rPr>
        <w:tab/>
        <w:t xml:space="preserve">Les perspectives suivantes ont été identifiées: </w:t>
      </w:r>
    </w:p>
    <w:p w:rsidR="00000000" w:rsidRDefault="00000000">
      <w:pPr>
        <w:pStyle w:val="Bullet1G"/>
        <w:rPr>
          <w:lang w:val="fr-FR"/>
        </w:rPr>
      </w:pPr>
      <w:r>
        <w:rPr>
          <w:lang w:val="fr-FR"/>
        </w:rPr>
        <w:t>Poursuivre la vulgarisation des nouveaux textes relatifs à l’adoption;</w:t>
      </w:r>
    </w:p>
    <w:p w:rsidR="00000000" w:rsidRDefault="00000000">
      <w:pPr>
        <w:pStyle w:val="Bullet1G"/>
        <w:rPr>
          <w:lang w:val="fr-FR"/>
        </w:rPr>
      </w:pPr>
      <w:r>
        <w:rPr>
          <w:lang w:val="fr-FR"/>
        </w:rPr>
        <w:t>Assurer la formation des parties prenantes;</w:t>
      </w:r>
    </w:p>
    <w:p w:rsidR="00000000" w:rsidRDefault="00000000">
      <w:pPr>
        <w:pStyle w:val="Bullet1G"/>
        <w:rPr>
          <w:lang w:val="fr-FR"/>
        </w:rPr>
      </w:pPr>
      <w:r>
        <w:rPr>
          <w:lang w:val="fr-FR"/>
        </w:rPr>
        <w:t>Conclure des accords de coopération avec les autorités centrales des pays ayant ratifié la Convention de La Haye;</w:t>
      </w:r>
    </w:p>
    <w:p w:rsidR="00000000" w:rsidRDefault="00000000">
      <w:pPr>
        <w:pStyle w:val="Bullet1G"/>
        <w:rPr>
          <w:lang w:val="fr-FR"/>
        </w:rPr>
      </w:pPr>
      <w:r>
        <w:rPr>
          <w:lang w:val="fr-FR"/>
        </w:rPr>
        <w:t>Doter l’autorité centrale d’un budget de fonctionnement;</w:t>
      </w:r>
    </w:p>
    <w:p w:rsidR="00000000" w:rsidRDefault="00000000">
      <w:pPr>
        <w:pStyle w:val="Bullet1G"/>
        <w:rPr>
          <w:lang w:val="fr-FR"/>
        </w:rPr>
      </w:pPr>
      <w:r>
        <w:rPr>
          <w:lang w:val="fr-FR"/>
        </w:rPr>
        <w:t>Mettre en place une base de données portant sur l’origine des enfants ainsi que le suivi post adoption;</w:t>
      </w:r>
    </w:p>
    <w:p w:rsidR="00000000" w:rsidRDefault="00000000">
      <w:pPr>
        <w:pStyle w:val="Bullet1G"/>
        <w:rPr>
          <w:lang w:val="fr-FR"/>
        </w:rPr>
      </w:pPr>
      <w:r>
        <w:rPr>
          <w:lang w:val="fr-FR"/>
        </w:rPr>
        <w:t>Promouvoir le système des familles d’accueil.</w:t>
      </w:r>
    </w:p>
    <w:p w:rsidR="00000000" w:rsidRDefault="00000000">
      <w:pPr>
        <w:pStyle w:val="H1G"/>
        <w:rPr>
          <w:lang w:val="fr-FR"/>
        </w:rPr>
      </w:pPr>
      <w:bookmarkStart w:id="552" w:name="_Toc206414532"/>
      <w:bookmarkStart w:id="553" w:name="_Toc206460374"/>
      <w:bookmarkStart w:id="554" w:name="_Toc206460706"/>
      <w:bookmarkStart w:id="555" w:name="_Toc206461428"/>
      <w:bookmarkStart w:id="556" w:name="_Toc206476222"/>
      <w:bookmarkStart w:id="557" w:name="_Toc207788757"/>
      <w:bookmarkStart w:id="558" w:name="_Toc211835428"/>
      <w:bookmarkStart w:id="559" w:name="_Toc211926735"/>
      <w:r>
        <w:rPr>
          <w:lang w:val="fr-FR"/>
        </w:rPr>
        <w:tab/>
      </w:r>
      <w:bookmarkStart w:id="560" w:name="_Toc260298244"/>
      <w:r>
        <w:rPr>
          <w:lang w:val="fr-FR"/>
        </w:rPr>
        <w:t>I.</w:t>
      </w:r>
      <w:r>
        <w:rPr>
          <w:lang w:val="fr-FR"/>
        </w:rPr>
        <w:tab/>
        <w:t>Examen périodique du placement</w:t>
      </w:r>
      <w:bookmarkEnd w:id="552"/>
      <w:bookmarkEnd w:id="553"/>
      <w:bookmarkEnd w:id="554"/>
      <w:bookmarkEnd w:id="555"/>
      <w:bookmarkEnd w:id="556"/>
      <w:bookmarkEnd w:id="557"/>
      <w:bookmarkEnd w:id="558"/>
      <w:bookmarkEnd w:id="559"/>
      <w:bookmarkEnd w:id="560"/>
    </w:p>
    <w:p w:rsidR="00000000" w:rsidRDefault="00000000">
      <w:pPr>
        <w:pStyle w:val="H23G"/>
        <w:rPr>
          <w:lang w:val="fr-FR"/>
        </w:rPr>
      </w:pPr>
      <w:r>
        <w:rPr>
          <w:lang w:val="fr-FR"/>
        </w:rPr>
        <w:tab/>
      </w:r>
      <w:r>
        <w:rPr>
          <w:lang w:val="fr-FR"/>
        </w:rPr>
        <w:tab/>
        <w:t>Cadre juridique</w:t>
      </w:r>
    </w:p>
    <w:p w:rsidR="00000000" w:rsidRDefault="00000000">
      <w:pPr>
        <w:pStyle w:val="SingleTxtG"/>
        <w:rPr>
          <w:lang w:val="fr-FR"/>
        </w:rPr>
      </w:pPr>
      <w:r>
        <w:rPr>
          <w:lang w:val="fr-FR"/>
        </w:rPr>
        <w:t>260.</w:t>
      </w:r>
      <w:r>
        <w:rPr>
          <w:lang w:val="fr-FR"/>
        </w:rPr>
        <w:tab/>
        <w:t xml:space="preserve">Un enfant ne peut être séparé de ses parents que par décision judiciaire prenant en compte l’intérêt supérieur, lorsque sa sécurité, sa santé, son éducation sont compromises. Si la décision du juge des enfants est le placement dans une autre famille ou institution, la durée est de trois mois renouvelable comme il a été déjà indiqué plus haut Cette mesure d’assistance éducative peut être remplacée ou renouvelée par décision motivée suivant l’évolution de la situation de l’enfant. </w:t>
      </w:r>
    </w:p>
    <w:p w:rsidR="00000000" w:rsidRDefault="00000000">
      <w:pPr>
        <w:pStyle w:val="SingleTxtG"/>
        <w:rPr>
          <w:lang w:val="fr-FR"/>
        </w:rPr>
      </w:pPr>
      <w:r>
        <w:rPr>
          <w:lang w:val="fr-FR"/>
        </w:rPr>
        <w:t>261.</w:t>
      </w:r>
      <w:r>
        <w:rPr>
          <w:lang w:val="fr-FR"/>
        </w:rPr>
        <w:tab/>
        <w:t>Les responsables des centres sont tenus aux obligations attachées au droit de garde, y compris les soins, et doivent toujours avoir une liaison avec le juge des enfants, en lui communiquant un rapport psychosocial des enfants en situation de placement.</w:t>
      </w:r>
    </w:p>
    <w:p w:rsidR="00000000" w:rsidRDefault="00000000">
      <w:pPr>
        <w:pStyle w:val="H1G"/>
        <w:spacing w:before="240" w:after="120"/>
        <w:rPr>
          <w:lang w:val="fr-FR"/>
        </w:rPr>
      </w:pPr>
      <w:bookmarkStart w:id="561" w:name="_Toc206414533"/>
      <w:bookmarkStart w:id="562" w:name="_Toc206460375"/>
      <w:bookmarkStart w:id="563" w:name="_Toc206460707"/>
      <w:bookmarkStart w:id="564" w:name="_Toc206461429"/>
      <w:bookmarkStart w:id="565" w:name="_Toc206476223"/>
      <w:bookmarkStart w:id="566" w:name="_Toc207788758"/>
      <w:bookmarkStart w:id="567" w:name="_Toc211835429"/>
      <w:bookmarkStart w:id="568" w:name="_Toc211926736"/>
      <w:r>
        <w:rPr>
          <w:lang w:val="fr-FR"/>
        </w:rPr>
        <w:tab/>
      </w:r>
      <w:bookmarkStart w:id="569" w:name="_Toc260298245"/>
      <w:r>
        <w:rPr>
          <w:lang w:val="fr-FR"/>
        </w:rPr>
        <w:t>J.</w:t>
      </w:r>
      <w:r>
        <w:rPr>
          <w:lang w:val="fr-FR"/>
        </w:rPr>
        <w:tab/>
        <w:t>Abandon ou négligence, y compris la réadaptation physique, psychologique et réinsertion sociale</w:t>
      </w:r>
      <w:bookmarkEnd w:id="561"/>
      <w:bookmarkEnd w:id="562"/>
      <w:bookmarkEnd w:id="563"/>
      <w:bookmarkEnd w:id="564"/>
      <w:bookmarkEnd w:id="565"/>
      <w:bookmarkEnd w:id="566"/>
      <w:bookmarkEnd w:id="567"/>
      <w:bookmarkEnd w:id="568"/>
      <w:bookmarkEnd w:id="569"/>
    </w:p>
    <w:p w:rsidR="00000000" w:rsidRDefault="00000000">
      <w:pPr>
        <w:pStyle w:val="SingleTxtG"/>
        <w:spacing w:line="220" w:lineRule="atLeast"/>
        <w:rPr>
          <w:lang w:val="fr-FR"/>
        </w:rPr>
      </w:pPr>
      <w:r>
        <w:rPr>
          <w:lang w:val="fr-FR"/>
        </w:rPr>
        <w:t>262.</w:t>
      </w:r>
      <w:r>
        <w:rPr>
          <w:lang w:val="fr-FR"/>
        </w:rPr>
        <w:tab/>
        <w:t>Les enfants victimes d’abandon, de négligence ou de maltraitance accueillis dans des centres bénéficient de soutien psycho social et d’une éducation en vue de leur réinsertion sociale. Des informations sur l’état de la législation sont détaillées en annexe II.</w:t>
      </w:r>
    </w:p>
    <w:p w:rsidR="00000000" w:rsidRDefault="00000000">
      <w:pPr>
        <w:pStyle w:val="SingleTxtG"/>
        <w:spacing w:line="220" w:lineRule="atLeast"/>
        <w:rPr>
          <w:lang w:val="fr-FR"/>
        </w:rPr>
      </w:pPr>
      <w:r>
        <w:rPr>
          <w:lang w:val="fr-FR"/>
        </w:rPr>
        <w:t>263.</w:t>
      </w:r>
      <w:r>
        <w:rPr>
          <w:lang w:val="fr-FR"/>
        </w:rPr>
        <w:tab/>
        <w:t xml:space="preserve">Le tableau ci-dessous, donne le nombre d’enfants victimes de maltraitance selon les données recueillies par la DPMPM. </w:t>
      </w:r>
    </w:p>
    <w:p w:rsidR="00000000" w:rsidRDefault="00000000">
      <w:pPr>
        <w:pStyle w:val="SingleTxtG"/>
        <w:jc w:val="left"/>
        <w:rPr>
          <w:b/>
        </w:rPr>
      </w:pPr>
      <w:bookmarkStart w:id="570" w:name="_Toc260298246"/>
      <w:r>
        <w:t>Tableau 12</w:t>
      </w:r>
      <w:r>
        <w:br/>
      </w:r>
      <w:r>
        <w:rPr>
          <w:b/>
        </w:rPr>
        <w:t>Cas de violence contre enfants traités par la DPMPM dans la période de janvier à décembre 2006 par type de violence et par sexe</w:t>
      </w:r>
      <w:bookmarkEnd w:id="570"/>
    </w:p>
    <w:tbl>
      <w:tblPr>
        <w:tblW w:w="7390" w:type="dxa"/>
        <w:tblInd w:w="1134" w:type="dxa"/>
        <w:tblCellMar>
          <w:left w:w="0" w:type="dxa"/>
          <w:right w:w="0" w:type="dxa"/>
        </w:tblCellMar>
        <w:tblLook w:val="0000" w:firstRow="0" w:lastRow="0" w:firstColumn="0" w:lastColumn="0" w:noHBand="0" w:noVBand="0"/>
      </w:tblPr>
      <w:tblGrid>
        <w:gridCol w:w="1572"/>
        <w:gridCol w:w="817"/>
        <w:gridCol w:w="1010"/>
        <w:gridCol w:w="971"/>
        <w:gridCol w:w="1010"/>
        <w:gridCol w:w="1000"/>
        <w:gridCol w:w="1010"/>
      </w:tblGrid>
      <w:tr w:rsidR="00000000">
        <w:trPr>
          <w:trHeight w:val="340"/>
        </w:trPr>
        <w:tc>
          <w:tcPr>
            <w:tcW w:w="1572" w:type="dxa"/>
            <w:tcBorders>
              <w:top w:val="single" w:sz="4" w:space="0" w:color="auto"/>
              <w:bottom w:val="single" w:sz="12" w:space="0" w:color="auto"/>
            </w:tcBorders>
            <w:shd w:val="clear" w:color="auto" w:fill="auto"/>
            <w:vAlign w:val="bottom"/>
          </w:tcPr>
          <w:p w:rsidR="00000000" w:rsidRDefault="00000000">
            <w:pPr>
              <w:spacing w:before="40" w:after="40" w:line="200" w:lineRule="exact"/>
              <w:jc w:val="right"/>
              <w:rPr>
                <w:b/>
                <w:bCs/>
                <w:i/>
                <w:sz w:val="16"/>
                <w:szCs w:val="16"/>
              </w:rPr>
            </w:pPr>
          </w:p>
        </w:tc>
        <w:tc>
          <w:tcPr>
            <w:tcW w:w="817" w:type="dxa"/>
            <w:tcBorders>
              <w:top w:val="single" w:sz="4" w:space="0" w:color="auto"/>
              <w:bottom w:val="single" w:sz="12" w:space="0" w:color="auto"/>
            </w:tcBorders>
            <w:shd w:val="clear" w:color="auto" w:fill="auto"/>
            <w:vAlign w:val="bottom"/>
          </w:tcPr>
          <w:p w:rsidR="00000000" w:rsidRDefault="00000000">
            <w:pPr>
              <w:spacing w:before="40" w:after="40" w:line="200" w:lineRule="exact"/>
              <w:jc w:val="right"/>
              <w:rPr>
                <w:b/>
                <w:bCs/>
                <w:i/>
                <w:sz w:val="16"/>
                <w:szCs w:val="16"/>
              </w:rPr>
            </w:pPr>
            <w:r>
              <w:rPr>
                <w:b/>
                <w:bCs/>
                <w:i/>
                <w:sz w:val="16"/>
                <w:szCs w:val="16"/>
              </w:rPr>
              <w:t>Nbre de cas</w:t>
            </w:r>
          </w:p>
        </w:tc>
        <w:tc>
          <w:tcPr>
            <w:tcW w:w="1010" w:type="dxa"/>
            <w:tcBorders>
              <w:top w:val="single" w:sz="4" w:space="0" w:color="auto"/>
              <w:bottom w:val="single" w:sz="12" w:space="0" w:color="auto"/>
            </w:tcBorders>
            <w:shd w:val="clear" w:color="auto" w:fill="auto"/>
            <w:vAlign w:val="bottom"/>
          </w:tcPr>
          <w:p w:rsidR="00000000" w:rsidRDefault="00000000">
            <w:pPr>
              <w:spacing w:before="40" w:after="40" w:line="200" w:lineRule="exact"/>
              <w:jc w:val="center"/>
              <w:rPr>
                <w:b/>
                <w:bCs/>
                <w:i/>
                <w:sz w:val="16"/>
                <w:szCs w:val="16"/>
              </w:rPr>
            </w:pPr>
            <w:r>
              <w:rPr>
                <w:b/>
                <w:bCs/>
                <w:i/>
                <w:sz w:val="16"/>
                <w:szCs w:val="16"/>
              </w:rPr>
              <w:t>%</w:t>
            </w:r>
            <w:r>
              <w:rPr>
                <w:b/>
                <w:bCs/>
                <w:i/>
                <w:sz w:val="16"/>
                <w:szCs w:val="16"/>
              </w:rPr>
              <w:br/>
              <w:t>du total de cas</w:t>
            </w:r>
          </w:p>
        </w:tc>
        <w:tc>
          <w:tcPr>
            <w:tcW w:w="971" w:type="dxa"/>
            <w:tcBorders>
              <w:top w:val="single" w:sz="4" w:space="0" w:color="auto"/>
              <w:bottom w:val="single" w:sz="12" w:space="0" w:color="auto"/>
            </w:tcBorders>
            <w:shd w:val="clear" w:color="auto" w:fill="auto"/>
            <w:vAlign w:val="bottom"/>
          </w:tcPr>
          <w:p w:rsidR="00000000" w:rsidRDefault="00000000">
            <w:pPr>
              <w:spacing w:before="40" w:after="40" w:line="200" w:lineRule="exact"/>
              <w:jc w:val="right"/>
              <w:rPr>
                <w:b/>
                <w:bCs/>
                <w:i/>
                <w:sz w:val="16"/>
                <w:szCs w:val="16"/>
              </w:rPr>
            </w:pPr>
            <w:r>
              <w:rPr>
                <w:b/>
                <w:bCs/>
                <w:i/>
                <w:sz w:val="16"/>
                <w:szCs w:val="16"/>
              </w:rPr>
              <w:t>Nbre de cas Filles</w:t>
            </w:r>
          </w:p>
        </w:tc>
        <w:tc>
          <w:tcPr>
            <w:tcW w:w="1010" w:type="dxa"/>
            <w:tcBorders>
              <w:top w:val="single" w:sz="4" w:space="0" w:color="auto"/>
              <w:bottom w:val="single" w:sz="12" w:space="0" w:color="auto"/>
            </w:tcBorders>
            <w:shd w:val="clear" w:color="auto" w:fill="auto"/>
            <w:vAlign w:val="bottom"/>
          </w:tcPr>
          <w:p w:rsidR="00000000" w:rsidRDefault="00000000">
            <w:pPr>
              <w:spacing w:before="40" w:after="40" w:line="200" w:lineRule="exact"/>
              <w:jc w:val="right"/>
              <w:rPr>
                <w:b/>
                <w:bCs/>
                <w:i/>
                <w:sz w:val="16"/>
                <w:szCs w:val="16"/>
              </w:rPr>
            </w:pPr>
            <w:r>
              <w:rPr>
                <w:b/>
                <w:bCs/>
                <w:i/>
                <w:sz w:val="16"/>
                <w:szCs w:val="16"/>
              </w:rPr>
              <w:t xml:space="preserve"> % filles</w:t>
            </w:r>
          </w:p>
        </w:tc>
        <w:tc>
          <w:tcPr>
            <w:tcW w:w="1000" w:type="dxa"/>
            <w:tcBorders>
              <w:top w:val="single" w:sz="4" w:space="0" w:color="auto"/>
              <w:bottom w:val="single" w:sz="12" w:space="0" w:color="auto"/>
            </w:tcBorders>
            <w:shd w:val="clear" w:color="auto" w:fill="auto"/>
            <w:vAlign w:val="bottom"/>
          </w:tcPr>
          <w:p w:rsidR="00000000" w:rsidRDefault="00000000">
            <w:pPr>
              <w:spacing w:before="40" w:after="40" w:line="200" w:lineRule="exact"/>
              <w:jc w:val="right"/>
              <w:rPr>
                <w:b/>
                <w:bCs/>
                <w:i/>
                <w:sz w:val="16"/>
                <w:szCs w:val="16"/>
              </w:rPr>
            </w:pPr>
            <w:r>
              <w:rPr>
                <w:b/>
                <w:bCs/>
                <w:i/>
                <w:sz w:val="16"/>
                <w:szCs w:val="16"/>
              </w:rPr>
              <w:t>Nbre de cas garçons</w:t>
            </w:r>
          </w:p>
        </w:tc>
        <w:tc>
          <w:tcPr>
            <w:tcW w:w="1010" w:type="dxa"/>
            <w:tcBorders>
              <w:top w:val="single" w:sz="4" w:space="0" w:color="auto"/>
              <w:bottom w:val="single" w:sz="12" w:space="0" w:color="auto"/>
            </w:tcBorders>
            <w:shd w:val="clear" w:color="auto" w:fill="auto"/>
            <w:vAlign w:val="bottom"/>
          </w:tcPr>
          <w:p w:rsidR="00000000" w:rsidRDefault="00000000">
            <w:pPr>
              <w:spacing w:before="40" w:after="40" w:line="200" w:lineRule="exact"/>
              <w:jc w:val="right"/>
              <w:rPr>
                <w:b/>
                <w:bCs/>
                <w:i/>
                <w:sz w:val="16"/>
                <w:szCs w:val="16"/>
              </w:rPr>
            </w:pPr>
            <w:r>
              <w:rPr>
                <w:b/>
                <w:bCs/>
                <w:i/>
                <w:sz w:val="16"/>
                <w:szCs w:val="16"/>
              </w:rPr>
              <w:t xml:space="preserve"> % garçons</w:t>
            </w:r>
          </w:p>
        </w:tc>
      </w:tr>
      <w:tr w:rsidR="00000000">
        <w:trPr>
          <w:trHeight w:val="340"/>
        </w:trPr>
        <w:tc>
          <w:tcPr>
            <w:tcW w:w="1572" w:type="dxa"/>
            <w:tcBorders>
              <w:top w:val="single" w:sz="12" w:space="0" w:color="auto"/>
            </w:tcBorders>
            <w:shd w:val="clear" w:color="auto" w:fill="auto"/>
            <w:vAlign w:val="bottom"/>
          </w:tcPr>
          <w:p w:rsidR="00000000" w:rsidRDefault="00000000">
            <w:pPr>
              <w:spacing w:before="20" w:after="20" w:line="220" w:lineRule="exact"/>
              <w:rPr>
                <w:sz w:val="18"/>
                <w:szCs w:val="18"/>
              </w:rPr>
            </w:pPr>
            <w:r>
              <w:rPr>
                <w:sz w:val="18"/>
                <w:szCs w:val="18"/>
              </w:rPr>
              <w:t>Coups et blessures volontaires</w:t>
            </w:r>
          </w:p>
        </w:tc>
        <w:tc>
          <w:tcPr>
            <w:tcW w:w="817" w:type="dxa"/>
            <w:tcBorders>
              <w:top w:val="single" w:sz="12" w:space="0" w:color="auto"/>
            </w:tcBorders>
            <w:shd w:val="clear" w:color="auto" w:fill="auto"/>
            <w:vAlign w:val="bottom"/>
          </w:tcPr>
          <w:p w:rsidR="00000000" w:rsidRDefault="00000000">
            <w:pPr>
              <w:spacing w:before="20" w:after="20" w:line="220" w:lineRule="exact"/>
              <w:jc w:val="right"/>
              <w:rPr>
                <w:sz w:val="18"/>
                <w:szCs w:val="18"/>
              </w:rPr>
            </w:pPr>
            <w:r>
              <w:rPr>
                <w:sz w:val="18"/>
                <w:szCs w:val="18"/>
              </w:rPr>
              <w:t>112</w:t>
            </w:r>
          </w:p>
        </w:tc>
        <w:tc>
          <w:tcPr>
            <w:tcW w:w="1010" w:type="dxa"/>
            <w:tcBorders>
              <w:top w:val="single" w:sz="12" w:space="0" w:color="auto"/>
            </w:tcBorders>
            <w:shd w:val="clear" w:color="auto" w:fill="auto"/>
            <w:vAlign w:val="bottom"/>
          </w:tcPr>
          <w:p w:rsidR="00000000" w:rsidRDefault="00000000">
            <w:pPr>
              <w:spacing w:before="20" w:after="20" w:line="220" w:lineRule="exact"/>
              <w:jc w:val="right"/>
              <w:rPr>
                <w:sz w:val="18"/>
                <w:szCs w:val="18"/>
              </w:rPr>
            </w:pPr>
            <w:r>
              <w:rPr>
                <w:sz w:val="18"/>
                <w:szCs w:val="18"/>
              </w:rPr>
              <w:t>32,56</w:t>
            </w:r>
          </w:p>
        </w:tc>
        <w:tc>
          <w:tcPr>
            <w:tcW w:w="971" w:type="dxa"/>
            <w:tcBorders>
              <w:top w:val="single" w:sz="12" w:space="0" w:color="auto"/>
            </w:tcBorders>
            <w:shd w:val="clear" w:color="auto" w:fill="auto"/>
            <w:vAlign w:val="bottom"/>
          </w:tcPr>
          <w:p w:rsidR="00000000" w:rsidRDefault="00000000">
            <w:pPr>
              <w:spacing w:before="20" w:after="20" w:line="220" w:lineRule="exact"/>
              <w:jc w:val="right"/>
              <w:rPr>
                <w:sz w:val="18"/>
                <w:szCs w:val="18"/>
              </w:rPr>
            </w:pPr>
            <w:r>
              <w:rPr>
                <w:sz w:val="18"/>
                <w:szCs w:val="18"/>
              </w:rPr>
              <w:t>53</w:t>
            </w:r>
          </w:p>
        </w:tc>
        <w:tc>
          <w:tcPr>
            <w:tcW w:w="1010" w:type="dxa"/>
            <w:tcBorders>
              <w:top w:val="single" w:sz="12" w:space="0" w:color="auto"/>
            </w:tcBorders>
            <w:shd w:val="clear" w:color="auto" w:fill="auto"/>
            <w:vAlign w:val="bottom"/>
          </w:tcPr>
          <w:p w:rsidR="00000000" w:rsidRDefault="00000000">
            <w:pPr>
              <w:spacing w:before="20" w:after="20" w:line="220" w:lineRule="exact"/>
              <w:jc w:val="right"/>
              <w:rPr>
                <w:sz w:val="18"/>
                <w:szCs w:val="18"/>
              </w:rPr>
            </w:pPr>
            <w:r>
              <w:rPr>
                <w:sz w:val="18"/>
                <w:szCs w:val="18"/>
              </w:rPr>
              <w:t>47,32</w:t>
            </w:r>
          </w:p>
        </w:tc>
        <w:tc>
          <w:tcPr>
            <w:tcW w:w="1000" w:type="dxa"/>
            <w:tcBorders>
              <w:top w:val="single" w:sz="12" w:space="0" w:color="auto"/>
            </w:tcBorders>
            <w:shd w:val="clear" w:color="auto" w:fill="auto"/>
            <w:vAlign w:val="bottom"/>
          </w:tcPr>
          <w:p w:rsidR="00000000" w:rsidRDefault="00000000">
            <w:pPr>
              <w:spacing w:before="20" w:after="20" w:line="220" w:lineRule="exact"/>
              <w:jc w:val="right"/>
              <w:rPr>
                <w:sz w:val="18"/>
                <w:szCs w:val="18"/>
              </w:rPr>
            </w:pPr>
            <w:r>
              <w:rPr>
                <w:sz w:val="18"/>
                <w:szCs w:val="18"/>
              </w:rPr>
              <w:t>59</w:t>
            </w:r>
          </w:p>
        </w:tc>
        <w:tc>
          <w:tcPr>
            <w:tcW w:w="1010" w:type="dxa"/>
            <w:tcBorders>
              <w:top w:val="single" w:sz="12" w:space="0" w:color="auto"/>
            </w:tcBorders>
            <w:shd w:val="clear" w:color="auto" w:fill="auto"/>
            <w:vAlign w:val="bottom"/>
          </w:tcPr>
          <w:p w:rsidR="00000000" w:rsidRDefault="00000000">
            <w:pPr>
              <w:spacing w:before="20" w:after="20" w:line="220" w:lineRule="exact"/>
              <w:jc w:val="right"/>
              <w:rPr>
                <w:sz w:val="18"/>
                <w:szCs w:val="18"/>
              </w:rPr>
            </w:pPr>
            <w:r>
              <w:rPr>
                <w:sz w:val="18"/>
                <w:szCs w:val="18"/>
              </w:rPr>
              <w:t>52,68</w:t>
            </w:r>
          </w:p>
        </w:tc>
      </w:tr>
      <w:tr w:rsidR="00000000">
        <w:trPr>
          <w:trHeight w:val="340"/>
        </w:trPr>
        <w:tc>
          <w:tcPr>
            <w:tcW w:w="1572" w:type="dxa"/>
            <w:shd w:val="clear" w:color="auto" w:fill="auto"/>
            <w:vAlign w:val="bottom"/>
          </w:tcPr>
          <w:p w:rsidR="00000000" w:rsidRDefault="00000000">
            <w:pPr>
              <w:spacing w:before="20" w:after="20" w:line="220" w:lineRule="exact"/>
              <w:rPr>
                <w:sz w:val="18"/>
                <w:szCs w:val="18"/>
              </w:rPr>
            </w:pPr>
            <w:r>
              <w:rPr>
                <w:sz w:val="18"/>
                <w:szCs w:val="18"/>
              </w:rPr>
              <w:t>Détournement de mineur</w:t>
            </w:r>
          </w:p>
        </w:tc>
        <w:tc>
          <w:tcPr>
            <w:tcW w:w="817" w:type="dxa"/>
            <w:shd w:val="clear" w:color="auto" w:fill="auto"/>
            <w:vAlign w:val="bottom"/>
          </w:tcPr>
          <w:p w:rsidR="00000000" w:rsidRDefault="00000000">
            <w:pPr>
              <w:spacing w:before="20" w:after="20" w:line="220" w:lineRule="exact"/>
              <w:jc w:val="right"/>
              <w:rPr>
                <w:sz w:val="18"/>
                <w:szCs w:val="18"/>
              </w:rPr>
            </w:pPr>
            <w:r>
              <w:rPr>
                <w:sz w:val="18"/>
                <w:szCs w:val="18"/>
              </w:rPr>
              <w:t>89</w:t>
            </w:r>
          </w:p>
        </w:tc>
        <w:tc>
          <w:tcPr>
            <w:tcW w:w="1010" w:type="dxa"/>
            <w:shd w:val="clear" w:color="auto" w:fill="auto"/>
            <w:vAlign w:val="bottom"/>
          </w:tcPr>
          <w:p w:rsidR="00000000" w:rsidRDefault="00000000">
            <w:pPr>
              <w:spacing w:before="20" w:after="20" w:line="220" w:lineRule="exact"/>
              <w:jc w:val="right"/>
              <w:rPr>
                <w:sz w:val="18"/>
                <w:szCs w:val="18"/>
              </w:rPr>
            </w:pPr>
            <w:r>
              <w:rPr>
                <w:sz w:val="18"/>
                <w:szCs w:val="18"/>
              </w:rPr>
              <w:t>25,87</w:t>
            </w:r>
          </w:p>
        </w:tc>
        <w:tc>
          <w:tcPr>
            <w:tcW w:w="971" w:type="dxa"/>
            <w:shd w:val="clear" w:color="auto" w:fill="auto"/>
            <w:vAlign w:val="bottom"/>
          </w:tcPr>
          <w:p w:rsidR="00000000" w:rsidRDefault="00000000">
            <w:pPr>
              <w:spacing w:before="20" w:after="20" w:line="220" w:lineRule="exact"/>
              <w:jc w:val="right"/>
              <w:rPr>
                <w:sz w:val="18"/>
                <w:szCs w:val="18"/>
              </w:rPr>
            </w:pPr>
            <w:r>
              <w:rPr>
                <w:sz w:val="18"/>
                <w:szCs w:val="18"/>
              </w:rPr>
              <w:t>87</w:t>
            </w:r>
          </w:p>
        </w:tc>
        <w:tc>
          <w:tcPr>
            <w:tcW w:w="1010" w:type="dxa"/>
            <w:shd w:val="clear" w:color="auto" w:fill="auto"/>
            <w:vAlign w:val="bottom"/>
          </w:tcPr>
          <w:p w:rsidR="00000000" w:rsidRDefault="00000000">
            <w:pPr>
              <w:spacing w:before="20" w:after="20" w:line="220" w:lineRule="exact"/>
              <w:jc w:val="right"/>
              <w:rPr>
                <w:sz w:val="18"/>
                <w:szCs w:val="18"/>
              </w:rPr>
            </w:pPr>
            <w:r>
              <w:rPr>
                <w:sz w:val="18"/>
                <w:szCs w:val="18"/>
              </w:rPr>
              <w:t>97,75</w:t>
            </w:r>
          </w:p>
        </w:tc>
        <w:tc>
          <w:tcPr>
            <w:tcW w:w="1000" w:type="dxa"/>
            <w:shd w:val="clear" w:color="auto" w:fill="auto"/>
            <w:vAlign w:val="bottom"/>
          </w:tcPr>
          <w:p w:rsidR="00000000" w:rsidRDefault="00000000">
            <w:pPr>
              <w:spacing w:before="20" w:after="20" w:line="220" w:lineRule="exact"/>
              <w:jc w:val="right"/>
              <w:rPr>
                <w:sz w:val="18"/>
                <w:szCs w:val="18"/>
              </w:rPr>
            </w:pPr>
            <w:r>
              <w:rPr>
                <w:sz w:val="18"/>
                <w:szCs w:val="18"/>
              </w:rPr>
              <w:t>2</w:t>
            </w:r>
          </w:p>
        </w:tc>
        <w:tc>
          <w:tcPr>
            <w:tcW w:w="1010" w:type="dxa"/>
            <w:shd w:val="clear" w:color="auto" w:fill="auto"/>
            <w:vAlign w:val="bottom"/>
          </w:tcPr>
          <w:p w:rsidR="00000000" w:rsidRDefault="00000000">
            <w:pPr>
              <w:spacing w:before="20" w:after="20" w:line="220" w:lineRule="exact"/>
              <w:jc w:val="right"/>
              <w:rPr>
                <w:sz w:val="18"/>
                <w:szCs w:val="18"/>
              </w:rPr>
            </w:pPr>
            <w:r>
              <w:rPr>
                <w:sz w:val="18"/>
                <w:szCs w:val="18"/>
              </w:rPr>
              <w:t>2,25</w:t>
            </w:r>
          </w:p>
        </w:tc>
      </w:tr>
      <w:tr w:rsidR="00000000">
        <w:trPr>
          <w:trHeight w:val="340"/>
        </w:trPr>
        <w:tc>
          <w:tcPr>
            <w:tcW w:w="1572" w:type="dxa"/>
            <w:shd w:val="clear" w:color="auto" w:fill="auto"/>
            <w:vAlign w:val="bottom"/>
          </w:tcPr>
          <w:p w:rsidR="00000000" w:rsidRDefault="00000000">
            <w:pPr>
              <w:spacing w:before="20" w:after="20" w:line="220" w:lineRule="exact"/>
              <w:rPr>
                <w:sz w:val="18"/>
                <w:szCs w:val="18"/>
              </w:rPr>
            </w:pPr>
            <w:r>
              <w:rPr>
                <w:sz w:val="18"/>
                <w:szCs w:val="18"/>
              </w:rPr>
              <w:t>Viol</w:t>
            </w:r>
          </w:p>
        </w:tc>
        <w:tc>
          <w:tcPr>
            <w:tcW w:w="817" w:type="dxa"/>
            <w:shd w:val="clear" w:color="auto" w:fill="auto"/>
            <w:vAlign w:val="bottom"/>
          </w:tcPr>
          <w:p w:rsidR="00000000" w:rsidRDefault="00000000">
            <w:pPr>
              <w:spacing w:before="20" w:after="20" w:line="220" w:lineRule="exact"/>
              <w:jc w:val="right"/>
              <w:rPr>
                <w:sz w:val="18"/>
                <w:szCs w:val="18"/>
              </w:rPr>
            </w:pPr>
            <w:r>
              <w:rPr>
                <w:sz w:val="18"/>
                <w:szCs w:val="18"/>
              </w:rPr>
              <w:t>65</w:t>
            </w:r>
          </w:p>
        </w:tc>
        <w:tc>
          <w:tcPr>
            <w:tcW w:w="1010" w:type="dxa"/>
            <w:shd w:val="clear" w:color="auto" w:fill="auto"/>
            <w:vAlign w:val="bottom"/>
          </w:tcPr>
          <w:p w:rsidR="00000000" w:rsidRDefault="00000000">
            <w:pPr>
              <w:spacing w:before="20" w:after="20" w:line="220" w:lineRule="exact"/>
              <w:jc w:val="right"/>
              <w:rPr>
                <w:sz w:val="18"/>
                <w:szCs w:val="18"/>
              </w:rPr>
            </w:pPr>
            <w:r>
              <w:rPr>
                <w:sz w:val="18"/>
                <w:szCs w:val="18"/>
              </w:rPr>
              <w:t>18,90</w:t>
            </w:r>
          </w:p>
        </w:tc>
        <w:tc>
          <w:tcPr>
            <w:tcW w:w="971" w:type="dxa"/>
            <w:shd w:val="clear" w:color="auto" w:fill="auto"/>
            <w:vAlign w:val="bottom"/>
          </w:tcPr>
          <w:p w:rsidR="00000000" w:rsidRDefault="00000000">
            <w:pPr>
              <w:spacing w:before="20" w:after="20" w:line="220" w:lineRule="exact"/>
              <w:jc w:val="right"/>
              <w:rPr>
                <w:sz w:val="18"/>
                <w:szCs w:val="18"/>
              </w:rPr>
            </w:pPr>
            <w:r>
              <w:rPr>
                <w:sz w:val="18"/>
                <w:szCs w:val="18"/>
              </w:rPr>
              <w:t>65</w:t>
            </w:r>
          </w:p>
        </w:tc>
        <w:tc>
          <w:tcPr>
            <w:tcW w:w="1010" w:type="dxa"/>
            <w:shd w:val="clear" w:color="auto" w:fill="auto"/>
            <w:vAlign w:val="bottom"/>
          </w:tcPr>
          <w:p w:rsidR="00000000" w:rsidRDefault="00000000">
            <w:pPr>
              <w:spacing w:before="20" w:after="20" w:line="220" w:lineRule="exact"/>
              <w:jc w:val="right"/>
              <w:rPr>
                <w:sz w:val="18"/>
                <w:szCs w:val="18"/>
              </w:rPr>
            </w:pPr>
            <w:r>
              <w:rPr>
                <w:sz w:val="18"/>
                <w:szCs w:val="18"/>
              </w:rPr>
              <w:t>100,00</w:t>
            </w:r>
          </w:p>
        </w:tc>
        <w:tc>
          <w:tcPr>
            <w:tcW w:w="1000" w:type="dxa"/>
            <w:shd w:val="clear" w:color="auto" w:fill="auto"/>
            <w:vAlign w:val="bottom"/>
          </w:tcPr>
          <w:p w:rsidR="00000000" w:rsidRDefault="00000000">
            <w:pPr>
              <w:spacing w:before="20" w:after="20" w:line="220" w:lineRule="exact"/>
              <w:jc w:val="right"/>
              <w:rPr>
                <w:sz w:val="18"/>
                <w:szCs w:val="18"/>
              </w:rPr>
            </w:pPr>
          </w:p>
        </w:tc>
        <w:tc>
          <w:tcPr>
            <w:tcW w:w="1010" w:type="dxa"/>
            <w:shd w:val="clear" w:color="auto" w:fill="auto"/>
            <w:vAlign w:val="bottom"/>
          </w:tcPr>
          <w:p w:rsidR="00000000" w:rsidRDefault="00000000">
            <w:pPr>
              <w:spacing w:before="20" w:after="20" w:line="220" w:lineRule="exact"/>
              <w:jc w:val="right"/>
              <w:rPr>
                <w:sz w:val="18"/>
                <w:szCs w:val="18"/>
              </w:rPr>
            </w:pPr>
            <w:r>
              <w:rPr>
                <w:sz w:val="18"/>
                <w:szCs w:val="18"/>
              </w:rPr>
              <w:t>0,00</w:t>
            </w:r>
          </w:p>
        </w:tc>
      </w:tr>
      <w:tr w:rsidR="00000000">
        <w:trPr>
          <w:trHeight w:val="340"/>
        </w:trPr>
        <w:tc>
          <w:tcPr>
            <w:tcW w:w="1572" w:type="dxa"/>
            <w:shd w:val="clear" w:color="auto" w:fill="auto"/>
            <w:vAlign w:val="bottom"/>
          </w:tcPr>
          <w:p w:rsidR="00000000" w:rsidRDefault="00000000">
            <w:pPr>
              <w:spacing w:before="20" w:after="20" w:line="220" w:lineRule="exact"/>
              <w:rPr>
                <w:sz w:val="18"/>
                <w:szCs w:val="18"/>
              </w:rPr>
            </w:pPr>
            <w:r>
              <w:rPr>
                <w:sz w:val="18"/>
                <w:szCs w:val="18"/>
              </w:rPr>
              <w:t>Mauvais traitement</w:t>
            </w:r>
          </w:p>
        </w:tc>
        <w:tc>
          <w:tcPr>
            <w:tcW w:w="817" w:type="dxa"/>
            <w:shd w:val="clear" w:color="auto" w:fill="auto"/>
            <w:vAlign w:val="bottom"/>
          </w:tcPr>
          <w:p w:rsidR="00000000" w:rsidRDefault="00000000">
            <w:pPr>
              <w:spacing w:before="20" w:after="20" w:line="220" w:lineRule="exact"/>
              <w:jc w:val="right"/>
              <w:rPr>
                <w:sz w:val="18"/>
                <w:szCs w:val="18"/>
              </w:rPr>
            </w:pPr>
            <w:r>
              <w:rPr>
                <w:sz w:val="18"/>
                <w:szCs w:val="18"/>
              </w:rPr>
              <w:t>32</w:t>
            </w:r>
          </w:p>
        </w:tc>
        <w:tc>
          <w:tcPr>
            <w:tcW w:w="1010" w:type="dxa"/>
            <w:shd w:val="clear" w:color="auto" w:fill="auto"/>
            <w:vAlign w:val="bottom"/>
          </w:tcPr>
          <w:p w:rsidR="00000000" w:rsidRDefault="00000000">
            <w:pPr>
              <w:spacing w:before="20" w:after="20" w:line="220" w:lineRule="exact"/>
              <w:jc w:val="right"/>
              <w:rPr>
                <w:sz w:val="18"/>
                <w:szCs w:val="18"/>
              </w:rPr>
            </w:pPr>
            <w:r>
              <w:rPr>
                <w:sz w:val="18"/>
                <w:szCs w:val="18"/>
              </w:rPr>
              <w:t>9,30</w:t>
            </w:r>
          </w:p>
        </w:tc>
        <w:tc>
          <w:tcPr>
            <w:tcW w:w="971" w:type="dxa"/>
            <w:shd w:val="clear" w:color="auto" w:fill="auto"/>
            <w:vAlign w:val="bottom"/>
          </w:tcPr>
          <w:p w:rsidR="00000000" w:rsidRDefault="00000000">
            <w:pPr>
              <w:spacing w:before="20" w:after="20" w:line="220" w:lineRule="exact"/>
              <w:jc w:val="right"/>
              <w:rPr>
                <w:sz w:val="18"/>
                <w:szCs w:val="18"/>
              </w:rPr>
            </w:pPr>
            <w:r>
              <w:rPr>
                <w:sz w:val="18"/>
                <w:szCs w:val="18"/>
              </w:rPr>
              <w:t>16</w:t>
            </w:r>
          </w:p>
        </w:tc>
        <w:tc>
          <w:tcPr>
            <w:tcW w:w="1010" w:type="dxa"/>
            <w:shd w:val="clear" w:color="auto" w:fill="auto"/>
            <w:vAlign w:val="bottom"/>
          </w:tcPr>
          <w:p w:rsidR="00000000" w:rsidRDefault="00000000">
            <w:pPr>
              <w:spacing w:before="20" w:after="20" w:line="220" w:lineRule="exact"/>
              <w:jc w:val="right"/>
              <w:rPr>
                <w:sz w:val="18"/>
                <w:szCs w:val="18"/>
              </w:rPr>
            </w:pPr>
            <w:r>
              <w:rPr>
                <w:sz w:val="18"/>
                <w:szCs w:val="18"/>
              </w:rPr>
              <w:t>50,00</w:t>
            </w:r>
          </w:p>
        </w:tc>
        <w:tc>
          <w:tcPr>
            <w:tcW w:w="1000" w:type="dxa"/>
            <w:shd w:val="clear" w:color="auto" w:fill="auto"/>
            <w:vAlign w:val="bottom"/>
          </w:tcPr>
          <w:p w:rsidR="00000000" w:rsidRDefault="00000000">
            <w:pPr>
              <w:spacing w:before="20" w:after="20" w:line="220" w:lineRule="exact"/>
              <w:jc w:val="right"/>
              <w:rPr>
                <w:sz w:val="18"/>
                <w:szCs w:val="18"/>
              </w:rPr>
            </w:pPr>
            <w:r>
              <w:rPr>
                <w:sz w:val="18"/>
                <w:szCs w:val="18"/>
              </w:rPr>
              <w:t>16</w:t>
            </w:r>
          </w:p>
        </w:tc>
        <w:tc>
          <w:tcPr>
            <w:tcW w:w="1010" w:type="dxa"/>
            <w:shd w:val="clear" w:color="auto" w:fill="auto"/>
            <w:vAlign w:val="bottom"/>
          </w:tcPr>
          <w:p w:rsidR="00000000" w:rsidRDefault="00000000">
            <w:pPr>
              <w:spacing w:before="20" w:after="20" w:line="220" w:lineRule="exact"/>
              <w:jc w:val="right"/>
              <w:rPr>
                <w:sz w:val="18"/>
                <w:szCs w:val="18"/>
              </w:rPr>
            </w:pPr>
            <w:r>
              <w:rPr>
                <w:sz w:val="18"/>
                <w:szCs w:val="18"/>
              </w:rPr>
              <w:t>50,00</w:t>
            </w:r>
          </w:p>
        </w:tc>
      </w:tr>
      <w:tr w:rsidR="00000000">
        <w:trPr>
          <w:trHeight w:val="340"/>
        </w:trPr>
        <w:tc>
          <w:tcPr>
            <w:tcW w:w="1572" w:type="dxa"/>
            <w:shd w:val="clear" w:color="auto" w:fill="auto"/>
            <w:vAlign w:val="bottom"/>
          </w:tcPr>
          <w:p w:rsidR="00000000" w:rsidRDefault="00000000">
            <w:pPr>
              <w:spacing w:before="20" w:after="20" w:line="220" w:lineRule="exact"/>
              <w:rPr>
                <w:sz w:val="18"/>
                <w:szCs w:val="18"/>
              </w:rPr>
            </w:pPr>
            <w:r>
              <w:rPr>
                <w:sz w:val="18"/>
                <w:szCs w:val="18"/>
              </w:rPr>
              <w:t>Attentat à la pudeur</w:t>
            </w:r>
          </w:p>
        </w:tc>
        <w:tc>
          <w:tcPr>
            <w:tcW w:w="817" w:type="dxa"/>
            <w:shd w:val="clear" w:color="auto" w:fill="auto"/>
            <w:vAlign w:val="bottom"/>
          </w:tcPr>
          <w:p w:rsidR="00000000" w:rsidRDefault="00000000">
            <w:pPr>
              <w:spacing w:before="20" w:after="20" w:line="220" w:lineRule="exact"/>
              <w:jc w:val="right"/>
              <w:rPr>
                <w:sz w:val="18"/>
                <w:szCs w:val="18"/>
              </w:rPr>
            </w:pPr>
            <w:r>
              <w:rPr>
                <w:sz w:val="18"/>
                <w:szCs w:val="18"/>
              </w:rPr>
              <w:t>15</w:t>
            </w:r>
          </w:p>
        </w:tc>
        <w:tc>
          <w:tcPr>
            <w:tcW w:w="1010" w:type="dxa"/>
            <w:shd w:val="clear" w:color="auto" w:fill="auto"/>
            <w:vAlign w:val="bottom"/>
          </w:tcPr>
          <w:p w:rsidR="00000000" w:rsidRDefault="00000000">
            <w:pPr>
              <w:spacing w:before="20" w:after="20" w:line="220" w:lineRule="exact"/>
              <w:jc w:val="right"/>
              <w:rPr>
                <w:sz w:val="18"/>
                <w:szCs w:val="18"/>
              </w:rPr>
            </w:pPr>
            <w:r>
              <w:rPr>
                <w:sz w:val="18"/>
                <w:szCs w:val="18"/>
              </w:rPr>
              <w:t>4,36</w:t>
            </w:r>
          </w:p>
        </w:tc>
        <w:tc>
          <w:tcPr>
            <w:tcW w:w="971" w:type="dxa"/>
            <w:shd w:val="clear" w:color="auto" w:fill="auto"/>
            <w:vAlign w:val="bottom"/>
          </w:tcPr>
          <w:p w:rsidR="00000000" w:rsidRDefault="00000000">
            <w:pPr>
              <w:spacing w:before="20" w:after="20" w:line="220" w:lineRule="exact"/>
              <w:jc w:val="right"/>
              <w:rPr>
                <w:sz w:val="18"/>
                <w:szCs w:val="18"/>
              </w:rPr>
            </w:pPr>
            <w:r>
              <w:rPr>
                <w:sz w:val="18"/>
                <w:szCs w:val="18"/>
              </w:rPr>
              <w:t>13</w:t>
            </w:r>
          </w:p>
        </w:tc>
        <w:tc>
          <w:tcPr>
            <w:tcW w:w="1010" w:type="dxa"/>
            <w:shd w:val="clear" w:color="auto" w:fill="auto"/>
            <w:vAlign w:val="bottom"/>
          </w:tcPr>
          <w:p w:rsidR="00000000" w:rsidRDefault="00000000">
            <w:pPr>
              <w:spacing w:before="20" w:after="20" w:line="220" w:lineRule="exact"/>
              <w:jc w:val="right"/>
              <w:rPr>
                <w:sz w:val="18"/>
                <w:szCs w:val="18"/>
              </w:rPr>
            </w:pPr>
            <w:r>
              <w:rPr>
                <w:sz w:val="18"/>
                <w:szCs w:val="18"/>
              </w:rPr>
              <w:t>86,67</w:t>
            </w:r>
          </w:p>
        </w:tc>
        <w:tc>
          <w:tcPr>
            <w:tcW w:w="1000" w:type="dxa"/>
            <w:shd w:val="clear" w:color="auto" w:fill="auto"/>
            <w:vAlign w:val="bottom"/>
          </w:tcPr>
          <w:p w:rsidR="00000000" w:rsidRDefault="00000000">
            <w:pPr>
              <w:spacing w:before="20" w:after="20" w:line="220" w:lineRule="exact"/>
              <w:jc w:val="right"/>
              <w:rPr>
                <w:sz w:val="18"/>
                <w:szCs w:val="18"/>
              </w:rPr>
            </w:pPr>
            <w:r>
              <w:rPr>
                <w:sz w:val="18"/>
                <w:szCs w:val="18"/>
              </w:rPr>
              <w:t>2</w:t>
            </w:r>
          </w:p>
        </w:tc>
        <w:tc>
          <w:tcPr>
            <w:tcW w:w="1010" w:type="dxa"/>
            <w:shd w:val="clear" w:color="auto" w:fill="auto"/>
            <w:vAlign w:val="bottom"/>
          </w:tcPr>
          <w:p w:rsidR="00000000" w:rsidRDefault="00000000">
            <w:pPr>
              <w:spacing w:before="20" w:after="20" w:line="220" w:lineRule="exact"/>
              <w:jc w:val="right"/>
              <w:rPr>
                <w:sz w:val="18"/>
                <w:szCs w:val="18"/>
              </w:rPr>
            </w:pPr>
            <w:r>
              <w:rPr>
                <w:sz w:val="18"/>
                <w:szCs w:val="18"/>
              </w:rPr>
              <w:t>13,33</w:t>
            </w:r>
          </w:p>
        </w:tc>
      </w:tr>
      <w:tr w:rsidR="00000000">
        <w:trPr>
          <w:trHeight w:val="340"/>
        </w:trPr>
        <w:tc>
          <w:tcPr>
            <w:tcW w:w="1572" w:type="dxa"/>
            <w:shd w:val="clear" w:color="auto" w:fill="auto"/>
            <w:vAlign w:val="bottom"/>
          </w:tcPr>
          <w:p w:rsidR="00000000" w:rsidRDefault="00000000">
            <w:pPr>
              <w:spacing w:before="20" w:after="20" w:line="220" w:lineRule="exact"/>
              <w:rPr>
                <w:sz w:val="18"/>
                <w:szCs w:val="18"/>
              </w:rPr>
            </w:pPr>
            <w:r>
              <w:rPr>
                <w:sz w:val="18"/>
                <w:szCs w:val="18"/>
              </w:rPr>
              <w:t>Enlèvement</w:t>
            </w:r>
          </w:p>
        </w:tc>
        <w:tc>
          <w:tcPr>
            <w:tcW w:w="817" w:type="dxa"/>
            <w:shd w:val="clear" w:color="auto" w:fill="auto"/>
            <w:vAlign w:val="bottom"/>
          </w:tcPr>
          <w:p w:rsidR="00000000" w:rsidRDefault="00000000">
            <w:pPr>
              <w:spacing w:before="20" w:after="20" w:line="220" w:lineRule="exact"/>
              <w:jc w:val="right"/>
              <w:rPr>
                <w:sz w:val="18"/>
                <w:szCs w:val="18"/>
              </w:rPr>
            </w:pPr>
            <w:r>
              <w:rPr>
                <w:sz w:val="18"/>
                <w:szCs w:val="18"/>
              </w:rPr>
              <w:t>9</w:t>
            </w:r>
          </w:p>
        </w:tc>
        <w:tc>
          <w:tcPr>
            <w:tcW w:w="1010" w:type="dxa"/>
            <w:shd w:val="clear" w:color="auto" w:fill="auto"/>
            <w:vAlign w:val="bottom"/>
          </w:tcPr>
          <w:p w:rsidR="00000000" w:rsidRDefault="00000000">
            <w:pPr>
              <w:spacing w:before="20" w:after="20" w:line="220" w:lineRule="exact"/>
              <w:jc w:val="right"/>
              <w:rPr>
                <w:sz w:val="18"/>
                <w:szCs w:val="18"/>
              </w:rPr>
            </w:pPr>
            <w:r>
              <w:rPr>
                <w:sz w:val="18"/>
                <w:szCs w:val="18"/>
              </w:rPr>
              <w:t>2,62</w:t>
            </w:r>
          </w:p>
        </w:tc>
        <w:tc>
          <w:tcPr>
            <w:tcW w:w="971" w:type="dxa"/>
            <w:shd w:val="clear" w:color="auto" w:fill="auto"/>
            <w:vAlign w:val="bottom"/>
          </w:tcPr>
          <w:p w:rsidR="00000000" w:rsidRDefault="00000000">
            <w:pPr>
              <w:spacing w:before="20" w:after="20" w:line="220" w:lineRule="exact"/>
              <w:jc w:val="right"/>
              <w:rPr>
                <w:sz w:val="18"/>
                <w:szCs w:val="18"/>
              </w:rPr>
            </w:pPr>
            <w:r>
              <w:rPr>
                <w:sz w:val="18"/>
                <w:szCs w:val="18"/>
              </w:rPr>
              <w:t>5</w:t>
            </w:r>
          </w:p>
        </w:tc>
        <w:tc>
          <w:tcPr>
            <w:tcW w:w="1010" w:type="dxa"/>
            <w:shd w:val="clear" w:color="auto" w:fill="auto"/>
            <w:vAlign w:val="bottom"/>
          </w:tcPr>
          <w:p w:rsidR="00000000" w:rsidRDefault="00000000">
            <w:pPr>
              <w:spacing w:before="20" w:after="20" w:line="220" w:lineRule="exact"/>
              <w:jc w:val="right"/>
              <w:rPr>
                <w:sz w:val="18"/>
                <w:szCs w:val="18"/>
              </w:rPr>
            </w:pPr>
            <w:r>
              <w:rPr>
                <w:sz w:val="18"/>
                <w:szCs w:val="18"/>
              </w:rPr>
              <w:t>55,56</w:t>
            </w:r>
          </w:p>
        </w:tc>
        <w:tc>
          <w:tcPr>
            <w:tcW w:w="1000" w:type="dxa"/>
            <w:shd w:val="clear" w:color="auto" w:fill="auto"/>
            <w:vAlign w:val="bottom"/>
          </w:tcPr>
          <w:p w:rsidR="00000000" w:rsidRDefault="00000000">
            <w:pPr>
              <w:spacing w:before="20" w:after="20" w:line="220" w:lineRule="exact"/>
              <w:jc w:val="right"/>
              <w:rPr>
                <w:sz w:val="18"/>
                <w:szCs w:val="18"/>
              </w:rPr>
            </w:pPr>
            <w:r>
              <w:rPr>
                <w:sz w:val="18"/>
                <w:szCs w:val="18"/>
              </w:rPr>
              <w:t>4</w:t>
            </w:r>
          </w:p>
        </w:tc>
        <w:tc>
          <w:tcPr>
            <w:tcW w:w="1010" w:type="dxa"/>
            <w:shd w:val="clear" w:color="auto" w:fill="auto"/>
            <w:vAlign w:val="bottom"/>
          </w:tcPr>
          <w:p w:rsidR="00000000" w:rsidRDefault="00000000">
            <w:pPr>
              <w:spacing w:before="20" w:after="20" w:line="220" w:lineRule="exact"/>
              <w:jc w:val="right"/>
              <w:rPr>
                <w:sz w:val="18"/>
                <w:szCs w:val="18"/>
              </w:rPr>
            </w:pPr>
            <w:r>
              <w:rPr>
                <w:sz w:val="18"/>
                <w:szCs w:val="18"/>
              </w:rPr>
              <w:t>44,44</w:t>
            </w:r>
          </w:p>
        </w:tc>
      </w:tr>
      <w:tr w:rsidR="00000000">
        <w:trPr>
          <w:trHeight w:val="340"/>
        </w:trPr>
        <w:tc>
          <w:tcPr>
            <w:tcW w:w="1572" w:type="dxa"/>
            <w:shd w:val="clear" w:color="auto" w:fill="auto"/>
            <w:vAlign w:val="bottom"/>
          </w:tcPr>
          <w:p w:rsidR="00000000" w:rsidRDefault="00000000">
            <w:pPr>
              <w:spacing w:before="20" w:after="20" w:line="220" w:lineRule="exact"/>
              <w:rPr>
                <w:sz w:val="18"/>
                <w:szCs w:val="18"/>
              </w:rPr>
            </w:pPr>
            <w:r>
              <w:rPr>
                <w:sz w:val="18"/>
                <w:szCs w:val="18"/>
              </w:rPr>
              <w:t>Inceste</w:t>
            </w:r>
          </w:p>
        </w:tc>
        <w:tc>
          <w:tcPr>
            <w:tcW w:w="817" w:type="dxa"/>
            <w:shd w:val="clear" w:color="auto" w:fill="auto"/>
            <w:vAlign w:val="bottom"/>
          </w:tcPr>
          <w:p w:rsidR="00000000" w:rsidRDefault="00000000">
            <w:pPr>
              <w:spacing w:before="20" w:after="20" w:line="220" w:lineRule="exact"/>
              <w:jc w:val="right"/>
              <w:rPr>
                <w:sz w:val="18"/>
                <w:szCs w:val="18"/>
              </w:rPr>
            </w:pPr>
            <w:r>
              <w:rPr>
                <w:sz w:val="18"/>
                <w:szCs w:val="18"/>
              </w:rPr>
              <w:t>5</w:t>
            </w:r>
          </w:p>
        </w:tc>
        <w:tc>
          <w:tcPr>
            <w:tcW w:w="1010" w:type="dxa"/>
            <w:shd w:val="clear" w:color="auto" w:fill="auto"/>
            <w:vAlign w:val="bottom"/>
          </w:tcPr>
          <w:p w:rsidR="00000000" w:rsidRDefault="00000000">
            <w:pPr>
              <w:spacing w:before="20" w:after="20" w:line="220" w:lineRule="exact"/>
              <w:jc w:val="right"/>
              <w:rPr>
                <w:sz w:val="18"/>
                <w:szCs w:val="18"/>
              </w:rPr>
            </w:pPr>
            <w:r>
              <w:rPr>
                <w:sz w:val="18"/>
                <w:szCs w:val="18"/>
              </w:rPr>
              <w:t>1,45</w:t>
            </w:r>
          </w:p>
        </w:tc>
        <w:tc>
          <w:tcPr>
            <w:tcW w:w="971" w:type="dxa"/>
            <w:shd w:val="clear" w:color="auto" w:fill="auto"/>
            <w:vAlign w:val="bottom"/>
          </w:tcPr>
          <w:p w:rsidR="00000000" w:rsidRDefault="00000000">
            <w:pPr>
              <w:spacing w:before="20" w:after="20" w:line="220" w:lineRule="exact"/>
              <w:jc w:val="right"/>
              <w:rPr>
                <w:sz w:val="18"/>
                <w:szCs w:val="18"/>
              </w:rPr>
            </w:pPr>
            <w:r>
              <w:rPr>
                <w:sz w:val="18"/>
                <w:szCs w:val="18"/>
              </w:rPr>
              <w:t>5</w:t>
            </w:r>
          </w:p>
        </w:tc>
        <w:tc>
          <w:tcPr>
            <w:tcW w:w="1010" w:type="dxa"/>
            <w:shd w:val="clear" w:color="auto" w:fill="auto"/>
            <w:vAlign w:val="bottom"/>
          </w:tcPr>
          <w:p w:rsidR="00000000" w:rsidRDefault="00000000">
            <w:pPr>
              <w:spacing w:before="20" w:after="20" w:line="220" w:lineRule="exact"/>
              <w:jc w:val="right"/>
              <w:rPr>
                <w:sz w:val="18"/>
                <w:szCs w:val="18"/>
              </w:rPr>
            </w:pPr>
            <w:r>
              <w:rPr>
                <w:sz w:val="18"/>
                <w:szCs w:val="18"/>
              </w:rPr>
              <w:t>100,00</w:t>
            </w:r>
          </w:p>
        </w:tc>
        <w:tc>
          <w:tcPr>
            <w:tcW w:w="1000" w:type="dxa"/>
            <w:shd w:val="clear" w:color="auto" w:fill="auto"/>
            <w:vAlign w:val="bottom"/>
          </w:tcPr>
          <w:p w:rsidR="00000000" w:rsidRDefault="00000000">
            <w:pPr>
              <w:spacing w:before="20" w:after="20" w:line="220" w:lineRule="exact"/>
              <w:jc w:val="right"/>
              <w:rPr>
                <w:sz w:val="18"/>
                <w:szCs w:val="18"/>
              </w:rPr>
            </w:pPr>
          </w:p>
        </w:tc>
        <w:tc>
          <w:tcPr>
            <w:tcW w:w="1010" w:type="dxa"/>
            <w:shd w:val="clear" w:color="auto" w:fill="auto"/>
            <w:vAlign w:val="bottom"/>
          </w:tcPr>
          <w:p w:rsidR="00000000" w:rsidRDefault="00000000">
            <w:pPr>
              <w:spacing w:before="20" w:after="20" w:line="220" w:lineRule="exact"/>
              <w:jc w:val="right"/>
              <w:rPr>
                <w:sz w:val="18"/>
                <w:szCs w:val="18"/>
              </w:rPr>
            </w:pPr>
            <w:r>
              <w:rPr>
                <w:sz w:val="18"/>
                <w:szCs w:val="18"/>
              </w:rPr>
              <w:t>0,00</w:t>
            </w:r>
          </w:p>
        </w:tc>
      </w:tr>
      <w:tr w:rsidR="00000000">
        <w:trPr>
          <w:trHeight w:val="340"/>
        </w:trPr>
        <w:tc>
          <w:tcPr>
            <w:tcW w:w="1572" w:type="dxa"/>
            <w:shd w:val="clear" w:color="auto" w:fill="auto"/>
            <w:vAlign w:val="bottom"/>
          </w:tcPr>
          <w:p w:rsidR="00000000" w:rsidRDefault="00000000">
            <w:pPr>
              <w:spacing w:before="20" w:after="20" w:line="220" w:lineRule="exact"/>
              <w:rPr>
                <w:sz w:val="18"/>
                <w:szCs w:val="18"/>
              </w:rPr>
            </w:pPr>
            <w:r>
              <w:rPr>
                <w:sz w:val="18"/>
                <w:szCs w:val="18"/>
              </w:rPr>
              <w:t>Abandon</w:t>
            </w:r>
          </w:p>
        </w:tc>
        <w:tc>
          <w:tcPr>
            <w:tcW w:w="817" w:type="dxa"/>
            <w:shd w:val="clear" w:color="auto" w:fill="auto"/>
            <w:vAlign w:val="bottom"/>
          </w:tcPr>
          <w:p w:rsidR="00000000" w:rsidRDefault="00000000">
            <w:pPr>
              <w:spacing w:before="20" w:after="20" w:line="220" w:lineRule="exact"/>
              <w:jc w:val="right"/>
              <w:rPr>
                <w:sz w:val="18"/>
                <w:szCs w:val="18"/>
              </w:rPr>
            </w:pPr>
            <w:r>
              <w:rPr>
                <w:sz w:val="18"/>
                <w:szCs w:val="18"/>
              </w:rPr>
              <w:t>4</w:t>
            </w:r>
          </w:p>
        </w:tc>
        <w:tc>
          <w:tcPr>
            <w:tcW w:w="1010" w:type="dxa"/>
            <w:shd w:val="clear" w:color="auto" w:fill="auto"/>
            <w:vAlign w:val="bottom"/>
          </w:tcPr>
          <w:p w:rsidR="00000000" w:rsidRDefault="00000000">
            <w:pPr>
              <w:spacing w:before="20" w:after="20" w:line="220" w:lineRule="exact"/>
              <w:jc w:val="right"/>
              <w:rPr>
                <w:sz w:val="18"/>
                <w:szCs w:val="18"/>
              </w:rPr>
            </w:pPr>
            <w:r>
              <w:rPr>
                <w:sz w:val="18"/>
                <w:szCs w:val="18"/>
              </w:rPr>
              <w:t>1,16</w:t>
            </w:r>
          </w:p>
        </w:tc>
        <w:tc>
          <w:tcPr>
            <w:tcW w:w="971" w:type="dxa"/>
            <w:shd w:val="clear" w:color="auto" w:fill="auto"/>
            <w:vAlign w:val="bottom"/>
          </w:tcPr>
          <w:p w:rsidR="00000000" w:rsidRDefault="00000000">
            <w:pPr>
              <w:spacing w:before="20" w:after="20" w:line="220" w:lineRule="exact"/>
              <w:jc w:val="right"/>
              <w:rPr>
                <w:sz w:val="18"/>
                <w:szCs w:val="18"/>
              </w:rPr>
            </w:pPr>
            <w:r>
              <w:rPr>
                <w:sz w:val="18"/>
                <w:szCs w:val="18"/>
              </w:rPr>
              <w:t>1</w:t>
            </w:r>
          </w:p>
        </w:tc>
        <w:tc>
          <w:tcPr>
            <w:tcW w:w="1010" w:type="dxa"/>
            <w:shd w:val="clear" w:color="auto" w:fill="auto"/>
            <w:vAlign w:val="bottom"/>
          </w:tcPr>
          <w:p w:rsidR="00000000" w:rsidRDefault="00000000">
            <w:pPr>
              <w:spacing w:before="20" w:after="20" w:line="220" w:lineRule="exact"/>
              <w:jc w:val="right"/>
              <w:rPr>
                <w:sz w:val="18"/>
                <w:szCs w:val="18"/>
              </w:rPr>
            </w:pPr>
            <w:r>
              <w:rPr>
                <w:sz w:val="18"/>
                <w:szCs w:val="18"/>
              </w:rPr>
              <w:t>25,00</w:t>
            </w:r>
          </w:p>
        </w:tc>
        <w:tc>
          <w:tcPr>
            <w:tcW w:w="1000" w:type="dxa"/>
            <w:shd w:val="clear" w:color="auto" w:fill="auto"/>
            <w:vAlign w:val="bottom"/>
          </w:tcPr>
          <w:p w:rsidR="00000000" w:rsidRDefault="00000000">
            <w:pPr>
              <w:spacing w:before="20" w:after="20" w:line="220" w:lineRule="exact"/>
              <w:jc w:val="right"/>
              <w:rPr>
                <w:sz w:val="18"/>
                <w:szCs w:val="18"/>
              </w:rPr>
            </w:pPr>
            <w:r>
              <w:rPr>
                <w:sz w:val="18"/>
                <w:szCs w:val="18"/>
              </w:rPr>
              <w:t>3</w:t>
            </w:r>
          </w:p>
        </w:tc>
        <w:tc>
          <w:tcPr>
            <w:tcW w:w="1010" w:type="dxa"/>
            <w:shd w:val="clear" w:color="auto" w:fill="auto"/>
            <w:vAlign w:val="bottom"/>
          </w:tcPr>
          <w:p w:rsidR="00000000" w:rsidRDefault="00000000">
            <w:pPr>
              <w:spacing w:before="20" w:after="20" w:line="220" w:lineRule="exact"/>
              <w:jc w:val="right"/>
              <w:rPr>
                <w:sz w:val="18"/>
                <w:szCs w:val="18"/>
              </w:rPr>
            </w:pPr>
            <w:r>
              <w:rPr>
                <w:sz w:val="18"/>
                <w:szCs w:val="18"/>
              </w:rPr>
              <w:t>75,00</w:t>
            </w:r>
          </w:p>
        </w:tc>
      </w:tr>
      <w:tr w:rsidR="00000000">
        <w:trPr>
          <w:trHeight w:val="340"/>
        </w:trPr>
        <w:tc>
          <w:tcPr>
            <w:tcW w:w="1572" w:type="dxa"/>
            <w:shd w:val="clear" w:color="auto" w:fill="auto"/>
            <w:vAlign w:val="bottom"/>
          </w:tcPr>
          <w:p w:rsidR="00000000" w:rsidRDefault="00000000">
            <w:pPr>
              <w:spacing w:before="20" w:after="20" w:line="220" w:lineRule="exact"/>
              <w:rPr>
                <w:sz w:val="18"/>
                <w:szCs w:val="18"/>
              </w:rPr>
            </w:pPr>
            <w:r>
              <w:rPr>
                <w:sz w:val="18"/>
                <w:szCs w:val="18"/>
              </w:rPr>
              <w:t>Privation de soins et aliments</w:t>
            </w:r>
          </w:p>
        </w:tc>
        <w:tc>
          <w:tcPr>
            <w:tcW w:w="817" w:type="dxa"/>
            <w:shd w:val="clear" w:color="auto" w:fill="auto"/>
            <w:vAlign w:val="bottom"/>
          </w:tcPr>
          <w:p w:rsidR="00000000" w:rsidRDefault="00000000">
            <w:pPr>
              <w:spacing w:before="20" w:after="20" w:line="220" w:lineRule="exact"/>
              <w:jc w:val="right"/>
              <w:rPr>
                <w:sz w:val="18"/>
                <w:szCs w:val="18"/>
              </w:rPr>
            </w:pPr>
            <w:r>
              <w:rPr>
                <w:sz w:val="18"/>
                <w:szCs w:val="18"/>
              </w:rPr>
              <w:t>4</w:t>
            </w:r>
          </w:p>
        </w:tc>
        <w:tc>
          <w:tcPr>
            <w:tcW w:w="1010" w:type="dxa"/>
            <w:shd w:val="clear" w:color="auto" w:fill="auto"/>
            <w:vAlign w:val="bottom"/>
          </w:tcPr>
          <w:p w:rsidR="00000000" w:rsidRDefault="00000000">
            <w:pPr>
              <w:spacing w:before="20" w:after="20" w:line="220" w:lineRule="exact"/>
              <w:jc w:val="right"/>
              <w:rPr>
                <w:sz w:val="18"/>
                <w:szCs w:val="18"/>
              </w:rPr>
            </w:pPr>
            <w:r>
              <w:rPr>
                <w:sz w:val="18"/>
                <w:szCs w:val="18"/>
              </w:rPr>
              <w:t>1,16</w:t>
            </w:r>
          </w:p>
        </w:tc>
        <w:tc>
          <w:tcPr>
            <w:tcW w:w="971" w:type="dxa"/>
            <w:shd w:val="clear" w:color="auto" w:fill="auto"/>
            <w:vAlign w:val="bottom"/>
          </w:tcPr>
          <w:p w:rsidR="00000000" w:rsidRDefault="00000000">
            <w:pPr>
              <w:spacing w:before="20" w:after="20" w:line="220" w:lineRule="exact"/>
              <w:jc w:val="right"/>
              <w:rPr>
                <w:sz w:val="18"/>
                <w:szCs w:val="18"/>
              </w:rPr>
            </w:pPr>
            <w:r>
              <w:rPr>
                <w:sz w:val="18"/>
                <w:szCs w:val="18"/>
              </w:rPr>
              <w:t>1</w:t>
            </w:r>
          </w:p>
        </w:tc>
        <w:tc>
          <w:tcPr>
            <w:tcW w:w="1010" w:type="dxa"/>
            <w:shd w:val="clear" w:color="auto" w:fill="auto"/>
            <w:vAlign w:val="bottom"/>
          </w:tcPr>
          <w:p w:rsidR="00000000" w:rsidRDefault="00000000">
            <w:pPr>
              <w:spacing w:before="20" w:after="20" w:line="220" w:lineRule="exact"/>
              <w:jc w:val="right"/>
              <w:rPr>
                <w:sz w:val="18"/>
                <w:szCs w:val="18"/>
              </w:rPr>
            </w:pPr>
            <w:r>
              <w:rPr>
                <w:sz w:val="18"/>
                <w:szCs w:val="18"/>
              </w:rPr>
              <w:t>25,00</w:t>
            </w:r>
          </w:p>
        </w:tc>
        <w:tc>
          <w:tcPr>
            <w:tcW w:w="1000" w:type="dxa"/>
            <w:shd w:val="clear" w:color="auto" w:fill="auto"/>
            <w:vAlign w:val="bottom"/>
          </w:tcPr>
          <w:p w:rsidR="00000000" w:rsidRDefault="00000000">
            <w:pPr>
              <w:spacing w:before="20" w:after="20" w:line="220" w:lineRule="exact"/>
              <w:jc w:val="right"/>
              <w:rPr>
                <w:sz w:val="18"/>
                <w:szCs w:val="18"/>
              </w:rPr>
            </w:pPr>
            <w:r>
              <w:rPr>
                <w:sz w:val="18"/>
                <w:szCs w:val="18"/>
              </w:rPr>
              <w:t>3</w:t>
            </w:r>
          </w:p>
        </w:tc>
        <w:tc>
          <w:tcPr>
            <w:tcW w:w="1010" w:type="dxa"/>
            <w:shd w:val="clear" w:color="auto" w:fill="auto"/>
            <w:vAlign w:val="bottom"/>
          </w:tcPr>
          <w:p w:rsidR="00000000" w:rsidRDefault="00000000">
            <w:pPr>
              <w:spacing w:before="20" w:after="20" w:line="220" w:lineRule="exact"/>
              <w:jc w:val="right"/>
              <w:rPr>
                <w:sz w:val="18"/>
                <w:szCs w:val="18"/>
              </w:rPr>
            </w:pPr>
            <w:r>
              <w:rPr>
                <w:sz w:val="18"/>
                <w:szCs w:val="18"/>
              </w:rPr>
              <w:t>75,00</w:t>
            </w:r>
          </w:p>
        </w:tc>
      </w:tr>
      <w:tr w:rsidR="00000000">
        <w:trPr>
          <w:trHeight w:val="340"/>
        </w:trPr>
        <w:tc>
          <w:tcPr>
            <w:tcW w:w="1572" w:type="dxa"/>
            <w:shd w:val="clear" w:color="auto" w:fill="auto"/>
            <w:vAlign w:val="bottom"/>
          </w:tcPr>
          <w:p w:rsidR="00000000" w:rsidRDefault="00000000">
            <w:pPr>
              <w:spacing w:before="20" w:after="20" w:line="220" w:lineRule="exact"/>
              <w:rPr>
                <w:sz w:val="18"/>
                <w:szCs w:val="18"/>
              </w:rPr>
            </w:pPr>
            <w:r>
              <w:rPr>
                <w:sz w:val="18"/>
                <w:szCs w:val="18"/>
              </w:rPr>
              <w:t>Trafic</w:t>
            </w:r>
          </w:p>
        </w:tc>
        <w:tc>
          <w:tcPr>
            <w:tcW w:w="817" w:type="dxa"/>
            <w:shd w:val="clear" w:color="auto" w:fill="auto"/>
            <w:vAlign w:val="bottom"/>
          </w:tcPr>
          <w:p w:rsidR="00000000" w:rsidRDefault="00000000">
            <w:pPr>
              <w:spacing w:before="20" w:after="20" w:line="220" w:lineRule="exact"/>
              <w:jc w:val="right"/>
              <w:rPr>
                <w:sz w:val="18"/>
                <w:szCs w:val="18"/>
              </w:rPr>
            </w:pPr>
            <w:r>
              <w:rPr>
                <w:sz w:val="18"/>
                <w:szCs w:val="18"/>
              </w:rPr>
              <w:t>3</w:t>
            </w:r>
          </w:p>
        </w:tc>
        <w:tc>
          <w:tcPr>
            <w:tcW w:w="1010" w:type="dxa"/>
            <w:shd w:val="clear" w:color="auto" w:fill="auto"/>
            <w:vAlign w:val="bottom"/>
          </w:tcPr>
          <w:p w:rsidR="00000000" w:rsidRDefault="00000000">
            <w:pPr>
              <w:spacing w:before="20" w:after="20" w:line="220" w:lineRule="exact"/>
              <w:jc w:val="right"/>
              <w:rPr>
                <w:sz w:val="18"/>
                <w:szCs w:val="18"/>
              </w:rPr>
            </w:pPr>
            <w:r>
              <w:rPr>
                <w:sz w:val="18"/>
                <w:szCs w:val="18"/>
              </w:rPr>
              <w:t>0,87</w:t>
            </w:r>
          </w:p>
        </w:tc>
        <w:tc>
          <w:tcPr>
            <w:tcW w:w="971" w:type="dxa"/>
            <w:shd w:val="clear" w:color="auto" w:fill="auto"/>
            <w:vAlign w:val="bottom"/>
          </w:tcPr>
          <w:p w:rsidR="00000000" w:rsidRDefault="00000000">
            <w:pPr>
              <w:spacing w:before="20" w:after="20" w:line="220" w:lineRule="exact"/>
              <w:jc w:val="right"/>
              <w:rPr>
                <w:sz w:val="18"/>
                <w:szCs w:val="18"/>
              </w:rPr>
            </w:pPr>
            <w:r>
              <w:rPr>
                <w:sz w:val="18"/>
                <w:szCs w:val="18"/>
              </w:rPr>
              <w:t>1</w:t>
            </w:r>
          </w:p>
        </w:tc>
        <w:tc>
          <w:tcPr>
            <w:tcW w:w="1010" w:type="dxa"/>
            <w:shd w:val="clear" w:color="auto" w:fill="auto"/>
            <w:vAlign w:val="bottom"/>
          </w:tcPr>
          <w:p w:rsidR="00000000" w:rsidRDefault="00000000">
            <w:pPr>
              <w:spacing w:before="20" w:after="20" w:line="220" w:lineRule="exact"/>
              <w:jc w:val="right"/>
              <w:rPr>
                <w:sz w:val="18"/>
                <w:szCs w:val="18"/>
              </w:rPr>
            </w:pPr>
            <w:r>
              <w:rPr>
                <w:sz w:val="18"/>
                <w:szCs w:val="18"/>
              </w:rPr>
              <w:t>33,33</w:t>
            </w:r>
          </w:p>
        </w:tc>
        <w:tc>
          <w:tcPr>
            <w:tcW w:w="1000" w:type="dxa"/>
            <w:shd w:val="clear" w:color="auto" w:fill="auto"/>
            <w:vAlign w:val="bottom"/>
          </w:tcPr>
          <w:p w:rsidR="00000000" w:rsidRDefault="00000000">
            <w:pPr>
              <w:spacing w:before="20" w:after="20" w:line="220" w:lineRule="exact"/>
              <w:jc w:val="right"/>
              <w:rPr>
                <w:sz w:val="18"/>
                <w:szCs w:val="18"/>
              </w:rPr>
            </w:pPr>
            <w:r>
              <w:rPr>
                <w:sz w:val="18"/>
                <w:szCs w:val="18"/>
              </w:rPr>
              <w:t>2</w:t>
            </w:r>
          </w:p>
        </w:tc>
        <w:tc>
          <w:tcPr>
            <w:tcW w:w="1010" w:type="dxa"/>
            <w:shd w:val="clear" w:color="auto" w:fill="auto"/>
            <w:vAlign w:val="bottom"/>
          </w:tcPr>
          <w:p w:rsidR="00000000" w:rsidRDefault="00000000">
            <w:pPr>
              <w:spacing w:before="20" w:after="20" w:line="220" w:lineRule="exact"/>
              <w:jc w:val="right"/>
              <w:rPr>
                <w:sz w:val="18"/>
                <w:szCs w:val="18"/>
              </w:rPr>
            </w:pPr>
            <w:r>
              <w:rPr>
                <w:sz w:val="18"/>
                <w:szCs w:val="18"/>
              </w:rPr>
              <w:t>66,67</w:t>
            </w:r>
          </w:p>
        </w:tc>
      </w:tr>
      <w:tr w:rsidR="00000000">
        <w:trPr>
          <w:trHeight w:val="340"/>
        </w:trPr>
        <w:tc>
          <w:tcPr>
            <w:tcW w:w="1572" w:type="dxa"/>
            <w:shd w:val="clear" w:color="auto" w:fill="auto"/>
            <w:vAlign w:val="bottom"/>
          </w:tcPr>
          <w:p w:rsidR="00000000" w:rsidRDefault="00000000">
            <w:pPr>
              <w:spacing w:before="20" w:after="20" w:line="220" w:lineRule="exact"/>
              <w:rPr>
                <w:sz w:val="18"/>
                <w:szCs w:val="18"/>
              </w:rPr>
            </w:pPr>
            <w:r>
              <w:rPr>
                <w:sz w:val="18"/>
                <w:szCs w:val="18"/>
              </w:rPr>
              <w:t>Menaces</w:t>
            </w:r>
          </w:p>
        </w:tc>
        <w:tc>
          <w:tcPr>
            <w:tcW w:w="817" w:type="dxa"/>
            <w:shd w:val="clear" w:color="auto" w:fill="auto"/>
            <w:vAlign w:val="bottom"/>
          </w:tcPr>
          <w:p w:rsidR="00000000" w:rsidRDefault="00000000">
            <w:pPr>
              <w:spacing w:before="20" w:after="20" w:line="220" w:lineRule="exact"/>
              <w:jc w:val="right"/>
              <w:rPr>
                <w:sz w:val="18"/>
                <w:szCs w:val="18"/>
              </w:rPr>
            </w:pPr>
            <w:r>
              <w:rPr>
                <w:sz w:val="18"/>
                <w:szCs w:val="18"/>
              </w:rPr>
              <w:t>2</w:t>
            </w:r>
          </w:p>
        </w:tc>
        <w:tc>
          <w:tcPr>
            <w:tcW w:w="1010" w:type="dxa"/>
            <w:shd w:val="clear" w:color="auto" w:fill="auto"/>
            <w:vAlign w:val="bottom"/>
          </w:tcPr>
          <w:p w:rsidR="00000000" w:rsidRDefault="00000000">
            <w:pPr>
              <w:spacing w:before="20" w:after="20" w:line="220" w:lineRule="exact"/>
              <w:jc w:val="right"/>
              <w:rPr>
                <w:sz w:val="18"/>
                <w:szCs w:val="18"/>
              </w:rPr>
            </w:pPr>
            <w:r>
              <w:rPr>
                <w:sz w:val="18"/>
                <w:szCs w:val="18"/>
              </w:rPr>
              <w:t>0,58</w:t>
            </w:r>
          </w:p>
        </w:tc>
        <w:tc>
          <w:tcPr>
            <w:tcW w:w="971" w:type="dxa"/>
            <w:shd w:val="clear" w:color="auto" w:fill="auto"/>
            <w:vAlign w:val="bottom"/>
          </w:tcPr>
          <w:p w:rsidR="00000000" w:rsidRDefault="00000000">
            <w:pPr>
              <w:spacing w:before="20" w:after="20" w:line="220" w:lineRule="exact"/>
              <w:jc w:val="right"/>
              <w:rPr>
                <w:sz w:val="18"/>
                <w:szCs w:val="18"/>
              </w:rPr>
            </w:pPr>
            <w:r>
              <w:rPr>
                <w:sz w:val="18"/>
                <w:szCs w:val="18"/>
              </w:rPr>
              <w:t>2</w:t>
            </w:r>
          </w:p>
        </w:tc>
        <w:tc>
          <w:tcPr>
            <w:tcW w:w="1010" w:type="dxa"/>
            <w:shd w:val="clear" w:color="auto" w:fill="auto"/>
            <w:vAlign w:val="bottom"/>
          </w:tcPr>
          <w:p w:rsidR="00000000" w:rsidRDefault="00000000">
            <w:pPr>
              <w:spacing w:before="20" w:after="20" w:line="220" w:lineRule="exact"/>
              <w:jc w:val="right"/>
              <w:rPr>
                <w:sz w:val="18"/>
                <w:szCs w:val="18"/>
              </w:rPr>
            </w:pPr>
            <w:r>
              <w:rPr>
                <w:sz w:val="18"/>
                <w:szCs w:val="18"/>
              </w:rPr>
              <w:t>100,00</w:t>
            </w:r>
          </w:p>
        </w:tc>
        <w:tc>
          <w:tcPr>
            <w:tcW w:w="1000" w:type="dxa"/>
            <w:shd w:val="clear" w:color="auto" w:fill="auto"/>
            <w:vAlign w:val="bottom"/>
          </w:tcPr>
          <w:p w:rsidR="00000000" w:rsidRDefault="00000000">
            <w:pPr>
              <w:spacing w:before="20" w:after="20" w:line="220" w:lineRule="exact"/>
              <w:jc w:val="right"/>
              <w:rPr>
                <w:sz w:val="18"/>
                <w:szCs w:val="18"/>
              </w:rPr>
            </w:pPr>
          </w:p>
        </w:tc>
        <w:tc>
          <w:tcPr>
            <w:tcW w:w="1010" w:type="dxa"/>
            <w:shd w:val="clear" w:color="auto" w:fill="auto"/>
            <w:vAlign w:val="bottom"/>
          </w:tcPr>
          <w:p w:rsidR="00000000" w:rsidRDefault="00000000">
            <w:pPr>
              <w:spacing w:before="20" w:after="20" w:line="220" w:lineRule="exact"/>
              <w:jc w:val="right"/>
              <w:rPr>
                <w:sz w:val="18"/>
                <w:szCs w:val="18"/>
              </w:rPr>
            </w:pPr>
            <w:r>
              <w:rPr>
                <w:sz w:val="18"/>
                <w:szCs w:val="18"/>
              </w:rPr>
              <w:t>0,00</w:t>
            </w:r>
          </w:p>
        </w:tc>
      </w:tr>
      <w:tr w:rsidR="00000000">
        <w:trPr>
          <w:trHeight w:val="340"/>
        </w:trPr>
        <w:tc>
          <w:tcPr>
            <w:tcW w:w="1572" w:type="dxa"/>
            <w:shd w:val="clear" w:color="auto" w:fill="auto"/>
            <w:vAlign w:val="bottom"/>
          </w:tcPr>
          <w:p w:rsidR="00000000" w:rsidRDefault="00000000">
            <w:pPr>
              <w:spacing w:before="20" w:after="20" w:line="220" w:lineRule="exact"/>
              <w:rPr>
                <w:sz w:val="18"/>
                <w:szCs w:val="18"/>
              </w:rPr>
            </w:pPr>
            <w:r>
              <w:rPr>
                <w:sz w:val="18"/>
                <w:szCs w:val="18"/>
              </w:rPr>
              <w:t>Diffamation publique</w:t>
            </w:r>
          </w:p>
        </w:tc>
        <w:tc>
          <w:tcPr>
            <w:tcW w:w="817" w:type="dxa"/>
            <w:shd w:val="clear" w:color="auto" w:fill="auto"/>
            <w:vAlign w:val="bottom"/>
          </w:tcPr>
          <w:p w:rsidR="00000000" w:rsidRDefault="00000000">
            <w:pPr>
              <w:spacing w:before="20" w:after="20" w:line="220" w:lineRule="exact"/>
              <w:jc w:val="right"/>
              <w:rPr>
                <w:sz w:val="18"/>
                <w:szCs w:val="18"/>
              </w:rPr>
            </w:pPr>
            <w:r>
              <w:rPr>
                <w:sz w:val="18"/>
                <w:szCs w:val="18"/>
              </w:rPr>
              <w:t>1</w:t>
            </w:r>
          </w:p>
        </w:tc>
        <w:tc>
          <w:tcPr>
            <w:tcW w:w="1010" w:type="dxa"/>
            <w:shd w:val="clear" w:color="auto" w:fill="auto"/>
            <w:vAlign w:val="bottom"/>
          </w:tcPr>
          <w:p w:rsidR="00000000" w:rsidRDefault="00000000">
            <w:pPr>
              <w:spacing w:before="20" w:after="20" w:line="220" w:lineRule="exact"/>
              <w:jc w:val="right"/>
              <w:rPr>
                <w:sz w:val="18"/>
                <w:szCs w:val="18"/>
              </w:rPr>
            </w:pPr>
            <w:r>
              <w:rPr>
                <w:sz w:val="18"/>
                <w:szCs w:val="18"/>
              </w:rPr>
              <w:t>0,29</w:t>
            </w:r>
          </w:p>
        </w:tc>
        <w:tc>
          <w:tcPr>
            <w:tcW w:w="971" w:type="dxa"/>
            <w:shd w:val="clear" w:color="auto" w:fill="auto"/>
            <w:vAlign w:val="bottom"/>
          </w:tcPr>
          <w:p w:rsidR="00000000" w:rsidRDefault="00000000">
            <w:pPr>
              <w:spacing w:before="20" w:after="20" w:line="220" w:lineRule="exact"/>
              <w:jc w:val="right"/>
              <w:rPr>
                <w:sz w:val="18"/>
                <w:szCs w:val="18"/>
              </w:rPr>
            </w:pPr>
          </w:p>
        </w:tc>
        <w:tc>
          <w:tcPr>
            <w:tcW w:w="1010" w:type="dxa"/>
            <w:shd w:val="clear" w:color="auto" w:fill="auto"/>
            <w:vAlign w:val="bottom"/>
          </w:tcPr>
          <w:p w:rsidR="00000000" w:rsidRDefault="00000000">
            <w:pPr>
              <w:spacing w:before="20" w:after="20" w:line="220" w:lineRule="exact"/>
              <w:jc w:val="right"/>
              <w:rPr>
                <w:sz w:val="18"/>
                <w:szCs w:val="18"/>
              </w:rPr>
            </w:pPr>
            <w:r>
              <w:rPr>
                <w:sz w:val="18"/>
                <w:szCs w:val="18"/>
              </w:rPr>
              <w:t>0,00</w:t>
            </w:r>
          </w:p>
        </w:tc>
        <w:tc>
          <w:tcPr>
            <w:tcW w:w="1000" w:type="dxa"/>
            <w:shd w:val="clear" w:color="auto" w:fill="auto"/>
            <w:vAlign w:val="bottom"/>
          </w:tcPr>
          <w:p w:rsidR="00000000" w:rsidRDefault="00000000">
            <w:pPr>
              <w:spacing w:before="20" w:after="20" w:line="220" w:lineRule="exact"/>
              <w:jc w:val="right"/>
              <w:rPr>
                <w:sz w:val="18"/>
                <w:szCs w:val="18"/>
              </w:rPr>
            </w:pPr>
            <w:r>
              <w:rPr>
                <w:sz w:val="18"/>
                <w:szCs w:val="18"/>
              </w:rPr>
              <w:t>1</w:t>
            </w:r>
          </w:p>
        </w:tc>
        <w:tc>
          <w:tcPr>
            <w:tcW w:w="1010" w:type="dxa"/>
            <w:shd w:val="clear" w:color="auto" w:fill="auto"/>
            <w:vAlign w:val="bottom"/>
          </w:tcPr>
          <w:p w:rsidR="00000000" w:rsidRDefault="00000000">
            <w:pPr>
              <w:spacing w:before="20" w:after="20" w:line="220" w:lineRule="exact"/>
              <w:jc w:val="right"/>
              <w:rPr>
                <w:sz w:val="18"/>
                <w:szCs w:val="18"/>
              </w:rPr>
            </w:pPr>
            <w:r>
              <w:rPr>
                <w:sz w:val="18"/>
                <w:szCs w:val="18"/>
              </w:rPr>
              <w:t>100,00</w:t>
            </w:r>
          </w:p>
        </w:tc>
      </w:tr>
      <w:tr w:rsidR="00000000">
        <w:trPr>
          <w:trHeight w:val="340"/>
        </w:trPr>
        <w:tc>
          <w:tcPr>
            <w:tcW w:w="1572" w:type="dxa"/>
            <w:shd w:val="clear" w:color="auto" w:fill="auto"/>
            <w:vAlign w:val="bottom"/>
          </w:tcPr>
          <w:p w:rsidR="00000000" w:rsidRDefault="00000000">
            <w:pPr>
              <w:spacing w:before="20" w:after="20" w:line="220" w:lineRule="exact"/>
              <w:rPr>
                <w:sz w:val="18"/>
                <w:szCs w:val="18"/>
              </w:rPr>
            </w:pPr>
            <w:r>
              <w:rPr>
                <w:sz w:val="18"/>
                <w:szCs w:val="18"/>
              </w:rPr>
              <w:t>Séquestration</w:t>
            </w:r>
          </w:p>
        </w:tc>
        <w:tc>
          <w:tcPr>
            <w:tcW w:w="817" w:type="dxa"/>
            <w:shd w:val="clear" w:color="auto" w:fill="auto"/>
            <w:vAlign w:val="bottom"/>
          </w:tcPr>
          <w:p w:rsidR="00000000" w:rsidRDefault="00000000">
            <w:pPr>
              <w:spacing w:before="20" w:after="20" w:line="220" w:lineRule="exact"/>
              <w:jc w:val="right"/>
              <w:rPr>
                <w:sz w:val="18"/>
                <w:szCs w:val="18"/>
              </w:rPr>
            </w:pPr>
            <w:r>
              <w:rPr>
                <w:sz w:val="18"/>
                <w:szCs w:val="18"/>
              </w:rPr>
              <w:t>1</w:t>
            </w:r>
          </w:p>
        </w:tc>
        <w:tc>
          <w:tcPr>
            <w:tcW w:w="1010" w:type="dxa"/>
            <w:shd w:val="clear" w:color="auto" w:fill="auto"/>
            <w:vAlign w:val="bottom"/>
          </w:tcPr>
          <w:p w:rsidR="00000000" w:rsidRDefault="00000000">
            <w:pPr>
              <w:spacing w:before="20" w:after="20" w:line="220" w:lineRule="exact"/>
              <w:jc w:val="right"/>
              <w:rPr>
                <w:sz w:val="18"/>
                <w:szCs w:val="18"/>
              </w:rPr>
            </w:pPr>
            <w:r>
              <w:rPr>
                <w:sz w:val="18"/>
                <w:szCs w:val="18"/>
              </w:rPr>
              <w:t>0,29</w:t>
            </w:r>
          </w:p>
        </w:tc>
        <w:tc>
          <w:tcPr>
            <w:tcW w:w="971" w:type="dxa"/>
            <w:shd w:val="clear" w:color="auto" w:fill="auto"/>
            <w:vAlign w:val="bottom"/>
          </w:tcPr>
          <w:p w:rsidR="00000000" w:rsidRDefault="00000000">
            <w:pPr>
              <w:spacing w:before="20" w:after="20" w:line="220" w:lineRule="exact"/>
              <w:jc w:val="right"/>
              <w:rPr>
                <w:sz w:val="18"/>
                <w:szCs w:val="18"/>
              </w:rPr>
            </w:pPr>
          </w:p>
        </w:tc>
        <w:tc>
          <w:tcPr>
            <w:tcW w:w="1010" w:type="dxa"/>
            <w:shd w:val="clear" w:color="auto" w:fill="auto"/>
            <w:vAlign w:val="bottom"/>
          </w:tcPr>
          <w:p w:rsidR="00000000" w:rsidRDefault="00000000">
            <w:pPr>
              <w:spacing w:before="20" w:after="20" w:line="220" w:lineRule="exact"/>
              <w:jc w:val="right"/>
              <w:rPr>
                <w:sz w:val="18"/>
                <w:szCs w:val="18"/>
              </w:rPr>
            </w:pPr>
            <w:r>
              <w:rPr>
                <w:sz w:val="18"/>
                <w:szCs w:val="18"/>
              </w:rPr>
              <w:t>0,00</w:t>
            </w:r>
          </w:p>
        </w:tc>
        <w:tc>
          <w:tcPr>
            <w:tcW w:w="1000" w:type="dxa"/>
            <w:shd w:val="clear" w:color="auto" w:fill="auto"/>
            <w:vAlign w:val="bottom"/>
          </w:tcPr>
          <w:p w:rsidR="00000000" w:rsidRDefault="00000000">
            <w:pPr>
              <w:spacing w:before="20" w:after="20" w:line="220" w:lineRule="exact"/>
              <w:jc w:val="right"/>
              <w:rPr>
                <w:sz w:val="18"/>
                <w:szCs w:val="18"/>
              </w:rPr>
            </w:pPr>
            <w:r>
              <w:rPr>
                <w:sz w:val="18"/>
                <w:szCs w:val="18"/>
              </w:rPr>
              <w:t>1</w:t>
            </w:r>
          </w:p>
        </w:tc>
        <w:tc>
          <w:tcPr>
            <w:tcW w:w="1010" w:type="dxa"/>
            <w:shd w:val="clear" w:color="auto" w:fill="auto"/>
            <w:vAlign w:val="bottom"/>
          </w:tcPr>
          <w:p w:rsidR="00000000" w:rsidRDefault="00000000">
            <w:pPr>
              <w:spacing w:before="20" w:after="20" w:line="220" w:lineRule="exact"/>
              <w:jc w:val="right"/>
              <w:rPr>
                <w:sz w:val="18"/>
                <w:szCs w:val="18"/>
              </w:rPr>
            </w:pPr>
            <w:r>
              <w:rPr>
                <w:sz w:val="18"/>
                <w:szCs w:val="18"/>
              </w:rPr>
              <w:t>100,00</w:t>
            </w:r>
          </w:p>
        </w:tc>
      </w:tr>
      <w:tr w:rsidR="00000000">
        <w:trPr>
          <w:trHeight w:val="340"/>
        </w:trPr>
        <w:tc>
          <w:tcPr>
            <w:tcW w:w="1572" w:type="dxa"/>
            <w:shd w:val="clear" w:color="auto" w:fill="auto"/>
            <w:vAlign w:val="bottom"/>
          </w:tcPr>
          <w:p w:rsidR="00000000" w:rsidRDefault="00000000">
            <w:pPr>
              <w:spacing w:before="20" w:after="20" w:line="220" w:lineRule="exact"/>
              <w:rPr>
                <w:sz w:val="18"/>
                <w:szCs w:val="18"/>
              </w:rPr>
            </w:pPr>
            <w:r>
              <w:rPr>
                <w:sz w:val="18"/>
                <w:szCs w:val="18"/>
              </w:rPr>
              <w:t>Incitation à la débauche</w:t>
            </w:r>
          </w:p>
        </w:tc>
        <w:tc>
          <w:tcPr>
            <w:tcW w:w="817" w:type="dxa"/>
            <w:shd w:val="clear" w:color="auto" w:fill="auto"/>
            <w:vAlign w:val="bottom"/>
          </w:tcPr>
          <w:p w:rsidR="00000000" w:rsidRDefault="00000000">
            <w:pPr>
              <w:spacing w:before="20" w:after="20" w:line="220" w:lineRule="exact"/>
              <w:jc w:val="right"/>
              <w:rPr>
                <w:sz w:val="18"/>
                <w:szCs w:val="18"/>
              </w:rPr>
            </w:pPr>
            <w:r>
              <w:rPr>
                <w:sz w:val="18"/>
                <w:szCs w:val="18"/>
              </w:rPr>
              <w:t>1</w:t>
            </w:r>
          </w:p>
        </w:tc>
        <w:tc>
          <w:tcPr>
            <w:tcW w:w="1010" w:type="dxa"/>
            <w:shd w:val="clear" w:color="auto" w:fill="auto"/>
            <w:vAlign w:val="bottom"/>
          </w:tcPr>
          <w:p w:rsidR="00000000" w:rsidRDefault="00000000">
            <w:pPr>
              <w:spacing w:before="20" w:after="20" w:line="220" w:lineRule="exact"/>
              <w:jc w:val="right"/>
              <w:rPr>
                <w:sz w:val="18"/>
                <w:szCs w:val="18"/>
              </w:rPr>
            </w:pPr>
            <w:r>
              <w:rPr>
                <w:sz w:val="18"/>
                <w:szCs w:val="18"/>
              </w:rPr>
              <w:t>0,29</w:t>
            </w:r>
          </w:p>
        </w:tc>
        <w:tc>
          <w:tcPr>
            <w:tcW w:w="971" w:type="dxa"/>
            <w:shd w:val="clear" w:color="auto" w:fill="auto"/>
            <w:vAlign w:val="bottom"/>
          </w:tcPr>
          <w:p w:rsidR="00000000" w:rsidRDefault="00000000">
            <w:pPr>
              <w:spacing w:before="20" w:after="20" w:line="220" w:lineRule="exact"/>
              <w:jc w:val="right"/>
              <w:rPr>
                <w:sz w:val="18"/>
                <w:szCs w:val="18"/>
              </w:rPr>
            </w:pPr>
            <w:r>
              <w:rPr>
                <w:sz w:val="18"/>
                <w:szCs w:val="18"/>
              </w:rPr>
              <w:t>1</w:t>
            </w:r>
          </w:p>
        </w:tc>
        <w:tc>
          <w:tcPr>
            <w:tcW w:w="1010" w:type="dxa"/>
            <w:shd w:val="clear" w:color="auto" w:fill="auto"/>
            <w:vAlign w:val="bottom"/>
          </w:tcPr>
          <w:p w:rsidR="00000000" w:rsidRDefault="00000000">
            <w:pPr>
              <w:spacing w:before="20" w:after="20" w:line="220" w:lineRule="exact"/>
              <w:jc w:val="right"/>
              <w:rPr>
                <w:sz w:val="18"/>
                <w:szCs w:val="18"/>
              </w:rPr>
            </w:pPr>
            <w:r>
              <w:rPr>
                <w:sz w:val="18"/>
                <w:szCs w:val="18"/>
              </w:rPr>
              <w:t>100,00</w:t>
            </w:r>
          </w:p>
        </w:tc>
        <w:tc>
          <w:tcPr>
            <w:tcW w:w="1000" w:type="dxa"/>
            <w:shd w:val="clear" w:color="auto" w:fill="auto"/>
            <w:vAlign w:val="bottom"/>
          </w:tcPr>
          <w:p w:rsidR="00000000" w:rsidRDefault="00000000">
            <w:pPr>
              <w:spacing w:before="20" w:after="20" w:line="220" w:lineRule="exact"/>
              <w:jc w:val="right"/>
              <w:rPr>
                <w:sz w:val="18"/>
                <w:szCs w:val="18"/>
              </w:rPr>
            </w:pPr>
          </w:p>
        </w:tc>
        <w:tc>
          <w:tcPr>
            <w:tcW w:w="1010" w:type="dxa"/>
            <w:shd w:val="clear" w:color="auto" w:fill="auto"/>
            <w:vAlign w:val="bottom"/>
          </w:tcPr>
          <w:p w:rsidR="00000000" w:rsidRDefault="00000000">
            <w:pPr>
              <w:spacing w:before="20" w:after="20" w:line="220" w:lineRule="exact"/>
              <w:jc w:val="right"/>
              <w:rPr>
                <w:sz w:val="18"/>
                <w:szCs w:val="18"/>
              </w:rPr>
            </w:pPr>
            <w:r>
              <w:rPr>
                <w:sz w:val="18"/>
                <w:szCs w:val="18"/>
              </w:rPr>
              <w:t>0,00</w:t>
            </w:r>
          </w:p>
        </w:tc>
      </w:tr>
      <w:tr w:rsidR="00000000">
        <w:trPr>
          <w:trHeight w:val="340"/>
        </w:trPr>
        <w:tc>
          <w:tcPr>
            <w:tcW w:w="1572" w:type="dxa"/>
            <w:tcBorders>
              <w:bottom w:val="single" w:sz="4" w:space="0" w:color="auto"/>
            </w:tcBorders>
            <w:shd w:val="clear" w:color="auto" w:fill="auto"/>
            <w:vAlign w:val="bottom"/>
          </w:tcPr>
          <w:p w:rsidR="00000000" w:rsidRDefault="00000000">
            <w:pPr>
              <w:spacing w:before="20" w:after="20" w:line="220" w:lineRule="exact"/>
              <w:rPr>
                <w:sz w:val="18"/>
                <w:szCs w:val="18"/>
              </w:rPr>
            </w:pPr>
            <w:r>
              <w:rPr>
                <w:sz w:val="18"/>
                <w:szCs w:val="18"/>
              </w:rPr>
              <w:t>Tentative de meurtre</w:t>
            </w:r>
          </w:p>
        </w:tc>
        <w:tc>
          <w:tcPr>
            <w:tcW w:w="817" w:type="dxa"/>
            <w:tcBorders>
              <w:bottom w:val="single" w:sz="4" w:space="0" w:color="auto"/>
            </w:tcBorders>
            <w:shd w:val="clear" w:color="auto" w:fill="auto"/>
            <w:vAlign w:val="bottom"/>
          </w:tcPr>
          <w:p w:rsidR="00000000" w:rsidRDefault="00000000">
            <w:pPr>
              <w:spacing w:before="20" w:after="20" w:line="220" w:lineRule="exact"/>
              <w:jc w:val="right"/>
              <w:rPr>
                <w:sz w:val="18"/>
                <w:szCs w:val="18"/>
              </w:rPr>
            </w:pPr>
            <w:r>
              <w:rPr>
                <w:sz w:val="18"/>
                <w:szCs w:val="18"/>
              </w:rPr>
              <w:t>1</w:t>
            </w:r>
          </w:p>
        </w:tc>
        <w:tc>
          <w:tcPr>
            <w:tcW w:w="1010" w:type="dxa"/>
            <w:tcBorders>
              <w:bottom w:val="single" w:sz="4" w:space="0" w:color="auto"/>
            </w:tcBorders>
            <w:shd w:val="clear" w:color="auto" w:fill="auto"/>
            <w:vAlign w:val="bottom"/>
          </w:tcPr>
          <w:p w:rsidR="00000000" w:rsidRDefault="00000000">
            <w:pPr>
              <w:spacing w:before="20" w:after="20" w:line="220" w:lineRule="exact"/>
              <w:jc w:val="right"/>
              <w:rPr>
                <w:sz w:val="18"/>
                <w:szCs w:val="18"/>
              </w:rPr>
            </w:pPr>
            <w:r>
              <w:rPr>
                <w:sz w:val="18"/>
                <w:szCs w:val="18"/>
              </w:rPr>
              <w:t>0,29</w:t>
            </w:r>
          </w:p>
        </w:tc>
        <w:tc>
          <w:tcPr>
            <w:tcW w:w="971" w:type="dxa"/>
            <w:tcBorders>
              <w:bottom w:val="single" w:sz="4" w:space="0" w:color="auto"/>
            </w:tcBorders>
            <w:shd w:val="clear" w:color="auto" w:fill="auto"/>
            <w:vAlign w:val="bottom"/>
          </w:tcPr>
          <w:p w:rsidR="00000000" w:rsidRDefault="00000000">
            <w:pPr>
              <w:spacing w:before="20" w:after="20" w:line="220" w:lineRule="exact"/>
              <w:jc w:val="right"/>
              <w:rPr>
                <w:sz w:val="18"/>
                <w:szCs w:val="18"/>
              </w:rPr>
            </w:pPr>
            <w:r>
              <w:rPr>
                <w:sz w:val="18"/>
                <w:szCs w:val="18"/>
              </w:rPr>
              <w:t>1</w:t>
            </w:r>
          </w:p>
        </w:tc>
        <w:tc>
          <w:tcPr>
            <w:tcW w:w="1010" w:type="dxa"/>
            <w:tcBorders>
              <w:bottom w:val="single" w:sz="4" w:space="0" w:color="auto"/>
            </w:tcBorders>
            <w:shd w:val="clear" w:color="auto" w:fill="auto"/>
            <w:vAlign w:val="bottom"/>
          </w:tcPr>
          <w:p w:rsidR="00000000" w:rsidRDefault="00000000">
            <w:pPr>
              <w:spacing w:before="20" w:after="20" w:line="220" w:lineRule="exact"/>
              <w:jc w:val="right"/>
              <w:rPr>
                <w:sz w:val="18"/>
                <w:szCs w:val="18"/>
              </w:rPr>
            </w:pPr>
            <w:r>
              <w:rPr>
                <w:sz w:val="18"/>
                <w:szCs w:val="18"/>
              </w:rPr>
              <w:t>100,00</w:t>
            </w:r>
          </w:p>
        </w:tc>
        <w:tc>
          <w:tcPr>
            <w:tcW w:w="1000" w:type="dxa"/>
            <w:tcBorders>
              <w:bottom w:val="single" w:sz="4" w:space="0" w:color="auto"/>
            </w:tcBorders>
            <w:shd w:val="clear" w:color="auto" w:fill="auto"/>
            <w:vAlign w:val="bottom"/>
          </w:tcPr>
          <w:p w:rsidR="00000000" w:rsidRDefault="00000000">
            <w:pPr>
              <w:spacing w:before="20" w:after="20" w:line="220" w:lineRule="exact"/>
              <w:jc w:val="right"/>
              <w:rPr>
                <w:sz w:val="18"/>
                <w:szCs w:val="18"/>
              </w:rPr>
            </w:pPr>
          </w:p>
        </w:tc>
        <w:tc>
          <w:tcPr>
            <w:tcW w:w="1010" w:type="dxa"/>
            <w:tcBorders>
              <w:bottom w:val="single" w:sz="4" w:space="0" w:color="auto"/>
            </w:tcBorders>
            <w:shd w:val="clear" w:color="auto" w:fill="auto"/>
            <w:vAlign w:val="bottom"/>
          </w:tcPr>
          <w:p w:rsidR="00000000" w:rsidRDefault="00000000">
            <w:pPr>
              <w:spacing w:before="20" w:after="20" w:line="220" w:lineRule="exact"/>
              <w:jc w:val="right"/>
              <w:rPr>
                <w:sz w:val="18"/>
                <w:szCs w:val="18"/>
              </w:rPr>
            </w:pPr>
            <w:r>
              <w:rPr>
                <w:sz w:val="18"/>
                <w:szCs w:val="18"/>
              </w:rPr>
              <w:t>0,00</w:t>
            </w:r>
          </w:p>
        </w:tc>
      </w:tr>
      <w:tr w:rsidR="00000000">
        <w:tc>
          <w:tcPr>
            <w:tcW w:w="1572" w:type="dxa"/>
            <w:tcBorders>
              <w:top w:val="single" w:sz="4" w:space="0" w:color="auto"/>
              <w:bottom w:val="single" w:sz="12" w:space="0" w:color="auto"/>
            </w:tcBorders>
            <w:shd w:val="clear" w:color="auto" w:fill="auto"/>
            <w:vAlign w:val="bottom"/>
          </w:tcPr>
          <w:p w:rsidR="00000000" w:rsidRDefault="00000000">
            <w:pPr>
              <w:spacing w:before="20" w:after="20" w:line="220" w:lineRule="exact"/>
              <w:ind w:firstLine="170"/>
              <w:rPr>
                <w:b/>
                <w:sz w:val="18"/>
                <w:szCs w:val="18"/>
              </w:rPr>
            </w:pPr>
            <w:r>
              <w:rPr>
                <w:b/>
                <w:sz w:val="18"/>
                <w:szCs w:val="18"/>
              </w:rPr>
              <w:t>Total</w:t>
            </w:r>
          </w:p>
        </w:tc>
        <w:tc>
          <w:tcPr>
            <w:tcW w:w="817" w:type="dxa"/>
            <w:tcBorders>
              <w:top w:val="single" w:sz="4" w:space="0" w:color="auto"/>
              <w:bottom w:val="single" w:sz="12" w:space="0" w:color="auto"/>
            </w:tcBorders>
            <w:shd w:val="clear" w:color="auto" w:fill="auto"/>
            <w:vAlign w:val="bottom"/>
          </w:tcPr>
          <w:p w:rsidR="00000000" w:rsidRDefault="00000000">
            <w:pPr>
              <w:spacing w:before="20" w:after="20" w:line="220" w:lineRule="exact"/>
              <w:jc w:val="right"/>
              <w:rPr>
                <w:b/>
                <w:sz w:val="18"/>
                <w:szCs w:val="18"/>
              </w:rPr>
            </w:pPr>
            <w:r>
              <w:rPr>
                <w:b/>
                <w:sz w:val="18"/>
                <w:szCs w:val="18"/>
              </w:rPr>
              <w:t>344</w:t>
            </w:r>
          </w:p>
        </w:tc>
        <w:tc>
          <w:tcPr>
            <w:tcW w:w="1010" w:type="dxa"/>
            <w:tcBorders>
              <w:top w:val="single" w:sz="4" w:space="0" w:color="auto"/>
              <w:bottom w:val="single" w:sz="12" w:space="0" w:color="auto"/>
            </w:tcBorders>
            <w:shd w:val="clear" w:color="auto" w:fill="auto"/>
            <w:vAlign w:val="bottom"/>
          </w:tcPr>
          <w:p w:rsidR="00000000" w:rsidRDefault="00000000">
            <w:pPr>
              <w:spacing w:before="20" w:after="20" w:line="220" w:lineRule="exact"/>
              <w:jc w:val="right"/>
              <w:rPr>
                <w:b/>
                <w:sz w:val="18"/>
                <w:szCs w:val="18"/>
              </w:rPr>
            </w:pPr>
            <w:r>
              <w:rPr>
                <w:b/>
                <w:sz w:val="18"/>
                <w:szCs w:val="18"/>
              </w:rPr>
              <w:t>100,00</w:t>
            </w:r>
          </w:p>
        </w:tc>
        <w:tc>
          <w:tcPr>
            <w:tcW w:w="971" w:type="dxa"/>
            <w:tcBorders>
              <w:top w:val="single" w:sz="4" w:space="0" w:color="auto"/>
              <w:bottom w:val="single" w:sz="12" w:space="0" w:color="auto"/>
            </w:tcBorders>
            <w:shd w:val="clear" w:color="auto" w:fill="auto"/>
            <w:vAlign w:val="bottom"/>
          </w:tcPr>
          <w:p w:rsidR="00000000" w:rsidRDefault="00000000">
            <w:pPr>
              <w:spacing w:before="20" w:after="20" w:line="220" w:lineRule="exact"/>
              <w:jc w:val="right"/>
              <w:rPr>
                <w:b/>
                <w:sz w:val="18"/>
                <w:szCs w:val="18"/>
              </w:rPr>
            </w:pPr>
            <w:r>
              <w:rPr>
                <w:b/>
                <w:sz w:val="18"/>
                <w:szCs w:val="18"/>
              </w:rPr>
              <w:t>251</w:t>
            </w:r>
          </w:p>
        </w:tc>
        <w:tc>
          <w:tcPr>
            <w:tcW w:w="1010" w:type="dxa"/>
            <w:tcBorders>
              <w:top w:val="single" w:sz="4" w:space="0" w:color="auto"/>
              <w:bottom w:val="single" w:sz="12" w:space="0" w:color="auto"/>
            </w:tcBorders>
            <w:shd w:val="clear" w:color="auto" w:fill="auto"/>
            <w:vAlign w:val="bottom"/>
          </w:tcPr>
          <w:p w:rsidR="00000000" w:rsidRDefault="00000000">
            <w:pPr>
              <w:spacing w:before="20" w:after="20" w:line="220" w:lineRule="exact"/>
              <w:jc w:val="right"/>
              <w:rPr>
                <w:b/>
                <w:sz w:val="18"/>
                <w:szCs w:val="18"/>
              </w:rPr>
            </w:pPr>
            <w:r>
              <w:rPr>
                <w:b/>
                <w:sz w:val="18"/>
                <w:szCs w:val="18"/>
              </w:rPr>
              <w:t>72,97</w:t>
            </w:r>
          </w:p>
        </w:tc>
        <w:tc>
          <w:tcPr>
            <w:tcW w:w="1000" w:type="dxa"/>
            <w:tcBorders>
              <w:top w:val="single" w:sz="4" w:space="0" w:color="auto"/>
              <w:bottom w:val="single" w:sz="12" w:space="0" w:color="auto"/>
            </w:tcBorders>
            <w:shd w:val="clear" w:color="auto" w:fill="auto"/>
            <w:vAlign w:val="bottom"/>
          </w:tcPr>
          <w:p w:rsidR="00000000" w:rsidRDefault="00000000">
            <w:pPr>
              <w:spacing w:before="20" w:after="20" w:line="220" w:lineRule="exact"/>
              <w:jc w:val="right"/>
              <w:rPr>
                <w:b/>
                <w:sz w:val="18"/>
                <w:szCs w:val="18"/>
              </w:rPr>
            </w:pPr>
            <w:r>
              <w:rPr>
                <w:b/>
                <w:sz w:val="18"/>
                <w:szCs w:val="18"/>
              </w:rPr>
              <w:t>93</w:t>
            </w:r>
          </w:p>
        </w:tc>
        <w:tc>
          <w:tcPr>
            <w:tcW w:w="1010" w:type="dxa"/>
            <w:tcBorders>
              <w:top w:val="single" w:sz="4" w:space="0" w:color="auto"/>
              <w:bottom w:val="single" w:sz="12" w:space="0" w:color="auto"/>
            </w:tcBorders>
            <w:shd w:val="clear" w:color="auto" w:fill="auto"/>
            <w:vAlign w:val="bottom"/>
          </w:tcPr>
          <w:p w:rsidR="00000000" w:rsidRDefault="00000000">
            <w:pPr>
              <w:spacing w:before="20" w:after="20" w:line="220" w:lineRule="exact"/>
              <w:jc w:val="right"/>
              <w:rPr>
                <w:b/>
                <w:sz w:val="18"/>
                <w:szCs w:val="18"/>
              </w:rPr>
            </w:pPr>
            <w:r>
              <w:rPr>
                <w:b/>
                <w:sz w:val="18"/>
                <w:szCs w:val="18"/>
              </w:rPr>
              <w:t>27,03</w:t>
            </w:r>
          </w:p>
        </w:tc>
      </w:tr>
    </w:tbl>
    <w:p w:rsidR="00000000" w:rsidRDefault="00000000">
      <w:pPr>
        <w:spacing w:before="120" w:after="120"/>
        <w:ind w:left="1134" w:firstLine="170"/>
        <w:rPr>
          <w:sz w:val="18"/>
          <w:szCs w:val="18"/>
          <w:lang w:val="fr-FR"/>
        </w:rPr>
      </w:pPr>
      <w:r>
        <w:rPr>
          <w:i/>
          <w:sz w:val="18"/>
          <w:szCs w:val="18"/>
          <w:lang w:val="fr-FR"/>
        </w:rPr>
        <w:t>Source</w:t>
      </w:r>
      <w:r>
        <w:rPr>
          <w:sz w:val="18"/>
          <w:szCs w:val="18"/>
          <w:lang w:val="fr-FR"/>
        </w:rPr>
        <w:t>: DPMPM 2007</w:t>
      </w:r>
    </w:p>
    <w:p w:rsidR="00000000" w:rsidRDefault="00000000">
      <w:pPr>
        <w:pStyle w:val="SingleTxtG"/>
        <w:spacing w:after="0"/>
      </w:pPr>
      <w:bookmarkStart w:id="571" w:name="_Toc260298247"/>
      <w:r>
        <w:t>Tableau 13</w:t>
      </w:r>
    </w:p>
    <w:p w:rsidR="00000000" w:rsidRDefault="00000000">
      <w:pPr>
        <w:pStyle w:val="SingleTxtG"/>
        <w:rPr>
          <w:b/>
        </w:rPr>
      </w:pPr>
      <w:r>
        <w:rPr>
          <w:b/>
        </w:rPr>
        <w:t>Cas de violence contre enfant traités par la DPMPM dans la période de janvier à décembre 2006 par classe d’âge</w:t>
      </w:r>
      <w:bookmarkEnd w:id="571"/>
    </w:p>
    <w:tbl>
      <w:tblPr>
        <w:tblW w:w="7371" w:type="dxa"/>
        <w:tblInd w:w="1134" w:type="dxa"/>
        <w:tblCellMar>
          <w:left w:w="0" w:type="dxa"/>
          <w:right w:w="0" w:type="dxa"/>
        </w:tblCellMar>
        <w:tblLook w:val="0000" w:firstRow="0" w:lastRow="0" w:firstColumn="0" w:lastColumn="0" w:noHBand="0" w:noVBand="0"/>
      </w:tblPr>
      <w:tblGrid>
        <w:gridCol w:w="2156"/>
        <w:gridCol w:w="2473"/>
        <w:gridCol w:w="2819"/>
      </w:tblGrid>
      <w:tr w:rsidR="00000000">
        <w:trPr>
          <w:trHeight w:val="255"/>
        </w:trPr>
        <w:tc>
          <w:tcPr>
            <w:tcW w:w="2140" w:type="dxa"/>
            <w:tcBorders>
              <w:top w:val="single" w:sz="4" w:space="0" w:color="auto"/>
              <w:bottom w:val="single" w:sz="12" w:space="0" w:color="auto"/>
            </w:tcBorders>
            <w:shd w:val="clear" w:color="auto" w:fill="auto"/>
            <w:noWrap/>
            <w:vAlign w:val="bottom"/>
          </w:tcPr>
          <w:p w:rsidR="00000000" w:rsidRDefault="00000000">
            <w:pPr>
              <w:spacing w:before="40" w:after="40" w:line="200" w:lineRule="atLeast"/>
              <w:rPr>
                <w:bCs/>
                <w:i/>
                <w:sz w:val="16"/>
                <w:szCs w:val="16"/>
              </w:rPr>
            </w:pPr>
            <w:r>
              <w:rPr>
                <w:bCs/>
                <w:i/>
                <w:sz w:val="16"/>
                <w:szCs w:val="16"/>
              </w:rPr>
              <w:t>Classe d’âge</w:t>
            </w:r>
          </w:p>
        </w:tc>
        <w:tc>
          <w:tcPr>
            <w:tcW w:w="2457" w:type="dxa"/>
            <w:tcBorders>
              <w:top w:val="single" w:sz="4" w:space="0" w:color="auto"/>
              <w:bottom w:val="single" w:sz="12" w:space="0" w:color="auto"/>
            </w:tcBorders>
            <w:shd w:val="clear" w:color="auto" w:fill="auto"/>
            <w:noWrap/>
            <w:vAlign w:val="bottom"/>
          </w:tcPr>
          <w:p w:rsidR="00000000" w:rsidRDefault="00000000">
            <w:pPr>
              <w:spacing w:before="40" w:after="40" w:line="200" w:lineRule="atLeast"/>
              <w:jc w:val="right"/>
              <w:rPr>
                <w:bCs/>
                <w:i/>
                <w:sz w:val="16"/>
                <w:szCs w:val="16"/>
              </w:rPr>
            </w:pPr>
            <w:r>
              <w:rPr>
                <w:bCs/>
                <w:i/>
                <w:sz w:val="16"/>
                <w:szCs w:val="16"/>
              </w:rPr>
              <w:t>nombre de cas</w:t>
            </w:r>
          </w:p>
        </w:tc>
        <w:tc>
          <w:tcPr>
            <w:tcW w:w="2803" w:type="dxa"/>
            <w:tcBorders>
              <w:top w:val="single" w:sz="4" w:space="0" w:color="auto"/>
              <w:bottom w:val="single" w:sz="12" w:space="0" w:color="auto"/>
            </w:tcBorders>
            <w:shd w:val="clear" w:color="auto" w:fill="auto"/>
            <w:noWrap/>
            <w:vAlign w:val="bottom"/>
          </w:tcPr>
          <w:p w:rsidR="00000000" w:rsidRDefault="00000000">
            <w:pPr>
              <w:spacing w:before="40" w:after="40" w:line="200" w:lineRule="atLeast"/>
              <w:jc w:val="right"/>
              <w:rPr>
                <w:bCs/>
                <w:i/>
                <w:sz w:val="16"/>
                <w:szCs w:val="16"/>
              </w:rPr>
            </w:pPr>
            <w:r>
              <w:rPr>
                <w:bCs/>
                <w:i/>
                <w:sz w:val="16"/>
                <w:szCs w:val="16"/>
              </w:rPr>
              <w:t>%</w:t>
            </w:r>
          </w:p>
        </w:tc>
      </w:tr>
      <w:tr w:rsidR="00000000">
        <w:trPr>
          <w:trHeight w:val="255"/>
        </w:trPr>
        <w:tc>
          <w:tcPr>
            <w:tcW w:w="2140" w:type="dxa"/>
            <w:tcBorders>
              <w:top w:val="single" w:sz="12" w:space="0" w:color="auto"/>
            </w:tcBorders>
            <w:shd w:val="clear" w:color="auto" w:fill="auto"/>
            <w:noWrap/>
            <w:vAlign w:val="bottom"/>
          </w:tcPr>
          <w:p w:rsidR="00000000" w:rsidRDefault="00000000">
            <w:pPr>
              <w:spacing w:before="20" w:after="20" w:line="220" w:lineRule="exact"/>
            </w:pPr>
            <w:r>
              <w:t>0-3 ans</w:t>
            </w:r>
          </w:p>
        </w:tc>
        <w:tc>
          <w:tcPr>
            <w:tcW w:w="2457" w:type="dxa"/>
            <w:tcBorders>
              <w:top w:val="single" w:sz="12" w:space="0" w:color="auto"/>
            </w:tcBorders>
            <w:shd w:val="clear" w:color="auto" w:fill="auto"/>
            <w:noWrap/>
            <w:vAlign w:val="bottom"/>
          </w:tcPr>
          <w:p w:rsidR="00000000" w:rsidRDefault="00000000">
            <w:pPr>
              <w:spacing w:before="20" w:after="20" w:line="220" w:lineRule="exact"/>
              <w:jc w:val="right"/>
            </w:pPr>
            <w:r>
              <w:t>39</w:t>
            </w:r>
          </w:p>
        </w:tc>
        <w:tc>
          <w:tcPr>
            <w:tcW w:w="2803" w:type="dxa"/>
            <w:tcBorders>
              <w:top w:val="single" w:sz="12" w:space="0" w:color="auto"/>
            </w:tcBorders>
            <w:shd w:val="clear" w:color="auto" w:fill="auto"/>
            <w:noWrap/>
            <w:vAlign w:val="bottom"/>
          </w:tcPr>
          <w:p w:rsidR="00000000" w:rsidRDefault="00000000">
            <w:pPr>
              <w:spacing w:before="20" w:after="20" w:line="220" w:lineRule="exact"/>
              <w:jc w:val="right"/>
            </w:pPr>
            <w:r>
              <w:t>11,3</w:t>
            </w:r>
          </w:p>
        </w:tc>
      </w:tr>
      <w:tr w:rsidR="00000000">
        <w:trPr>
          <w:trHeight w:val="255"/>
        </w:trPr>
        <w:tc>
          <w:tcPr>
            <w:tcW w:w="2140" w:type="dxa"/>
            <w:shd w:val="clear" w:color="auto" w:fill="auto"/>
            <w:noWrap/>
            <w:vAlign w:val="bottom"/>
          </w:tcPr>
          <w:p w:rsidR="00000000" w:rsidRDefault="00000000">
            <w:pPr>
              <w:spacing w:before="20" w:after="20" w:line="220" w:lineRule="exact"/>
            </w:pPr>
            <w:r>
              <w:t>4-6 ans</w:t>
            </w:r>
          </w:p>
        </w:tc>
        <w:tc>
          <w:tcPr>
            <w:tcW w:w="2457" w:type="dxa"/>
            <w:shd w:val="clear" w:color="auto" w:fill="auto"/>
            <w:noWrap/>
            <w:vAlign w:val="bottom"/>
          </w:tcPr>
          <w:p w:rsidR="00000000" w:rsidRDefault="00000000">
            <w:pPr>
              <w:spacing w:before="20" w:after="20" w:line="220" w:lineRule="exact"/>
              <w:jc w:val="right"/>
            </w:pPr>
            <w:r>
              <w:t>28</w:t>
            </w:r>
          </w:p>
        </w:tc>
        <w:tc>
          <w:tcPr>
            <w:tcW w:w="2803" w:type="dxa"/>
            <w:shd w:val="clear" w:color="auto" w:fill="auto"/>
            <w:noWrap/>
            <w:vAlign w:val="bottom"/>
          </w:tcPr>
          <w:p w:rsidR="00000000" w:rsidRDefault="00000000">
            <w:pPr>
              <w:spacing w:before="20" w:after="20" w:line="220" w:lineRule="exact"/>
              <w:jc w:val="right"/>
            </w:pPr>
            <w:r>
              <w:t>8,1</w:t>
            </w:r>
          </w:p>
        </w:tc>
      </w:tr>
      <w:tr w:rsidR="00000000">
        <w:trPr>
          <w:trHeight w:val="255"/>
        </w:trPr>
        <w:tc>
          <w:tcPr>
            <w:tcW w:w="2140" w:type="dxa"/>
            <w:shd w:val="clear" w:color="auto" w:fill="auto"/>
            <w:noWrap/>
            <w:vAlign w:val="bottom"/>
          </w:tcPr>
          <w:p w:rsidR="00000000" w:rsidRDefault="00000000">
            <w:pPr>
              <w:spacing w:before="20" w:after="20" w:line="220" w:lineRule="exact"/>
            </w:pPr>
            <w:r>
              <w:t>7-12 ans</w:t>
            </w:r>
          </w:p>
        </w:tc>
        <w:tc>
          <w:tcPr>
            <w:tcW w:w="2457" w:type="dxa"/>
            <w:shd w:val="clear" w:color="auto" w:fill="auto"/>
            <w:noWrap/>
            <w:vAlign w:val="bottom"/>
          </w:tcPr>
          <w:p w:rsidR="00000000" w:rsidRDefault="00000000">
            <w:pPr>
              <w:spacing w:before="20" w:after="20" w:line="220" w:lineRule="exact"/>
              <w:jc w:val="right"/>
            </w:pPr>
            <w:r>
              <w:t>63</w:t>
            </w:r>
          </w:p>
        </w:tc>
        <w:tc>
          <w:tcPr>
            <w:tcW w:w="2803" w:type="dxa"/>
            <w:shd w:val="clear" w:color="auto" w:fill="auto"/>
            <w:noWrap/>
            <w:vAlign w:val="bottom"/>
          </w:tcPr>
          <w:p w:rsidR="00000000" w:rsidRDefault="00000000">
            <w:pPr>
              <w:spacing w:before="20" w:after="20" w:line="220" w:lineRule="exact"/>
              <w:jc w:val="right"/>
            </w:pPr>
            <w:r>
              <w:t>18,26</w:t>
            </w:r>
          </w:p>
        </w:tc>
      </w:tr>
      <w:tr w:rsidR="00000000">
        <w:trPr>
          <w:trHeight w:val="255"/>
        </w:trPr>
        <w:tc>
          <w:tcPr>
            <w:tcW w:w="2140" w:type="dxa"/>
            <w:tcBorders>
              <w:bottom w:val="single" w:sz="4" w:space="0" w:color="auto"/>
            </w:tcBorders>
            <w:shd w:val="clear" w:color="auto" w:fill="auto"/>
            <w:noWrap/>
            <w:vAlign w:val="bottom"/>
          </w:tcPr>
          <w:p w:rsidR="00000000" w:rsidRDefault="00000000">
            <w:pPr>
              <w:spacing w:before="20" w:after="20" w:line="220" w:lineRule="exact"/>
            </w:pPr>
            <w:r>
              <w:t>13-18 ans</w:t>
            </w:r>
          </w:p>
        </w:tc>
        <w:tc>
          <w:tcPr>
            <w:tcW w:w="2457" w:type="dxa"/>
            <w:tcBorders>
              <w:bottom w:val="single" w:sz="4" w:space="0" w:color="auto"/>
            </w:tcBorders>
            <w:shd w:val="clear" w:color="auto" w:fill="auto"/>
            <w:noWrap/>
            <w:vAlign w:val="bottom"/>
          </w:tcPr>
          <w:p w:rsidR="00000000" w:rsidRDefault="00000000">
            <w:pPr>
              <w:spacing w:before="20" w:after="20" w:line="220" w:lineRule="exact"/>
              <w:jc w:val="right"/>
            </w:pPr>
            <w:r>
              <w:t>215</w:t>
            </w:r>
          </w:p>
        </w:tc>
        <w:tc>
          <w:tcPr>
            <w:tcW w:w="2803" w:type="dxa"/>
            <w:tcBorders>
              <w:bottom w:val="single" w:sz="4" w:space="0" w:color="auto"/>
            </w:tcBorders>
            <w:shd w:val="clear" w:color="auto" w:fill="auto"/>
            <w:noWrap/>
            <w:vAlign w:val="bottom"/>
          </w:tcPr>
          <w:p w:rsidR="00000000" w:rsidRDefault="00000000">
            <w:pPr>
              <w:spacing w:before="20" w:after="20" w:line="220" w:lineRule="exact"/>
              <w:jc w:val="right"/>
            </w:pPr>
            <w:r>
              <w:t>62,3</w:t>
            </w:r>
          </w:p>
        </w:tc>
      </w:tr>
      <w:tr w:rsidR="00000000">
        <w:trPr>
          <w:trHeight w:val="255"/>
        </w:trPr>
        <w:tc>
          <w:tcPr>
            <w:tcW w:w="2140" w:type="dxa"/>
            <w:tcBorders>
              <w:top w:val="single" w:sz="4" w:space="0" w:color="auto"/>
              <w:bottom w:val="single" w:sz="12" w:space="0" w:color="auto"/>
            </w:tcBorders>
            <w:shd w:val="clear" w:color="auto" w:fill="auto"/>
            <w:noWrap/>
            <w:vAlign w:val="bottom"/>
          </w:tcPr>
          <w:p w:rsidR="00000000" w:rsidRDefault="00000000">
            <w:pPr>
              <w:spacing w:before="20" w:after="20" w:line="220" w:lineRule="exact"/>
              <w:ind w:firstLine="170"/>
              <w:rPr>
                <w:b/>
                <w:sz w:val="18"/>
                <w:szCs w:val="18"/>
              </w:rPr>
            </w:pPr>
            <w:r>
              <w:rPr>
                <w:b/>
                <w:sz w:val="18"/>
                <w:szCs w:val="18"/>
              </w:rPr>
              <w:t>Total</w:t>
            </w:r>
          </w:p>
        </w:tc>
        <w:tc>
          <w:tcPr>
            <w:tcW w:w="2457" w:type="dxa"/>
            <w:tcBorders>
              <w:top w:val="single" w:sz="4" w:space="0" w:color="auto"/>
              <w:bottom w:val="single" w:sz="12" w:space="0" w:color="auto"/>
            </w:tcBorders>
            <w:shd w:val="clear" w:color="auto" w:fill="auto"/>
            <w:noWrap/>
            <w:vAlign w:val="bottom"/>
          </w:tcPr>
          <w:p w:rsidR="00000000" w:rsidRDefault="00000000">
            <w:pPr>
              <w:spacing w:before="20" w:after="20" w:line="220" w:lineRule="exact"/>
              <w:jc w:val="right"/>
              <w:rPr>
                <w:b/>
                <w:sz w:val="18"/>
                <w:szCs w:val="18"/>
              </w:rPr>
            </w:pPr>
            <w:r>
              <w:rPr>
                <w:b/>
                <w:sz w:val="18"/>
                <w:szCs w:val="18"/>
              </w:rPr>
              <w:t>345</w:t>
            </w:r>
          </w:p>
        </w:tc>
        <w:tc>
          <w:tcPr>
            <w:tcW w:w="2803" w:type="dxa"/>
            <w:tcBorders>
              <w:top w:val="single" w:sz="4" w:space="0" w:color="auto"/>
              <w:bottom w:val="single" w:sz="12" w:space="0" w:color="auto"/>
            </w:tcBorders>
            <w:shd w:val="clear" w:color="auto" w:fill="auto"/>
            <w:noWrap/>
            <w:vAlign w:val="bottom"/>
          </w:tcPr>
          <w:p w:rsidR="00000000" w:rsidRDefault="00000000">
            <w:pPr>
              <w:spacing w:before="20" w:after="20" w:line="220" w:lineRule="exact"/>
              <w:jc w:val="right"/>
              <w:rPr>
                <w:b/>
                <w:sz w:val="18"/>
                <w:szCs w:val="18"/>
              </w:rPr>
            </w:pPr>
            <w:r>
              <w:rPr>
                <w:b/>
                <w:sz w:val="18"/>
                <w:szCs w:val="18"/>
              </w:rPr>
              <w:t>100,00</w:t>
            </w:r>
          </w:p>
        </w:tc>
      </w:tr>
    </w:tbl>
    <w:p w:rsidR="00000000" w:rsidRDefault="00000000">
      <w:pPr>
        <w:spacing w:before="120" w:after="240"/>
        <w:ind w:left="1134" w:firstLine="170"/>
        <w:rPr>
          <w:i/>
          <w:iCs/>
          <w:sz w:val="18"/>
          <w:szCs w:val="18"/>
          <w:lang w:val="fr-FR"/>
        </w:rPr>
      </w:pPr>
      <w:r>
        <w:rPr>
          <w:i/>
          <w:iCs/>
          <w:sz w:val="18"/>
          <w:szCs w:val="18"/>
          <w:lang w:val="fr-FR"/>
        </w:rPr>
        <w:t>Source:</w:t>
      </w:r>
      <w:r>
        <w:rPr>
          <w:iCs/>
          <w:sz w:val="18"/>
          <w:szCs w:val="18"/>
          <w:lang w:val="fr-FR"/>
        </w:rPr>
        <w:t xml:space="preserve"> DPMPM 2007.</w:t>
      </w:r>
    </w:p>
    <w:p w:rsidR="00000000" w:rsidRDefault="00000000">
      <w:pPr>
        <w:pStyle w:val="H23G"/>
        <w:rPr>
          <w:i/>
          <w:lang w:val="fr-FR"/>
        </w:rPr>
      </w:pPr>
      <w:bookmarkStart w:id="572" w:name="_Toc206414534"/>
      <w:bookmarkStart w:id="573" w:name="_Toc206460376"/>
      <w:bookmarkStart w:id="574" w:name="_Toc206460708"/>
      <w:bookmarkStart w:id="575" w:name="_Toc206461430"/>
      <w:bookmarkStart w:id="576" w:name="_Toc206476224"/>
      <w:bookmarkStart w:id="577" w:name="_Toc207788759"/>
      <w:bookmarkStart w:id="578" w:name="_Toc211835430"/>
      <w:bookmarkStart w:id="579" w:name="_Toc211926737"/>
      <w:r>
        <w:rPr>
          <w:lang w:val="fr-FR"/>
        </w:rPr>
        <w:tab/>
        <w:t>1.</w:t>
      </w:r>
      <w:r>
        <w:rPr>
          <w:lang w:val="fr-FR"/>
        </w:rPr>
        <w:tab/>
        <w:t>Mesures</w:t>
      </w:r>
      <w:r>
        <w:rPr>
          <w:i/>
          <w:lang w:val="fr-FR"/>
        </w:rPr>
        <w:t xml:space="preserve"> </w:t>
      </w:r>
      <w:r>
        <w:rPr>
          <w:lang w:val="fr-FR"/>
        </w:rPr>
        <w:t>administratives</w:t>
      </w:r>
      <w:bookmarkEnd w:id="572"/>
      <w:bookmarkEnd w:id="573"/>
      <w:bookmarkEnd w:id="574"/>
      <w:bookmarkEnd w:id="575"/>
      <w:bookmarkEnd w:id="576"/>
      <w:bookmarkEnd w:id="577"/>
      <w:bookmarkEnd w:id="578"/>
      <w:bookmarkEnd w:id="579"/>
    </w:p>
    <w:p w:rsidR="00000000" w:rsidRDefault="00000000">
      <w:pPr>
        <w:pStyle w:val="SingleTxtG"/>
        <w:rPr>
          <w:lang w:val="fr-FR"/>
        </w:rPr>
      </w:pPr>
      <w:r>
        <w:rPr>
          <w:lang w:val="fr-FR"/>
        </w:rPr>
        <w:t>264.</w:t>
      </w:r>
      <w:r>
        <w:rPr>
          <w:lang w:val="fr-FR"/>
        </w:rPr>
        <w:tab/>
        <w:t xml:space="preserve">Un plan national d’action de lutte contre la violence à l’égard des enfants couvrant la période 2008-2011 a été adopté par les représentants du gouvernement, à l’initiative du Ministère de la justice, la participation de la société civile suite de la publication par l’ODEROI du rapport «La violence contre les enfants dans la région de l’océan Indien» en 2006. </w:t>
      </w:r>
    </w:p>
    <w:p w:rsidR="00000000" w:rsidRDefault="00000000">
      <w:pPr>
        <w:pStyle w:val="SingleTxtG"/>
        <w:rPr>
          <w:lang w:val="fr-FR"/>
        </w:rPr>
      </w:pPr>
      <w:r>
        <w:rPr>
          <w:lang w:val="fr-FR"/>
        </w:rPr>
        <w:t>265.</w:t>
      </w:r>
      <w:r>
        <w:rPr>
          <w:lang w:val="fr-FR"/>
        </w:rPr>
        <w:tab/>
        <w:t xml:space="preserve">La mise en œuvre de ce plan contribuera à une meilleure protection des enfants contre la violence. </w:t>
      </w:r>
    </w:p>
    <w:p w:rsidR="00000000" w:rsidRDefault="00000000">
      <w:pPr>
        <w:pStyle w:val="SingleTxtG"/>
        <w:rPr>
          <w:lang w:val="fr-FR"/>
        </w:rPr>
      </w:pPr>
      <w:r>
        <w:rPr>
          <w:lang w:val="fr-FR"/>
        </w:rPr>
        <w:t>266.</w:t>
      </w:r>
      <w:r>
        <w:rPr>
          <w:lang w:val="fr-FR"/>
        </w:rPr>
        <w:tab/>
        <w:t xml:space="preserve">Les réseaux de protection des droits de l’enfant jouent un rôle important dans la prévention des violations, l’accompagnement des procédures de protection judiciaire et l’assistance juridique tout comme la prise en charge psycho sociale. </w:t>
      </w:r>
    </w:p>
    <w:p w:rsidR="00000000" w:rsidRDefault="00000000">
      <w:pPr>
        <w:pStyle w:val="SingleTxtG"/>
        <w:rPr>
          <w:b/>
          <w:i/>
          <w:iCs/>
          <w:lang w:val="fr-FR"/>
        </w:rPr>
      </w:pPr>
      <w:r>
        <w:rPr>
          <w:lang w:val="fr-FR"/>
        </w:rPr>
        <w:t>267.</w:t>
      </w:r>
      <w:r>
        <w:rPr>
          <w:lang w:val="fr-FR"/>
        </w:rPr>
        <w:tab/>
        <w:t>Les réseaux participent activement aux travaux de protection en liaison avec le Tribunal, la police, la gendarmerie, la Direction de la protection sociale, le secteur santé, la circonscription scolaire, la commune urbaine, les associations, les fokontany, les médias. Le rôle de chaque acteur est différent et tous les rôles sont complémentaires.</w:t>
      </w:r>
      <w:bookmarkStart w:id="580" w:name="_Toc206414535"/>
      <w:bookmarkStart w:id="581" w:name="_Toc206460377"/>
      <w:bookmarkStart w:id="582" w:name="_Toc206460709"/>
      <w:bookmarkStart w:id="583" w:name="_Toc206461431"/>
      <w:bookmarkStart w:id="584" w:name="_Toc206476225"/>
      <w:bookmarkStart w:id="585" w:name="_Toc207788760"/>
      <w:bookmarkStart w:id="586" w:name="_Toc211835431"/>
      <w:bookmarkStart w:id="587" w:name="_Toc211926738"/>
    </w:p>
    <w:p w:rsidR="00000000" w:rsidRDefault="00000000">
      <w:pPr>
        <w:pStyle w:val="H23G"/>
        <w:rPr>
          <w:lang w:val="fr-FR"/>
        </w:rPr>
      </w:pPr>
      <w:r>
        <w:rPr>
          <w:lang w:val="fr-FR"/>
        </w:rPr>
        <w:tab/>
        <w:t>2.</w:t>
      </w:r>
      <w:r>
        <w:rPr>
          <w:lang w:val="fr-FR"/>
        </w:rPr>
        <w:tab/>
        <w:t>Prévention de la violence</w:t>
      </w:r>
      <w:bookmarkEnd w:id="580"/>
      <w:bookmarkEnd w:id="581"/>
      <w:bookmarkEnd w:id="582"/>
      <w:bookmarkEnd w:id="583"/>
      <w:bookmarkEnd w:id="584"/>
      <w:bookmarkEnd w:id="585"/>
      <w:bookmarkEnd w:id="586"/>
      <w:bookmarkEnd w:id="587"/>
    </w:p>
    <w:p w:rsidR="00000000" w:rsidRDefault="00000000">
      <w:pPr>
        <w:pStyle w:val="SingleTxtG"/>
        <w:rPr>
          <w:lang w:val="fr-FR"/>
        </w:rPr>
      </w:pPr>
      <w:r>
        <w:rPr>
          <w:lang w:val="fr-FR"/>
        </w:rPr>
        <w:t>268.</w:t>
      </w:r>
      <w:r>
        <w:rPr>
          <w:lang w:val="fr-FR"/>
        </w:rPr>
        <w:tab/>
        <w:t>Toutes les entités œuvrant dans le domaine de la protection des droits de l’enfant et en particulier les réseaux de protection des droits de l’enfant prévoient dans leur programme d’activités des actions de proximité et des campagnes d’information et de sensibilisation pour prévenir les situations de violence contre l’enfant.</w:t>
      </w:r>
    </w:p>
    <w:p w:rsidR="00000000" w:rsidRDefault="00000000">
      <w:pPr>
        <w:pStyle w:val="SingleTxtG"/>
        <w:rPr>
          <w:lang w:val="fr-FR"/>
        </w:rPr>
      </w:pPr>
      <w:r>
        <w:rPr>
          <w:lang w:val="fr-FR"/>
        </w:rPr>
        <w:t>269.</w:t>
      </w:r>
      <w:r>
        <w:rPr>
          <w:lang w:val="fr-FR"/>
        </w:rPr>
        <w:tab/>
        <w:t>Ces actions de prévention ont pour cibles, les enfants, pour qu’ils puissent se protéger eux-mêmes; les parents, qui doivent savoir qu’ils sont les premiers concernés par la protection de leurs enfants; la communauté, qui doit constituer une cellule de veille permanente et tous les professionnels travaillant dans le domaine de la protection de l’enfant.</w:t>
      </w:r>
    </w:p>
    <w:p w:rsidR="00000000" w:rsidRDefault="00000000">
      <w:pPr>
        <w:pStyle w:val="SingleTxtG"/>
        <w:rPr>
          <w:lang w:val="fr-FR"/>
        </w:rPr>
      </w:pPr>
      <w:r>
        <w:rPr>
          <w:lang w:val="fr-FR"/>
        </w:rPr>
        <w:t>270.</w:t>
      </w:r>
      <w:r>
        <w:rPr>
          <w:lang w:val="fr-FR"/>
        </w:rPr>
        <w:tab/>
        <w:t>L’information et la sensibilisation s’effectuent également par voie médiatique.</w:t>
      </w:r>
    </w:p>
    <w:p w:rsidR="00000000" w:rsidRDefault="00000000">
      <w:pPr>
        <w:pStyle w:val="SingleTxtG"/>
        <w:rPr>
          <w:lang w:val="fr-FR"/>
        </w:rPr>
      </w:pPr>
      <w:r>
        <w:rPr>
          <w:lang w:val="fr-FR"/>
        </w:rPr>
        <w:t>271.</w:t>
      </w:r>
      <w:r>
        <w:rPr>
          <w:lang w:val="fr-FR"/>
        </w:rPr>
        <w:tab/>
        <w:t>Le Service central de la police des mœurs et de la protection des mineurs mène des activités intenses de sensibilisation. Au cours de l’année du 2006-2007, il a effectué 20 séances d’information dans les quartiers d’Antananarivo. Ces séances ont touché 9 000 habitants, 17 000 enfants de 8 à 10 ans, 2 000 élèves de 11 à 17 ans, 75 responsables dans 35 établissements scolaires et 35 gérants, employés et responsables d’établissements hôteliers.</w:t>
      </w:r>
    </w:p>
    <w:p w:rsidR="00000000" w:rsidRDefault="00000000">
      <w:pPr>
        <w:pStyle w:val="SingleTxtG"/>
        <w:rPr>
          <w:lang w:val="fr-FR"/>
        </w:rPr>
      </w:pPr>
      <w:r>
        <w:rPr>
          <w:lang w:val="fr-FR"/>
        </w:rPr>
        <w:t>272.</w:t>
      </w:r>
      <w:r>
        <w:rPr>
          <w:lang w:val="fr-FR"/>
        </w:rPr>
        <w:tab/>
        <w:t>Des descentes et des contrôles sont effectués par la police judiciaire dans tous les établissements et les lieux susceptibles de favoriser les violences envers les enfants: boîtes de nuit, dancing ou autres établissements similaires, établissements hôteliers, bars et débits de boisson, clubs, espaces de loisirs, cybercafés, salles de projection de film. Des surveillances sont également effectuées aux alentours des établissements scolaires.</w:t>
      </w:r>
    </w:p>
    <w:p w:rsidR="00000000" w:rsidRDefault="00000000">
      <w:pPr>
        <w:pStyle w:val="H23G"/>
        <w:rPr>
          <w:i/>
          <w:lang w:val="fr-FR"/>
        </w:rPr>
      </w:pPr>
      <w:bookmarkStart w:id="588" w:name="_Toc206414536"/>
      <w:bookmarkStart w:id="589" w:name="_Toc206460378"/>
      <w:bookmarkStart w:id="590" w:name="_Toc206460710"/>
      <w:bookmarkStart w:id="591" w:name="_Toc206461432"/>
      <w:bookmarkStart w:id="592" w:name="_Toc206476226"/>
      <w:bookmarkStart w:id="593" w:name="_Toc207788761"/>
      <w:bookmarkStart w:id="594" w:name="_Toc211835432"/>
      <w:bookmarkStart w:id="595" w:name="_Toc211926739"/>
      <w:r>
        <w:rPr>
          <w:lang w:val="fr-FR"/>
        </w:rPr>
        <w:tab/>
        <w:t>3.</w:t>
      </w:r>
      <w:r>
        <w:rPr>
          <w:lang w:val="fr-FR"/>
        </w:rPr>
        <w:tab/>
        <w:t>Obligation légale de</w:t>
      </w:r>
      <w:r>
        <w:rPr>
          <w:i/>
          <w:lang w:val="fr-FR"/>
        </w:rPr>
        <w:t xml:space="preserve"> </w:t>
      </w:r>
      <w:r>
        <w:rPr>
          <w:lang w:val="fr-FR"/>
        </w:rPr>
        <w:t>signalement</w:t>
      </w:r>
      <w:bookmarkEnd w:id="588"/>
      <w:bookmarkEnd w:id="589"/>
      <w:bookmarkEnd w:id="590"/>
      <w:bookmarkEnd w:id="591"/>
      <w:bookmarkEnd w:id="592"/>
      <w:bookmarkEnd w:id="593"/>
      <w:bookmarkEnd w:id="594"/>
      <w:bookmarkEnd w:id="595"/>
    </w:p>
    <w:p w:rsidR="00000000" w:rsidRDefault="00000000">
      <w:pPr>
        <w:pStyle w:val="SingleTxtG"/>
        <w:rPr>
          <w:lang w:val="fr-FR"/>
        </w:rPr>
      </w:pPr>
      <w:r>
        <w:rPr>
          <w:lang w:val="fr-FR"/>
        </w:rPr>
        <w:t>273.</w:t>
      </w:r>
      <w:r>
        <w:rPr>
          <w:lang w:val="fr-FR"/>
        </w:rPr>
        <w:tab/>
        <w:t>L’article 62 du Code pénal malgache réprime la non-dénonciation de crimes, et cette obligation concerne tout individu quand les crimes concernent un mineur de quinze ans.</w:t>
      </w:r>
    </w:p>
    <w:p w:rsidR="00000000" w:rsidRDefault="00000000">
      <w:pPr>
        <w:pStyle w:val="SingleTxtG"/>
        <w:rPr>
          <w:lang w:val="fr-FR"/>
        </w:rPr>
      </w:pPr>
      <w:r>
        <w:rPr>
          <w:lang w:val="fr-FR"/>
        </w:rPr>
        <w:t>274.</w:t>
      </w:r>
      <w:r>
        <w:rPr>
          <w:lang w:val="fr-FR"/>
        </w:rPr>
        <w:tab/>
        <w:t>La loi sur les droits et protection des enfants reprend le signalement obligatoire. Le devoir de signalement de maltraitance est imposé à toutes personnes y compris les parents, les membres de la famille, les voisins, les amis, les autorités locales, les enseignants, les dignitaires religieux, les travailleurs sociaux, le personnel médical et judiciaire.</w:t>
      </w:r>
    </w:p>
    <w:p w:rsidR="00000000" w:rsidRDefault="00000000">
      <w:pPr>
        <w:pStyle w:val="SingleTxtG"/>
        <w:rPr>
          <w:lang w:val="fr-FR"/>
        </w:rPr>
      </w:pPr>
      <w:r>
        <w:rPr>
          <w:lang w:val="fr-FR"/>
        </w:rPr>
        <w:t>275.</w:t>
      </w:r>
      <w:r>
        <w:rPr>
          <w:lang w:val="fr-FR"/>
        </w:rPr>
        <w:tab/>
        <w:t xml:space="preserve">Malgré le fait que la violence contre l’enfant soit encore un sujet tabou, un certain nombre de cas de violence physique ont été dénoncés à la police. Ces dénonciations émanent souvent des membres des réseaux de protection de l’enfant et ont abouti à l’ouverture d’une poursuite. </w:t>
      </w:r>
    </w:p>
    <w:p w:rsidR="00000000" w:rsidRDefault="00000000">
      <w:pPr>
        <w:pStyle w:val="SingleTxtG"/>
        <w:spacing w:after="0"/>
      </w:pPr>
      <w:bookmarkStart w:id="596" w:name="_Toc260298248"/>
      <w:r>
        <w:t>Tableau 14</w:t>
      </w:r>
    </w:p>
    <w:p w:rsidR="00000000" w:rsidRDefault="00000000">
      <w:pPr>
        <w:pStyle w:val="SingleTxtG"/>
        <w:rPr>
          <w:b/>
        </w:rPr>
      </w:pPr>
      <w:r>
        <w:rPr>
          <w:b/>
        </w:rPr>
        <w:t xml:space="preserve">Cas de violence physique contre enfants traités par la DPMPM </w:t>
      </w:r>
      <w:r>
        <w:rPr>
          <w:b/>
        </w:rPr>
        <w:br/>
        <w:t>dans la période de janvier à décembre 2006 par type de violence et par sexe</w:t>
      </w:r>
      <w:bookmarkEnd w:id="596"/>
    </w:p>
    <w:tbl>
      <w:tblPr>
        <w:tblW w:w="7371" w:type="dxa"/>
        <w:tblInd w:w="1134" w:type="dxa"/>
        <w:tblCellMar>
          <w:left w:w="0" w:type="dxa"/>
          <w:right w:w="0" w:type="dxa"/>
        </w:tblCellMar>
        <w:tblLook w:val="0000" w:firstRow="0" w:lastRow="0" w:firstColumn="0" w:lastColumn="0" w:noHBand="0" w:noVBand="0"/>
      </w:tblPr>
      <w:tblGrid>
        <w:gridCol w:w="1398"/>
        <w:gridCol w:w="909"/>
        <w:gridCol w:w="972"/>
        <w:gridCol w:w="943"/>
        <w:gridCol w:w="1039"/>
        <w:gridCol w:w="1055"/>
        <w:gridCol w:w="1055"/>
      </w:tblGrid>
      <w:tr w:rsidR="00000000">
        <w:trPr>
          <w:trHeight w:val="623"/>
        </w:trPr>
        <w:tc>
          <w:tcPr>
            <w:tcW w:w="2603" w:type="dxa"/>
            <w:tcBorders>
              <w:top w:val="single" w:sz="8" w:space="0" w:color="auto"/>
              <w:bottom w:val="single" w:sz="12" w:space="0" w:color="auto"/>
            </w:tcBorders>
            <w:shd w:val="clear" w:color="auto" w:fill="auto"/>
            <w:vAlign w:val="bottom"/>
          </w:tcPr>
          <w:p w:rsidR="00000000" w:rsidRDefault="00000000">
            <w:pPr>
              <w:spacing w:before="80" w:after="80" w:line="200" w:lineRule="exact"/>
              <w:rPr>
                <w:bCs/>
                <w:i/>
                <w:sz w:val="16"/>
                <w:szCs w:val="16"/>
              </w:rPr>
            </w:pPr>
          </w:p>
        </w:tc>
        <w:tc>
          <w:tcPr>
            <w:tcW w:w="2603" w:type="dxa"/>
            <w:tcBorders>
              <w:top w:val="single" w:sz="8" w:space="0" w:color="auto"/>
              <w:bottom w:val="single" w:sz="12" w:space="0" w:color="auto"/>
            </w:tcBorders>
            <w:shd w:val="clear" w:color="auto" w:fill="auto"/>
            <w:vAlign w:val="bottom"/>
          </w:tcPr>
          <w:p w:rsidR="00000000" w:rsidRDefault="00000000">
            <w:pPr>
              <w:spacing w:before="80" w:after="80" w:line="200" w:lineRule="exact"/>
              <w:jc w:val="right"/>
              <w:rPr>
                <w:bCs/>
                <w:i/>
                <w:sz w:val="16"/>
                <w:szCs w:val="16"/>
              </w:rPr>
            </w:pPr>
            <w:r>
              <w:rPr>
                <w:bCs/>
                <w:i/>
                <w:sz w:val="16"/>
                <w:szCs w:val="16"/>
              </w:rPr>
              <w:t>Nbre de cas</w:t>
            </w:r>
          </w:p>
        </w:tc>
        <w:tc>
          <w:tcPr>
            <w:tcW w:w="2603" w:type="dxa"/>
            <w:tcBorders>
              <w:top w:val="single" w:sz="8" w:space="0" w:color="auto"/>
              <w:bottom w:val="single" w:sz="12" w:space="0" w:color="auto"/>
            </w:tcBorders>
            <w:shd w:val="clear" w:color="auto" w:fill="auto"/>
            <w:vAlign w:val="bottom"/>
          </w:tcPr>
          <w:p w:rsidR="00000000" w:rsidRDefault="00000000">
            <w:pPr>
              <w:spacing w:before="80" w:after="80" w:line="200" w:lineRule="exact"/>
              <w:jc w:val="right"/>
              <w:rPr>
                <w:bCs/>
                <w:i/>
                <w:sz w:val="16"/>
                <w:szCs w:val="16"/>
              </w:rPr>
            </w:pPr>
            <w:r>
              <w:rPr>
                <w:bCs/>
                <w:i/>
                <w:sz w:val="16"/>
                <w:szCs w:val="16"/>
              </w:rPr>
              <w:t xml:space="preserve"> % du total de cas</w:t>
            </w:r>
          </w:p>
        </w:tc>
        <w:tc>
          <w:tcPr>
            <w:tcW w:w="2603" w:type="dxa"/>
            <w:tcBorders>
              <w:top w:val="single" w:sz="8" w:space="0" w:color="auto"/>
              <w:bottom w:val="single" w:sz="12" w:space="0" w:color="auto"/>
            </w:tcBorders>
            <w:shd w:val="clear" w:color="auto" w:fill="auto"/>
            <w:vAlign w:val="bottom"/>
          </w:tcPr>
          <w:p w:rsidR="00000000" w:rsidRDefault="00000000">
            <w:pPr>
              <w:spacing w:before="80" w:after="80" w:line="200" w:lineRule="exact"/>
              <w:jc w:val="right"/>
              <w:rPr>
                <w:bCs/>
                <w:i/>
                <w:sz w:val="16"/>
                <w:szCs w:val="16"/>
              </w:rPr>
            </w:pPr>
            <w:r>
              <w:rPr>
                <w:bCs/>
                <w:i/>
                <w:sz w:val="16"/>
                <w:szCs w:val="16"/>
              </w:rPr>
              <w:t>Nbre de cas Filles</w:t>
            </w:r>
          </w:p>
        </w:tc>
        <w:tc>
          <w:tcPr>
            <w:tcW w:w="2603" w:type="dxa"/>
            <w:tcBorders>
              <w:top w:val="single" w:sz="8" w:space="0" w:color="auto"/>
              <w:bottom w:val="single" w:sz="12" w:space="0" w:color="auto"/>
            </w:tcBorders>
            <w:shd w:val="clear" w:color="auto" w:fill="auto"/>
            <w:vAlign w:val="bottom"/>
          </w:tcPr>
          <w:p w:rsidR="00000000" w:rsidRDefault="00000000">
            <w:pPr>
              <w:spacing w:before="80" w:after="80" w:line="200" w:lineRule="exact"/>
              <w:jc w:val="right"/>
              <w:rPr>
                <w:bCs/>
                <w:i/>
                <w:sz w:val="16"/>
                <w:szCs w:val="16"/>
              </w:rPr>
            </w:pPr>
            <w:r>
              <w:rPr>
                <w:bCs/>
                <w:i/>
                <w:sz w:val="16"/>
                <w:szCs w:val="16"/>
              </w:rPr>
              <w:t xml:space="preserve"> % filles</w:t>
            </w:r>
          </w:p>
        </w:tc>
        <w:tc>
          <w:tcPr>
            <w:tcW w:w="2603" w:type="dxa"/>
            <w:tcBorders>
              <w:top w:val="single" w:sz="8" w:space="0" w:color="auto"/>
              <w:bottom w:val="single" w:sz="12" w:space="0" w:color="auto"/>
            </w:tcBorders>
            <w:shd w:val="clear" w:color="auto" w:fill="auto"/>
            <w:vAlign w:val="bottom"/>
          </w:tcPr>
          <w:p w:rsidR="00000000" w:rsidRDefault="00000000">
            <w:pPr>
              <w:spacing w:before="80" w:after="80" w:line="200" w:lineRule="exact"/>
              <w:jc w:val="right"/>
              <w:rPr>
                <w:bCs/>
                <w:i/>
                <w:sz w:val="16"/>
                <w:szCs w:val="16"/>
              </w:rPr>
            </w:pPr>
            <w:r>
              <w:rPr>
                <w:bCs/>
                <w:i/>
                <w:sz w:val="16"/>
                <w:szCs w:val="16"/>
              </w:rPr>
              <w:t>Nbre de cas garçons</w:t>
            </w:r>
          </w:p>
        </w:tc>
        <w:tc>
          <w:tcPr>
            <w:tcW w:w="2603" w:type="dxa"/>
            <w:tcBorders>
              <w:top w:val="single" w:sz="8" w:space="0" w:color="auto"/>
              <w:bottom w:val="single" w:sz="12" w:space="0" w:color="auto"/>
            </w:tcBorders>
            <w:shd w:val="clear" w:color="auto" w:fill="auto"/>
            <w:vAlign w:val="bottom"/>
          </w:tcPr>
          <w:p w:rsidR="00000000" w:rsidRDefault="00000000">
            <w:pPr>
              <w:spacing w:before="80" w:after="80" w:line="200" w:lineRule="exact"/>
              <w:jc w:val="right"/>
              <w:rPr>
                <w:bCs/>
                <w:i/>
                <w:sz w:val="16"/>
                <w:szCs w:val="16"/>
              </w:rPr>
            </w:pPr>
            <w:r>
              <w:rPr>
                <w:bCs/>
                <w:i/>
                <w:sz w:val="16"/>
                <w:szCs w:val="16"/>
              </w:rPr>
              <w:t xml:space="preserve"> % garçons</w:t>
            </w:r>
          </w:p>
        </w:tc>
      </w:tr>
      <w:tr w:rsidR="00000000">
        <w:tc>
          <w:tcPr>
            <w:tcW w:w="2603" w:type="dxa"/>
            <w:tcBorders>
              <w:top w:val="single" w:sz="12" w:space="0" w:color="auto"/>
            </w:tcBorders>
            <w:shd w:val="clear" w:color="auto" w:fill="auto"/>
            <w:vAlign w:val="bottom"/>
          </w:tcPr>
          <w:p w:rsidR="00000000" w:rsidRDefault="00000000">
            <w:pPr>
              <w:spacing w:before="40" w:after="40" w:line="220" w:lineRule="exact"/>
              <w:rPr>
                <w:bCs/>
                <w:sz w:val="18"/>
                <w:szCs w:val="18"/>
              </w:rPr>
            </w:pPr>
            <w:r>
              <w:rPr>
                <w:bCs/>
                <w:sz w:val="18"/>
                <w:szCs w:val="18"/>
              </w:rPr>
              <w:t>Coups et blessures volontaires</w:t>
            </w:r>
          </w:p>
        </w:tc>
        <w:tc>
          <w:tcPr>
            <w:tcW w:w="2603" w:type="dxa"/>
            <w:tcBorders>
              <w:top w:val="single" w:sz="12" w:space="0" w:color="auto"/>
            </w:tcBorders>
            <w:shd w:val="clear" w:color="auto" w:fill="auto"/>
            <w:vAlign w:val="bottom"/>
          </w:tcPr>
          <w:p w:rsidR="00000000" w:rsidRDefault="00000000">
            <w:pPr>
              <w:spacing w:before="40" w:after="40" w:line="220" w:lineRule="exact"/>
              <w:jc w:val="right"/>
              <w:rPr>
                <w:bCs/>
                <w:sz w:val="18"/>
                <w:szCs w:val="18"/>
              </w:rPr>
            </w:pPr>
            <w:r>
              <w:rPr>
                <w:bCs/>
                <w:sz w:val="18"/>
                <w:szCs w:val="18"/>
              </w:rPr>
              <w:t>112</w:t>
            </w:r>
          </w:p>
        </w:tc>
        <w:tc>
          <w:tcPr>
            <w:tcW w:w="2603" w:type="dxa"/>
            <w:tcBorders>
              <w:top w:val="single" w:sz="12" w:space="0" w:color="auto"/>
            </w:tcBorders>
            <w:shd w:val="clear" w:color="auto" w:fill="auto"/>
            <w:vAlign w:val="bottom"/>
          </w:tcPr>
          <w:p w:rsidR="00000000" w:rsidRDefault="00000000">
            <w:pPr>
              <w:spacing w:before="40" w:after="40" w:line="220" w:lineRule="exact"/>
              <w:jc w:val="right"/>
              <w:rPr>
                <w:bCs/>
                <w:sz w:val="18"/>
                <w:szCs w:val="18"/>
              </w:rPr>
            </w:pPr>
            <w:r>
              <w:rPr>
                <w:bCs/>
                <w:sz w:val="18"/>
                <w:szCs w:val="18"/>
              </w:rPr>
              <w:t>65,88</w:t>
            </w:r>
          </w:p>
        </w:tc>
        <w:tc>
          <w:tcPr>
            <w:tcW w:w="2603" w:type="dxa"/>
            <w:tcBorders>
              <w:top w:val="single" w:sz="12" w:space="0" w:color="auto"/>
            </w:tcBorders>
            <w:shd w:val="clear" w:color="auto" w:fill="auto"/>
            <w:vAlign w:val="bottom"/>
          </w:tcPr>
          <w:p w:rsidR="00000000" w:rsidRDefault="00000000">
            <w:pPr>
              <w:spacing w:before="40" w:after="40" w:line="220" w:lineRule="exact"/>
              <w:jc w:val="right"/>
              <w:rPr>
                <w:bCs/>
                <w:sz w:val="18"/>
                <w:szCs w:val="18"/>
              </w:rPr>
            </w:pPr>
            <w:r>
              <w:rPr>
                <w:bCs/>
                <w:sz w:val="18"/>
                <w:szCs w:val="18"/>
              </w:rPr>
              <w:t>53</w:t>
            </w:r>
          </w:p>
        </w:tc>
        <w:tc>
          <w:tcPr>
            <w:tcW w:w="2603" w:type="dxa"/>
            <w:tcBorders>
              <w:top w:val="single" w:sz="12" w:space="0" w:color="auto"/>
            </w:tcBorders>
            <w:shd w:val="clear" w:color="auto" w:fill="auto"/>
            <w:vAlign w:val="bottom"/>
          </w:tcPr>
          <w:p w:rsidR="00000000" w:rsidRDefault="00000000">
            <w:pPr>
              <w:spacing w:before="40" w:after="40" w:line="220" w:lineRule="exact"/>
              <w:jc w:val="right"/>
              <w:rPr>
                <w:bCs/>
                <w:sz w:val="18"/>
                <w:szCs w:val="18"/>
              </w:rPr>
            </w:pPr>
            <w:r>
              <w:rPr>
                <w:bCs/>
                <w:sz w:val="18"/>
                <w:szCs w:val="18"/>
              </w:rPr>
              <w:t>47,32</w:t>
            </w:r>
          </w:p>
        </w:tc>
        <w:tc>
          <w:tcPr>
            <w:tcW w:w="2603" w:type="dxa"/>
            <w:tcBorders>
              <w:top w:val="single" w:sz="12" w:space="0" w:color="auto"/>
            </w:tcBorders>
            <w:shd w:val="clear" w:color="auto" w:fill="auto"/>
            <w:vAlign w:val="bottom"/>
          </w:tcPr>
          <w:p w:rsidR="00000000" w:rsidRDefault="00000000">
            <w:pPr>
              <w:spacing w:before="40" w:after="40" w:line="220" w:lineRule="exact"/>
              <w:jc w:val="right"/>
              <w:rPr>
                <w:bCs/>
                <w:sz w:val="18"/>
                <w:szCs w:val="18"/>
              </w:rPr>
            </w:pPr>
            <w:r>
              <w:rPr>
                <w:bCs/>
                <w:sz w:val="18"/>
                <w:szCs w:val="18"/>
              </w:rPr>
              <w:t>59</w:t>
            </w:r>
          </w:p>
        </w:tc>
        <w:tc>
          <w:tcPr>
            <w:tcW w:w="2603" w:type="dxa"/>
            <w:tcBorders>
              <w:top w:val="single" w:sz="12" w:space="0" w:color="auto"/>
            </w:tcBorders>
            <w:shd w:val="clear" w:color="auto" w:fill="auto"/>
            <w:vAlign w:val="bottom"/>
          </w:tcPr>
          <w:p w:rsidR="00000000" w:rsidRDefault="00000000">
            <w:pPr>
              <w:spacing w:before="40" w:after="40" w:line="220" w:lineRule="exact"/>
              <w:jc w:val="right"/>
              <w:rPr>
                <w:bCs/>
                <w:sz w:val="18"/>
                <w:szCs w:val="18"/>
              </w:rPr>
            </w:pPr>
            <w:r>
              <w:rPr>
                <w:bCs/>
                <w:sz w:val="18"/>
                <w:szCs w:val="18"/>
              </w:rPr>
              <w:t>52,68</w:t>
            </w:r>
          </w:p>
        </w:tc>
      </w:tr>
      <w:tr w:rsidR="00000000">
        <w:tc>
          <w:tcPr>
            <w:tcW w:w="2603" w:type="dxa"/>
            <w:shd w:val="clear" w:color="auto" w:fill="auto"/>
            <w:vAlign w:val="bottom"/>
          </w:tcPr>
          <w:p w:rsidR="00000000" w:rsidRDefault="00000000">
            <w:pPr>
              <w:spacing w:before="40" w:after="40" w:line="220" w:lineRule="exact"/>
              <w:rPr>
                <w:bCs/>
                <w:sz w:val="18"/>
                <w:szCs w:val="18"/>
              </w:rPr>
            </w:pPr>
            <w:r>
              <w:rPr>
                <w:bCs/>
                <w:sz w:val="18"/>
                <w:szCs w:val="18"/>
              </w:rPr>
              <w:t>Mauvais traitement</w:t>
            </w:r>
          </w:p>
        </w:tc>
        <w:tc>
          <w:tcPr>
            <w:tcW w:w="2603" w:type="dxa"/>
            <w:shd w:val="clear" w:color="auto" w:fill="auto"/>
            <w:vAlign w:val="bottom"/>
          </w:tcPr>
          <w:p w:rsidR="00000000" w:rsidRDefault="00000000">
            <w:pPr>
              <w:spacing w:before="40" w:after="40" w:line="220" w:lineRule="exact"/>
              <w:jc w:val="right"/>
              <w:rPr>
                <w:bCs/>
                <w:sz w:val="18"/>
                <w:szCs w:val="18"/>
              </w:rPr>
            </w:pPr>
            <w:r>
              <w:rPr>
                <w:bCs/>
                <w:sz w:val="18"/>
                <w:szCs w:val="18"/>
              </w:rPr>
              <w:t>32</w:t>
            </w:r>
          </w:p>
        </w:tc>
        <w:tc>
          <w:tcPr>
            <w:tcW w:w="2603" w:type="dxa"/>
            <w:shd w:val="clear" w:color="auto" w:fill="auto"/>
            <w:vAlign w:val="bottom"/>
          </w:tcPr>
          <w:p w:rsidR="00000000" w:rsidRDefault="00000000">
            <w:pPr>
              <w:spacing w:before="40" w:after="40" w:line="220" w:lineRule="exact"/>
              <w:jc w:val="right"/>
              <w:rPr>
                <w:bCs/>
                <w:sz w:val="18"/>
                <w:szCs w:val="18"/>
              </w:rPr>
            </w:pPr>
            <w:r>
              <w:rPr>
                <w:bCs/>
                <w:sz w:val="18"/>
                <w:szCs w:val="18"/>
              </w:rPr>
              <w:t>18,82</w:t>
            </w:r>
          </w:p>
        </w:tc>
        <w:tc>
          <w:tcPr>
            <w:tcW w:w="2603" w:type="dxa"/>
            <w:shd w:val="clear" w:color="auto" w:fill="auto"/>
            <w:vAlign w:val="bottom"/>
          </w:tcPr>
          <w:p w:rsidR="00000000" w:rsidRDefault="00000000">
            <w:pPr>
              <w:spacing w:before="40" w:after="40" w:line="220" w:lineRule="exact"/>
              <w:jc w:val="right"/>
              <w:rPr>
                <w:bCs/>
                <w:sz w:val="18"/>
                <w:szCs w:val="18"/>
              </w:rPr>
            </w:pPr>
            <w:r>
              <w:rPr>
                <w:bCs/>
                <w:sz w:val="18"/>
                <w:szCs w:val="18"/>
              </w:rPr>
              <w:t>16</w:t>
            </w:r>
          </w:p>
        </w:tc>
        <w:tc>
          <w:tcPr>
            <w:tcW w:w="2603" w:type="dxa"/>
            <w:shd w:val="clear" w:color="auto" w:fill="auto"/>
            <w:vAlign w:val="bottom"/>
          </w:tcPr>
          <w:p w:rsidR="00000000" w:rsidRDefault="00000000">
            <w:pPr>
              <w:spacing w:before="40" w:after="40" w:line="220" w:lineRule="exact"/>
              <w:jc w:val="right"/>
              <w:rPr>
                <w:bCs/>
                <w:sz w:val="18"/>
                <w:szCs w:val="18"/>
              </w:rPr>
            </w:pPr>
            <w:r>
              <w:rPr>
                <w:bCs/>
                <w:sz w:val="18"/>
                <w:szCs w:val="18"/>
              </w:rPr>
              <w:t>50,00</w:t>
            </w:r>
          </w:p>
        </w:tc>
        <w:tc>
          <w:tcPr>
            <w:tcW w:w="2603" w:type="dxa"/>
            <w:shd w:val="clear" w:color="auto" w:fill="auto"/>
            <w:vAlign w:val="bottom"/>
          </w:tcPr>
          <w:p w:rsidR="00000000" w:rsidRDefault="00000000">
            <w:pPr>
              <w:spacing w:before="40" w:after="40" w:line="220" w:lineRule="exact"/>
              <w:jc w:val="right"/>
              <w:rPr>
                <w:bCs/>
                <w:sz w:val="18"/>
                <w:szCs w:val="18"/>
              </w:rPr>
            </w:pPr>
            <w:r>
              <w:rPr>
                <w:bCs/>
                <w:sz w:val="18"/>
                <w:szCs w:val="18"/>
              </w:rPr>
              <w:t>16</w:t>
            </w:r>
          </w:p>
        </w:tc>
        <w:tc>
          <w:tcPr>
            <w:tcW w:w="2603" w:type="dxa"/>
            <w:shd w:val="clear" w:color="auto" w:fill="auto"/>
            <w:vAlign w:val="bottom"/>
          </w:tcPr>
          <w:p w:rsidR="00000000" w:rsidRDefault="00000000">
            <w:pPr>
              <w:spacing w:before="40" w:after="40" w:line="220" w:lineRule="exact"/>
              <w:jc w:val="right"/>
              <w:rPr>
                <w:bCs/>
                <w:sz w:val="18"/>
                <w:szCs w:val="18"/>
              </w:rPr>
            </w:pPr>
            <w:r>
              <w:rPr>
                <w:bCs/>
                <w:sz w:val="18"/>
                <w:szCs w:val="18"/>
              </w:rPr>
              <w:t>50,00</w:t>
            </w:r>
          </w:p>
        </w:tc>
      </w:tr>
      <w:tr w:rsidR="00000000">
        <w:tc>
          <w:tcPr>
            <w:tcW w:w="2603" w:type="dxa"/>
            <w:shd w:val="clear" w:color="auto" w:fill="auto"/>
            <w:vAlign w:val="bottom"/>
          </w:tcPr>
          <w:p w:rsidR="00000000" w:rsidRDefault="00000000">
            <w:pPr>
              <w:spacing w:before="40" w:after="40" w:line="220" w:lineRule="exact"/>
              <w:rPr>
                <w:bCs/>
                <w:sz w:val="18"/>
                <w:szCs w:val="18"/>
              </w:rPr>
            </w:pPr>
            <w:r>
              <w:rPr>
                <w:bCs/>
                <w:sz w:val="18"/>
                <w:szCs w:val="18"/>
              </w:rPr>
              <w:t>Enlèvement</w:t>
            </w:r>
          </w:p>
        </w:tc>
        <w:tc>
          <w:tcPr>
            <w:tcW w:w="2603" w:type="dxa"/>
            <w:shd w:val="clear" w:color="auto" w:fill="auto"/>
            <w:vAlign w:val="bottom"/>
          </w:tcPr>
          <w:p w:rsidR="00000000" w:rsidRDefault="00000000">
            <w:pPr>
              <w:spacing w:before="40" w:after="40" w:line="220" w:lineRule="exact"/>
              <w:jc w:val="right"/>
              <w:rPr>
                <w:bCs/>
                <w:sz w:val="18"/>
                <w:szCs w:val="18"/>
              </w:rPr>
            </w:pPr>
            <w:r>
              <w:rPr>
                <w:bCs/>
                <w:sz w:val="18"/>
                <w:szCs w:val="18"/>
              </w:rPr>
              <w:t>9</w:t>
            </w:r>
          </w:p>
        </w:tc>
        <w:tc>
          <w:tcPr>
            <w:tcW w:w="2603" w:type="dxa"/>
            <w:shd w:val="clear" w:color="auto" w:fill="auto"/>
            <w:vAlign w:val="bottom"/>
          </w:tcPr>
          <w:p w:rsidR="00000000" w:rsidRDefault="00000000">
            <w:pPr>
              <w:spacing w:before="40" w:after="40" w:line="220" w:lineRule="exact"/>
              <w:jc w:val="right"/>
              <w:rPr>
                <w:bCs/>
                <w:sz w:val="18"/>
                <w:szCs w:val="18"/>
              </w:rPr>
            </w:pPr>
            <w:r>
              <w:rPr>
                <w:bCs/>
                <w:sz w:val="18"/>
                <w:szCs w:val="18"/>
              </w:rPr>
              <w:t>5,29</w:t>
            </w:r>
          </w:p>
        </w:tc>
        <w:tc>
          <w:tcPr>
            <w:tcW w:w="2603" w:type="dxa"/>
            <w:shd w:val="clear" w:color="auto" w:fill="auto"/>
            <w:vAlign w:val="bottom"/>
          </w:tcPr>
          <w:p w:rsidR="00000000" w:rsidRDefault="00000000">
            <w:pPr>
              <w:spacing w:before="40" w:after="40" w:line="220" w:lineRule="exact"/>
              <w:jc w:val="right"/>
              <w:rPr>
                <w:bCs/>
                <w:sz w:val="18"/>
                <w:szCs w:val="18"/>
              </w:rPr>
            </w:pPr>
            <w:r>
              <w:rPr>
                <w:bCs/>
                <w:sz w:val="18"/>
                <w:szCs w:val="18"/>
              </w:rPr>
              <w:t>5</w:t>
            </w:r>
          </w:p>
        </w:tc>
        <w:tc>
          <w:tcPr>
            <w:tcW w:w="2603" w:type="dxa"/>
            <w:shd w:val="clear" w:color="auto" w:fill="auto"/>
            <w:vAlign w:val="bottom"/>
          </w:tcPr>
          <w:p w:rsidR="00000000" w:rsidRDefault="00000000">
            <w:pPr>
              <w:spacing w:before="40" w:after="40" w:line="220" w:lineRule="exact"/>
              <w:jc w:val="right"/>
              <w:rPr>
                <w:bCs/>
                <w:sz w:val="18"/>
                <w:szCs w:val="18"/>
              </w:rPr>
            </w:pPr>
            <w:r>
              <w:rPr>
                <w:bCs/>
                <w:sz w:val="18"/>
                <w:szCs w:val="18"/>
              </w:rPr>
              <w:t>55,56</w:t>
            </w:r>
          </w:p>
        </w:tc>
        <w:tc>
          <w:tcPr>
            <w:tcW w:w="2603" w:type="dxa"/>
            <w:shd w:val="clear" w:color="auto" w:fill="auto"/>
            <w:vAlign w:val="bottom"/>
          </w:tcPr>
          <w:p w:rsidR="00000000" w:rsidRDefault="00000000">
            <w:pPr>
              <w:spacing w:before="40" w:after="40" w:line="220" w:lineRule="exact"/>
              <w:jc w:val="right"/>
              <w:rPr>
                <w:bCs/>
                <w:sz w:val="18"/>
                <w:szCs w:val="18"/>
              </w:rPr>
            </w:pPr>
            <w:r>
              <w:rPr>
                <w:bCs/>
                <w:sz w:val="18"/>
                <w:szCs w:val="18"/>
              </w:rPr>
              <w:t>4</w:t>
            </w:r>
          </w:p>
        </w:tc>
        <w:tc>
          <w:tcPr>
            <w:tcW w:w="2603" w:type="dxa"/>
            <w:shd w:val="clear" w:color="auto" w:fill="auto"/>
            <w:vAlign w:val="bottom"/>
          </w:tcPr>
          <w:p w:rsidR="00000000" w:rsidRDefault="00000000">
            <w:pPr>
              <w:spacing w:before="40" w:after="40" w:line="220" w:lineRule="exact"/>
              <w:jc w:val="right"/>
              <w:rPr>
                <w:bCs/>
                <w:sz w:val="18"/>
                <w:szCs w:val="18"/>
              </w:rPr>
            </w:pPr>
            <w:r>
              <w:rPr>
                <w:bCs/>
                <w:sz w:val="18"/>
                <w:szCs w:val="18"/>
              </w:rPr>
              <w:t>44,44</w:t>
            </w:r>
          </w:p>
        </w:tc>
      </w:tr>
      <w:tr w:rsidR="00000000">
        <w:tc>
          <w:tcPr>
            <w:tcW w:w="2603" w:type="dxa"/>
            <w:shd w:val="clear" w:color="auto" w:fill="auto"/>
            <w:vAlign w:val="bottom"/>
          </w:tcPr>
          <w:p w:rsidR="00000000" w:rsidRDefault="00000000">
            <w:pPr>
              <w:spacing w:before="40" w:after="40" w:line="220" w:lineRule="exact"/>
              <w:rPr>
                <w:bCs/>
                <w:sz w:val="18"/>
                <w:szCs w:val="18"/>
              </w:rPr>
            </w:pPr>
            <w:r>
              <w:rPr>
                <w:bCs/>
                <w:sz w:val="18"/>
                <w:szCs w:val="18"/>
              </w:rPr>
              <w:t>Abandon</w:t>
            </w:r>
          </w:p>
        </w:tc>
        <w:tc>
          <w:tcPr>
            <w:tcW w:w="2603" w:type="dxa"/>
            <w:shd w:val="clear" w:color="auto" w:fill="auto"/>
            <w:vAlign w:val="bottom"/>
          </w:tcPr>
          <w:p w:rsidR="00000000" w:rsidRDefault="00000000">
            <w:pPr>
              <w:spacing w:before="40" w:after="40" w:line="220" w:lineRule="exact"/>
              <w:jc w:val="right"/>
              <w:rPr>
                <w:bCs/>
                <w:sz w:val="18"/>
                <w:szCs w:val="18"/>
              </w:rPr>
            </w:pPr>
            <w:r>
              <w:rPr>
                <w:bCs/>
                <w:sz w:val="18"/>
                <w:szCs w:val="18"/>
              </w:rPr>
              <w:t>4</w:t>
            </w:r>
          </w:p>
        </w:tc>
        <w:tc>
          <w:tcPr>
            <w:tcW w:w="2603" w:type="dxa"/>
            <w:shd w:val="clear" w:color="auto" w:fill="auto"/>
            <w:vAlign w:val="bottom"/>
          </w:tcPr>
          <w:p w:rsidR="00000000" w:rsidRDefault="00000000">
            <w:pPr>
              <w:spacing w:before="40" w:after="40" w:line="220" w:lineRule="exact"/>
              <w:jc w:val="right"/>
              <w:rPr>
                <w:bCs/>
                <w:sz w:val="18"/>
                <w:szCs w:val="18"/>
              </w:rPr>
            </w:pPr>
            <w:r>
              <w:rPr>
                <w:bCs/>
                <w:sz w:val="18"/>
                <w:szCs w:val="18"/>
              </w:rPr>
              <w:t>2,35</w:t>
            </w:r>
          </w:p>
        </w:tc>
        <w:tc>
          <w:tcPr>
            <w:tcW w:w="2603" w:type="dxa"/>
            <w:shd w:val="clear" w:color="auto" w:fill="auto"/>
            <w:vAlign w:val="bottom"/>
          </w:tcPr>
          <w:p w:rsidR="00000000" w:rsidRDefault="00000000">
            <w:pPr>
              <w:spacing w:before="40" w:after="40" w:line="220" w:lineRule="exact"/>
              <w:jc w:val="right"/>
              <w:rPr>
                <w:bCs/>
                <w:sz w:val="18"/>
                <w:szCs w:val="18"/>
              </w:rPr>
            </w:pPr>
            <w:r>
              <w:rPr>
                <w:bCs/>
                <w:sz w:val="18"/>
                <w:szCs w:val="18"/>
              </w:rPr>
              <w:t>1</w:t>
            </w:r>
          </w:p>
        </w:tc>
        <w:tc>
          <w:tcPr>
            <w:tcW w:w="2603" w:type="dxa"/>
            <w:shd w:val="clear" w:color="auto" w:fill="auto"/>
            <w:vAlign w:val="bottom"/>
          </w:tcPr>
          <w:p w:rsidR="00000000" w:rsidRDefault="00000000">
            <w:pPr>
              <w:spacing w:before="40" w:after="40" w:line="220" w:lineRule="exact"/>
              <w:jc w:val="right"/>
              <w:rPr>
                <w:bCs/>
                <w:sz w:val="18"/>
                <w:szCs w:val="18"/>
              </w:rPr>
            </w:pPr>
            <w:r>
              <w:rPr>
                <w:bCs/>
                <w:sz w:val="18"/>
                <w:szCs w:val="18"/>
              </w:rPr>
              <w:t>25,00</w:t>
            </w:r>
          </w:p>
        </w:tc>
        <w:tc>
          <w:tcPr>
            <w:tcW w:w="2603" w:type="dxa"/>
            <w:shd w:val="clear" w:color="auto" w:fill="auto"/>
            <w:vAlign w:val="bottom"/>
          </w:tcPr>
          <w:p w:rsidR="00000000" w:rsidRDefault="00000000">
            <w:pPr>
              <w:spacing w:before="40" w:after="40" w:line="220" w:lineRule="exact"/>
              <w:jc w:val="right"/>
              <w:rPr>
                <w:bCs/>
                <w:sz w:val="18"/>
                <w:szCs w:val="18"/>
              </w:rPr>
            </w:pPr>
            <w:r>
              <w:rPr>
                <w:bCs/>
                <w:sz w:val="18"/>
                <w:szCs w:val="18"/>
              </w:rPr>
              <w:t>3</w:t>
            </w:r>
          </w:p>
        </w:tc>
        <w:tc>
          <w:tcPr>
            <w:tcW w:w="2603" w:type="dxa"/>
            <w:shd w:val="clear" w:color="auto" w:fill="auto"/>
            <w:vAlign w:val="bottom"/>
          </w:tcPr>
          <w:p w:rsidR="00000000" w:rsidRDefault="00000000">
            <w:pPr>
              <w:spacing w:before="40" w:after="40" w:line="220" w:lineRule="exact"/>
              <w:jc w:val="right"/>
              <w:rPr>
                <w:bCs/>
                <w:sz w:val="18"/>
                <w:szCs w:val="18"/>
              </w:rPr>
            </w:pPr>
            <w:r>
              <w:rPr>
                <w:bCs/>
                <w:sz w:val="18"/>
                <w:szCs w:val="18"/>
              </w:rPr>
              <w:t>75,00</w:t>
            </w:r>
          </w:p>
        </w:tc>
      </w:tr>
      <w:tr w:rsidR="00000000">
        <w:tc>
          <w:tcPr>
            <w:tcW w:w="2603" w:type="dxa"/>
            <w:shd w:val="clear" w:color="auto" w:fill="auto"/>
            <w:vAlign w:val="bottom"/>
          </w:tcPr>
          <w:p w:rsidR="00000000" w:rsidRDefault="00000000">
            <w:pPr>
              <w:spacing w:before="40" w:after="40" w:line="220" w:lineRule="exact"/>
              <w:rPr>
                <w:bCs/>
                <w:sz w:val="18"/>
                <w:szCs w:val="18"/>
              </w:rPr>
            </w:pPr>
            <w:r>
              <w:rPr>
                <w:bCs/>
                <w:sz w:val="18"/>
                <w:szCs w:val="18"/>
              </w:rPr>
              <w:t>Privation de soins et aliments</w:t>
            </w:r>
          </w:p>
        </w:tc>
        <w:tc>
          <w:tcPr>
            <w:tcW w:w="2603" w:type="dxa"/>
            <w:shd w:val="clear" w:color="auto" w:fill="auto"/>
            <w:vAlign w:val="bottom"/>
          </w:tcPr>
          <w:p w:rsidR="00000000" w:rsidRDefault="00000000">
            <w:pPr>
              <w:spacing w:before="40" w:after="40" w:line="220" w:lineRule="exact"/>
              <w:jc w:val="right"/>
              <w:rPr>
                <w:bCs/>
                <w:sz w:val="18"/>
                <w:szCs w:val="18"/>
              </w:rPr>
            </w:pPr>
            <w:r>
              <w:rPr>
                <w:bCs/>
                <w:sz w:val="18"/>
                <w:szCs w:val="18"/>
              </w:rPr>
              <w:t>4</w:t>
            </w:r>
          </w:p>
        </w:tc>
        <w:tc>
          <w:tcPr>
            <w:tcW w:w="2603" w:type="dxa"/>
            <w:shd w:val="clear" w:color="auto" w:fill="auto"/>
            <w:vAlign w:val="bottom"/>
          </w:tcPr>
          <w:p w:rsidR="00000000" w:rsidRDefault="00000000">
            <w:pPr>
              <w:spacing w:before="40" w:after="40" w:line="220" w:lineRule="exact"/>
              <w:jc w:val="right"/>
              <w:rPr>
                <w:bCs/>
                <w:sz w:val="18"/>
                <w:szCs w:val="18"/>
              </w:rPr>
            </w:pPr>
            <w:r>
              <w:rPr>
                <w:bCs/>
                <w:sz w:val="18"/>
                <w:szCs w:val="18"/>
              </w:rPr>
              <w:t>2,35</w:t>
            </w:r>
          </w:p>
        </w:tc>
        <w:tc>
          <w:tcPr>
            <w:tcW w:w="2603" w:type="dxa"/>
            <w:shd w:val="clear" w:color="auto" w:fill="auto"/>
            <w:vAlign w:val="bottom"/>
          </w:tcPr>
          <w:p w:rsidR="00000000" w:rsidRDefault="00000000">
            <w:pPr>
              <w:spacing w:before="40" w:after="40" w:line="220" w:lineRule="exact"/>
              <w:jc w:val="right"/>
              <w:rPr>
                <w:bCs/>
                <w:sz w:val="18"/>
                <w:szCs w:val="18"/>
              </w:rPr>
            </w:pPr>
            <w:r>
              <w:rPr>
                <w:bCs/>
                <w:sz w:val="18"/>
                <w:szCs w:val="18"/>
              </w:rPr>
              <w:t>1</w:t>
            </w:r>
          </w:p>
        </w:tc>
        <w:tc>
          <w:tcPr>
            <w:tcW w:w="2603" w:type="dxa"/>
            <w:shd w:val="clear" w:color="auto" w:fill="auto"/>
            <w:vAlign w:val="bottom"/>
          </w:tcPr>
          <w:p w:rsidR="00000000" w:rsidRDefault="00000000">
            <w:pPr>
              <w:spacing w:before="40" w:after="40" w:line="220" w:lineRule="exact"/>
              <w:jc w:val="right"/>
              <w:rPr>
                <w:bCs/>
                <w:sz w:val="18"/>
                <w:szCs w:val="18"/>
              </w:rPr>
            </w:pPr>
            <w:r>
              <w:rPr>
                <w:bCs/>
                <w:sz w:val="18"/>
                <w:szCs w:val="18"/>
              </w:rPr>
              <w:t>25,00</w:t>
            </w:r>
          </w:p>
        </w:tc>
        <w:tc>
          <w:tcPr>
            <w:tcW w:w="2603" w:type="dxa"/>
            <w:shd w:val="clear" w:color="auto" w:fill="auto"/>
            <w:vAlign w:val="bottom"/>
          </w:tcPr>
          <w:p w:rsidR="00000000" w:rsidRDefault="00000000">
            <w:pPr>
              <w:spacing w:before="40" w:after="40" w:line="220" w:lineRule="exact"/>
              <w:jc w:val="right"/>
              <w:rPr>
                <w:bCs/>
                <w:sz w:val="18"/>
                <w:szCs w:val="18"/>
              </w:rPr>
            </w:pPr>
            <w:r>
              <w:rPr>
                <w:bCs/>
                <w:sz w:val="18"/>
                <w:szCs w:val="18"/>
              </w:rPr>
              <w:t>3</w:t>
            </w:r>
          </w:p>
        </w:tc>
        <w:tc>
          <w:tcPr>
            <w:tcW w:w="2603" w:type="dxa"/>
            <w:shd w:val="clear" w:color="auto" w:fill="auto"/>
            <w:vAlign w:val="bottom"/>
          </w:tcPr>
          <w:p w:rsidR="00000000" w:rsidRDefault="00000000">
            <w:pPr>
              <w:spacing w:before="40" w:after="40" w:line="220" w:lineRule="exact"/>
              <w:jc w:val="right"/>
              <w:rPr>
                <w:bCs/>
                <w:sz w:val="18"/>
                <w:szCs w:val="18"/>
              </w:rPr>
            </w:pPr>
            <w:r>
              <w:rPr>
                <w:bCs/>
                <w:sz w:val="18"/>
                <w:szCs w:val="18"/>
              </w:rPr>
              <w:t>75,00</w:t>
            </w:r>
          </w:p>
        </w:tc>
      </w:tr>
      <w:tr w:rsidR="00000000">
        <w:tc>
          <w:tcPr>
            <w:tcW w:w="2603" w:type="dxa"/>
            <w:shd w:val="clear" w:color="auto" w:fill="auto"/>
            <w:vAlign w:val="bottom"/>
          </w:tcPr>
          <w:p w:rsidR="00000000" w:rsidRDefault="00000000">
            <w:pPr>
              <w:spacing w:before="40" w:after="40" w:line="220" w:lineRule="exact"/>
              <w:rPr>
                <w:bCs/>
                <w:sz w:val="18"/>
                <w:szCs w:val="18"/>
              </w:rPr>
            </w:pPr>
            <w:r>
              <w:rPr>
                <w:bCs/>
                <w:sz w:val="18"/>
                <w:szCs w:val="18"/>
              </w:rPr>
              <w:t>Trafic</w:t>
            </w:r>
          </w:p>
        </w:tc>
        <w:tc>
          <w:tcPr>
            <w:tcW w:w="2603" w:type="dxa"/>
            <w:shd w:val="clear" w:color="auto" w:fill="auto"/>
            <w:vAlign w:val="bottom"/>
          </w:tcPr>
          <w:p w:rsidR="00000000" w:rsidRDefault="00000000">
            <w:pPr>
              <w:spacing w:before="40" w:after="40" w:line="220" w:lineRule="exact"/>
              <w:jc w:val="right"/>
              <w:rPr>
                <w:bCs/>
                <w:sz w:val="18"/>
                <w:szCs w:val="18"/>
              </w:rPr>
            </w:pPr>
            <w:r>
              <w:rPr>
                <w:bCs/>
                <w:sz w:val="18"/>
                <w:szCs w:val="18"/>
              </w:rPr>
              <w:t>3</w:t>
            </w:r>
          </w:p>
        </w:tc>
        <w:tc>
          <w:tcPr>
            <w:tcW w:w="2603" w:type="dxa"/>
            <w:shd w:val="clear" w:color="auto" w:fill="auto"/>
            <w:vAlign w:val="bottom"/>
          </w:tcPr>
          <w:p w:rsidR="00000000" w:rsidRDefault="00000000">
            <w:pPr>
              <w:spacing w:before="40" w:after="40" w:line="220" w:lineRule="exact"/>
              <w:jc w:val="right"/>
              <w:rPr>
                <w:bCs/>
                <w:sz w:val="18"/>
                <w:szCs w:val="18"/>
              </w:rPr>
            </w:pPr>
            <w:r>
              <w:rPr>
                <w:bCs/>
                <w:sz w:val="18"/>
                <w:szCs w:val="18"/>
              </w:rPr>
              <w:t>1,76</w:t>
            </w:r>
          </w:p>
        </w:tc>
        <w:tc>
          <w:tcPr>
            <w:tcW w:w="2603" w:type="dxa"/>
            <w:shd w:val="clear" w:color="auto" w:fill="auto"/>
            <w:vAlign w:val="bottom"/>
          </w:tcPr>
          <w:p w:rsidR="00000000" w:rsidRDefault="00000000">
            <w:pPr>
              <w:spacing w:before="40" w:after="40" w:line="220" w:lineRule="exact"/>
              <w:jc w:val="right"/>
              <w:rPr>
                <w:bCs/>
                <w:sz w:val="18"/>
                <w:szCs w:val="18"/>
              </w:rPr>
            </w:pPr>
            <w:r>
              <w:rPr>
                <w:bCs/>
                <w:sz w:val="18"/>
                <w:szCs w:val="18"/>
              </w:rPr>
              <w:t>1</w:t>
            </w:r>
          </w:p>
        </w:tc>
        <w:tc>
          <w:tcPr>
            <w:tcW w:w="2603" w:type="dxa"/>
            <w:shd w:val="clear" w:color="auto" w:fill="auto"/>
            <w:vAlign w:val="bottom"/>
          </w:tcPr>
          <w:p w:rsidR="00000000" w:rsidRDefault="00000000">
            <w:pPr>
              <w:spacing w:before="40" w:after="40" w:line="220" w:lineRule="exact"/>
              <w:jc w:val="right"/>
              <w:rPr>
                <w:bCs/>
                <w:sz w:val="18"/>
                <w:szCs w:val="18"/>
              </w:rPr>
            </w:pPr>
            <w:r>
              <w:rPr>
                <w:bCs/>
                <w:sz w:val="18"/>
                <w:szCs w:val="18"/>
              </w:rPr>
              <w:t>33,33</w:t>
            </w:r>
          </w:p>
        </w:tc>
        <w:tc>
          <w:tcPr>
            <w:tcW w:w="2603" w:type="dxa"/>
            <w:shd w:val="clear" w:color="auto" w:fill="auto"/>
            <w:vAlign w:val="bottom"/>
          </w:tcPr>
          <w:p w:rsidR="00000000" w:rsidRDefault="00000000">
            <w:pPr>
              <w:spacing w:before="40" w:after="40" w:line="220" w:lineRule="exact"/>
              <w:jc w:val="right"/>
              <w:rPr>
                <w:bCs/>
                <w:sz w:val="18"/>
                <w:szCs w:val="18"/>
              </w:rPr>
            </w:pPr>
            <w:r>
              <w:rPr>
                <w:bCs/>
                <w:sz w:val="18"/>
                <w:szCs w:val="18"/>
              </w:rPr>
              <w:t>2</w:t>
            </w:r>
          </w:p>
        </w:tc>
        <w:tc>
          <w:tcPr>
            <w:tcW w:w="2603" w:type="dxa"/>
            <w:shd w:val="clear" w:color="auto" w:fill="auto"/>
            <w:vAlign w:val="bottom"/>
          </w:tcPr>
          <w:p w:rsidR="00000000" w:rsidRDefault="00000000">
            <w:pPr>
              <w:spacing w:before="40" w:after="40" w:line="220" w:lineRule="exact"/>
              <w:jc w:val="right"/>
              <w:rPr>
                <w:bCs/>
                <w:sz w:val="18"/>
                <w:szCs w:val="18"/>
              </w:rPr>
            </w:pPr>
            <w:r>
              <w:rPr>
                <w:bCs/>
                <w:sz w:val="18"/>
                <w:szCs w:val="18"/>
              </w:rPr>
              <w:t>66,67</w:t>
            </w:r>
          </w:p>
        </w:tc>
      </w:tr>
      <w:tr w:rsidR="00000000">
        <w:tc>
          <w:tcPr>
            <w:tcW w:w="2603" w:type="dxa"/>
            <w:shd w:val="clear" w:color="auto" w:fill="auto"/>
            <w:vAlign w:val="bottom"/>
          </w:tcPr>
          <w:p w:rsidR="00000000" w:rsidRDefault="00000000">
            <w:pPr>
              <w:spacing w:before="40" w:after="40" w:line="220" w:lineRule="exact"/>
              <w:rPr>
                <w:bCs/>
                <w:sz w:val="18"/>
                <w:szCs w:val="18"/>
              </w:rPr>
            </w:pPr>
            <w:r>
              <w:rPr>
                <w:bCs/>
                <w:sz w:val="18"/>
                <w:szCs w:val="18"/>
              </w:rPr>
              <w:t>Menaces</w:t>
            </w:r>
          </w:p>
        </w:tc>
        <w:tc>
          <w:tcPr>
            <w:tcW w:w="2603" w:type="dxa"/>
            <w:shd w:val="clear" w:color="auto" w:fill="auto"/>
            <w:vAlign w:val="bottom"/>
          </w:tcPr>
          <w:p w:rsidR="00000000" w:rsidRDefault="00000000">
            <w:pPr>
              <w:spacing w:before="40" w:after="40" w:line="220" w:lineRule="exact"/>
              <w:jc w:val="right"/>
              <w:rPr>
                <w:bCs/>
                <w:sz w:val="18"/>
                <w:szCs w:val="18"/>
              </w:rPr>
            </w:pPr>
            <w:r>
              <w:rPr>
                <w:bCs/>
                <w:sz w:val="18"/>
                <w:szCs w:val="18"/>
              </w:rPr>
              <w:t>2</w:t>
            </w:r>
          </w:p>
        </w:tc>
        <w:tc>
          <w:tcPr>
            <w:tcW w:w="2603" w:type="dxa"/>
            <w:shd w:val="clear" w:color="auto" w:fill="auto"/>
            <w:vAlign w:val="bottom"/>
          </w:tcPr>
          <w:p w:rsidR="00000000" w:rsidRDefault="00000000">
            <w:pPr>
              <w:spacing w:before="40" w:after="40" w:line="220" w:lineRule="exact"/>
              <w:jc w:val="right"/>
              <w:rPr>
                <w:bCs/>
                <w:sz w:val="18"/>
                <w:szCs w:val="18"/>
              </w:rPr>
            </w:pPr>
            <w:r>
              <w:rPr>
                <w:bCs/>
                <w:sz w:val="18"/>
                <w:szCs w:val="18"/>
              </w:rPr>
              <w:t>1,18</w:t>
            </w:r>
          </w:p>
        </w:tc>
        <w:tc>
          <w:tcPr>
            <w:tcW w:w="2603" w:type="dxa"/>
            <w:shd w:val="clear" w:color="auto" w:fill="auto"/>
            <w:vAlign w:val="bottom"/>
          </w:tcPr>
          <w:p w:rsidR="00000000" w:rsidRDefault="00000000">
            <w:pPr>
              <w:spacing w:before="40" w:after="40" w:line="220" w:lineRule="exact"/>
              <w:jc w:val="right"/>
              <w:rPr>
                <w:bCs/>
                <w:sz w:val="18"/>
                <w:szCs w:val="18"/>
              </w:rPr>
            </w:pPr>
            <w:r>
              <w:rPr>
                <w:bCs/>
                <w:sz w:val="18"/>
                <w:szCs w:val="18"/>
              </w:rPr>
              <w:t>2</w:t>
            </w:r>
          </w:p>
        </w:tc>
        <w:tc>
          <w:tcPr>
            <w:tcW w:w="2603" w:type="dxa"/>
            <w:shd w:val="clear" w:color="auto" w:fill="auto"/>
            <w:vAlign w:val="bottom"/>
          </w:tcPr>
          <w:p w:rsidR="00000000" w:rsidRDefault="00000000">
            <w:pPr>
              <w:spacing w:before="40" w:after="40" w:line="220" w:lineRule="exact"/>
              <w:jc w:val="right"/>
              <w:rPr>
                <w:bCs/>
                <w:sz w:val="18"/>
                <w:szCs w:val="18"/>
              </w:rPr>
            </w:pPr>
            <w:r>
              <w:rPr>
                <w:bCs/>
                <w:sz w:val="18"/>
                <w:szCs w:val="18"/>
              </w:rPr>
              <w:t>100,00</w:t>
            </w:r>
          </w:p>
        </w:tc>
        <w:tc>
          <w:tcPr>
            <w:tcW w:w="2603" w:type="dxa"/>
            <w:shd w:val="clear" w:color="auto" w:fill="auto"/>
            <w:vAlign w:val="bottom"/>
          </w:tcPr>
          <w:p w:rsidR="00000000" w:rsidRDefault="00000000">
            <w:pPr>
              <w:spacing w:before="40" w:after="40" w:line="220" w:lineRule="exact"/>
              <w:jc w:val="right"/>
              <w:rPr>
                <w:bCs/>
                <w:sz w:val="18"/>
                <w:szCs w:val="18"/>
              </w:rPr>
            </w:pPr>
          </w:p>
        </w:tc>
        <w:tc>
          <w:tcPr>
            <w:tcW w:w="2603" w:type="dxa"/>
            <w:shd w:val="clear" w:color="auto" w:fill="auto"/>
            <w:vAlign w:val="bottom"/>
          </w:tcPr>
          <w:p w:rsidR="00000000" w:rsidRDefault="00000000">
            <w:pPr>
              <w:spacing w:before="40" w:after="40" w:line="220" w:lineRule="exact"/>
              <w:jc w:val="right"/>
              <w:rPr>
                <w:bCs/>
                <w:sz w:val="18"/>
                <w:szCs w:val="18"/>
              </w:rPr>
            </w:pPr>
            <w:r>
              <w:rPr>
                <w:bCs/>
                <w:sz w:val="18"/>
                <w:szCs w:val="18"/>
              </w:rPr>
              <w:t>0,00</w:t>
            </w:r>
          </w:p>
        </w:tc>
      </w:tr>
      <w:tr w:rsidR="00000000">
        <w:tc>
          <w:tcPr>
            <w:tcW w:w="2603" w:type="dxa"/>
            <w:shd w:val="clear" w:color="auto" w:fill="auto"/>
            <w:vAlign w:val="bottom"/>
          </w:tcPr>
          <w:p w:rsidR="00000000" w:rsidRDefault="00000000">
            <w:pPr>
              <w:spacing w:before="40" w:after="40" w:line="220" w:lineRule="exact"/>
              <w:rPr>
                <w:bCs/>
                <w:sz w:val="18"/>
                <w:szCs w:val="18"/>
              </w:rPr>
            </w:pPr>
            <w:r>
              <w:rPr>
                <w:bCs/>
                <w:sz w:val="18"/>
                <w:szCs w:val="18"/>
              </w:rPr>
              <w:t>Diffamation publique</w:t>
            </w:r>
          </w:p>
        </w:tc>
        <w:tc>
          <w:tcPr>
            <w:tcW w:w="2603" w:type="dxa"/>
            <w:shd w:val="clear" w:color="auto" w:fill="auto"/>
            <w:vAlign w:val="bottom"/>
          </w:tcPr>
          <w:p w:rsidR="00000000" w:rsidRDefault="00000000">
            <w:pPr>
              <w:spacing w:before="40" w:after="40" w:line="220" w:lineRule="exact"/>
              <w:jc w:val="right"/>
              <w:rPr>
                <w:bCs/>
                <w:sz w:val="18"/>
                <w:szCs w:val="18"/>
              </w:rPr>
            </w:pPr>
            <w:r>
              <w:rPr>
                <w:bCs/>
                <w:sz w:val="18"/>
                <w:szCs w:val="18"/>
              </w:rPr>
              <w:t>1</w:t>
            </w:r>
          </w:p>
        </w:tc>
        <w:tc>
          <w:tcPr>
            <w:tcW w:w="2603" w:type="dxa"/>
            <w:shd w:val="clear" w:color="auto" w:fill="auto"/>
            <w:vAlign w:val="bottom"/>
          </w:tcPr>
          <w:p w:rsidR="00000000" w:rsidRDefault="00000000">
            <w:pPr>
              <w:spacing w:before="40" w:after="40" w:line="220" w:lineRule="exact"/>
              <w:jc w:val="right"/>
              <w:rPr>
                <w:bCs/>
                <w:sz w:val="18"/>
                <w:szCs w:val="18"/>
              </w:rPr>
            </w:pPr>
            <w:r>
              <w:rPr>
                <w:bCs/>
                <w:sz w:val="18"/>
                <w:szCs w:val="18"/>
              </w:rPr>
              <w:t>0,59</w:t>
            </w:r>
          </w:p>
        </w:tc>
        <w:tc>
          <w:tcPr>
            <w:tcW w:w="2603" w:type="dxa"/>
            <w:shd w:val="clear" w:color="auto" w:fill="auto"/>
            <w:vAlign w:val="bottom"/>
          </w:tcPr>
          <w:p w:rsidR="00000000" w:rsidRDefault="00000000">
            <w:pPr>
              <w:spacing w:before="40" w:after="40" w:line="220" w:lineRule="exact"/>
              <w:jc w:val="right"/>
              <w:rPr>
                <w:bCs/>
                <w:sz w:val="18"/>
                <w:szCs w:val="18"/>
              </w:rPr>
            </w:pPr>
          </w:p>
        </w:tc>
        <w:tc>
          <w:tcPr>
            <w:tcW w:w="2603" w:type="dxa"/>
            <w:shd w:val="clear" w:color="auto" w:fill="auto"/>
            <w:vAlign w:val="bottom"/>
          </w:tcPr>
          <w:p w:rsidR="00000000" w:rsidRDefault="00000000">
            <w:pPr>
              <w:spacing w:before="40" w:after="40" w:line="220" w:lineRule="exact"/>
              <w:jc w:val="right"/>
              <w:rPr>
                <w:bCs/>
                <w:sz w:val="18"/>
                <w:szCs w:val="18"/>
              </w:rPr>
            </w:pPr>
            <w:r>
              <w:rPr>
                <w:bCs/>
                <w:sz w:val="18"/>
                <w:szCs w:val="18"/>
              </w:rPr>
              <w:t>0,00</w:t>
            </w:r>
          </w:p>
        </w:tc>
        <w:tc>
          <w:tcPr>
            <w:tcW w:w="2603" w:type="dxa"/>
            <w:shd w:val="clear" w:color="auto" w:fill="auto"/>
            <w:vAlign w:val="bottom"/>
          </w:tcPr>
          <w:p w:rsidR="00000000" w:rsidRDefault="00000000">
            <w:pPr>
              <w:spacing w:before="40" w:after="40" w:line="220" w:lineRule="exact"/>
              <w:jc w:val="right"/>
              <w:rPr>
                <w:bCs/>
                <w:sz w:val="18"/>
                <w:szCs w:val="18"/>
              </w:rPr>
            </w:pPr>
            <w:r>
              <w:rPr>
                <w:bCs/>
                <w:sz w:val="18"/>
                <w:szCs w:val="18"/>
              </w:rPr>
              <w:t>1</w:t>
            </w:r>
          </w:p>
        </w:tc>
        <w:tc>
          <w:tcPr>
            <w:tcW w:w="2603" w:type="dxa"/>
            <w:shd w:val="clear" w:color="auto" w:fill="auto"/>
            <w:vAlign w:val="bottom"/>
          </w:tcPr>
          <w:p w:rsidR="00000000" w:rsidRDefault="00000000">
            <w:pPr>
              <w:spacing w:before="40" w:after="40" w:line="220" w:lineRule="exact"/>
              <w:jc w:val="right"/>
              <w:rPr>
                <w:bCs/>
                <w:sz w:val="18"/>
                <w:szCs w:val="18"/>
              </w:rPr>
            </w:pPr>
            <w:r>
              <w:rPr>
                <w:bCs/>
                <w:sz w:val="18"/>
                <w:szCs w:val="18"/>
              </w:rPr>
              <w:t>100,00</w:t>
            </w:r>
          </w:p>
        </w:tc>
      </w:tr>
      <w:tr w:rsidR="00000000">
        <w:tc>
          <w:tcPr>
            <w:tcW w:w="2603" w:type="dxa"/>
            <w:shd w:val="clear" w:color="auto" w:fill="auto"/>
            <w:vAlign w:val="bottom"/>
          </w:tcPr>
          <w:p w:rsidR="00000000" w:rsidRDefault="00000000">
            <w:pPr>
              <w:spacing w:before="40" w:after="40" w:line="220" w:lineRule="exact"/>
              <w:rPr>
                <w:bCs/>
                <w:sz w:val="18"/>
                <w:szCs w:val="18"/>
              </w:rPr>
            </w:pPr>
            <w:r>
              <w:rPr>
                <w:bCs/>
                <w:sz w:val="18"/>
                <w:szCs w:val="18"/>
              </w:rPr>
              <w:t>Séquestration</w:t>
            </w:r>
          </w:p>
        </w:tc>
        <w:tc>
          <w:tcPr>
            <w:tcW w:w="2603" w:type="dxa"/>
            <w:shd w:val="clear" w:color="auto" w:fill="auto"/>
            <w:vAlign w:val="bottom"/>
          </w:tcPr>
          <w:p w:rsidR="00000000" w:rsidRDefault="00000000">
            <w:pPr>
              <w:spacing w:before="40" w:after="40" w:line="220" w:lineRule="exact"/>
              <w:jc w:val="right"/>
              <w:rPr>
                <w:bCs/>
                <w:sz w:val="18"/>
                <w:szCs w:val="18"/>
              </w:rPr>
            </w:pPr>
            <w:r>
              <w:rPr>
                <w:bCs/>
                <w:sz w:val="18"/>
                <w:szCs w:val="18"/>
              </w:rPr>
              <w:t>1</w:t>
            </w:r>
          </w:p>
        </w:tc>
        <w:tc>
          <w:tcPr>
            <w:tcW w:w="2603" w:type="dxa"/>
            <w:shd w:val="clear" w:color="auto" w:fill="auto"/>
            <w:vAlign w:val="bottom"/>
          </w:tcPr>
          <w:p w:rsidR="00000000" w:rsidRDefault="00000000">
            <w:pPr>
              <w:spacing w:before="40" w:after="40" w:line="220" w:lineRule="exact"/>
              <w:jc w:val="right"/>
              <w:rPr>
                <w:bCs/>
                <w:sz w:val="18"/>
                <w:szCs w:val="18"/>
              </w:rPr>
            </w:pPr>
            <w:r>
              <w:rPr>
                <w:bCs/>
                <w:sz w:val="18"/>
                <w:szCs w:val="18"/>
              </w:rPr>
              <w:t>0,59</w:t>
            </w:r>
          </w:p>
        </w:tc>
        <w:tc>
          <w:tcPr>
            <w:tcW w:w="2603" w:type="dxa"/>
            <w:shd w:val="clear" w:color="auto" w:fill="auto"/>
            <w:vAlign w:val="bottom"/>
          </w:tcPr>
          <w:p w:rsidR="00000000" w:rsidRDefault="00000000">
            <w:pPr>
              <w:spacing w:before="40" w:after="40" w:line="220" w:lineRule="exact"/>
              <w:jc w:val="right"/>
              <w:rPr>
                <w:bCs/>
                <w:sz w:val="18"/>
                <w:szCs w:val="18"/>
              </w:rPr>
            </w:pPr>
          </w:p>
        </w:tc>
        <w:tc>
          <w:tcPr>
            <w:tcW w:w="2603" w:type="dxa"/>
            <w:shd w:val="clear" w:color="auto" w:fill="auto"/>
            <w:vAlign w:val="bottom"/>
          </w:tcPr>
          <w:p w:rsidR="00000000" w:rsidRDefault="00000000">
            <w:pPr>
              <w:spacing w:before="40" w:after="40" w:line="220" w:lineRule="exact"/>
              <w:jc w:val="right"/>
              <w:rPr>
                <w:bCs/>
                <w:sz w:val="18"/>
                <w:szCs w:val="18"/>
              </w:rPr>
            </w:pPr>
            <w:r>
              <w:rPr>
                <w:bCs/>
                <w:sz w:val="18"/>
                <w:szCs w:val="18"/>
              </w:rPr>
              <w:t>0,00</w:t>
            </w:r>
          </w:p>
        </w:tc>
        <w:tc>
          <w:tcPr>
            <w:tcW w:w="2603" w:type="dxa"/>
            <w:shd w:val="clear" w:color="auto" w:fill="auto"/>
            <w:vAlign w:val="bottom"/>
          </w:tcPr>
          <w:p w:rsidR="00000000" w:rsidRDefault="00000000">
            <w:pPr>
              <w:spacing w:before="40" w:after="40" w:line="220" w:lineRule="exact"/>
              <w:jc w:val="right"/>
              <w:rPr>
                <w:bCs/>
                <w:sz w:val="18"/>
                <w:szCs w:val="18"/>
              </w:rPr>
            </w:pPr>
            <w:r>
              <w:rPr>
                <w:bCs/>
                <w:sz w:val="18"/>
                <w:szCs w:val="18"/>
              </w:rPr>
              <w:t>1</w:t>
            </w:r>
          </w:p>
        </w:tc>
        <w:tc>
          <w:tcPr>
            <w:tcW w:w="2603" w:type="dxa"/>
            <w:shd w:val="clear" w:color="auto" w:fill="auto"/>
            <w:vAlign w:val="bottom"/>
          </w:tcPr>
          <w:p w:rsidR="00000000" w:rsidRDefault="00000000">
            <w:pPr>
              <w:spacing w:before="40" w:after="40" w:line="220" w:lineRule="exact"/>
              <w:jc w:val="right"/>
              <w:rPr>
                <w:bCs/>
                <w:sz w:val="18"/>
                <w:szCs w:val="18"/>
              </w:rPr>
            </w:pPr>
            <w:r>
              <w:rPr>
                <w:bCs/>
                <w:sz w:val="18"/>
                <w:szCs w:val="18"/>
              </w:rPr>
              <w:t>100,00</w:t>
            </w:r>
          </w:p>
        </w:tc>
      </w:tr>
      <w:tr w:rsidR="00000000">
        <w:tc>
          <w:tcPr>
            <w:tcW w:w="2603" w:type="dxa"/>
            <w:shd w:val="clear" w:color="auto" w:fill="auto"/>
            <w:vAlign w:val="bottom"/>
          </w:tcPr>
          <w:p w:rsidR="00000000" w:rsidRDefault="00000000">
            <w:pPr>
              <w:spacing w:before="40" w:after="40" w:line="220" w:lineRule="exact"/>
              <w:rPr>
                <w:bCs/>
                <w:sz w:val="18"/>
                <w:szCs w:val="18"/>
              </w:rPr>
            </w:pPr>
            <w:r>
              <w:rPr>
                <w:bCs/>
                <w:sz w:val="18"/>
                <w:szCs w:val="18"/>
              </w:rPr>
              <w:t>Incitation à la débauche</w:t>
            </w:r>
          </w:p>
        </w:tc>
        <w:tc>
          <w:tcPr>
            <w:tcW w:w="2603" w:type="dxa"/>
            <w:shd w:val="clear" w:color="auto" w:fill="auto"/>
            <w:vAlign w:val="bottom"/>
          </w:tcPr>
          <w:p w:rsidR="00000000" w:rsidRDefault="00000000">
            <w:pPr>
              <w:spacing w:before="40" w:after="40" w:line="220" w:lineRule="exact"/>
              <w:jc w:val="right"/>
              <w:rPr>
                <w:bCs/>
                <w:sz w:val="18"/>
                <w:szCs w:val="18"/>
              </w:rPr>
            </w:pPr>
            <w:r>
              <w:rPr>
                <w:bCs/>
                <w:sz w:val="18"/>
                <w:szCs w:val="18"/>
              </w:rPr>
              <w:t>1</w:t>
            </w:r>
          </w:p>
        </w:tc>
        <w:tc>
          <w:tcPr>
            <w:tcW w:w="2603" w:type="dxa"/>
            <w:shd w:val="clear" w:color="auto" w:fill="auto"/>
            <w:vAlign w:val="bottom"/>
          </w:tcPr>
          <w:p w:rsidR="00000000" w:rsidRDefault="00000000">
            <w:pPr>
              <w:spacing w:before="40" w:after="40" w:line="220" w:lineRule="exact"/>
              <w:jc w:val="right"/>
              <w:rPr>
                <w:bCs/>
                <w:sz w:val="18"/>
                <w:szCs w:val="18"/>
              </w:rPr>
            </w:pPr>
            <w:r>
              <w:rPr>
                <w:bCs/>
                <w:sz w:val="18"/>
                <w:szCs w:val="18"/>
              </w:rPr>
              <w:t>0,59</w:t>
            </w:r>
          </w:p>
        </w:tc>
        <w:tc>
          <w:tcPr>
            <w:tcW w:w="2603" w:type="dxa"/>
            <w:shd w:val="clear" w:color="auto" w:fill="auto"/>
            <w:vAlign w:val="bottom"/>
          </w:tcPr>
          <w:p w:rsidR="00000000" w:rsidRDefault="00000000">
            <w:pPr>
              <w:spacing w:before="40" w:after="40" w:line="220" w:lineRule="exact"/>
              <w:jc w:val="right"/>
              <w:rPr>
                <w:bCs/>
                <w:sz w:val="18"/>
                <w:szCs w:val="18"/>
              </w:rPr>
            </w:pPr>
            <w:r>
              <w:rPr>
                <w:bCs/>
                <w:sz w:val="18"/>
                <w:szCs w:val="18"/>
              </w:rPr>
              <w:t>1</w:t>
            </w:r>
          </w:p>
        </w:tc>
        <w:tc>
          <w:tcPr>
            <w:tcW w:w="2603" w:type="dxa"/>
            <w:shd w:val="clear" w:color="auto" w:fill="auto"/>
            <w:vAlign w:val="bottom"/>
          </w:tcPr>
          <w:p w:rsidR="00000000" w:rsidRDefault="00000000">
            <w:pPr>
              <w:spacing w:before="40" w:after="40" w:line="220" w:lineRule="exact"/>
              <w:jc w:val="right"/>
              <w:rPr>
                <w:bCs/>
                <w:sz w:val="18"/>
                <w:szCs w:val="18"/>
              </w:rPr>
            </w:pPr>
            <w:r>
              <w:rPr>
                <w:bCs/>
                <w:sz w:val="18"/>
                <w:szCs w:val="18"/>
              </w:rPr>
              <w:t>100,00</w:t>
            </w:r>
          </w:p>
        </w:tc>
        <w:tc>
          <w:tcPr>
            <w:tcW w:w="2603" w:type="dxa"/>
            <w:shd w:val="clear" w:color="auto" w:fill="auto"/>
            <w:vAlign w:val="bottom"/>
          </w:tcPr>
          <w:p w:rsidR="00000000" w:rsidRDefault="00000000">
            <w:pPr>
              <w:spacing w:before="40" w:after="40" w:line="220" w:lineRule="exact"/>
              <w:jc w:val="right"/>
              <w:rPr>
                <w:bCs/>
                <w:sz w:val="18"/>
                <w:szCs w:val="18"/>
              </w:rPr>
            </w:pPr>
          </w:p>
        </w:tc>
        <w:tc>
          <w:tcPr>
            <w:tcW w:w="2603" w:type="dxa"/>
            <w:shd w:val="clear" w:color="auto" w:fill="auto"/>
            <w:vAlign w:val="bottom"/>
          </w:tcPr>
          <w:p w:rsidR="00000000" w:rsidRDefault="00000000">
            <w:pPr>
              <w:spacing w:before="40" w:after="40" w:line="220" w:lineRule="exact"/>
              <w:jc w:val="right"/>
              <w:rPr>
                <w:bCs/>
                <w:sz w:val="18"/>
                <w:szCs w:val="18"/>
              </w:rPr>
            </w:pPr>
            <w:r>
              <w:rPr>
                <w:bCs/>
                <w:sz w:val="18"/>
                <w:szCs w:val="18"/>
              </w:rPr>
              <w:t>0,00</w:t>
            </w:r>
          </w:p>
        </w:tc>
      </w:tr>
      <w:tr w:rsidR="00000000">
        <w:tc>
          <w:tcPr>
            <w:tcW w:w="2603" w:type="dxa"/>
            <w:tcBorders>
              <w:bottom w:val="single" w:sz="4" w:space="0" w:color="auto"/>
            </w:tcBorders>
            <w:shd w:val="clear" w:color="auto" w:fill="auto"/>
            <w:vAlign w:val="bottom"/>
          </w:tcPr>
          <w:p w:rsidR="00000000" w:rsidRDefault="00000000">
            <w:pPr>
              <w:spacing w:before="40" w:after="40" w:line="220" w:lineRule="exact"/>
              <w:rPr>
                <w:bCs/>
                <w:sz w:val="18"/>
                <w:szCs w:val="18"/>
              </w:rPr>
            </w:pPr>
            <w:r>
              <w:rPr>
                <w:bCs/>
                <w:sz w:val="18"/>
                <w:szCs w:val="18"/>
              </w:rPr>
              <w:t>Tentative de meurtre</w:t>
            </w:r>
          </w:p>
        </w:tc>
        <w:tc>
          <w:tcPr>
            <w:tcW w:w="2603" w:type="dxa"/>
            <w:tcBorders>
              <w:bottom w:val="single" w:sz="4" w:space="0" w:color="auto"/>
            </w:tcBorders>
            <w:shd w:val="clear" w:color="auto" w:fill="auto"/>
            <w:vAlign w:val="bottom"/>
          </w:tcPr>
          <w:p w:rsidR="00000000" w:rsidRDefault="00000000">
            <w:pPr>
              <w:spacing w:before="40" w:after="40" w:line="220" w:lineRule="exact"/>
              <w:jc w:val="right"/>
              <w:rPr>
                <w:bCs/>
                <w:sz w:val="18"/>
                <w:szCs w:val="18"/>
              </w:rPr>
            </w:pPr>
            <w:r>
              <w:rPr>
                <w:bCs/>
                <w:sz w:val="18"/>
                <w:szCs w:val="18"/>
              </w:rPr>
              <w:t>1</w:t>
            </w:r>
          </w:p>
        </w:tc>
        <w:tc>
          <w:tcPr>
            <w:tcW w:w="2603" w:type="dxa"/>
            <w:tcBorders>
              <w:bottom w:val="single" w:sz="4" w:space="0" w:color="auto"/>
            </w:tcBorders>
            <w:shd w:val="clear" w:color="auto" w:fill="auto"/>
            <w:vAlign w:val="bottom"/>
          </w:tcPr>
          <w:p w:rsidR="00000000" w:rsidRDefault="00000000">
            <w:pPr>
              <w:spacing w:before="40" w:after="40" w:line="220" w:lineRule="exact"/>
              <w:jc w:val="right"/>
              <w:rPr>
                <w:bCs/>
                <w:sz w:val="18"/>
                <w:szCs w:val="18"/>
              </w:rPr>
            </w:pPr>
            <w:r>
              <w:rPr>
                <w:bCs/>
                <w:sz w:val="18"/>
                <w:szCs w:val="18"/>
              </w:rPr>
              <w:t>0,59</w:t>
            </w:r>
          </w:p>
        </w:tc>
        <w:tc>
          <w:tcPr>
            <w:tcW w:w="2603" w:type="dxa"/>
            <w:tcBorders>
              <w:bottom w:val="single" w:sz="4" w:space="0" w:color="auto"/>
            </w:tcBorders>
            <w:shd w:val="clear" w:color="auto" w:fill="auto"/>
            <w:vAlign w:val="bottom"/>
          </w:tcPr>
          <w:p w:rsidR="00000000" w:rsidRDefault="00000000">
            <w:pPr>
              <w:spacing w:before="40" w:after="40" w:line="220" w:lineRule="exact"/>
              <w:jc w:val="right"/>
              <w:rPr>
                <w:bCs/>
                <w:sz w:val="18"/>
                <w:szCs w:val="18"/>
              </w:rPr>
            </w:pPr>
            <w:r>
              <w:rPr>
                <w:bCs/>
                <w:sz w:val="18"/>
                <w:szCs w:val="18"/>
              </w:rPr>
              <w:t>1</w:t>
            </w:r>
          </w:p>
        </w:tc>
        <w:tc>
          <w:tcPr>
            <w:tcW w:w="2603" w:type="dxa"/>
            <w:tcBorders>
              <w:bottom w:val="single" w:sz="4" w:space="0" w:color="auto"/>
            </w:tcBorders>
            <w:shd w:val="clear" w:color="auto" w:fill="auto"/>
            <w:vAlign w:val="bottom"/>
          </w:tcPr>
          <w:p w:rsidR="00000000" w:rsidRDefault="00000000">
            <w:pPr>
              <w:spacing w:before="40" w:after="40" w:line="220" w:lineRule="exact"/>
              <w:jc w:val="right"/>
              <w:rPr>
                <w:bCs/>
                <w:sz w:val="18"/>
                <w:szCs w:val="18"/>
              </w:rPr>
            </w:pPr>
            <w:r>
              <w:rPr>
                <w:bCs/>
                <w:sz w:val="18"/>
                <w:szCs w:val="18"/>
              </w:rPr>
              <w:t>100,00</w:t>
            </w:r>
          </w:p>
        </w:tc>
        <w:tc>
          <w:tcPr>
            <w:tcW w:w="2603" w:type="dxa"/>
            <w:tcBorders>
              <w:bottom w:val="single" w:sz="4" w:space="0" w:color="auto"/>
            </w:tcBorders>
            <w:shd w:val="clear" w:color="auto" w:fill="auto"/>
            <w:vAlign w:val="bottom"/>
          </w:tcPr>
          <w:p w:rsidR="00000000" w:rsidRDefault="00000000">
            <w:pPr>
              <w:spacing w:before="40" w:after="40" w:line="220" w:lineRule="exact"/>
              <w:jc w:val="right"/>
              <w:rPr>
                <w:bCs/>
                <w:sz w:val="18"/>
                <w:szCs w:val="18"/>
              </w:rPr>
            </w:pPr>
          </w:p>
        </w:tc>
        <w:tc>
          <w:tcPr>
            <w:tcW w:w="2603" w:type="dxa"/>
            <w:tcBorders>
              <w:bottom w:val="single" w:sz="4" w:space="0" w:color="auto"/>
            </w:tcBorders>
            <w:shd w:val="clear" w:color="auto" w:fill="auto"/>
            <w:vAlign w:val="bottom"/>
          </w:tcPr>
          <w:p w:rsidR="00000000" w:rsidRDefault="00000000">
            <w:pPr>
              <w:spacing w:before="40" w:after="40" w:line="220" w:lineRule="exact"/>
              <w:jc w:val="right"/>
              <w:rPr>
                <w:bCs/>
                <w:sz w:val="18"/>
                <w:szCs w:val="18"/>
              </w:rPr>
            </w:pPr>
            <w:r>
              <w:rPr>
                <w:bCs/>
                <w:sz w:val="18"/>
                <w:szCs w:val="18"/>
              </w:rPr>
              <w:t>0,00</w:t>
            </w:r>
          </w:p>
        </w:tc>
      </w:tr>
      <w:tr w:rsidR="00000000">
        <w:tc>
          <w:tcPr>
            <w:tcW w:w="2603" w:type="dxa"/>
            <w:tcBorders>
              <w:top w:val="single" w:sz="4" w:space="0" w:color="auto"/>
              <w:bottom w:val="single" w:sz="12" w:space="0" w:color="auto"/>
            </w:tcBorders>
            <w:shd w:val="clear" w:color="auto" w:fill="auto"/>
            <w:vAlign w:val="bottom"/>
          </w:tcPr>
          <w:p w:rsidR="00000000" w:rsidRDefault="00000000">
            <w:pPr>
              <w:spacing w:before="40" w:after="40" w:line="220" w:lineRule="exact"/>
              <w:ind w:firstLine="170"/>
              <w:rPr>
                <w:b/>
                <w:bCs/>
                <w:sz w:val="18"/>
                <w:szCs w:val="18"/>
              </w:rPr>
            </w:pPr>
            <w:r>
              <w:rPr>
                <w:b/>
                <w:bCs/>
                <w:sz w:val="18"/>
                <w:szCs w:val="18"/>
              </w:rPr>
              <w:t>Total</w:t>
            </w:r>
          </w:p>
        </w:tc>
        <w:tc>
          <w:tcPr>
            <w:tcW w:w="2603" w:type="dxa"/>
            <w:tcBorders>
              <w:top w:val="single" w:sz="4" w:space="0" w:color="auto"/>
              <w:bottom w:val="single" w:sz="12" w:space="0" w:color="auto"/>
            </w:tcBorders>
            <w:shd w:val="clear" w:color="auto" w:fill="auto"/>
            <w:vAlign w:val="bottom"/>
          </w:tcPr>
          <w:p w:rsidR="00000000" w:rsidRDefault="00000000">
            <w:pPr>
              <w:spacing w:before="40" w:after="40" w:line="220" w:lineRule="exact"/>
              <w:jc w:val="right"/>
              <w:rPr>
                <w:b/>
                <w:bCs/>
                <w:sz w:val="18"/>
                <w:szCs w:val="18"/>
              </w:rPr>
            </w:pPr>
            <w:r>
              <w:rPr>
                <w:b/>
                <w:bCs/>
                <w:sz w:val="18"/>
                <w:szCs w:val="18"/>
              </w:rPr>
              <w:t>170</w:t>
            </w:r>
          </w:p>
        </w:tc>
        <w:tc>
          <w:tcPr>
            <w:tcW w:w="2603" w:type="dxa"/>
            <w:tcBorders>
              <w:top w:val="single" w:sz="4" w:space="0" w:color="auto"/>
              <w:bottom w:val="single" w:sz="12" w:space="0" w:color="auto"/>
            </w:tcBorders>
            <w:shd w:val="clear" w:color="auto" w:fill="auto"/>
            <w:vAlign w:val="bottom"/>
          </w:tcPr>
          <w:p w:rsidR="00000000" w:rsidRDefault="00000000">
            <w:pPr>
              <w:spacing w:before="40" w:after="40" w:line="220" w:lineRule="exact"/>
              <w:jc w:val="right"/>
              <w:rPr>
                <w:b/>
                <w:bCs/>
                <w:sz w:val="18"/>
                <w:szCs w:val="18"/>
              </w:rPr>
            </w:pPr>
            <w:r>
              <w:rPr>
                <w:b/>
                <w:bCs/>
                <w:sz w:val="18"/>
                <w:szCs w:val="18"/>
              </w:rPr>
              <w:t>100</w:t>
            </w:r>
          </w:p>
        </w:tc>
        <w:tc>
          <w:tcPr>
            <w:tcW w:w="2603" w:type="dxa"/>
            <w:tcBorders>
              <w:top w:val="single" w:sz="4" w:space="0" w:color="auto"/>
              <w:bottom w:val="single" w:sz="12" w:space="0" w:color="auto"/>
            </w:tcBorders>
            <w:shd w:val="clear" w:color="auto" w:fill="auto"/>
            <w:vAlign w:val="bottom"/>
          </w:tcPr>
          <w:p w:rsidR="00000000" w:rsidRDefault="00000000">
            <w:pPr>
              <w:spacing w:before="40" w:after="40" w:line="220" w:lineRule="exact"/>
              <w:jc w:val="right"/>
              <w:rPr>
                <w:b/>
                <w:bCs/>
                <w:sz w:val="18"/>
                <w:szCs w:val="18"/>
              </w:rPr>
            </w:pPr>
            <w:r>
              <w:rPr>
                <w:b/>
                <w:bCs/>
                <w:sz w:val="18"/>
                <w:szCs w:val="18"/>
              </w:rPr>
              <w:t>81</w:t>
            </w:r>
          </w:p>
        </w:tc>
        <w:tc>
          <w:tcPr>
            <w:tcW w:w="2603" w:type="dxa"/>
            <w:tcBorders>
              <w:top w:val="single" w:sz="4" w:space="0" w:color="auto"/>
              <w:bottom w:val="single" w:sz="12" w:space="0" w:color="auto"/>
            </w:tcBorders>
            <w:shd w:val="clear" w:color="auto" w:fill="auto"/>
            <w:vAlign w:val="bottom"/>
          </w:tcPr>
          <w:p w:rsidR="00000000" w:rsidRDefault="00000000">
            <w:pPr>
              <w:spacing w:before="40" w:after="40" w:line="220" w:lineRule="exact"/>
              <w:jc w:val="right"/>
              <w:rPr>
                <w:b/>
                <w:bCs/>
                <w:sz w:val="18"/>
                <w:szCs w:val="18"/>
              </w:rPr>
            </w:pPr>
            <w:r>
              <w:rPr>
                <w:b/>
                <w:bCs/>
                <w:sz w:val="18"/>
                <w:szCs w:val="18"/>
              </w:rPr>
              <w:t>47,65</w:t>
            </w:r>
          </w:p>
        </w:tc>
        <w:tc>
          <w:tcPr>
            <w:tcW w:w="2603" w:type="dxa"/>
            <w:tcBorders>
              <w:top w:val="single" w:sz="4" w:space="0" w:color="auto"/>
              <w:bottom w:val="single" w:sz="12" w:space="0" w:color="auto"/>
            </w:tcBorders>
            <w:shd w:val="clear" w:color="auto" w:fill="auto"/>
            <w:vAlign w:val="bottom"/>
          </w:tcPr>
          <w:p w:rsidR="00000000" w:rsidRDefault="00000000">
            <w:pPr>
              <w:spacing w:before="40" w:after="40" w:line="220" w:lineRule="exact"/>
              <w:jc w:val="right"/>
              <w:rPr>
                <w:b/>
                <w:bCs/>
                <w:sz w:val="18"/>
                <w:szCs w:val="18"/>
              </w:rPr>
            </w:pPr>
            <w:r>
              <w:rPr>
                <w:b/>
                <w:bCs/>
                <w:sz w:val="18"/>
                <w:szCs w:val="18"/>
              </w:rPr>
              <w:t>89</w:t>
            </w:r>
          </w:p>
        </w:tc>
        <w:tc>
          <w:tcPr>
            <w:tcW w:w="2603" w:type="dxa"/>
            <w:tcBorders>
              <w:top w:val="single" w:sz="4" w:space="0" w:color="auto"/>
              <w:bottom w:val="single" w:sz="12" w:space="0" w:color="auto"/>
            </w:tcBorders>
            <w:shd w:val="clear" w:color="auto" w:fill="auto"/>
            <w:vAlign w:val="bottom"/>
          </w:tcPr>
          <w:p w:rsidR="00000000" w:rsidRDefault="00000000">
            <w:pPr>
              <w:spacing w:before="40" w:after="40" w:line="220" w:lineRule="exact"/>
              <w:jc w:val="right"/>
              <w:rPr>
                <w:b/>
                <w:bCs/>
                <w:sz w:val="18"/>
                <w:szCs w:val="18"/>
              </w:rPr>
            </w:pPr>
            <w:r>
              <w:rPr>
                <w:b/>
                <w:bCs/>
                <w:sz w:val="18"/>
                <w:szCs w:val="18"/>
              </w:rPr>
              <w:t>52,35</w:t>
            </w:r>
          </w:p>
        </w:tc>
      </w:tr>
    </w:tbl>
    <w:p w:rsidR="00000000" w:rsidRDefault="00000000">
      <w:pPr>
        <w:spacing w:before="120" w:after="240"/>
        <w:ind w:left="1134" w:firstLine="170"/>
        <w:rPr>
          <w:i/>
          <w:iCs/>
          <w:sz w:val="18"/>
          <w:szCs w:val="18"/>
          <w:lang w:val="fr-FR"/>
        </w:rPr>
      </w:pPr>
      <w:r>
        <w:rPr>
          <w:i/>
          <w:iCs/>
          <w:sz w:val="18"/>
          <w:szCs w:val="18"/>
          <w:lang w:val="fr-FR"/>
        </w:rPr>
        <w:t>Source: DPMPM 2007</w:t>
      </w:r>
    </w:p>
    <w:p w:rsidR="00000000" w:rsidRDefault="00000000">
      <w:pPr>
        <w:pStyle w:val="H23G"/>
        <w:rPr>
          <w:lang w:val="fr-FR"/>
        </w:rPr>
      </w:pPr>
      <w:bookmarkStart w:id="597" w:name="_Toc206414537"/>
      <w:bookmarkStart w:id="598" w:name="_Toc206460379"/>
      <w:bookmarkStart w:id="599" w:name="_Toc206460711"/>
      <w:bookmarkStart w:id="600" w:name="_Toc206461433"/>
      <w:bookmarkStart w:id="601" w:name="_Toc206476227"/>
      <w:bookmarkStart w:id="602" w:name="_Toc207788762"/>
      <w:bookmarkStart w:id="603" w:name="_Toc211835433"/>
      <w:bookmarkStart w:id="604" w:name="_Toc211926740"/>
      <w:r>
        <w:rPr>
          <w:lang w:val="fr-FR"/>
        </w:rPr>
        <w:tab/>
        <w:t>4.</w:t>
      </w:r>
      <w:r>
        <w:rPr>
          <w:lang w:val="fr-FR"/>
        </w:rPr>
        <w:tab/>
        <w:t>Service d’aide par téléphone et autres modalités d’identification et intervention</w:t>
      </w:r>
      <w:bookmarkEnd w:id="597"/>
      <w:bookmarkEnd w:id="598"/>
      <w:bookmarkEnd w:id="599"/>
      <w:bookmarkEnd w:id="600"/>
      <w:bookmarkEnd w:id="601"/>
      <w:bookmarkEnd w:id="602"/>
      <w:bookmarkEnd w:id="603"/>
      <w:bookmarkEnd w:id="604"/>
    </w:p>
    <w:p w:rsidR="00000000" w:rsidRDefault="00000000">
      <w:pPr>
        <w:pStyle w:val="SingleTxtG"/>
        <w:rPr>
          <w:lang w:val="fr-FR"/>
        </w:rPr>
      </w:pPr>
      <w:r>
        <w:rPr>
          <w:lang w:val="fr-FR"/>
        </w:rPr>
        <w:t>276.</w:t>
      </w:r>
      <w:r>
        <w:rPr>
          <w:lang w:val="fr-FR"/>
        </w:rPr>
        <w:tab/>
        <w:t>Un service téléphonique spécialisé dans l’écoute et le conseil aux personnes et aux enfants victimes de traite a été implanté à Nosy Be Toamasina et Toliary en 2007 par le CRS – Catholic Relief Services, le Réseau Dinika sy Rindra ho an’ny Vehivavy, le Centre Bel Avenir et de coordination diocésaine pour le développement (CDD) de Toliary dans le cadre d’un programme de lutte contre la traite et l’exploitation sexuelle appuyé par le gouvernement américain.</w:t>
      </w:r>
    </w:p>
    <w:p w:rsidR="00000000" w:rsidRDefault="00000000">
      <w:pPr>
        <w:pStyle w:val="SingleTxtG"/>
        <w:rPr>
          <w:lang w:val="fr-FR"/>
        </w:rPr>
      </w:pPr>
      <w:r>
        <w:rPr>
          <w:lang w:val="fr-FR"/>
        </w:rPr>
        <w:t>277.</w:t>
      </w:r>
      <w:r>
        <w:rPr>
          <w:lang w:val="fr-FR"/>
        </w:rPr>
        <w:tab/>
        <w:t>L’installation d’une ligne verte gratuite au niveau national pour le signalement de cas de violence contre l’enfant auprès des services de la police des mœurs et de protection des mineurs est en cours de négociation avec une entreprise de téléphonie privée.</w:t>
      </w:r>
    </w:p>
    <w:p w:rsidR="00000000" w:rsidRDefault="00000000">
      <w:pPr>
        <w:pStyle w:val="SingleTxtG"/>
        <w:rPr>
          <w:lang w:val="fr-FR"/>
        </w:rPr>
      </w:pPr>
      <w:r>
        <w:rPr>
          <w:lang w:val="fr-FR"/>
        </w:rPr>
        <w:t>278.</w:t>
      </w:r>
      <w:r>
        <w:rPr>
          <w:lang w:val="fr-FR"/>
        </w:rPr>
        <w:tab/>
        <w:t>Les cellules de veille instituées dans les quartiers auprès des fokontany dans la capitale (réseau TAIZA) et dans les 14 localités où les réseaux de protection de l’enfant sont opérationnels ont la mission d’identifier et signaler aux autorités toute tentative ou commission d’un acte de violence contre un enfant. Ces cellules de veille vont être multipliées et leur capacités améliorées. L’objectif est d’atteindre une couverture de tous les fokontany dans 75 % des communes du pays jusqu’à 2011.</w:t>
      </w:r>
    </w:p>
    <w:p w:rsidR="00000000" w:rsidRDefault="00000000">
      <w:pPr>
        <w:pStyle w:val="SingleTxtG"/>
        <w:rPr>
          <w:lang w:val="fr-FR"/>
        </w:rPr>
      </w:pPr>
      <w:r>
        <w:rPr>
          <w:lang w:val="fr-FR"/>
        </w:rPr>
        <w:t>279.</w:t>
      </w:r>
      <w:r>
        <w:rPr>
          <w:lang w:val="fr-FR"/>
        </w:rPr>
        <w:tab/>
        <w:t>À titre d’exemple, le Comite multisectoriel pour les droits et protection de l’enfant d’Antsiranana (CMDPE)</w:t>
      </w:r>
      <w:r>
        <w:rPr>
          <w:rStyle w:val="FootnoteReference"/>
        </w:rPr>
        <w:footnoteReference w:id="9"/>
      </w:r>
      <w:r>
        <w:rPr>
          <w:lang w:val="fr-FR"/>
        </w:rPr>
        <w:t xml:space="preserve"> en 2007 a traité à travers la cellule de veille 230 cas d’enfants identifiés ou signalés comme victimes de maltraitance.</w:t>
      </w:r>
    </w:p>
    <w:p w:rsidR="00000000" w:rsidRDefault="00000000">
      <w:pPr>
        <w:pStyle w:val="SingleTxtG"/>
        <w:rPr>
          <w:lang w:val="fr-FR"/>
        </w:rPr>
      </w:pPr>
      <w:r>
        <w:rPr>
          <w:lang w:val="fr-FR"/>
        </w:rPr>
        <w:t>280.</w:t>
      </w:r>
      <w:r>
        <w:rPr>
          <w:lang w:val="fr-FR"/>
        </w:rPr>
        <w:tab/>
        <w:t>Les ONG et les Fokontany sont aussi actifs dans la prévention et l’intervention dans les cas de violence contre les enfants.</w:t>
      </w:r>
    </w:p>
    <w:p w:rsidR="00000000" w:rsidRDefault="00000000">
      <w:pPr>
        <w:pStyle w:val="SingleTxtG"/>
        <w:rPr>
          <w:lang w:val="fr-FR"/>
        </w:rPr>
      </w:pPr>
      <w:r>
        <w:rPr>
          <w:lang w:val="fr-FR"/>
        </w:rPr>
        <w:t>281.</w:t>
      </w:r>
      <w:r>
        <w:rPr>
          <w:lang w:val="fr-FR"/>
        </w:rPr>
        <w:tab/>
        <w:t>Pour éviter la double victimisation de l’enfant, des salles d’audition pour la prise en charge judiciaire de l’enfant victime sont mises en place au niveau du Service Central. Depuis 2004, le service spécialisé de la Police Nationale utilise des techniques spécialisées d’écoute et d’audition des enfants victimes.</w:t>
      </w:r>
    </w:p>
    <w:p w:rsidR="00000000" w:rsidRDefault="00000000">
      <w:pPr>
        <w:pStyle w:val="SingleTxtG"/>
        <w:rPr>
          <w:lang w:val="fr-FR"/>
        </w:rPr>
      </w:pPr>
      <w:r>
        <w:rPr>
          <w:lang w:val="fr-FR"/>
        </w:rPr>
        <w:t>282.</w:t>
      </w:r>
      <w:r>
        <w:rPr>
          <w:lang w:val="fr-FR"/>
        </w:rPr>
        <w:tab/>
        <w:t>Des guides destinés aux policiers, aux gendarmes, aux magistrats sont élaborés et seront utilisés dans le cadre de la mise en place d’un standard de service.</w:t>
      </w:r>
    </w:p>
    <w:p w:rsidR="00000000" w:rsidRDefault="00000000">
      <w:pPr>
        <w:pStyle w:val="H23G"/>
        <w:rPr>
          <w:lang w:val="fr-FR"/>
        </w:rPr>
      </w:pPr>
      <w:bookmarkStart w:id="605" w:name="_Toc206414538"/>
      <w:bookmarkStart w:id="606" w:name="_Toc206460380"/>
      <w:bookmarkStart w:id="607" w:name="_Toc206460712"/>
      <w:bookmarkStart w:id="608" w:name="_Toc206461434"/>
      <w:bookmarkStart w:id="609" w:name="_Toc206476228"/>
      <w:bookmarkStart w:id="610" w:name="_Toc207788763"/>
      <w:bookmarkStart w:id="611" w:name="_Toc211835434"/>
      <w:bookmarkStart w:id="612" w:name="_Toc211926741"/>
      <w:r>
        <w:rPr>
          <w:lang w:val="fr-FR"/>
        </w:rPr>
        <w:tab/>
        <w:t>5.</w:t>
      </w:r>
      <w:r>
        <w:rPr>
          <w:lang w:val="fr-FR"/>
        </w:rPr>
        <w:tab/>
        <w:t>Réadaptation physique et psychologique et réinsertion sociale de l’enfant victime</w:t>
      </w:r>
      <w:bookmarkEnd w:id="605"/>
      <w:bookmarkEnd w:id="606"/>
      <w:bookmarkEnd w:id="607"/>
      <w:bookmarkEnd w:id="608"/>
      <w:bookmarkEnd w:id="609"/>
      <w:bookmarkEnd w:id="610"/>
      <w:bookmarkEnd w:id="611"/>
      <w:bookmarkEnd w:id="612"/>
    </w:p>
    <w:p w:rsidR="00000000" w:rsidRDefault="00000000">
      <w:pPr>
        <w:pStyle w:val="SingleTxtG"/>
        <w:rPr>
          <w:lang w:val="fr-FR"/>
        </w:rPr>
      </w:pPr>
      <w:r>
        <w:rPr>
          <w:lang w:val="fr-FR"/>
        </w:rPr>
        <w:t>283.</w:t>
      </w:r>
      <w:r>
        <w:rPr>
          <w:lang w:val="fr-FR"/>
        </w:rPr>
        <w:tab/>
        <w:t>Des réseaux ont mis en place des cellules d’écoute animées par des intervenants sociaux, des personnels de ONG et d’autres activistes sociaux qui assurent l’accompagnement psychosocial de l’enfant victime et de sa famille en vue de son rétablissement psychologique et de sa réintégration en milieu familial, scolaire et communautaire.</w:t>
      </w:r>
    </w:p>
    <w:p w:rsidR="00000000" w:rsidRDefault="00000000">
      <w:pPr>
        <w:pStyle w:val="SingleTxtG"/>
        <w:rPr>
          <w:lang w:val="fr-FR"/>
        </w:rPr>
      </w:pPr>
      <w:r>
        <w:rPr>
          <w:lang w:val="fr-FR"/>
        </w:rPr>
        <w:t>284.</w:t>
      </w:r>
      <w:r>
        <w:rPr>
          <w:lang w:val="fr-FR"/>
        </w:rPr>
        <w:tab/>
        <w:t>Dans le cadre de la lutte contre le travail des enfants, des centres de réinsertion sociale sont opérationnels au niveau de deux grandes villes de Madagascar, à savoir Antananarivo et Toamasina.</w:t>
      </w:r>
    </w:p>
    <w:p w:rsidR="00000000" w:rsidRDefault="00000000">
      <w:pPr>
        <w:pStyle w:val="H23G"/>
        <w:rPr>
          <w:lang w:val="fr-FR"/>
        </w:rPr>
      </w:pPr>
      <w:bookmarkStart w:id="613" w:name="_Toc206414539"/>
      <w:bookmarkStart w:id="614" w:name="_Toc206460381"/>
      <w:bookmarkStart w:id="615" w:name="_Toc206460713"/>
      <w:bookmarkStart w:id="616" w:name="_Toc206461435"/>
      <w:bookmarkStart w:id="617" w:name="_Toc206476229"/>
      <w:bookmarkStart w:id="618" w:name="_Toc207788764"/>
      <w:bookmarkStart w:id="619" w:name="_Toc211835435"/>
      <w:bookmarkStart w:id="620" w:name="_Toc211926742"/>
      <w:r>
        <w:rPr>
          <w:lang w:val="fr-FR"/>
        </w:rPr>
        <w:tab/>
        <w:t>6.</w:t>
      </w:r>
      <w:r>
        <w:rPr>
          <w:lang w:val="fr-FR"/>
        </w:rPr>
        <w:tab/>
        <w:t>Les progrès enregistrés dans l’application des articles 19 et 39 de la Convention</w:t>
      </w:r>
      <w:bookmarkEnd w:id="613"/>
      <w:bookmarkEnd w:id="614"/>
      <w:bookmarkEnd w:id="615"/>
      <w:bookmarkEnd w:id="616"/>
      <w:bookmarkEnd w:id="617"/>
      <w:bookmarkEnd w:id="618"/>
      <w:bookmarkEnd w:id="619"/>
      <w:bookmarkEnd w:id="620"/>
    </w:p>
    <w:p w:rsidR="00000000" w:rsidRDefault="00000000">
      <w:pPr>
        <w:pStyle w:val="SingleTxtG"/>
        <w:rPr>
          <w:lang w:val="fr-FR"/>
        </w:rPr>
      </w:pPr>
      <w:r>
        <w:rPr>
          <w:lang w:val="fr-FR"/>
        </w:rPr>
        <w:t>285.</w:t>
      </w:r>
      <w:r>
        <w:rPr>
          <w:lang w:val="fr-FR"/>
        </w:rPr>
        <w:tab/>
        <w:t>Ces progrès</w:t>
      </w:r>
      <w:r>
        <w:rPr>
          <w:b/>
          <w:i/>
          <w:lang w:val="fr-FR"/>
        </w:rPr>
        <w:t xml:space="preserve"> </w:t>
      </w:r>
      <w:r>
        <w:rPr>
          <w:lang w:val="fr-FR"/>
        </w:rPr>
        <w:t>sont exprimés par:</w:t>
      </w:r>
    </w:p>
    <w:p w:rsidR="00000000" w:rsidRDefault="00000000">
      <w:pPr>
        <w:pStyle w:val="Bullet1G"/>
        <w:rPr>
          <w:lang w:val="fr-FR"/>
        </w:rPr>
      </w:pPr>
      <w:r>
        <w:rPr>
          <w:lang w:val="fr-FR"/>
        </w:rPr>
        <w:t>La réforme législative à travers l’adoption de la loi sur les droits et la protection des enfants, la loi sur la traite de personnes et le tourisme sexuel;</w:t>
      </w:r>
    </w:p>
    <w:p w:rsidR="00000000" w:rsidRDefault="00000000">
      <w:pPr>
        <w:pStyle w:val="Bullet1G"/>
        <w:rPr>
          <w:lang w:val="fr-FR"/>
        </w:rPr>
      </w:pPr>
      <w:r>
        <w:rPr>
          <w:lang w:val="fr-FR"/>
        </w:rPr>
        <w:t>La décentralisation du Service central de la police des mœurs et de la protection des mineurs au niveau des ex-chefs-lieux de province et dans les villes où les maltraitances sont en recrudescence: Toamasina, Toliara, Fianarantsoa, Antsiranana, Mahajanga, Nosy Be, Taolagnaro, Antsirabe;</w:t>
      </w:r>
    </w:p>
    <w:p w:rsidR="00000000" w:rsidRDefault="00000000">
      <w:pPr>
        <w:pStyle w:val="Bullet1G"/>
        <w:rPr>
          <w:lang w:val="fr-FR"/>
        </w:rPr>
      </w:pPr>
      <w:r>
        <w:rPr>
          <w:lang w:val="fr-FR"/>
        </w:rPr>
        <w:t>La création en cours de cellules de protection des mineurs au sein de tous les services de police;</w:t>
      </w:r>
    </w:p>
    <w:p w:rsidR="00000000" w:rsidRDefault="00000000">
      <w:pPr>
        <w:pStyle w:val="Bullet1G"/>
        <w:rPr>
          <w:lang w:val="fr-FR"/>
        </w:rPr>
      </w:pPr>
      <w:r>
        <w:rPr>
          <w:lang w:val="fr-FR"/>
        </w:rPr>
        <w:t>La mise en place de l'autorité centrale chargée de l’adoption;</w:t>
      </w:r>
    </w:p>
    <w:p w:rsidR="00000000" w:rsidRDefault="00000000">
      <w:pPr>
        <w:pStyle w:val="Bullet1G"/>
        <w:rPr>
          <w:lang w:val="fr-FR"/>
        </w:rPr>
      </w:pPr>
      <w:r>
        <w:rPr>
          <w:lang w:val="fr-FR"/>
        </w:rPr>
        <w:t>La validation, en 2007, du Plan national de lutte contre la violence envers les enfants;</w:t>
      </w:r>
    </w:p>
    <w:p w:rsidR="00000000" w:rsidRDefault="00000000">
      <w:pPr>
        <w:pStyle w:val="Bullet1G"/>
        <w:rPr>
          <w:lang w:val="fr-FR"/>
        </w:rPr>
      </w:pPr>
      <w:r>
        <w:rPr>
          <w:lang w:val="fr-FR"/>
        </w:rPr>
        <w:t>La mise en place des réseaux multisectoriels de protection des droits des enfants à partir de 2001.</w:t>
      </w:r>
    </w:p>
    <w:p w:rsidR="00000000" w:rsidRDefault="00000000">
      <w:pPr>
        <w:pStyle w:val="H23G"/>
        <w:rPr>
          <w:lang w:val="fr-FR"/>
        </w:rPr>
      </w:pPr>
      <w:bookmarkStart w:id="621" w:name="_Toc206414540"/>
      <w:bookmarkStart w:id="622" w:name="_Toc206460382"/>
      <w:bookmarkStart w:id="623" w:name="_Toc206460714"/>
      <w:bookmarkStart w:id="624" w:name="_Toc206461436"/>
      <w:bookmarkStart w:id="625" w:name="_Toc206476230"/>
      <w:bookmarkStart w:id="626" w:name="_Toc207788765"/>
      <w:bookmarkStart w:id="627" w:name="_Toc211835436"/>
      <w:bookmarkStart w:id="628" w:name="_Toc211926743"/>
      <w:r>
        <w:rPr>
          <w:lang w:val="fr-FR"/>
        </w:rPr>
        <w:tab/>
        <w:t>7.</w:t>
      </w:r>
      <w:r>
        <w:rPr>
          <w:lang w:val="fr-FR"/>
        </w:rPr>
        <w:tab/>
        <w:t>Difficultés</w:t>
      </w:r>
      <w:bookmarkEnd w:id="621"/>
      <w:bookmarkEnd w:id="622"/>
      <w:bookmarkEnd w:id="623"/>
      <w:bookmarkEnd w:id="624"/>
      <w:bookmarkEnd w:id="625"/>
      <w:bookmarkEnd w:id="626"/>
      <w:bookmarkEnd w:id="627"/>
      <w:bookmarkEnd w:id="628"/>
    </w:p>
    <w:p w:rsidR="00000000" w:rsidRDefault="00000000">
      <w:pPr>
        <w:pStyle w:val="SingleTxtG"/>
        <w:rPr>
          <w:lang w:val="fr-FR"/>
        </w:rPr>
      </w:pPr>
      <w:r>
        <w:rPr>
          <w:lang w:val="fr-FR"/>
        </w:rPr>
        <w:t>286.</w:t>
      </w:r>
      <w:r>
        <w:rPr>
          <w:lang w:val="fr-FR"/>
        </w:rPr>
        <w:tab/>
        <w:t>Les principales difficultés constatées sont notamment:</w:t>
      </w:r>
    </w:p>
    <w:p w:rsidR="00000000" w:rsidRDefault="00000000">
      <w:pPr>
        <w:pStyle w:val="Bullet1G"/>
        <w:rPr>
          <w:lang w:val="fr-FR"/>
        </w:rPr>
      </w:pPr>
      <w:r>
        <w:rPr>
          <w:lang w:val="fr-FR"/>
        </w:rPr>
        <w:t>L’insuffisance des travailleurs sociaux;</w:t>
      </w:r>
    </w:p>
    <w:p w:rsidR="00000000" w:rsidRDefault="00000000">
      <w:pPr>
        <w:pStyle w:val="Bullet1G"/>
        <w:rPr>
          <w:lang w:val="fr-FR"/>
        </w:rPr>
      </w:pPr>
      <w:r>
        <w:rPr>
          <w:lang w:val="fr-FR"/>
        </w:rPr>
        <w:t>Les contraintes budgétaires.</w:t>
      </w:r>
    </w:p>
    <w:p w:rsidR="00000000" w:rsidRDefault="00000000">
      <w:pPr>
        <w:pStyle w:val="H23G"/>
        <w:rPr>
          <w:lang w:val="fr-FR"/>
        </w:rPr>
      </w:pPr>
      <w:bookmarkStart w:id="629" w:name="_Toc206414541"/>
      <w:bookmarkStart w:id="630" w:name="_Toc206460383"/>
      <w:bookmarkStart w:id="631" w:name="_Toc206460715"/>
      <w:bookmarkStart w:id="632" w:name="_Toc206461437"/>
      <w:bookmarkStart w:id="633" w:name="_Toc206476231"/>
      <w:bookmarkStart w:id="634" w:name="_Toc207788766"/>
      <w:bookmarkStart w:id="635" w:name="_Toc211835437"/>
      <w:bookmarkStart w:id="636" w:name="_Toc211926744"/>
      <w:r>
        <w:rPr>
          <w:lang w:val="fr-FR"/>
        </w:rPr>
        <w:tab/>
        <w:t>8.</w:t>
      </w:r>
      <w:r>
        <w:rPr>
          <w:lang w:val="fr-FR"/>
        </w:rPr>
        <w:tab/>
        <w:t>Perspectives</w:t>
      </w:r>
      <w:bookmarkEnd w:id="629"/>
      <w:bookmarkEnd w:id="630"/>
      <w:bookmarkEnd w:id="631"/>
      <w:bookmarkEnd w:id="632"/>
      <w:bookmarkEnd w:id="633"/>
      <w:bookmarkEnd w:id="634"/>
      <w:bookmarkEnd w:id="635"/>
      <w:bookmarkEnd w:id="636"/>
    </w:p>
    <w:p w:rsidR="00000000" w:rsidRDefault="00000000">
      <w:pPr>
        <w:pStyle w:val="SingleTxtG"/>
        <w:rPr>
          <w:lang w:val="fr-FR"/>
        </w:rPr>
      </w:pPr>
      <w:r>
        <w:rPr>
          <w:lang w:val="fr-FR"/>
        </w:rPr>
        <w:t>287.</w:t>
      </w:r>
      <w:r>
        <w:rPr>
          <w:lang w:val="fr-FR"/>
        </w:rPr>
        <w:tab/>
        <w:t>Comme perspectives à court et moyens termes, on peut relever:</w:t>
      </w:r>
    </w:p>
    <w:p w:rsidR="00000000" w:rsidRDefault="00000000">
      <w:pPr>
        <w:pStyle w:val="Bullet1G"/>
        <w:rPr>
          <w:lang w:val="fr-FR"/>
        </w:rPr>
      </w:pPr>
      <w:r>
        <w:rPr>
          <w:lang w:val="fr-FR"/>
        </w:rPr>
        <w:t>La poursuite des programmes de formation pour le renforcement de capacité des professionnels œuvrant dans le domaine de la protection de l’enfant;</w:t>
      </w:r>
    </w:p>
    <w:p w:rsidR="00000000" w:rsidRDefault="00000000">
      <w:pPr>
        <w:pStyle w:val="Bullet1G"/>
        <w:rPr>
          <w:lang w:val="fr-FR"/>
        </w:rPr>
      </w:pPr>
      <w:r>
        <w:rPr>
          <w:lang w:val="fr-FR"/>
        </w:rPr>
        <w:t>La poursuite de la création des antennes du service spécialisé de la Police nationale dans les autres villes;</w:t>
      </w:r>
    </w:p>
    <w:p w:rsidR="00000000" w:rsidRDefault="00000000">
      <w:pPr>
        <w:pStyle w:val="Bullet1G"/>
        <w:rPr>
          <w:lang w:val="fr-FR"/>
        </w:rPr>
      </w:pPr>
      <w:r>
        <w:rPr>
          <w:lang w:val="fr-FR"/>
        </w:rPr>
        <w:t>L’extension programme de réinsertion sociale dans d’autres villes;</w:t>
      </w:r>
    </w:p>
    <w:p w:rsidR="00000000" w:rsidRDefault="00000000">
      <w:pPr>
        <w:pStyle w:val="Bullet1G"/>
        <w:rPr>
          <w:lang w:val="fr-FR"/>
        </w:rPr>
      </w:pPr>
      <w:r>
        <w:rPr>
          <w:lang w:val="fr-FR"/>
        </w:rPr>
        <w:t xml:space="preserve">La poursuite de la coopération pour l’appui avec les partenaires ayant mandat de promotion et protection des droits de l’enfant dont l’UNICEF, l’UNESCO, l’OMS, le PNUD, le FNUAP, etc. </w:t>
      </w:r>
    </w:p>
    <w:p w:rsidR="00000000" w:rsidRDefault="00000000">
      <w:pPr>
        <w:pStyle w:val="HChG"/>
      </w:pPr>
      <w:bookmarkStart w:id="637" w:name="_Toc206414542"/>
      <w:bookmarkStart w:id="638" w:name="_Toc206460384"/>
      <w:bookmarkStart w:id="639" w:name="_Toc206460716"/>
      <w:bookmarkStart w:id="640" w:name="_Toc206461438"/>
      <w:bookmarkStart w:id="641" w:name="_Toc206476232"/>
      <w:bookmarkStart w:id="642" w:name="_Toc207788767"/>
      <w:bookmarkStart w:id="643" w:name="_Toc211835438"/>
      <w:bookmarkStart w:id="644" w:name="_Toc211926745"/>
      <w:r>
        <w:tab/>
      </w:r>
      <w:bookmarkStart w:id="645" w:name="_Toc260298249"/>
      <w:r>
        <w:t>VI.</w:t>
      </w:r>
      <w:bookmarkEnd w:id="645"/>
      <w:r>
        <w:rPr>
          <w:lang w:val="fr-FR"/>
        </w:rPr>
        <w:tab/>
      </w:r>
      <w:r>
        <w:t>Santé de base et bien-être</w:t>
      </w:r>
      <w:bookmarkEnd w:id="637"/>
      <w:bookmarkEnd w:id="638"/>
      <w:bookmarkEnd w:id="639"/>
      <w:bookmarkEnd w:id="640"/>
      <w:bookmarkEnd w:id="641"/>
      <w:bookmarkEnd w:id="642"/>
      <w:bookmarkEnd w:id="643"/>
      <w:bookmarkEnd w:id="644"/>
    </w:p>
    <w:p w:rsidR="00000000" w:rsidRDefault="00000000">
      <w:pPr>
        <w:pStyle w:val="H1G"/>
        <w:rPr>
          <w:lang w:val="fr-FR"/>
        </w:rPr>
      </w:pPr>
      <w:bookmarkStart w:id="646" w:name="_Toc206414543"/>
      <w:bookmarkStart w:id="647" w:name="_Toc206460385"/>
      <w:bookmarkStart w:id="648" w:name="_Toc206460717"/>
      <w:bookmarkStart w:id="649" w:name="_Toc206461439"/>
      <w:bookmarkStart w:id="650" w:name="_Toc206476233"/>
      <w:bookmarkStart w:id="651" w:name="_Toc207788768"/>
      <w:bookmarkStart w:id="652" w:name="_Toc211835439"/>
      <w:bookmarkStart w:id="653" w:name="_Toc211926746"/>
      <w:r>
        <w:rPr>
          <w:lang w:val="fr-FR"/>
        </w:rPr>
        <w:tab/>
      </w:r>
      <w:bookmarkStart w:id="654" w:name="_Toc260298250"/>
      <w:r>
        <w:rPr>
          <w:lang w:val="fr-FR"/>
        </w:rPr>
        <w:t>A.</w:t>
      </w:r>
      <w:r>
        <w:rPr>
          <w:lang w:val="fr-FR"/>
        </w:rPr>
        <w:tab/>
        <w:t>Les enfants handicapés</w:t>
      </w:r>
      <w:bookmarkEnd w:id="646"/>
      <w:bookmarkEnd w:id="647"/>
      <w:bookmarkEnd w:id="648"/>
      <w:bookmarkEnd w:id="649"/>
      <w:bookmarkEnd w:id="650"/>
      <w:bookmarkEnd w:id="651"/>
      <w:bookmarkEnd w:id="652"/>
      <w:bookmarkEnd w:id="653"/>
      <w:bookmarkEnd w:id="654"/>
    </w:p>
    <w:p w:rsidR="00000000" w:rsidRDefault="00000000">
      <w:pPr>
        <w:pStyle w:val="H23G"/>
        <w:rPr>
          <w:lang w:val="fr-FR"/>
        </w:rPr>
      </w:pPr>
      <w:bookmarkStart w:id="655" w:name="_Toc206414544"/>
      <w:bookmarkStart w:id="656" w:name="_Toc206460386"/>
      <w:bookmarkStart w:id="657" w:name="_Toc206460718"/>
      <w:bookmarkStart w:id="658" w:name="_Toc206461440"/>
      <w:bookmarkStart w:id="659" w:name="_Toc206476234"/>
      <w:bookmarkStart w:id="660" w:name="_Toc207788769"/>
      <w:bookmarkStart w:id="661" w:name="_Toc211835440"/>
      <w:bookmarkStart w:id="662" w:name="_Toc211926747"/>
      <w:r>
        <w:rPr>
          <w:lang w:val="fr-FR"/>
        </w:rPr>
        <w:tab/>
        <w:t>1.</w:t>
      </w:r>
      <w:r>
        <w:rPr>
          <w:lang w:val="fr-FR"/>
        </w:rPr>
        <w:tab/>
        <w:t>Cadre institutionnel</w:t>
      </w:r>
      <w:bookmarkEnd w:id="655"/>
      <w:bookmarkEnd w:id="656"/>
      <w:bookmarkEnd w:id="657"/>
      <w:bookmarkEnd w:id="658"/>
      <w:bookmarkEnd w:id="659"/>
      <w:bookmarkEnd w:id="660"/>
      <w:bookmarkEnd w:id="661"/>
      <w:bookmarkEnd w:id="662"/>
    </w:p>
    <w:p w:rsidR="00000000" w:rsidRDefault="00000000">
      <w:pPr>
        <w:pStyle w:val="SingleTxtG"/>
        <w:rPr>
          <w:lang w:val="fr-FR"/>
        </w:rPr>
      </w:pPr>
      <w:r>
        <w:rPr>
          <w:lang w:val="fr-FR"/>
        </w:rPr>
        <w:t>288.</w:t>
      </w:r>
      <w:r>
        <w:rPr>
          <w:lang w:val="fr-FR"/>
        </w:rPr>
        <w:tab/>
        <w:t>Le 25 septembre 2007 Madagascar a signé la Convention internationale sur les droits des personnes handicapées de 2006. Cette Convention, traduite en malgache grâce à l’appui de Handicap international, à l’engagement de la Plateforme des fédérations des personnes handicapées de Madagascar fut vulgarisée auprès des décideurs. Ce qui devrait déboucher sur une meilleure compréhension de la nécessité d’améliorer les conditions des enfants porteurs de handicap.</w:t>
      </w:r>
    </w:p>
    <w:p w:rsidR="00000000" w:rsidRDefault="00000000">
      <w:pPr>
        <w:pStyle w:val="SingleTxtG"/>
        <w:rPr>
          <w:lang w:val="fr-FR"/>
        </w:rPr>
      </w:pPr>
      <w:r>
        <w:rPr>
          <w:lang w:val="fr-FR"/>
        </w:rPr>
        <w:t>289.</w:t>
      </w:r>
      <w:r>
        <w:rPr>
          <w:lang w:val="fr-FR"/>
        </w:rPr>
        <w:tab/>
        <w:t xml:space="preserve">La loi </w:t>
      </w:r>
      <w:r>
        <w:rPr>
          <w:rFonts w:eastAsia="MS Mincho"/>
          <w:lang w:val="fr-FR"/>
        </w:rPr>
        <w:t>n</w:t>
      </w:r>
      <w:r>
        <w:rPr>
          <w:rFonts w:eastAsia="MS Mincho"/>
          <w:vertAlign w:val="superscript"/>
          <w:lang w:val="fr-FR"/>
        </w:rPr>
        <w:t>o</w:t>
      </w:r>
      <w:r>
        <w:rPr>
          <w:lang w:val="fr-FR"/>
        </w:rPr>
        <w:t xml:space="preserve"> 97-044 du 2 février 1998 sur les personnes handicapées, complétée en février 2001 par le décret n° 2001-162 et par six arrêtes ministériels en 2005, prévoient des mesures en faveur des enfants porteurs de handicap, notamment dans le domaine de l’éducation. Un autre décret d’application est en cours d’adoption.</w:t>
      </w:r>
    </w:p>
    <w:p w:rsidR="00000000" w:rsidRDefault="00000000">
      <w:pPr>
        <w:pStyle w:val="SingleTxtG"/>
        <w:rPr>
          <w:lang w:val="fr-FR"/>
        </w:rPr>
      </w:pPr>
      <w:r>
        <w:rPr>
          <w:lang w:val="fr-FR"/>
        </w:rPr>
        <w:t>290.</w:t>
      </w:r>
      <w:r>
        <w:rPr>
          <w:lang w:val="fr-FR"/>
        </w:rPr>
        <w:tab/>
        <w:t>Le Ministère de la santé, du planning familial et de la protection sociale ainsi que le Ministère de l’éducation nationale et de la recherche scientifique sont concernés par l’application des droits de l’enfant handicapé.</w:t>
      </w:r>
    </w:p>
    <w:p w:rsidR="00000000" w:rsidRDefault="00000000">
      <w:pPr>
        <w:pStyle w:val="SingleTxtG"/>
        <w:rPr>
          <w:lang w:val="fr-FR"/>
        </w:rPr>
      </w:pPr>
      <w:r>
        <w:rPr>
          <w:lang w:val="fr-FR"/>
        </w:rPr>
        <w:t>291.</w:t>
      </w:r>
      <w:r>
        <w:rPr>
          <w:lang w:val="fr-FR"/>
        </w:rPr>
        <w:tab/>
        <w:t>Dans le cadre de la Décennie africaine pour les personnes handicapées (1999-2009), Madagascar a choisi la période 2003-2013. Dans ce sens, un plan d’action a été adopté par un comité multisectoriel sous tutelle du Ministère en charge de la Protection sociale en 2007. L’objectif est de renforcer la mobilisation sociale en faveur des personnes handicapées.</w:t>
      </w:r>
    </w:p>
    <w:p w:rsidR="00000000" w:rsidRDefault="00000000">
      <w:pPr>
        <w:pStyle w:val="SingleTxtG"/>
        <w:rPr>
          <w:lang w:val="fr-FR"/>
        </w:rPr>
      </w:pPr>
      <w:r>
        <w:rPr>
          <w:lang w:val="fr-FR"/>
        </w:rPr>
        <w:t>292.</w:t>
      </w:r>
      <w:r>
        <w:rPr>
          <w:lang w:val="fr-FR"/>
        </w:rPr>
        <w:tab/>
        <w:t>Le mouvement associatif œuvrant pour la promotion des droits des personnes handicapées a connu un plein essor ces dernières années. Il existe une centaine d’associations des personnes handicapées regroupées au sein de collectifs et/ou de six fédérations comme l’ex-UNAHM (Union nationale des associations des Handicapés de Madagascar). Certaines d’entre elles sont appuyées par Handicap International.</w:t>
      </w:r>
    </w:p>
    <w:p w:rsidR="00000000" w:rsidRDefault="00000000">
      <w:pPr>
        <w:pStyle w:val="H23G"/>
        <w:rPr>
          <w:i/>
          <w:lang w:val="fr-FR"/>
        </w:rPr>
      </w:pPr>
      <w:bookmarkStart w:id="663" w:name="_Toc206414545"/>
      <w:bookmarkStart w:id="664" w:name="_Toc206460387"/>
      <w:bookmarkStart w:id="665" w:name="_Toc206460719"/>
      <w:bookmarkStart w:id="666" w:name="_Toc206461441"/>
      <w:bookmarkStart w:id="667" w:name="_Toc206476235"/>
      <w:bookmarkStart w:id="668" w:name="_Toc207788770"/>
      <w:bookmarkStart w:id="669" w:name="_Toc211835441"/>
      <w:bookmarkStart w:id="670" w:name="_Toc211926748"/>
      <w:r>
        <w:rPr>
          <w:lang w:val="fr-FR"/>
        </w:rPr>
        <w:tab/>
        <w:t>2.</w:t>
      </w:r>
      <w:r>
        <w:rPr>
          <w:lang w:val="fr-FR"/>
        </w:rPr>
        <w:tab/>
        <w:t>Statistiques sur les personnes</w:t>
      </w:r>
      <w:r>
        <w:rPr>
          <w:i/>
          <w:lang w:val="fr-FR"/>
        </w:rPr>
        <w:t xml:space="preserve"> </w:t>
      </w:r>
      <w:r>
        <w:rPr>
          <w:lang w:val="fr-FR"/>
        </w:rPr>
        <w:t>handicapées</w:t>
      </w:r>
      <w:bookmarkEnd w:id="663"/>
      <w:bookmarkEnd w:id="664"/>
      <w:bookmarkEnd w:id="665"/>
      <w:bookmarkEnd w:id="666"/>
      <w:bookmarkEnd w:id="667"/>
      <w:bookmarkEnd w:id="668"/>
      <w:bookmarkEnd w:id="669"/>
      <w:bookmarkEnd w:id="670"/>
    </w:p>
    <w:p w:rsidR="00000000" w:rsidRDefault="00000000">
      <w:pPr>
        <w:pStyle w:val="SingleTxtG"/>
        <w:rPr>
          <w:lang w:val="fr-FR"/>
        </w:rPr>
      </w:pPr>
      <w:r>
        <w:rPr>
          <w:lang w:val="fr-FR"/>
        </w:rPr>
        <w:t>293.</w:t>
      </w:r>
      <w:r>
        <w:rPr>
          <w:lang w:val="fr-FR"/>
        </w:rPr>
        <w:tab/>
        <w:t>D’après la loi pré citée, l’expression «personne handicapée» désigne «toute personne qui présente une déficience congénitale ou acquise dans ses capacités physiques, mentales ou sensorielles, et qui l’empêche personnellement d’assurer tout ou une partie des nécessités d’une vie individuelle ou sociale normale.».</w:t>
      </w:r>
    </w:p>
    <w:p w:rsidR="00000000" w:rsidRDefault="00000000">
      <w:pPr>
        <w:pStyle w:val="SingleTxtG"/>
        <w:rPr>
          <w:lang w:val="fr-FR"/>
        </w:rPr>
      </w:pPr>
      <w:r>
        <w:rPr>
          <w:lang w:val="fr-FR"/>
        </w:rPr>
        <w:t>294.</w:t>
      </w:r>
      <w:r>
        <w:rPr>
          <w:lang w:val="fr-FR"/>
        </w:rPr>
        <w:tab/>
        <w:t>Deux enquêtes nationales ont été menées par le Ministère de la santé, en 2003 et 2004/2005. Sur la base de ces enquêtes, la prévalence globale du handicap est estimée à 7,5 % soit une population handicapée estimée à 1 347 150 en 2007.</w:t>
      </w:r>
    </w:p>
    <w:p w:rsidR="00000000" w:rsidRDefault="00000000">
      <w:pPr>
        <w:pStyle w:val="SingleTxtG"/>
        <w:spacing w:after="0"/>
      </w:pPr>
      <w:bookmarkStart w:id="671" w:name="_Toc260298251"/>
      <w:r>
        <w:t>Tableau 15</w:t>
      </w:r>
    </w:p>
    <w:p w:rsidR="00000000" w:rsidRDefault="00000000">
      <w:pPr>
        <w:pStyle w:val="SingleTxtG"/>
        <w:rPr>
          <w:b/>
        </w:rPr>
      </w:pPr>
      <w:r>
        <w:rPr>
          <w:b/>
        </w:rPr>
        <w:t>Répartition estimée selon les tranches d’âge de la population handicapée</w:t>
      </w:r>
      <w:bookmarkEnd w:id="671"/>
    </w:p>
    <w:tbl>
      <w:tblPr>
        <w:tblW w:w="7371" w:type="dxa"/>
        <w:tblInd w:w="1134" w:type="dxa"/>
        <w:tblCellMar>
          <w:left w:w="0" w:type="dxa"/>
          <w:right w:w="0" w:type="dxa"/>
        </w:tblCellMar>
        <w:tblLook w:val="01E0" w:firstRow="1" w:lastRow="1" w:firstColumn="1" w:lastColumn="1" w:noHBand="0" w:noVBand="0"/>
      </w:tblPr>
      <w:tblGrid>
        <w:gridCol w:w="3628"/>
        <w:gridCol w:w="3743"/>
      </w:tblGrid>
      <w:tr w:rsidR="00000000">
        <w:tc>
          <w:tcPr>
            <w:tcW w:w="3628" w:type="dxa"/>
            <w:tcBorders>
              <w:top w:val="single" w:sz="4" w:space="0" w:color="auto"/>
              <w:bottom w:val="single" w:sz="12" w:space="0" w:color="auto"/>
            </w:tcBorders>
            <w:shd w:val="clear" w:color="auto" w:fill="auto"/>
            <w:vAlign w:val="bottom"/>
          </w:tcPr>
          <w:p w:rsidR="00000000" w:rsidRDefault="00000000">
            <w:pPr>
              <w:spacing w:before="80" w:after="80" w:line="200" w:lineRule="exact"/>
              <w:rPr>
                <w:bCs/>
                <w:i/>
                <w:sz w:val="16"/>
                <w:szCs w:val="16"/>
              </w:rPr>
            </w:pPr>
            <w:r>
              <w:rPr>
                <w:bCs/>
                <w:i/>
                <w:sz w:val="16"/>
                <w:szCs w:val="16"/>
              </w:rPr>
              <w:t>Tranche d’âge</w:t>
            </w:r>
          </w:p>
        </w:tc>
        <w:tc>
          <w:tcPr>
            <w:tcW w:w="3743"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bCs/>
                <w:i/>
                <w:sz w:val="16"/>
                <w:szCs w:val="16"/>
              </w:rPr>
            </w:pPr>
            <w:r>
              <w:rPr>
                <w:bCs/>
                <w:i/>
                <w:sz w:val="16"/>
                <w:szCs w:val="16"/>
              </w:rPr>
              <w:t>Pourcentage</w:t>
            </w:r>
          </w:p>
        </w:tc>
      </w:tr>
      <w:tr w:rsidR="00000000">
        <w:tc>
          <w:tcPr>
            <w:tcW w:w="3628" w:type="dxa"/>
            <w:tcBorders>
              <w:top w:val="single" w:sz="12" w:space="0" w:color="auto"/>
            </w:tcBorders>
            <w:shd w:val="clear" w:color="auto" w:fill="auto"/>
            <w:vAlign w:val="bottom"/>
          </w:tcPr>
          <w:p w:rsidR="00000000" w:rsidRDefault="00000000">
            <w:pPr>
              <w:spacing w:before="40" w:after="40" w:line="220" w:lineRule="exact"/>
              <w:rPr>
                <w:sz w:val="18"/>
                <w:szCs w:val="18"/>
              </w:rPr>
            </w:pPr>
            <w:r>
              <w:rPr>
                <w:sz w:val="18"/>
                <w:szCs w:val="18"/>
              </w:rPr>
              <w:t>Moins de 12 mois</w:t>
            </w:r>
          </w:p>
        </w:tc>
        <w:tc>
          <w:tcPr>
            <w:tcW w:w="3743" w:type="dxa"/>
            <w:tcBorders>
              <w:top w:val="single" w:sz="12" w:space="0" w:color="auto"/>
            </w:tcBorders>
            <w:shd w:val="clear" w:color="auto" w:fill="auto"/>
            <w:vAlign w:val="bottom"/>
          </w:tcPr>
          <w:p w:rsidR="00000000" w:rsidRDefault="00000000">
            <w:pPr>
              <w:spacing w:before="40" w:after="40" w:line="220" w:lineRule="exact"/>
              <w:jc w:val="right"/>
              <w:rPr>
                <w:sz w:val="18"/>
                <w:szCs w:val="18"/>
              </w:rPr>
            </w:pPr>
            <w:r>
              <w:rPr>
                <w:sz w:val="18"/>
                <w:szCs w:val="18"/>
              </w:rPr>
              <w:t>0,3</w:t>
            </w:r>
          </w:p>
        </w:tc>
      </w:tr>
      <w:tr w:rsidR="00000000">
        <w:tc>
          <w:tcPr>
            <w:tcW w:w="3628" w:type="dxa"/>
            <w:shd w:val="clear" w:color="auto" w:fill="auto"/>
            <w:vAlign w:val="bottom"/>
          </w:tcPr>
          <w:p w:rsidR="00000000" w:rsidRDefault="00000000">
            <w:pPr>
              <w:spacing w:before="40" w:after="40" w:line="220" w:lineRule="exact"/>
              <w:rPr>
                <w:sz w:val="18"/>
                <w:szCs w:val="18"/>
              </w:rPr>
            </w:pPr>
            <w:r>
              <w:rPr>
                <w:sz w:val="18"/>
                <w:szCs w:val="18"/>
              </w:rPr>
              <w:t>De 1 à 5 ans</w:t>
            </w:r>
          </w:p>
        </w:tc>
        <w:tc>
          <w:tcPr>
            <w:tcW w:w="3743" w:type="dxa"/>
            <w:shd w:val="clear" w:color="auto" w:fill="auto"/>
            <w:vAlign w:val="bottom"/>
          </w:tcPr>
          <w:p w:rsidR="00000000" w:rsidRDefault="00000000">
            <w:pPr>
              <w:spacing w:before="40" w:after="40" w:line="220" w:lineRule="exact"/>
              <w:jc w:val="right"/>
              <w:rPr>
                <w:sz w:val="18"/>
                <w:szCs w:val="18"/>
              </w:rPr>
            </w:pPr>
            <w:r>
              <w:rPr>
                <w:sz w:val="18"/>
                <w:szCs w:val="18"/>
              </w:rPr>
              <w:t>16,1</w:t>
            </w:r>
          </w:p>
        </w:tc>
      </w:tr>
      <w:tr w:rsidR="00000000">
        <w:tc>
          <w:tcPr>
            <w:tcW w:w="3628" w:type="dxa"/>
            <w:shd w:val="clear" w:color="auto" w:fill="auto"/>
            <w:vAlign w:val="bottom"/>
          </w:tcPr>
          <w:p w:rsidR="00000000" w:rsidRDefault="00000000">
            <w:pPr>
              <w:spacing w:before="40" w:after="40" w:line="220" w:lineRule="exact"/>
              <w:rPr>
                <w:sz w:val="18"/>
                <w:szCs w:val="18"/>
              </w:rPr>
            </w:pPr>
            <w:r>
              <w:rPr>
                <w:sz w:val="18"/>
                <w:szCs w:val="18"/>
              </w:rPr>
              <w:t>De 6 à 18 ans</w:t>
            </w:r>
          </w:p>
        </w:tc>
        <w:tc>
          <w:tcPr>
            <w:tcW w:w="3743" w:type="dxa"/>
            <w:shd w:val="clear" w:color="auto" w:fill="auto"/>
            <w:vAlign w:val="bottom"/>
          </w:tcPr>
          <w:p w:rsidR="00000000" w:rsidRDefault="00000000">
            <w:pPr>
              <w:spacing w:before="40" w:after="40" w:line="220" w:lineRule="exact"/>
              <w:jc w:val="right"/>
              <w:rPr>
                <w:sz w:val="18"/>
                <w:szCs w:val="18"/>
              </w:rPr>
            </w:pPr>
            <w:r>
              <w:rPr>
                <w:sz w:val="18"/>
                <w:szCs w:val="18"/>
              </w:rPr>
              <w:t>21,1</w:t>
            </w:r>
          </w:p>
        </w:tc>
      </w:tr>
      <w:tr w:rsidR="00000000">
        <w:tc>
          <w:tcPr>
            <w:tcW w:w="3628" w:type="dxa"/>
            <w:shd w:val="clear" w:color="auto" w:fill="auto"/>
            <w:vAlign w:val="bottom"/>
          </w:tcPr>
          <w:p w:rsidR="00000000" w:rsidRDefault="00000000">
            <w:pPr>
              <w:spacing w:before="40" w:after="40" w:line="220" w:lineRule="exact"/>
              <w:rPr>
                <w:sz w:val="18"/>
                <w:szCs w:val="18"/>
              </w:rPr>
            </w:pPr>
            <w:r>
              <w:rPr>
                <w:sz w:val="18"/>
                <w:szCs w:val="18"/>
              </w:rPr>
              <w:t>De 19 à 49 ans</w:t>
            </w:r>
          </w:p>
        </w:tc>
        <w:tc>
          <w:tcPr>
            <w:tcW w:w="3743" w:type="dxa"/>
            <w:shd w:val="clear" w:color="auto" w:fill="auto"/>
            <w:vAlign w:val="bottom"/>
          </w:tcPr>
          <w:p w:rsidR="00000000" w:rsidRDefault="00000000">
            <w:pPr>
              <w:spacing w:before="40" w:after="40" w:line="220" w:lineRule="exact"/>
              <w:jc w:val="right"/>
              <w:rPr>
                <w:sz w:val="18"/>
                <w:szCs w:val="18"/>
              </w:rPr>
            </w:pPr>
            <w:r>
              <w:rPr>
                <w:sz w:val="18"/>
                <w:szCs w:val="18"/>
              </w:rPr>
              <w:t>24,4</w:t>
            </w:r>
          </w:p>
        </w:tc>
      </w:tr>
      <w:tr w:rsidR="00000000">
        <w:tc>
          <w:tcPr>
            <w:tcW w:w="3628" w:type="dxa"/>
            <w:tcBorders>
              <w:bottom w:val="single" w:sz="12" w:space="0" w:color="auto"/>
            </w:tcBorders>
            <w:shd w:val="clear" w:color="auto" w:fill="auto"/>
            <w:vAlign w:val="bottom"/>
          </w:tcPr>
          <w:p w:rsidR="00000000" w:rsidRDefault="00000000">
            <w:pPr>
              <w:spacing w:before="40" w:after="40" w:line="220" w:lineRule="exact"/>
              <w:rPr>
                <w:sz w:val="18"/>
                <w:szCs w:val="18"/>
              </w:rPr>
            </w:pPr>
            <w:r>
              <w:rPr>
                <w:sz w:val="18"/>
                <w:szCs w:val="18"/>
              </w:rPr>
              <w:t>50 ans et plus</w:t>
            </w:r>
          </w:p>
        </w:tc>
        <w:tc>
          <w:tcPr>
            <w:tcW w:w="3743" w:type="dxa"/>
            <w:tcBorders>
              <w:bottom w:val="single" w:sz="12" w:space="0" w:color="auto"/>
            </w:tcBorders>
            <w:shd w:val="clear" w:color="auto" w:fill="auto"/>
            <w:vAlign w:val="bottom"/>
          </w:tcPr>
          <w:p w:rsidR="00000000" w:rsidRDefault="00000000">
            <w:pPr>
              <w:spacing w:before="40" w:after="40" w:line="220" w:lineRule="exact"/>
              <w:jc w:val="right"/>
              <w:rPr>
                <w:sz w:val="18"/>
                <w:szCs w:val="18"/>
              </w:rPr>
            </w:pPr>
            <w:r>
              <w:rPr>
                <w:sz w:val="18"/>
                <w:szCs w:val="18"/>
              </w:rPr>
              <w:t>38,1</w:t>
            </w:r>
          </w:p>
        </w:tc>
      </w:tr>
    </w:tbl>
    <w:p w:rsidR="00000000" w:rsidRDefault="00000000">
      <w:pPr>
        <w:pStyle w:val="SingleTxtG"/>
        <w:spacing w:before="120" w:after="240"/>
        <w:ind w:firstLine="170"/>
        <w:rPr>
          <w:sz w:val="18"/>
          <w:szCs w:val="18"/>
          <w:lang w:val="fr-FR"/>
        </w:rPr>
      </w:pPr>
      <w:r>
        <w:rPr>
          <w:i/>
          <w:sz w:val="18"/>
          <w:szCs w:val="18"/>
          <w:lang w:val="fr-FR"/>
        </w:rPr>
        <w:t>Source</w:t>
      </w:r>
      <w:r>
        <w:rPr>
          <w:sz w:val="18"/>
          <w:szCs w:val="18"/>
          <w:lang w:val="fr-FR"/>
        </w:rPr>
        <w:t>: Rapport d’enquête «Coordination des Soins aux personnes handicapées, 2003.</w:t>
      </w:r>
    </w:p>
    <w:p w:rsidR="00000000" w:rsidRDefault="00000000">
      <w:pPr>
        <w:pStyle w:val="SingleTxtG"/>
        <w:rPr>
          <w:lang w:val="fr-FR"/>
        </w:rPr>
      </w:pPr>
      <w:r>
        <w:rPr>
          <w:lang w:val="fr-FR"/>
        </w:rPr>
        <w:t>295.</w:t>
      </w:r>
      <w:r>
        <w:rPr>
          <w:lang w:val="fr-FR"/>
        </w:rPr>
        <w:tab/>
        <w:t>De la répartition par tranches d’âge, il ressort que 37,5 % des personnes en situation de handicap ont moins de 18 ans. Pour 2007, on estime 505 181 enfants en situation de handicap.</w:t>
      </w:r>
    </w:p>
    <w:p w:rsidR="00000000" w:rsidRDefault="00000000">
      <w:pPr>
        <w:pStyle w:val="SingleTxtG"/>
        <w:rPr>
          <w:lang w:val="fr-FR"/>
        </w:rPr>
      </w:pPr>
      <w:r>
        <w:rPr>
          <w:lang w:val="fr-FR"/>
        </w:rPr>
        <w:t>296.</w:t>
      </w:r>
      <w:r>
        <w:rPr>
          <w:lang w:val="fr-FR"/>
        </w:rPr>
        <w:tab/>
        <w:t>Les prévalences par type de déficience sur la population totale sont les suivantes:</w:t>
      </w:r>
    </w:p>
    <w:p w:rsidR="00000000" w:rsidRDefault="00000000">
      <w:pPr>
        <w:pStyle w:val="Bullet1G"/>
        <w:rPr>
          <w:lang w:val="fr-FR"/>
        </w:rPr>
      </w:pPr>
      <w:r>
        <w:rPr>
          <w:lang w:val="fr-FR"/>
        </w:rPr>
        <w:t>Handicap visuel: 3,1 %;</w:t>
      </w:r>
    </w:p>
    <w:p w:rsidR="00000000" w:rsidRDefault="00000000">
      <w:pPr>
        <w:pStyle w:val="Bullet1G"/>
        <w:rPr>
          <w:lang w:val="fr-FR"/>
        </w:rPr>
      </w:pPr>
      <w:r>
        <w:rPr>
          <w:lang w:val="fr-FR"/>
        </w:rPr>
        <w:t>Handicap physique: 2,8 %;</w:t>
      </w:r>
    </w:p>
    <w:p w:rsidR="00000000" w:rsidRDefault="00000000">
      <w:pPr>
        <w:pStyle w:val="Bullet1G"/>
        <w:rPr>
          <w:lang w:val="fr-FR"/>
        </w:rPr>
      </w:pPr>
      <w:r>
        <w:rPr>
          <w:lang w:val="fr-FR"/>
        </w:rPr>
        <w:t>Handicap auditif: 1,8 %;</w:t>
      </w:r>
    </w:p>
    <w:p w:rsidR="00000000" w:rsidRDefault="00000000">
      <w:pPr>
        <w:pStyle w:val="Bullet1G"/>
        <w:rPr>
          <w:lang w:val="fr-FR"/>
        </w:rPr>
      </w:pPr>
      <w:r>
        <w:rPr>
          <w:lang w:val="fr-FR"/>
        </w:rPr>
        <w:t>Handicap intellectuel: 1,5 %;</w:t>
      </w:r>
    </w:p>
    <w:p w:rsidR="00000000" w:rsidRDefault="00000000">
      <w:pPr>
        <w:pStyle w:val="Bullet1G"/>
        <w:rPr>
          <w:lang w:val="fr-FR"/>
        </w:rPr>
      </w:pPr>
      <w:r>
        <w:rPr>
          <w:lang w:val="fr-FR"/>
        </w:rPr>
        <w:t>Handicap psychique: 0,18 %.</w:t>
      </w:r>
    </w:p>
    <w:p w:rsidR="00000000" w:rsidRDefault="00000000">
      <w:pPr>
        <w:pStyle w:val="SingleTxtG"/>
        <w:rPr>
          <w:lang w:val="fr-FR"/>
        </w:rPr>
      </w:pPr>
      <w:r>
        <w:rPr>
          <w:lang w:val="fr-FR"/>
        </w:rPr>
        <w:t>297.</w:t>
      </w:r>
      <w:r>
        <w:rPr>
          <w:lang w:val="fr-FR"/>
        </w:rPr>
        <w:tab/>
        <w:t>Ces informations sont confirmées par les données disponibles pour 2006 provenant de quatre régions, où le nombre de nouveaux cas d’enfants handicapés dépistés avoisine le 40 % de l’ensemble des personnes dépistées.</w:t>
      </w:r>
    </w:p>
    <w:p w:rsidR="00000000" w:rsidRDefault="00000000">
      <w:pPr>
        <w:pStyle w:val="H23G"/>
        <w:rPr>
          <w:lang w:val="fr-FR"/>
        </w:rPr>
      </w:pPr>
      <w:bookmarkStart w:id="672" w:name="_Toc206414546"/>
      <w:bookmarkStart w:id="673" w:name="_Toc206460388"/>
      <w:bookmarkStart w:id="674" w:name="_Toc206460720"/>
      <w:bookmarkStart w:id="675" w:name="_Toc206461442"/>
      <w:bookmarkStart w:id="676" w:name="_Toc206476236"/>
      <w:bookmarkStart w:id="677" w:name="_Toc207788771"/>
      <w:bookmarkStart w:id="678" w:name="_Toc211835442"/>
      <w:bookmarkStart w:id="679" w:name="_Toc211926749"/>
      <w:r>
        <w:rPr>
          <w:lang w:val="fr-FR"/>
        </w:rPr>
        <w:tab/>
        <w:t>3.</w:t>
      </w:r>
      <w:r>
        <w:rPr>
          <w:lang w:val="fr-FR"/>
        </w:rPr>
        <w:tab/>
        <w:t>Accès aux soins de santé et aux services de rééducation</w:t>
      </w:r>
      <w:bookmarkEnd w:id="672"/>
      <w:bookmarkEnd w:id="673"/>
      <w:bookmarkEnd w:id="674"/>
      <w:bookmarkEnd w:id="675"/>
      <w:bookmarkEnd w:id="676"/>
      <w:bookmarkEnd w:id="677"/>
      <w:bookmarkEnd w:id="678"/>
      <w:bookmarkEnd w:id="679"/>
    </w:p>
    <w:p w:rsidR="00000000" w:rsidRDefault="00000000">
      <w:pPr>
        <w:pStyle w:val="SingleTxtG"/>
        <w:rPr>
          <w:lang w:val="fr-FR"/>
        </w:rPr>
      </w:pPr>
      <w:r>
        <w:rPr>
          <w:lang w:val="fr-FR"/>
        </w:rPr>
        <w:t>298.</w:t>
      </w:r>
      <w:r>
        <w:rPr>
          <w:lang w:val="fr-FR"/>
        </w:rPr>
        <w:tab/>
        <w:t>D’une façon générale, la sensibilisation de la population et des professionnels constitue un enjeu majeur pour la promotion des droits des enfants en situation de handicap. Des efforts ont été réalisés par les ONG et les associations des personnes handicapées, mais beaucoup reste à faire.</w:t>
      </w:r>
    </w:p>
    <w:p w:rsidR="00000000" w:rsidRDefault="00000000">
      <w:pPr>
        <w:pStyle w:val="SingleTxtG"/>
        <w:rPr>
          <w:lang w:val="fr-FR"/>
        </w:rPr>
      </w:pPr>
      <w:r>
        <w:rPr>
          <w:lang w:val="fr-FR"/>
        </w:rPr>
        <w:t>299.</w:t>
      </w:r>
      <w:r>
        <w:rPr>
          <w:lang w:val="fr-FR"/>
        </w:rPr>
        <w:tab/>
        <w:t>L’accès aux soins des enfants handicapés demeure limité en raison d’obstacles financiers et géographiques.</w:t>
      </w:r>
    </w:p>
    <w:p w:rsidR="00000000" w:rsidRDefault="00000000">
      <w:pPr>
        <w:pStyle w:val="SingleTxtG"/>
        <w:rPr>
          <w:lang w:val="fr-FR"/>
        </w:rPr>
      </w:pPr>
      <w:r>
        <w:rPr>
          <w:lang w:val="fr-FR"/>
        </w:rPr>
        <w:t>300.</w:t>
      </w:r>
      <w:r>
        <w:rPr>
          <w:lang w:val="fr-FR"/>
        </w:rPr>
        <w:tab/>
        <w:t>Les ressources humaines assurant l’accompagnement des enfants handicapés tant sur le plan médical que social sont encore insatisfaisantes en quantité et en qualité.</w:t>
      </w:r>
    </w:p>
    <w:p w:rsidR="00000000" w:rsidRDefault="00000000">
      <w:pPr>
        <w:pStyle w:val="SingleTxtG"/>
        <w:rPr>
          <w:lang w:val="fr-FR"/>
        </w:rPr>
      </w:pPr>
      <w:r>
        <w:rPr>
          <w:lang w:val="fr-FR"/>
        </w:rPr>
        <w:t>301.</w:t>
      </w:r>
      <w:r>
        <w:rPr>
          <w:lang w:val="fr-FR"/>
        </w:rPr>
        <w:tab/>
        <w:t>La part de budget alloué par l’État en faveur de la promotion des droits des personnes handicapées s’élevait à 150 millions d’ariary en 2007. Celle-ci est de 50 millions d’ariary en 2008.</w:t>
      </w:r>
    </w:p>
    <w:p w:rsidR="00000000" w:rsidRDefault="00000000">
      <w:pPr>
        <w:pStyle w:val="H23G"/>
        <w:rPr>
          <w:lang w:val="fr-FR"/>
        </w:rPr>
      </w:pPr>
      <w:bookmarkStart w:id="680" w:name="_Toc206414547"/>
      <w:bookmarkStart w:id="681" w:name="_Toc206460389"/>
      <w:bookmarkStart w:id="682" w:name="_Toc206460721"/>
      <w:bookmarkStart w:id="683" w:name="_Toc206461443"/>
      <w:bookmarkStart w:id="684" w:name="_Toc206476237"/>
      <w:bookmarkStart w:id="685" w:name="_Toc207788772"/>
      <w:bookmarkStart w:id="686" w:name="_Toc211835443"/>
      <w:bookmarkStart w:id="687" w:name="_Toc211926750"/>
      <w:r>
        <w:rPr>
          <w:lang w:val="fr-FR"/>
        </w:rPr>
        <w:tab/>
        <w:t>4.</w:t>
      </w:r>
      <w:r>
        <w:rPr>
          <w:lang w:val="fr-FR"/>
        </w:rPr>
        <w:tab/>
        <w:t>Prévention et soins aux enfants handicapés physiques</w:t>
      </w:r>
      <w:bookmarkEnd w:id="680"/>
      <w:bookmarkEnd w:id="681"/>
      <w:bookmarkEnd w:id="682"/>
      <w:bookmarkEnd w:id="683"/>
      <w:bookmarkEnd w:id="684"/>
      <w:bookmarkEnd w:id="685"/>
      <w:bookmarkEnd w:id="686"/>
      <w:bookmarkEnd w:id="687"/>
    </w:p>
    <w:p w:rsidR="00000000" w:rsidRDefault="00000000">
      <w:pPr>
        <w:pStyle w:val="SingleTxtG"/>
        <w:rPr>
          <w:lang w:val="fr-FR"/>
        </w:rPr>
      </w:pPr>
      <w:r>
        <w:rPr>
          <w:lang w:val="fr-FR"/>
        </w:rPr>
        <w:t>302.</w:t>
      </w:r>
      <w:r>
        <w:rPr>
          <w:lang w:val="fr-FR"/>
        </w:rPr>
        <w:tab/>
        <w:t xml:space="preserve">Depuis 1999, le Ministère de la santé, du planning familial et de la protection sociale dispose d’une politique de prévention et soins aux personnes handicapées axée sur le handicap physique. </w:t>
      </w:r>
    </w:p>
    <w:p w:rsidR="00000000" w:rsidRDefault="00000000">
      <w:pPr>
        <w:pStyle w:val="SingleTxtG"/>
        <w:rPr>
          <w:lang w:val="fr-FR"/>
        </w:rPr>
      </w:pPr>
      <w:r>
        <w:rPr>
          <w:lang w:val="fr-FR"/>
        </w:rPr>
        <w:t>303.</w:t>
      </w:r>
      <w:r>
        <w:rPr>
          <w:lang w:val="fr-FR"/>
        </w:rPr>
        <w:tab/>
        <w:t>Le Centre de rééducation motrice de Madagascar (CRMM) est la seule structure publique de rééducation offrant des soins de rééducation et réadaptation en internat. La population cible est en majorité infantile. C’est également le seul centre réalisant couramment une chirurgie orthopédique chez les enfants: 79 interventions en 2003 et 179 en 2006, la plupart des cas chirurgicaux sont tardivement orientés vers le Centre.</w:t>
      </w:r>
    </w:p>
    <w:p w:rsidR="00000000" w:rsidRDefault="00000000">
      <w:pPr>
        <w:pStyle w:val="SingleTxtG"/>
        <w:rPr>
          <w:lang w:val="fr-FR"/>
        </w:rPr>
      </w:pPr>
      <w:r>
        <w:rPr>
          <w:lang w:val="fr-FR"/>
        </w:rPr>
        <w:t>304.</w:t>
      </w:r>
      <w:r>
        <w:rPr>
          <w:lang w:val="fr-FR"/>
        </w:rPr>
        <w:tab/>
        <w:t>Le nombre total des cas suivis dans le cadre du partenariat ONGs et CRMM est passé de 2 068 en 2003 à 2 979 en 2006.</w:t>
      </w:r>
    </w:p>
    <w:p w:rsidR="00000000" w:rsidRDefault="00000000">
      <w:pPr>
        <w:pStyle w:val="SingleTxtG"/>
        <w:rPr>
          <w:lang w:val="fr-FR"/>
        </w:rPr>
      </w:pPr>
      <w:r>
        <w:rPr>
          <w:lang w:val="fr-FR"/>
        </w:rPr>
        <w:t>305.</w:t>
      </w:r>
      <w:r>
        <w:rPr>
          <w:lang w:val="fr-FR"/>
        </w:rPr>
        <w:tab/>
        <w:t>L’Institut de formation des paramédicaux d’Antananarivo avait dispensé des formations à l’intention de kinésithérapeutes et de techniciens en appareillage orthopédique. En 2007, l’accès à ces deux filières a été interrompu. Des efforts sont consentis pour offrir une formation continue au personnel des services de rééducation.</w:t>
      </w:r>
    </w:p>
    <w:p w:rsidR="00000000" w:rsidRDefault="00000000">
      <w:pPr>
        <w:pStyle w:val="SingleTxtG"/>
        <w:rPr>
          <w:lang w:val="fr-FR"/>
        </w:rPr>
      </w:pPr>
      <w:r>
        <w:rPr>
          <w:lang w:val="fr-FR"/>
        </w:rPr>
        <w:t>306.</w:t>
      </w:r>
      <w:r>
        <w:rPr>
          <w:lang w:val="fr-FR"/>
        </w:rPr>
        <w:tab/>
        <w:t xml:space="preserve">En ce qui concerne la prévention de la polio, Madagascar est actuellement en bonne voie pour être certifié «sans polio» grâce aux progrès du Programme élargi de vaccination (PEV), de l’approche Atteindre chaque district (ACD) Le taux de couverture de Polio 3 est passé de 77,8 % en 2001 à 94,2 % en 2006 </w:t>
      </w:r>
      <w:r>
        <w:rPr>
          <w:rStyle w:val="FootnoteReference"/>
        </w:rPr>
        <w:footnoteReference w:id="10"/>
      </w:r>
    </w:p>
    <w:p w:rsidR="00000000" w:rsidRDefault="00000000">
      <w:pPr>
        <w:pStyle w:val="SingleTxtG"/>
        <w:rPr>
          <w:lang w:val="fr-FR"/>
        </w:rPr>
      </w:pPr>
      <w:r>
        <w:rPr>
          <w:lang w:val="fr-FR"/>
        </w:rPr>
        <w:t>307.</w:t>
      </w:r>
      <w:r>
        <w:rPr>
          <w:lang w:val="fr-FR"/>
        </w:rPr>
        <w:tab/>
        <w:t>Une situation favorable est vérifiée au niveau des structures de rééducation car si les séquelles de poliomyélite ont occupé le devant de la scène pendant des années, actuellement elles sont reléguées à la septième, voire à la dixième place parmi les principales causes de morbidité prises en charge dans ces services.</w:t>
      </w:r>
    </w:p>
    <w:p w:rsidR="00000000" w:rsidRDefault="00000000">
      <w:pPr>
        <w:pStyle w:val="SingleTxtG"/>
        <w:rPr>
          <w:lang w:val="fr-FR"/>
        </w:rPr>
      </w:pPr>
      <w:r>
        <w:rPr>
          <w:lang w:val="fr-FR"/>
        </w:rPr>
        <w:t>308.</w:t>
      </w:r>
      <w:r>
        <w:rPr>
          <w:lang w:val="fr-FR"/>
        </w:rPr>
        <w:tab/>
        <w:t>La prévention et le dépistage des déficiences des enfants de 0 à 5 ans ont fait l’objet de l’élaboration d’un manuel à l’usage des prestataires de soins. Le dépistage systématique des malformations à la naissance a été initié au niveau de quelques formations sanitaires. Faute de moyens, la multiplication du guide se heurte à de difficultés, et l’extension du dépistage à d’autres formations sanitaires demeure limitée.</w:t>
      </w:r>
    </w:p>
    <w:p w:rsidR="00000000" w:rsidRDefault="00000000">
      <w:pPr>
        <w:pStyle w:val="H23G"/>
        <w:rPr>
          <w:lang w:val="fr-FR"/>
        </w:rPr>
      </w:pPr>
      <w:bookmarkStart w:id="688" w:name="_Toc206414548"/>
      <w:bookmarkStart w:id="689" w:name="_Toc206460390"/>
      <w:bookmarkStart w:id="690" w:name="_Toc206460722"/>
      <w:bookmarkStart w:id="691" w:name="_Toc206461444"/>
      <w:bookmarkStart w:id="692" w:name="_Toc206476238"/>
      <w:bookmarkStart w:id="693" w:name="_Toc207788773"/>
      <w:bookmarkStart w:id="694" w:name="_Toc211835444"/>
      <w:bookmarkStart w:id="695" w:name="_Toc211926751"/>
      <w:r>
        <w:rPr>
          <w:lang w:val="fr-FR"/>
        </w:rPr>
        <w:tab/>
        <w:t>5.</w:t>
      </w:r>
      <w:r>
        <w:rPr>
          <w:lang w:val="fr-FR"/>
        </w:rPr>
        <w:tab/>
        <w:t>Prévention du handicap visuel</w:t>
      </w:r>
      <w:bookmarkEnd w:id="688"/>
      <w:bookmarkEnd w:id="689"/>
      <w:bookmarkEnd w:id="690"/>
      <w:bookmarkEnd w:id="691"/>
      <w:bookmarkEnd w:id="692"/>
      <w:bookmarkEnd w:id="693"/>
      <w:bookmarkEnd w:id="694"/>
      <w:bookmarkEnd w:id="695"/>
    </w:p>
    <w:p w:rsidR="00000000" w:rsidRDefault="00000000">
      <w:pPr>
        <w:pStyle w:val="SingleTxtG"/>
        <w:rPr>
          <w:lang w:val="fr-FR"/>
        </w:rPr>
      </w:pPr>
      <w:r>
        <w:rPr>
          <w:lang w:val="fr-FR"/>
        </w:rPr>
        <w:t>309.</w:t>
      </w:r>
      <w:r>
        <w:rPr>
          <w:lang w:val="fr-FR"/>
        </w:rPr>
        <w:tab/>
        <w:t>En 2004, Madagascar a adhéré à l’initiative mondiale pour l’élimination de la cécité évitable d’ici l’an 2020 ou projet «Vision 2020» «Droit à la vue» qui découle d’un partenariat entre l’OMS et l’IAPB (International Agency for the Prevention of Blindness).</w:t>
      </w:r>
    </w:p>
    <w:p w:rsidR="00000000" w:rsidRDefault="00000000">
      <w:pPr>
        <w:pStyle w:val="SingleTxtG"/>
        <w:rPr>
          <w:lang w:val="fr-FR"/>
        </w:rPr>
      </w:pPr>
      <w:r>
        <w:rPr>
          <w:lang w:val="fr-FR"/>
        </w:rPr>
        <w:t>310.</w:t>
      </w:r>
      <w:r>
        <w:rPr>
          <w:lang w:val="fr-FR"/>
        </w:rPr>
        <w:tab/>
        <w:t>Pour sa part, l’objectif du Programme national de santé oculaire en cours d’application est de renforcer la lutte contre la cécité et le handicap visuel.</w:t>
      </w:r>
    </w:p>
    <w:p w:rsidR="00000000" w:rsidRDefault="00000000">
      <w:pPr>
        <w:pStyle w:val="SingleTxtG"/>
        <w:rPr>
          <w:lang w:val="fr-FR"/>
        </w:rPr>
      </w:pPr>
      <w:r>
        <w:rPr>
          <w:lang w:val="fr-FR"/>
        </w:rPr>
        <w:t>311.</w:t>
      </w:r>
      <w:r>
        <w:rPr>
          <w:lang w:val="fr-FR"/>
        </w:rPr>
        <w:tab/>
        <w:t>Les données disponibles permettent d’estimer à plus de 25 000 le nombre d’enfants de 0 à 15 ans présentant des vices de réfraction (baisse visuelle) qui justifieraient la prescription de verres correcteurs, et près de 1 400 le nombre d’enfants frappés de cécité</w:t>
      </w:r>
      <w:r>
        <w:rPr>
          <w:rStyle w:val="FootnoteReference"/>
        </w:rPr>
        <w:footnoteReference w:id="11"/>
      </w:r>
      <w:r>
        <w:rPr>
          <w:lang w:val="fr-FR"/>
        </w:rPr>
        <w:t>.</w:t>
      </w:r>
    </w:p>
    <w:p w:rsidR="00000000" w:rsidRDefault="00000000">
      <w:pPr>
        <w:pStyle w:val="SingleTxtG"/>
        <w:rPr>
          <w:lang w:val="fr-FR"/>
        </w:rPr>
      </w:pPr>
      <w:r>
        <w:rPr>
          <w:lang w:val="fr-FR"/>
        </w:rPr>
        <w:t>312.</w:t>
      </w:r>
      <w:r>
        <w:rPr>
          <w:lang w:val="fr-FR"/>
        </w:rPr>
        <w:tab/>
        <w:t>Les principales causes de cécité évitable chez l’enfant sont l’avitaminose A, les complications de la rougeole et l’infection néo-natale. L’EDS 2003 estimait que 76 % des enfants de 6 mois à moins de 5 ans avaient reçu une dose de vitamine A dans les six mois précédant l’enquête.</w:t>
      </w:r>
    </w:p>
    <w:p w:rsidR="00000000" w:rsidRDefault="00000000">
      <w:pPr>
        <w:pStyle w:val="H23G"/>
        <w:rPr>
          <w:lang w:val="fr-FR"/>
        </w:rPr>
      </w:pPr>
      <w:r>
        <w:rPr>
          <w:lang w:val="fr-FR"/>
        </w:rPr>
        <w:tab/>
        <w:t>6.</w:t>
      </w:r>
      <w:r>
        <w:rPr>
          <w:lang w:val="fr-FR"/>
        </w:rPr>
        <w:tab/>
        <w:t>Actions entreprises</w:t>
      </w:r>
    </w:p>
    <w:p w:rsidR="00000000" w:rsidRDefault="00000000">
      <w:pPr>
        <w:pStyle w:val="SingleTxtG"/>
        <w:rPr>
          <w:lang w:val="fr-FR"/>
        </w:rPr>
      </w:pPr>
      <w:r>
        <w:rPr>
          <w:lang w:val="fr-FR"/>
        </w:rPr>
        <w:t>313.</w:t>
      </w:r>
      <w:r>
        <w:rPr>
          <w:lang w:val="fr-FR"/>
        </w:rPr>
        <w:tab/>
        <w:t>Depuis 1998, la lutte contre la carence en vitamine A est axée sur la distribution de cette vitamine aux enfants de 6 mois à moins de 5 ans de manière périodique. Des campagnes biannuelles sont organisées pour sensibiliser la population, d’où une réduction sensible de la cécité infantile par avitaminose A ramenée de 13,7 % à 0,34 %</w:t>
      </w:r>
    </w:p>
    <w:p w:rsidR="00000000" w:rsidRDefault="00000000">
      <w:pPr>
        <w:pStyle w:val="SingleTxtG"/>
        <w:rPr>
          <w:lang w:val="fr-FR"/>
        </w:rPr>
      </w:pPr>
      <w:r>
        <w:rPr>
          <w:lang w:val="fr-FR"/>
        </w:rPr>
        <w:t>314.</w:t>
      </w:r>
      <w:r>
        <w:rPr>
          <w:lang w:val="fr-FR"/>
        </w:rPr>
        <w:tab/>
        <w:t>Parmi les objectifs spécifiques du Programme national de santé oculaire, on se propose d’ici fin 2009:</w:t>
      </w:r>
    </w:p>
    <w:p w:rsidR="00000000" w:rsidRDefault="00000000">
      <w:pPr>
        <w:pStyle w:val="Bullet1G"/>
        <w:rPr>
          <w:lang w:val="fr-FR"/>
        </w:rPr>
      </w:pPr>
      <w:r>
        <w:rPr>
          <w:lang w:val="fr-FR"/>
        </w:rPr>
        <w:t>De renforcer la prévention de la cécité de l’enfant dans 50 % des formations sanitaires;</w:t>
      </w:r>
    </w:p>
    <w:p w:rsidR="00000000" w:rsidRDefault="00000000">
      <w:pPr>
        <w:pStyle w:val="Bullet1G"/>
        <w:rPr>
          <w:lang w:val="fr-FR"/>
        </w:rPr>
      </w:pPr>
      <w:r>
        <w:rPr>
          <w:lang w:val="fr-FR"/>
        </w:rPr>
        <w:t>D’assurer la prise en charge des cas d’erreur de réfraction chez les enfants de 10 à 15 ans dans 14 % des écoles primaires en collaboration avec Lion’s Sight First Madagascar et SALFA.</w:t>
      </w:r>
    </w:p>
    <w:p w:rsidR="00000000" w:rsidRDefault="00000000">
      <w:pPr>
        <w:pStyle w:val="SingleTxtG"/>
        <w:rPr>
          <w:lang w:val="fr-FR"/>
        </w:rPr>
      </w:pPr>
      <w:r>
        <w:rPr>
          <w:lang w:val="fr-FR"/>
        </w:rPr>
        <w:t>315.</w:t>
      </w:r>
      <w:r>
        <w:rPr>
          <w:lang w:val="fr-FR"/>
        </w:rPr>
        <w:tab/>
        <w:t>La formation des réfractionnistes a débuté en 2008 avec l’appui de CBM.</w:t>
      </w:r>
    </w:p>
    <w:p w:rsidR="00000000" w:rsidRDefault="00000000">
      <w:pPr>
        <w:pStyle w:val="H23G"/>
        <w:rPr>
          <w:lang w:val="fr-FR"/>
        </w:rPr>
      </w:pPr>
      <w:bookmarkStart w:id="696" w:name="_Toc206414549"/>
      <w:bookmarkStart w:id="697" w:name="_Toc206460391"/>
      <w:bookmarkStart w:id="698" w:name="_Toc206460723"/>
      <w:bookmarkStart w:id="699" w:name="_Toc206461445"/>
      <w:bookmarkStart w:id="700" w:name="_Toc206476239"/>
      <w:bookmarkStart w:id="701" w:name="_Toc207788774"/>
      <w:bookmarkStart w:id="702" w:name="_Toc211835445"/>
      <w:bookmarkStart w:id="703" w:name="_Toc211926752"/>
      <w:r>
        <w:rPr>
          <w:lang w:val="fr-FR"/>
        </w:rPr>
        <w:tab/>
        <w:t>7.</w:t>
      </w:r>
      <w:r>
        <w:rPr>
          <w:lang w:val="fr-FR"/>
        </w:rPr>
        <w:tab/>
        <w:t>Prévention de la déficience auditive et soins aux enfants sourds</w:t>
      </w:r>
      <w:bookmarkEnd w:id="696"/>
      <w:bookmarkEnd w:id="697"/>
      <w:bookmarkEnd w:id="698"/>
      <w:bookmarkEnd w:id="699"/>
      <w:bookmarkEnd w:id="700"/>
      <w:bookmarkEnd w:id="701"/>
      <w:bookmarkEnd w:id="702"/>
      <w:bookmarkEnd w:id="703"/>
    </w:p>
    <w:p w:rsidR="00000000" w:rsidRDefault="00000000">
      <w:pPr>
        <w:pStyle w:val="SingleTxtG"/>
        <w:rPr>
          <w:lang w:val="fr-FR"/>
        </w:rPr>
      </w:pPr>
      <w:r>
        <w:rPr>
          <w:lang w:val="fr-FR"/>
        </w:rPr>
        <w:t>316.</w:t>
      </w:r>
      <w:r>
        <w:rPr>
          <w:lang w:val="fr-FR"/>
        </w:rPr>
        <w:tab/>
        <w:t>Concernant la prévention de la surdité, les vaccins contre la méningite, la rubéole et les oreillons ne sont pas encore intégrés aux programmes de vaccination sont par conséquent à la charge des familles.</w:t>
      </w:r>
    </w:p>
    <w:p w:rsidR="00000000" w:rsidRDefault="00000000">
      <w:pPr>
        <w:pStyle w:val="SingleTxtG"/>
        <w:rPr>
          <w:lang w:val="fr-FR"/>
        </w:rPr>
      </w:pPr>
      <w:r>
        <w:rPr>
          <w:lang w:val="fr-FR"/>
        </w:rPr>
        <w:t>317.</w:t>
      </w:r>
      <w:r>
        <w:rPr>
          <w:lang w:val="fr-FR"/>
        </w:rPr>
        <w:tab/>
        <w:t>SALFA est s’engagé dans un programme de prévention de la surdité depuis une dizaine d’années, en partenariat avec la CBM. Ce programme est exécuté limitativement au sein de leurs centres. Une collaboration avec le Ministère en charge de la santé est actuellement amorcée pour étendre ce programme au niveau des formations sanitaires publiques.</w:t>
      </w:r>
    </w:p>
    <w:p w:rsidR="00000000" w:rsidRDefault="00000000">
      <w:pPr>
        <w:pStyle w:val="SingleTxtG"/>
        <w:rPr>
          <w:lang w:val="fr-FR"/>
        </w:rPr>
      </w:pPr>
      <w:r>
        <w:rPr>
          <w:lang w:val="fr-FR"/>
        </w:rPr>
        <w:t>318.</w:t>
      </w:r>
      <w:r>
        <w:rPr>
          <w:lang w:val="fr-FR"/>
        </w:rPr>
        <w:tab/>
        <w:t>Le coût des prothèses auditives reste prohibitif.</w:t>
      </w:r>
    </w:p>
    <w:p w:rsidR="00000000" w:rsidRDefault="00000000">
      <w:pPr>
        <w:pStyle w:val="H23G"/>
        <w:rPr>
          <w:lang w:val="fr-FR"/>
        </w:rPr>
      </w:pPr>
      <w:bookmarkStart w:id="704" w:name="_Toc206414550"/>
      <w:bookmarkStart w:id="705" w:name="_Toc206460392"/>
      <w:bookmarkStart w:id="706" w:name="_Toc206460724"/>
      <w:bookmarkStart w:id="707" w:name="_Toc206461446"/>
      <w:bookmarkStart w:id="708" w:name="_Toc206476240"/>
      <w:bookmarkStart w:id="709" w:name="_Toc207788775"/>
      <w:bookmarkStart w:id="710" w:name="_Toc211835446"/>
      <w:bookmarkStart w:id="711" w:name="_Toc211926753"/>
      <w:r>
        <w:rPr>
          <w:lang w:val="fr-FR"/>
        </w:rPr>
        <w:tab/>
        <w:t>8.</w:t>
      </w:r>
      <w:r>
        <w:rPr>
          <w:lang w:val="fr-FR"/>
        </w:rPr>
        <w:tab/>
        <w:t>Prévention de la déficience mentale et soins aux enfants handicapés mentaux</w:t>
      </w:r>
      <w:bookmarkEnd w:id="704"/>
      <w:bookmarkEnd w:id="705"/>
      <w:bookmarkEnd w:id="706"/>
      <w:bookmarkEnd w:id="707"/>
      <w:bookmarkEnd w:id="708"/>
      <w:bookmarkEnd w:id="709"/>
      <w:bookmarkEnd w:id="710"/>
      <w:bookmarkEnd w:id="711"/>
    </w:p>
    <w:p w:rsidR="00000000" w:rsidRDefault="00000000">
      <w:pPr>
        <w:pStyle w:val="SingleTxtG"/>
        <w:rPr>
          <w:lang w:val="fr-FR"/>
        </w:rPr>
      </w:pPr>
      <w:r>
        <w:rPr>
          <w:lang w:val="fr-FR"/>
        </w:rPr>
        <w:t>319.</w:t>
      </w:r>
      <w:r>
        <w:rPr>
          <w:lang w:val="fr-FR"/>
        </w:rPr>
        <w:tab/>
        <w:t>La trisomie 21, les problèmes au cours de la grossesse, les accidents périnataux, les divers états carentiels, maladies et accidents survenant au cours de l’enfance, l’épilepsie sont parmi les sources de déficience mentale des enfants.</w:t>
      </w:r>
    </w:p>
    <w:p w:rsidR="00000000" w:rsidRDefault="00000000">
      <w:pPr>
        <w:pStyle w:val="SingleTxtG"/>
        <w:rPr>
          <w:lang w:val="fr-FR"/>
        </w:rPr>
      </w:pPr>
      <w:r>
        <w:rPr>
          <w:lang w:val="fr-FR"/>
        </w:rPr>
        <w:t>320.</w:t>
      </w:r>
      <w:r>
        <w:rPr>
          <w:lang w:val="fr-FR"/>
        </w:rPr>
        <w:tab/>
        <w:t>Parmi les mesures de prévention de la déficience mentale, citons:</w:t>
      </w:r>
    </w:p>
    <w:p w:rsidR="00000000" w:rsidRDefault="00000000">
      <w:pPr>
        <w:pStyle w:val="Bullet1G"/>
        <w:rPr>
          <w:lang w:val="fr-FR"/>
        </w:rPr>
      </w:pPr>
      <w:r>
        <w:rPr>
          <w:lang w:val="fr-FR"/>
        </w:rPr>
        <w:t>La lutte contre les troubles dus à la carence en iode (TDCI);</w:t>
      </w:r>
    </w:p>
    <w:p w:rsidR="00000000" w:rsidRDefault="00000000">
      <w:pPr>
        <w:pStyle w:val="Bullet1G"/>
        <w:rPr>
          <w:lang w:val="fr-FR"/>
        </w:rPr>
      </w:pPr>
      <w:r>
        <w:rPr>
          <w:lang w:val="fr-FR"/>
        </w:rPr>
        <w:t>La lutte contre le syndrome d’alcoolisation fœtale par le biais d’un noyau multidisciplinaire public privé en collaboration avec l’entité homologue de l’île de la Réunion depuis 2007;</w:t>
      </w:r>
    </w:p>
    <w:p w:rsidR="00000000" w:rsidRDefault="00000000">
      <w:pPr>
        <w:pStyle w:val="Bullet1G"/>
        <w:rPr>
          <w:lang w:val="fr-FR"/>
        </w:rPr>
      </w:pPr>
      <w:r>
        <w:rPr>
          <w:lang w:val="fr-FR"/>
        </w:rPr>
        <w:t>Des programmes plus généraux qui concourent à la prévention de la déficience mentale: la maternité sans risque, la PCIME, le programme de nutrition;</w:t>
      </w:r>
    </w:p>
    <w:p w:rsidR="00000000" w:rsidRDefault="00000000">
      <w:pPr>
        <w:pStyle w:val="Bullet1G"/>
        <w:rPr>
          <w:lang w:val="fr-FR"/>
        </w:rPr>
      </w:pPr>
      <w:r>
        <w:rPr>
          <w:lang w:val="fr-FR"/>
        </w:rPr>
        <w:t>Le renforcement de la prise en charge des épilepsies.</w:t>
      </w:r>
    </w:p>
    <w:p w:rsidR="00000000" w:rsidRDefault="00000000">
      <w:pPr>
        <w:pStyle w:val="SingleTxtG"/>
        <w:rPr>
          <w:lang w:val="fr-FR"/>
        </w:rPr>
      </w:pPr>
      <w:r>
        <w:rPr>
          <w:lang w:val="fr-FR"/>
        </w:rPr>
        <w:t>321.</w:t>
      </w:r>
      <w:r>
        <w:rPr>
          <w:lang w:val="fr-FR"/>
        </w:rPr>
        <w:tab/>
        <w:t>Au niveau du système de santé, les déficients mentaux sont pris en charge dans les centres et services de rééducation. Les services publics sont encore concentrés dans les grandes villes et n’offrent pas le plateau technique complet adapté à la prise en charge des enfants déficients mentaux.</w:t>
      </w:r>
    </w:p>
    <w:p w:rsidR="00000000" w:rsidRDefault="00000000">
      <w:pPr>
        <w:pStyle w:val="SingleTxtG"/>
        <w:rPr>
          <w:lang w:val="fr-FR"/>
        </w:rPr>
      </w:pPr>
      <w:r>
        <w:rPr>
          <w:lang w:val="fr-FR"/>
        </w:rPr>
        <w:t>322.</w:t>
      </w:r>
      <w:r>
        <w:rPr>
          <w:lang w:val="fr-FR"/>
        </w:rPr>
        <w:tab/>
        <w:t>Les structures de long séjour pouvant accueillir des enfants polyhandicapés sont rares. Les longs traitements nécessaires constituent un frein à la prise en charge car il n’existe aucun système de tiers payant pour aider les familles à faire face aux coûts directs et indirects, à part des cas pris en charge par les associations et ONG.</w:t>
      </w:r>
    </w:p>
    <w:p w:rsidR="00000000" w:rsidRDefault="00000000">
      <w:pPr>
        <w:pStyle w:val="H23G"/>
        <w:rPr>
          <w:lang w:val="fr-FR"/>
        </w:rPr>
      </w:pPr>
      <w:bookmarkStart w:id="712" w:name="_Toc206414551"/>
      <w:bookmarkStart w:id="713" w:name="_Toc206460393"/>
      <w:bookmarkStart w:id="714" w:name="_Toc206460725"/>
      <w:bookmarkStart w:id="715" w:name="_Toc206461447"/>
      <w:bookmarkStart w:id="716" w:name="_Toc206476241"/>
      <w:bookmarkStart w:id="717" w:name="_Toc207788776"/>
      <w:bookmarkStart w:id="718" w:name="_Toc211835447"/>
      <w:bookmarkStart w:id="719" w:name="_Toc211926754"/>
      <w:r>
        <w:rPr>
          <w:lang w:val="fr-FR"/>
        </w:rPr>
        <w:tab/>
        <w:t>9.</w:t>
      </w:r>
      <w:r>
        <w:rPr>
          <w:lang w:val="fr-FR"/>
        </w:rPr>
        <w:tab/>
        <w:t>Accès à l’éducation</w:t>
      </w:r>
      <w:bookmarkEnd w:id="712"/>
      <w:bookmarkEnd w:id="713"/>
      <w:bookmarkEnd w:id="714"/>
      <w:bookmarkEnd w:id="715"/>
      <w:bookmarkEnd w:id="716"/>
      <w:bookmarkEnd w:id="717"/>
      <w:bookmarkEnd w:id="718"/>
      <w:bookmarkEnd w:id="719"/>
    </w:p>
    <w:p w:rsidR="00000000" w:rsidRDefault="00000000">
      <w:pPr>
        <w:pStyle w:val="SingleTxtG"/>
        <w:rPr>
          <w:lang w:val="fr-FR"/>
        </w:rPr>
      </w:pPr>
      <w:r>
        <w:rPr>
          <w:lang w:val="fr-FR"/>
        </w:rPr>
        <w:t>323.</w:t>
      </w:r>
      <w:r>
        <w:rPr>
          <w:lang w:val="fr-FR"/>
        </w:rPr>
        <w:tab/>
        <w:t>Dans le plan stratégique de développement du secteur éducatif figure entre autres, la volonté de l’État malgache de développer une politique de prise en charge des «personnes vivant avec un handicap».</w:t>
      </w:r>
    </w:p>
    <w:p w:rsidR="00000000" w:rsidRDefault="00000000">
      <w:pPr>
        <w:pStyle w:val="SingleTxtG"/>
        <w:rPr>
          <w:lang w:val="fr-FR"/>
        </w:rPr>
      </w:pPr>
      <w:r>
        <w:rPr>
          <w:lang w:val="fr-FR"/>
        </w:rPr>
        <w:t>324.</w:t>
      </w:r>
      <w:r>
        <w:rPr>
          <w:lang w:val="fr-FR"/>
        </w:rPr>
        <w:tab/>
        <w:t>Les textes en vigueur préconisent que les enfants et adolescents handicapés bénéficient en priorité d’une éducation normale en milieu scolaire ordinaire, conformément aux principes de l’éducation inclusive.</w:t>
      </w:r>
    </w:p>
    <w:p w:rsidR="00000000" w:rsidRDefault="00000000">
      <w:pPr>
        <w:pStyle w:val="SingleTxtG"/>
        <w:rPr>
          <w:lang w:val="fr-FR"/>
        </w:rPr>
      </w:pPr>
      <w:r>
        <w:rPr>
          <w:lang w:val="fr-FR"/>
        </w:rPr>
        <w:t>325.</w:t>
      </w:r>
      <w:r>
        <w:rPr>
          <w:lang w:val="fr-FR"/>
        </w:rPr>
        <w:tab/>
        <w:t xml:space="preserve">Malgré ces dispositions, 10 % des enfants handicapés toutes déficiences confondues fréquentent les établissements scolaires ci- dessus- visés. </w:t>
      </w:r>
    </w:p>
    <w:p w:rsidR="00000000" w:rsidRDefault="00000000">
      <w:pPr>
        <w:pStyle w:val="SingleTxtG"/>
        <w:rPr>
          <w:lang w:val="fr-FR"/>
        </w:rPr>
      </w:pPr>
      <w:r>
        <w:rPr>
          <w:lang w:val="fr-FR"/>
        </w:rPr>
        <w:t>326.</w:t>
      </w:r>
      <w:r>
        <w:rPr>
          <w:lang w:val="fr-FR"/>
        </w:rPr>
        <w:tab/>
        <w:t>À noter aussi que pour l’ensemble des enfants handicapés scolarisés, il reste à définir les procédures pour la participation aux examens officiels.</w:t>
      </w:r>
    </w:p>
    <w:p w:rsidR="00000000" w:rsidRDefault="00000000">
      <w:pPr>
        <w:pStyle w:val="H23G"/>
        <w:rPr>
          <w:lang w:val="fr-FR"/>
        </w:rPr>
      </w:pPr>
      <w:bookmarkStart w:id="720" w:name="_Toc206414552"/>
      <w:bookmarkStart w:id="721" w:name="_Toc206460394"/>
      <w:bookmarkStart w:id="722" w:name="_Toc206460726"/>
      <w:bookmarkStart w:id="723" w:name="_Toc206461448"/>
      <w:bookmarkStart w:id="724" w:name="_Toc206476242"/>
      <w:bookmarkStart w:id="725" w:name="_Toc207788777"/>
      <w:bookmarkStart w:id="726" w:name="_Toc211835448"/>
      <w:bookmarkStart w:id="727" w:name="_Toc211926755"/>
      <w:r>
        <w:rPr>
          <w:lang w:val="fr-FR"/>
        </w:rPr>
        <w:tab/>
        <w:t>10.</w:t>
      </w:r>
      <w:r>
        <w:rPr>
          <w:lang w:val="fr-FR"/>
        </w:rPr>
        <w:tab/>
        <w:t>Éducation des enfants handicapés physiques</w:t>
      </w:r>
      <w:bookmarkEnd w:id="720"/>
      <w:bookmarkEnd w:id="721"/>
      <w:bookmarkEnd w:id="722"/>
      <w:bookmarkEnd w:id="723"/>
      <w:bookmarkEnd w:id="724"/>
      <w:bookmarkEnd w:id="725"/>
      <w:bookmarkEnd w:id="726"/>
      <w:bookmarkEnd w:id="727"/>
    </w:p>
    <w:p w:rsidR="00000000" w:rsidRDefault="00000000">
      <w:pPr>
        <w:pStyle w:val="SingleTxtG"/>
        <w:rPr>
          <w:lang w:val="fr-FR"/>
        </w:rPr>
      </w:pPr>
      <w:r>
        <w:rPr>
          <w:lang w:val="fr-FR"/>
        </w:rPr>
        <w:t>327.</w:t>
      </w:r>
      <w:r>
        <w:rPr>
          <w:lang w:val="fr-FR"/>
        </w:rPr>
        <w:tab/>
        <w:t xml:space="preserve">Des efforts restent à déployer pour la facilitation de l’accès des enfants handicapés physiques en milieu scolaire ordinaire: coût des appareillages et le manque d’accessibilité architecturale adaptée à leur situation. </w:t>
      </w:r>
    </w:p>
    <w:p w:rsidR="00000000" w:rsidRDefault="00000000">
      <w:pPr>
        <w:pStyle w:val="SingleTxtG"/>
        <w:rPr>
          <w:lang w:val="fr-FR"/>
        </w:rPr>
      </w:pPr>
      <w:r>
        <w:rPr>
          <w:lang w:val="fr-FR"/>
        </w:rPr>
        <w:t>328.</w:t>
      </w:r>
      <w:r>
        <w:rPr>
          <w:lang w:val="fr-FR"/>
        </w:rPr>
        <w:tab/>
        <w:t>Le CRMM a intégré dans son enceinte une école assurant le primaire et le secondaire, destinée à scolariser les enfants en traitement dans le centre.</w:t>
      </w:r>
    </w:p>
    <w:p w:rsidR="00000000" w:rsidRDefault="00000000">
      <w:pPr>
        <w:pStyle w:val="H23G"/>
        <w:rPr>
          <w:lang w:val="fr-FR"/>
        </w:rPr>
      </w:pPr>
      <w:bookmarkStart w:id="728" w:name="_Toc206414553"/>
      <w:bookmarkStart w:id="729" w:name="_Toc206460395"/>
      <w:bookmarkStart w:id="730" w:name="_Toc206460727"/>
      <w:bookmarkStart w:id="731" w:name="_Toc206461449"/>
      <w:bookmarkStart w:id="732" w:name="_Toc206476243"/>
      <w:bookmarkStart w:id="733" w:name="_Toc207788778"/>
      <w:bookmarkStart w:id="734" w:name="_Toc211835449"/>
      <w:bookmarkStart w:id="735" w:name="_Toc211926756"/>
      <w:r>
        <w:rPr>
          <w:lang w:val="fr-FR"/>
        </w:rPr>
        <w:tab/>
        <w:t>11.</w:t>
      </w:r>
      <w:r>
        <w:rPr>
          <w:lang w:val="fr-FR"/>
        </w:rPr>
        <w:tab/>
        <w:t>Éducation des enfants handicapés mentaux</w:t>
      </w:r>
      <w:bookmarkEnd w:id="728"/>
      <w:bookmarkEnd w:id="729"/>
      <w:bookmarkEnd w:id="730"/>
      <w:bookmarkEnd w:id="731"/>
      <w:bookmarkEnd w:id="732"/>
      <w:bookmarkEnd w:id="733"/>
      <w:bookmarkEnd w:id="734"/>
      <w:bookmarkEnd w:id="735"/>
    </w:p>
    <w:p w:rsidR="00000000" w:rsidRDefault="00000000">
      <w:pPr>
        <w:pStyle w:val="SingleTxtG"/>
        <w:rPr>
          <w:lang w:val="fr-FR"/>
        </w:rPr>
      </w:pPr>
      <w:r>
        <w:rPr>
          <w:lang w:val="fr-FR"/>
        </w:rPr>
        <w:t>329.</w:t>
      </w:r>
      <w:r>
        <w:rPr>
          <w:lang w:val="fr-FR"/>
        </w:rPr>
        <w:tab/>
        <w:t>En partenariat avec Handicap International, un projet de création de classes intégrées pour déficients mentaux est actuellement en cours (2006-2009). Les enseignants reçoivent une formation spécifique. En 2007, on dénombrait 43 classes intégrées dispersées dans plusieurs villes du pays.</w:t>
      </w:r>
    </w:p>
    <w:p w:rsidR="00000000" w:rsidRDefault="00000000">
      <w:pPr>
        <w:pStyle w:val="SingleTxtG"/>
        <w:rPr>
          <w:lang w:val="fr-FR"/>
        </w:rPr>
      </w:pPr>
      <w:r>
        <w:rPr>
          <w:lang w:val="fr-FR"/>
        </w:rPr>
        <w:t>330.</w:t>
      </w:r>
      <w:r>
        <w:rPr>
          <w:lang w:val="fr-FR"/>
        </w:rPr>
        <w:tab/>
        <w:t>On dénombre une vingtaine d’organismes inégalement repartis sur le territoire fournissant une éducation, une formation ou des appuis socioéducatifs. Par ailleurs, quelques centres préscolaires accueillent des enfants avec une déficience mentale.</w:t>
      </w:r>
    </w:p>
    <w:p w:rsidR="00000000" w:rsidRDefault="00000000">
      <w:pPr>
        <w:pStyle w:val="H23G"/>
        <w:rPr>
          <w:lang w:val="fr-FR"/>
        </w:rPr>
      </w:pPr>
      <w:bookmarkStart w:id="736" w:name="_Toc206414554"/>
      <w:bookmarkStart w:id="737" w:name="_Toc206460396"/>
      <w:bookmarkStart w:id="738" w:name="_Toc206460728"/>
      <w:bookmarkStart w:id="739" w:name="_Toc206461450"/>
      <w:bookmarkStart w:id="740" w:name="_Toc206476244"/>
      <w:bookmarkStart w:id="741" w:name="_Toc207788779"/>
      <w:bookmarkStart w:id="742" w:name="_Toc211835450"/>
      <w:bookmarkStart w:id="743" w:name="_Toc211926757"/>
      <w:r>
        <w:rPr>
          <w:lang w:val="fr-FR"/>
        </w:rPr>
        <w:tab/>
        <w:t>12.</w:t>
      </w:r>
      <w:r>
        <w:rPr>
          <w:lang w:val="fr-FR"/>
        </w:rPr>
        <w:tab/>
        <w:t>Éducation des enfants aveugles</w:t>
      </w:r>
      <w:bookmarkEnd w:id="736"/>
      <w:bookmarkEnd w:id="737"/>
      <w:bookmarkEnd w:id="738"/>
      <w:bookmarkEnd w:id="739"/>
      <w:bookmarkEnd w:id="740"/>
      <w:bookmarkEnd w:id="741"/>
      <w:bookmarkEnd w:id="742"/>
      <w:bookmarkEnd w:id="743"/>
    </w:p>
    <w:p w:rsidR="00000000" w:rsidRDefault="00000000">
      <w:pPr>
        <w:pStyle w:val="SingleTxtG"/>
        <w:rPr>
          <w:lang w:val="fr-FR"/>
        </w:rPr>
      </w:pPr>
      <w:r>
        <w:rPr>
          <w:lang w:val="fr-FR"/>
        </w:rPr>
        <w:t>331.</w:t>
      </w:r>
      <w:r>
        <w:rPr>
          <w:lang w:val="fr-FR"/>
        </w:rPr>
        <w:tab/>
        <w:t>Les structures de prise en charge des aveugles sont encore peu nombreuses. Le centre de référence est le FOFAJA (Foibe Fanabeazana ny Jamba) créé par l’Église luthérienne à Antsirabe. Les enfants y effectuent en internat le cycle primaire suivant le programme officiel. Les parents participent aux frais de scolarité. Au cours de l’année 2006, 72 enfants aveugles suivaient l’école primaire et 27 y suivaient une formation professionnelle.</w:t>
      </w:r>
    </w:p>
    <w:p w:rsidR="00000000" w:rsidRDefault="00000000">
      <w:pPr>
        <w:pStyle w:val="SingleTxtG"/>
        <w:rPr>
          <w:lang w:val="fr-FR"/>
        </w:rPr>
      </w:pPr>
      <w:r>
        <w:rPr>
          <w:lang w:val="fr-FR"/>
        </w:rPr>
        <w:t>332.</w:t>
      </w:r>
      <w:r>
        <w:rPr>
          <w:lang w:val="fr-FR"/>
        </w:rPr>
        <w:tab/>
        <w:t>La majorité des enfants achevant le cycle primaire ne poursuit pas dans le secondaire en raison notamment des difficultés d’accès aux équipements braille.</w:t>
      </w:r>
    </w:p>
    <w:p w:rsidR="00000000" w:rsidRDefault="00000000">
      <w:pPr>
        <w:pStyle w:val="H23G"/>
        <w:rPr>
          <w:lang w:val="fr-FR"/>
        </w:rPr>
      </w:pPr>
      <w:bookmarkStart w:id="744" w:name="_Toc206414555"/>
      <w:bookmarkStart w:id="745" w:name="_Toc206460397"/>
      <w:bookmarkStart w:id="746" w:name="_Toc206460729"/>
      <w:bookmarkStart w:id="747" w:name="_Toc206461451"/>
      <w:bookmarkStart w:id="748" w:name="_Toc206476245"/>
      <w:bookmarkStart w:id="749" w:name="_Toc207788780"/>
      <w:bookmarkStart w:id="750" w:name="_Toc211835451"/>
      <w:bookmarkStart w:id="751" w:name="_Toc211926758"/>
      <w:r>
        <w:rPr>
          <w:lang w:val="fr-FR"/>
        </w:rPr>
        <w:tab/>
        <w:t>13.</w:t>
      </w:r>
      <w:r>
        <w:rPr>
          <w:lang w:val="fr-FR"/>
        </w:rPr>
        <w:tab/>
        <w:t>Éducation des enfants sourds</w:t>
      </w:r>
      <w:bookmarkEnd w:id="744"/>
      <w:bookmarkEnd w:id="745"/>
      <w:bookmarkEnd w:id="746"/>
      <w:bookmarkEnd w:id="747"/>
      <w:bookmarkEnd w:id="748"/>
      <w:bookmarkEnd w:id="749"/>
      <w:bookmarkEnd w:id="750"/>
      <w:bookmarkEnd w:id="751"/>
    </w:p>
    <w:p w:rsidR="00000000" w:rsidRDefault="00000000">
      <w:pPr>
        <w:pStyle w:val="SingleTxtG"/>
        <w:rPr>
          <w:lang w:val="fr-FR"/>
        </w:rPr>
      </w:pPr>
      <w:r>
        <w:rPr>
          <w:lang w:val="fr-FR"/>
        </w:rPr>
        <w:t>333.</w:t>
      </w:r>
      <w:r>
        <w:rPr>
          <w:lang w:val="fr-FR"/>
        </w:rPr>
        <w:tab/>
        <w:t>L’Église luthérienne dispose d’un centre spécialisé dans l’éducation des sourds. Huit instituts pour sourds opérant en régime d’internat existent actuellement dans les principales villes du pays. Les parents participent aux frais de séjour.</w:t>
      </w:r>
    </w:p>
    <w:p w:rsidR="00000000" w:rsidRDefault="00000000">
      <w:pPr>
        <w:pStyle w:val="SingleTxtG"/>
        <w:rPr>
          <w:lang w:val="fr-FR"/>
        </w:rPr>
      </w:pPr>
      <w:r>
        <w:rPr>
          <w:lang w:val="fr-FR"/>
        </w:rPr>
        <w:t>334.</w:t>
      </w:r>
      <w:r>
        <w:rPr>
          <w:lang w:val="fr-FR"/>
        </w:rPr>
        <w:tab/>
        <w:t>L’intégration scolaire en milieu ordinaire est visée après le Brevet d’études du premier cycle de l’enseignement secondaire (BEPC), avec l’intervention d’un interprète.</w:t>
      </w:r>
    </w:p>
    <w:p w:rsidR="00000000" w:rsidRDefault="00000000">
      <w:pPr>
        <w:pStyle w:val="SingleTxtG"/>
        <w:rPr>
          <w:lang w:val="fr-FR"/>
        </w:rPr>
      </w:pPr>
      <w:r>
        <w:rPr>
          <w:lang w:val="fr-FR"/>
        </w:rPr>
        <w:t>335.</w:t>
      </w:r>
      <w:r>
        <w:rPr>
          <w:lang w:val="fr-FR"/>
        </w:rPr>
        <w:tab/>
        <w:t>Par ailleurs quelques enfants malentendants sont progressivement insérés dans les classes ordinaires.</w:t>
      </w:r>
    </w:p>
    <w:p w:rsidR="00000000" w:rsidRDefault="00000000">
      <w:pPr>
        <w:pStyle w:val="SingleTxtG"/>
        <w:rPr>
          <w:lang w:val="fr-FR"/>
        </w:rPr>
      </w:pPr>
      <w:r>
        <w:rPr>
          <w:lang w:val="fr-FR"/>
        </w:rPr>
        <w:t>336.</w:t>
      </w:r>
      <w:r>
        <w:rPr>
          <w:lang w:val="fr-FR"/>
        </w:rPr>
        <w:tab/>
        <w:t>La FMM (Federasionan’ny Marenina eto Madagasikara), en partenariat avec la Norvège, s’est investie dans la formation d’interprètes en langue des signes malgaches. Une première vague de 14 personnes a été formée. Les besoins restent malgré tout importants. Par ailleurs la FMM s’est investie dans l’élaboration d’un dictionnaire de la langue des signes, à diffuser.</w:t>
      </w:r>
    </w:p>
    <w:p w:rsidR="00000000" w:rsidRDefault="00000000">
      <w:pPr>
        <w:pStyle w:val="H23G"/>
        <w:rPr>
          <w:i/>
          <w:lang w:val="fr-FR"/>
        </w:rPr>
      </w:pPr>
      <w:bookmarkStart w:id="752" w:name="_Toc206414556"/>
      <w:bookmarkStart w:id="753" w:name="_Toc206460398"/>
      <w:bookmarkStart w:id="754" w:name="_Toc206460730"/>
      <w:bookmarkStart w:id="755" w:name="_Toc206461452"/>
      <w:bookmarkStart w:id="756" w:name="_Toc206476246"/>
      <w:bookmarkStart w:id="757" w:name="_Toc207788781"/>
      <w:bookmarkStart w:id="758" w:name="_Toc211835452"/>
      <w:bookmarkStart w:id="759" w:name="_Toc211926759"/>
      <w:r>
        <w:rPr>
          <w:lang w:val="fr-FR"/>
        </w:rPr>
        <w:tab/>
        <w:t>14.</w:t>
      </w:r>
      <w:r>
        <w:rPr>
          <w:lang w:val="fr-FR"/>
        </w:rPr>
        <w:tab/>
        <w:t>Dans le domaine culturel et</w:t>
      </w:r>
      <w:r>
        <w:rPr>
          <w:i/>
          <w:lang w:val="fr-FR"/>
        </w:rPr>
        <w:t xml:space="preserve"> </w:t>
      </w:r>
      <w:r>
        <w:rPr>
          <w:lang w:val="fr-FR"/>
        </w:rPr>
        <w:t>sportif</w:t>
      </w:r>
      <w:bookmarkEnd w:id="752"/>
      <w:bookmarkEnd w:id="753"/>
      <w:bookmarkEnd w:id="754"/>
      <w:bookmarkEnd w:id="755"/>
      <w:bookmarkEnd w:id="756"/>
      <w:bookmarkEnd w:id="757"/>
      <w:bookmarkEnd w:id="758"/>
      <w:bookmarkEnd w:id="759"/>
    </w:p>
    <w:p w:rsidR="00000000" w:rsidRDefault="00000000">
      <w:pPr>
        <w:pStyle w:val="SingleTxtG"/>
        <w:rPr>
          <w:lang w:val="fr-FR"/>
        </w:rPr>
      </w:pPr>
      <w:r>
        <w:rPr>
          <w:lang w:val="fr-FR"/>
        </w:rPr>
        <w:t>337.</w:t>
      </w:r>
      <w:r>
        <w:rPr>
          <w:lang w:val="fr-FR"/>
        </w:rPr>
        <w:tab/>
        <w:t>Les associations et centres spécialisés s’attachent à promouvoir le sport chez les enfants handicapés, en organisant des compétitions sportives pour valoriser l’enfant handicapé et apporter au public l’occasion d’avoir un autre regard sur les personnes handicapées.</w:t>
      </w:r>
    </w:p>
    <w:p w:rsidR="00000000" w:rsidRDefault="00000000">
      <w:pPr>
        <w:pStyle w:val="SingleTxtG"/>
        <w:rPr>
          <w:lang w:val="fr-FR"/>
        </w:rPr>
      </w:pPr>
      <w:r>
        <w:rPr>
          <w:lang w:val="fr-FR"/>
        </w:rPr>
        <w:t>338.</w:t>
      </w:r>
      <w:r>
        <w:rPr>
          <w:lang w:val="fr-FR"/>
        </w:rPr>
        <w:tab/>
        <w:t>Il existe une fédération sportive ou handisport très active. Cette fédération regroupe plusieurs disciplines dont le basket sur fauteuil, l’athlétisme pour non-voyants ou mal voyants, la pétanque, le torball. À l’occasion des Jeux des îles de l’océan Indien de 2007 qui se sont déroulés à Madagascar, les personnes handicapées malgaches y ont participé et gagné des médailles.</w:t>
      </w:r>
    </w:p>
    <w:p w:rsidR="00000000" w:rsidRDefault="00000000">
      <w:pPr>
        <w:pStyle w:val="SingleTxtG"/>
        <w:rPr>
          <w:lang w:val="fr-FR"/>
        </w:rPr>
      </w:pPr>
      <w:r>
        <w:rPr>
          <w:lang w:val="fr-FR"/>
        </w:rPr>
        <w:t>339.</w:t>
      </w:r>
      <w:r>
        <w:rPr>
          <w:lang w:val="fr-FR"/>
        </w:rPr>
        <w:tab/>
        <w:t>L’accès aux loisirs organisés publiquement reste cependant limité et concentré en milieu urbain.</w:t>
      </w:r>
    </w:p>
    <w:p w:rsidR="00000000" w:rsidRDefault="00000000">
      <w:pPr>
        <w:pStyle w:val="H1G"/>
        <w:rPr>
          <w:lang w:val="fr-FR"/>
        </w:rPr>
      </w:pPr>
      <w:bookmarkStart w:id="760" w:name="_Toc206414557"/>
      <w:bookmarkStart w:id="761" w:name="_Toc206460399"/>
      <w:bookmarkStart w:id="762" w:name="_Toc206460731"/>
      <w:bookmarkStart w:id="763" w:name="_Toc206461453"/>
      <w:bookmarkStart w:id="764" w:name="_Toc206476247"/>
      <w:bookmarkStart w:id="765" w:name="_Toc207788782"/>
      <w:bookmarkStart w:id="766" w:name="_Toc211835453"/>
      <w:bookmarkStart w:id="767" w:name="_Toc211926760"/>
      <w:r>
        <w:rPr>
          <w:lang w:val="fr-FR"/>
        </w:rPr>
        <w:tab/>
      </w:r>
      <w:bookmarkStart w:id="768" w:name="_Toc260298252"/>
      <w:r>
        <w:rPr>
          <w:lang w:val="fr-FR"/>
        </w:rPr>
        <w:t>B.</w:t>
      </w:r>
      <w:r>
        <w:rPr>
          <w:lang w:val="fr-FR"/>
        </w:rPr>
        <w:tab/>
        <w:t>La santé et les services médicaux</w:t>
      </w:r>
      <w:bookmarkEnd w:id="760"/>
      <w:bookmarkEnd w:id="761"/>
      <w:bookmarkEnd w:id="762"/>
      <w:bookmarkEnd w:id="763"/>
      <w:bookmarkEnd w:id="764"/>
      <w:bookmarkEnd w:id="765"/>
      <w:bookmarkEnd w:id="766"/>
      <w:bookmarkEnd w:id="767"/>
      <w:bookmarkEnd w:id="768"/>
    </w:p>
    <w:p w:rsidR="00000000" w:rsidRDefault="00000000">
      <w:pPr>
        <w:pStyle w:val="H23G"/>
        <w:rPr>
          <w:i/>
          <w:lang w:val="fr-FR"/>
        </w:rPr>
      </w:pPr>
      <w:bookmarkStart w:id="769" w:name="_Toc206414558"/>
      <w:bookmarkStart w:id="770" w:name="_Toc206460400"/>
      <w:bookmarkStart w:id="771" w:name="_Toc206460732"/>
      <w:bookmarkStart w:id="772" w:name="_Toc206461454"/>
      <w:bookmarkStart w:id="773" w:name="_Toc206476248"/>
      <w:bookmarkStart w:id="774" w:name="_Toc207788783"/>
      <w:bookmarkStart w:id="775" w:name="_Toc211835454"/>
      <w:bookmarkStart w:id="776" w:name="_Toc211926761"/>
      <w:r>
        <w:rPr>
          <w:lang w:val="fr-FR"/>
        </w:rPr>
        <w:tab/>
        <w:t>1.</w:t>
      </w:r>
      <w:r>
        <w:rPr>
          <w:lang w:val="fr-FR"/>
        </w:rPr>
        <w:tab/>
        <w:t>Cadre</w:t>
      </w:r>
      <w:r>
        <w:rPr>
          <w:i/>
          <w:lang w:val="fr-FR"/>
        </w:rPr>
        <w:t xml:space="preserve"> </w:t>
      </w:r>
      <w:r>
        <w:rPr>
          <w:lang w:val="fr-FR"/>
        </w:rPr>
        <w:t>institutionnel</w:t>
      </w:r>
      <w:bookmarkEnd w:id="769"/>
      <w:bookmarkEnd w:id="770"/>
      <w:bookmarkEnd w:id="771"/>
      <w:bookmarkEnd w:id="772"/>
      <w:bookmarkEnd w:id="773"/>
      <w:bookmarkEnd w:id="774"/>
      <w:bookmarkEnd w:id="775"/>
      <w:bookmarkEnd w:id="776"/>
    </w:p>
    <w:p w:rsidR="00000000" w:rsidRDefault="00000000">
      <w:pPr>
        <w:pStyle w:val="SingleTxtG"/>
        <w:rPr>
          <w:lang w:val="fr-FR"/>
        </w:rPr>
      </w:pPr>
      <w:r>
        <w:rPr>
          <w:lang w:val="fr-FR"/>
        </w:rPr>
        <w:t>340.</w:t>
      </w:r>
      <w:r>
        <w:rPr>
          <w:lang w:val="fr-FR"/>
        </w:rPr>
        <w:tab/>
        <w:t>L’État reconnaît et organise pour tout individu le droit à la protection de sa santé dès sa conception (art. 19 de la Constitution). Ce droit à la santé et au développement implique le devoir de prévenir les maladies et de couvrir les besoins sanitaires des enfants en cas de maladie.</w:t>
      </w:r>
    </w:p>
    <w:p w:rsidR="00000000" w:rsidRDefault="00000000">
      <w:pPr>
        <w:pStyle w:val="SingleTxtG"/>
        <w:rPr>
          <w:lang w:val="fr-FR"/>
        </w:rPr>
      </w:pPr>
      <w:r>
        <w:rPr>
          <w:lang w:val="fr-FR"/>
        </w:rPr>
        <w:t>341.</w:t>
      </w:r>
      <w:r>
        <w:rPr>
          <w:lang w:val="fr-FR"/>
        </w:rPr>
        <w:tab/>
        <w:t>Tenant compte de la déclaration du Millénaire de 2000, le Président de la République et le Gouvernement accordent une attention particulière à la santé maternelle et infantile</w:t>
      </w:r>
    </w:p>
    <w:p w:rsidR="00000000" w:rsidRDefault="00000000">
      <w:pPr>
        <w:pStyle w:val="H23G"/>
        <w:rPr>
          <w:lang w:val="fr-FR"/>
        </w:rPr>
      </w:pPr>
      <w:bookmarkStart w:id="777" w:name="_Toc206414559"/>
      <w:bookmarkStart w:id="778" w:name="_Toc206460401"/>
      <w:bookmarkStart w:id="779" w:name="_Toc206460733"/>
      <w:bookmarkStart w:id="780" w:name="_Toc206461455"/>
      <w:bookmarkStart w:id="781" w:name="_Toc206476249"/>
      <w:bookmarkStart w:id="782" w:name="_Toc207788784"/>
      <w:bookmarkStart w:id="783" w:name="_Toc211835455"/>
      <w:bookmarkStart w:id="784" w:name="_Toc211926762"/>
      <w:r>
        <w:rPr>
          <w:lang w:val="fr-FR"/>
        </w:rPr>
        <w:tab/>
        <w:t>2.</w:t>
      </w:r>
      <w:r>
        <w:rPr>
          <w:lang w:val="fr-FR"/>
        </w:rPr>
        <w:tab/>
        <w:t>Aperçu de l’évolution des indicateurs</w:t>
      </w:r>
      <w:bookmarkEnd w:id="777"/>
      <w:bookmarkEnd w:id="778"/>
      <w:bookmarkEnd w:id="779"/>
      <w:bookmarkEnd w:id="780"/>
      <w:bookmarkEnd w:id="781"/>
      <w:bookmarkEnd w:id="782"/>
      <w:bookmarkEnd w:id="783"/>
      <w:bookmarkEnd w:id="784"/>
    </w:p>
    <w:p w:rsidR="00000000" w:rsidRDefault="00000000">
      <w:pPr>
        <w:pStyle w:val="SingleTxtG"/>
        <w:rPr>
          <w:lang w:val="fr-FR"/>
        </w:rPr>
      </w:pPr>
      <w:r>
        <w:rPr>
          <w:lang w:val="fr-FR"/>
        </w:rPr>
        <w:t>342.</w:t>
      </w:r>
      <w:r>
        <w:rPr>
          <w:lang w:val="fr-FR"/>
        </w:rPr>
        <w:tab/>
        <w:t>Les données essentielles concernant la santé de l’enfant montrent une évolution positive au cours des dernières années.</w:t>
      </w:r>
    </w:p>
    <w:p w:rsidR="00000000" w:rsidRDefault="00000000">
      <w:pPr>
        <w:pStyle w:val="SingleTxtG"/>
        <w:rPr>
          <w:lang w:val="fr-FR"/>
        </w:rPr>
      </w:pPr>
      <w:r>
        <w:rPr>
          <w:lang w:val="fr-FR"/>
        </w:rPr>
        <w:t>343.</w:t>
      </w:r>
      <w:r>
        <w:rPr>
          <w:lang w:val="fr-FR"/>
        </w:rPr>
        <w:tab/>
        <w:t>La chute des taux de mortalité chez les enfants de moins de 5 ans, amorcée depuis 1985, a connu une accélération entre 1997 et 2003.</w:t>
      </w:r>
    </w:p>
    <w:p w:rsidR="00000000" w:rsidRDefault="00000000">
      <w:pPr>
        <w:pStyle w:val="SingleTxtG"/>
        <w:spacing w:after="0"/>
      </w:pPr>
      <w:bookmarkStart w:id="785" w:name="_Toc260298253"/>
      <w:r>
        <w:t>Tableau 16</w:t>
      </w:r>
    </w:p>
    <w:p w:rsidR="00000000" w:rsidRDefault="00000000">
      <w:pPr>
        <w:pStyle w:val="SingleTxtG"/>
        <w:rPr>
          <w:b/>
        </w:rPr>
      </w:pPr>
      <w:r>
        <w:rPr>
          <w:b/>
        </w:rPr>
        <w:t>Tableau comparatif des taux de mortalité selon leur nature</w:t>
      </w:r>
      <w:bookmarkEnd w:id="785"/>
    </w:p>
    <w:tbl>
      <w:tblPr>
        <w:tblW w:w="7371" w:type="dxa"/>
        <w:tblInd w:w="1134" w:type="dxa"/>
        <w:tblCellMar>
          <w:left w:w="0" w:type="dxa"/>
          <w:right w:w="0" w:type="dxa"/>
        </w:tblCellMar>
        <w:tblLook w:val="01E0" w:firstRow="1" w:lastRow="1" w:firstColumn="1" w:lastColumn="1" w:noHBand="0" w:noVBand="0"/>
      </w:tblPr>
      <w:tblGrid>
        <w:gridCol w:w="2289"/>
        <w:gridCol w:w="1838"/>
        <w:gridCol w:w="1550"/>
        <w:gridCol w:w="1694"/>
      </w:tblGrid>
      <w:tr w:rsidR="00000000">
        <w:tc>
          <w:tcPr>
            <w:tcW w:w="2289" w:type="dxa"/>
            <w:tcBorders>
              <w:top w:val="single" w:sz="4" w:space="0" w:color="auto"/>
              <w:bottom w:val="single" w:sz="12" w:space="0" w:color="auto"/>
            </w:tcBorders>
            <w:shd w:val="clear" w:color="auto" w:fill="auto"/>
          </w:tcPr>
          <w:p w:rsidR="00000000" w:rsidRDefault="00000000">
            <w:pPr>
              <w:spacing w:before="80" w:after="80" w:line="200" w:lineRule="exact"/>
              <w:rPr>
                <w:bCs/>
                <w:i/>
                <w:sz w:val="16"/>
                <w:szCs w:val="16"/>
              </w:rPr>
            </w:pPr>
            <w:r>
              <w:rPr>
                <w:bCs/>
                <w:i/>
                <w:sz w:val="16"/>
                <w:szCs w:val="16"/>
              </w:rPr>
              <w:t>Année/ Taux</w:t>
            </w:r>
          </w:p>
        </w:tc>
        <w:tc>
          <w:tcPr>
            <w:tcW w:w="1838"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bCs/>
                <w:i/>
                <w:sz w:val="16"/>
                <w:szCs w:val="16"/>
              </w:rPr>
            </w:pPr>
            <w:r>
              <w:rPr>
                <w:bCs/>
                <w:i/>
                <w:sz w:val="16"/>
                <w:szCs w:val="16"/>
              </w:rPr>
              <w:t>1992</w:t>
            </w:r>
          </w:p>
        </w:tc>
        <w:tc>
          <w:tcPr>
            <w:tcW w:w="1550"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bCs/>
                <w:i/>
                <w:sz w:val="16"/>
                <w:szCs w:val="16"/>
              </w:rPr>
            </w:pPr>
            <w:r>
              <w:rPr>
                <w:bCs/>
                <w:i/>
                <w:sz w:val="16"/>
                <w:szCs w:val="16"/>
              </w:rPr>
              <w:t>1997</w:t>
            </w:r>
          </w:p>
        </w:tc>
        <w:tc>
          <w:tcPr>
            <w:tcW w:w="1694"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bCs/>
                <w:i/>
                <w:sz w:val="16"/>
                <w:szCs w:val="16"/>
              </w:rPr>
            </w:pPr>
            <w:r>
              <w:rPr>
                <w:bCs/>
                <w:i/>
                <w:sz w:val="16"/>
                <w:szCs w:val="16"/>
              </w:rPr>
              <w:t>2004</w:t>
            </w:r>
          </w:p>
        </w:tc>
      </w:tr>
      <w:tr w:rsidR="00000000">
        <w:tc>
          <w:tcPr>
            <w:tcW w:w="2289" w:type="dxa"/>
            <w:tcBorders>
              <w:top w:val="single" w:sz="12" w:space="0" w:color="auto"/>
            </w:tcBorders>
            <w:shd w:val="clear" w:color="auto" w:fill="auto"/>
          </w:tcPr>
          <w:p w:rsidR="00000000" w:rsidRDefault="00000000">
            <w:pPr>
              <w:spacing w:before="40" w:after="40" w:line="220" w:lineRule="exact"/>
              <w:rPr>
                <w:bCs/>
                <w:sz w:val="18"/>
                <w:szCs w:val="18"/>
              </w:rPr>
            </w:pPr>
            <w:r>
              <w:rPr>
                <w:bCs/>
                <w:sz w:val="18"/>
                <w:szCs w:val="18"/>
              </w:rPr>
              <w:t>Mortalité maternelle</w:t>
            </w:r>
          </w:p>
        </w:tc>
        <w:tc>
          <w:tcPr>
            <w:tcW w:w="1838" w:type="dxa"/>
            <w:tcBorders>
              <w:top w:val="single" w:sz="12" w:space="0" w:color="auto"/>
            </w:tcBorders>
            <w:shd w:val="clear" w:color="auto" w:fill="auto"/>
            <w:vAlign w:val="bottom"/>
          </w:tcPr>
          <w:p w:rsidR="00000000" w:rsidRDefault="00000000">
            <w:pPr>
              <w:spacing w:before="40" w:after="40" w:line="220" w:lineRule="exact"/>
              <w:jc w:val="right"/>
              <w:rPr>
                <w:bCs/>
                <w:sz w:val="18"/>
                <w:szCs w:val="18"/>
              </w:rPr>
            </w:pPr>
            <w:r>
              <w:rPr>
                <w:bCs/>
                <w:sz w:val="18"/>
                <w:szCs w:val="18"/>
              </w:rPr>
              <w:t>507</w:t>
            </w:r>
          </w:p>
        </w:tc>
        <w:tc>
          <w:tcPr>
            <w:tcW w:w="1550" w:type="dxa"/>
            <w:tcBorders>
              <w:top w:val="single" w:sz="12" w:space="0" w:color="auto"/>
            </w:tcBorders>
            <w:shd w:val="clear" w:color="auto" w:fill="auto"/>
            <w:vAlign w:val="bottom"/>
          </w:tcPr>
          <w:p w:rsidR="00000000" w:rsidRDefault="00000000">
            <w:pPr>
              <w:spacing w:before="40" w:after="40" w:line="220" w:lineRule="exact"/>
              <w:jc w:val="right"/>
              <w:rPr>
                <w:bCs/>
                <w:sz w:val="18"/>
                <w:szCs w:val="18"/>
              </w:rPr>
            </w:pPr>
            <w:r>
              <w:rPr>
                <w:bCs/>
                <w:sz w:val="18"/>
                <w:szCs w:val="18"/>
              </w:rPr>
              <w:t>488</w:t>
            </w:r>
          </w:p>
        </w:tc>
        <w:tc>
          <w:tcPr>
            <w:tcW w:w="1694" w:type="dxa"/>
            <w:tcBorders>
              <w:top w:val="single" w:sz="12" w:space="0" w:color="auto"/>
            </w:tcBorders>
            <w:shd w:val="clear" w:color="auto" w:fill="auto"/>
            <w:vAlign w:val="bottom"/>
          </w:tcPr>
          <w:p w:rsidR="00000000" w:rsidRDefault="00000000">
            <w:pPr>
              <w:spacing w:before="40" w:after="40" w:line="220" w:lineRule="exact"/>
              <w:jc w:val="right"/>
              <w:rPr>
                <w:bCs/>
                <w:sz w:val="18"/>
                <w:szCs w:val="18"/>
              </w:rPr>
            </w:pPr>
            <w:r>
              <w:rPr>
                <w:bCs/>
                <w:sz w:val="18"/>
                <w:szCs w:val="18"/>
              </w:rPr>
              <w:t>469</w:t>
            </w:r>
          </w:p>
        </w:tc>
      </w:tr>
      <w:tr w:rsidR="00000000">
        <w:tc>
          <w:tcPr>
            <w:tcW w:w="2289" w:type="dxa"/>
            <w:shd w:val="clear" w:color="auto" w:fill="auto"/>
          </w:tcPr>
          <w:p w:rsidR="00000000" w:rsidRDefault="00000000">
            <w:pPr>
              <w:spacing w:before="40" w:after="40" w:line="220" w:lineRule="exact"/>
              <w:rPr>
                <w:bCs/>
                <w:sz w:val="18"/>
                <w:szCs w:val="18"/>
              </w:rPr>
            </w:pPr>
            <w:r>
              <w:rPr>
                <w:bCs/>
                <w:sz w:val="18"/>
                <w:szCs w:val="18"/>
              </w:rPr>
              <w:t>Mortalité infantile</w:t>
            </w:r>
          </w:p>
        </w:tc>
        <w:tc>
          <w:tcPr>
            <w:tcW w:w="1838" w:type="dxa"/>
            <w:shd w:val="clear" w:color="auto" w:fill="auto"/>
            <w:vAlign w:val="bottom"/>
          </w:tcPr>
          <w:p w:rsidR="00000000" w:rsidRDefault="00000000">
            <w:pPr>
              <w:spacing w:before="40" w:after="40" w:line="220" w:lineRule="exact"/>
              <w:jc w:val="right"/>
              <w:rPr>
                <w:bCs/>
                <w:sz w:val="18"/>
                <w:szCs w:val="18"/>
              </w:rPr>
            </w:pPr>
            <w:r>
              <w:rPr>
                <w:bCs/>
                <w:sz w:val="18"/>
                <w:szCs w:val="18"/>
              </w:rPr>
              <w:t>93</w:t>
            </w:r>
          </w:p>
        </w:tc>
        <w:tc>
          <w:tcPr>
            <w:tcW w:w="1550" w:type="dxa"/>
            <w:shd w:val="clear" w:color="auto" w:fill="auto"/>
            <w:vAlign w:val="bottom"/>
          </w:tcPr>
          <w:p w:rsidR="00000000" w:rsidRDefault="00000000">
            <w:pPr>
              <w:spacing w:before="40" w:after="40" w:line="220" w:lineRule="exact"/>
              <w:jc w:val="right"/>
              <w:rPr>
                <w:bCs/>
                <w:sz w:val="18"/>
                <w:szCs w:val="18"/>
              </w:rPr>
            </w:pPr>
            <w:r>
              <w:rPr>
                <w:bCs/>
                <w:sz w:val="18"/>
                <w:szCs w:val="18"/>
              </w:rPr>
              <w:t>88</w:t>
            </w:r>
          </w:p>
        </w:tc>
        <w:tc>
          <w:tcPr>
            <w:tcW w:w="1694" w:type="dxa"/>
            <w:shd w:val="clear" w:color="auto" w:fill="auto"/>
            <w:vAlign w:val="bottom"/>
          </w:tcPr>
          <w:p w:rsidR="00000000" w:rsidRDefault="00000000">
            <w:pPr>
              <w:spacing w:before="40" w:after="40" w:line="220" w:lineRule="exact"/>
              <w:jc w:val="right"/>
              <w:rPr>
                <w:bCs/>
                <w:sz w:val="18"/>
                <w:szCs w:val="18"/>
              </w:rPr>
            </w:pPr>
            <w:r>
              <w:rPr>
                <w:bCs/>
                <w:sz w:val="18"/>
                <w:szCs w:val="18"/>
              </w:rPr>
              <w:t>58</w:t>
            </w:r>
          </w:p>
        </w:tc>
      </w:tr>
      <w:tr w:rsidR="00000000">
        <w:tc>
          <w:tcPr>
            <w:tcW w:w="2289" w:type="dxa"/>
            <w:tcBorders>
              <w:bottom w:val="single" w:sz="12" w:space="0" w:color="auto"/>
            </w:tcBorders>
            <w:shd w:val="clear" w:color="auto" w:fill="auto"/>
          </w:tcPr>
          <w:p w:rsidR="00000000" w:rsidRDefault="00000000">
            <w:pPr>
              <w:spacing w:before="40" w:after="40" w:line="220" w:lineRule="exact"/>
              <w:rPr>
                <w:bCs/>
                <w:sz w:val="18"/>
                <w:szCs w:val="18"/>
              </w:rPr>
            </w:pPr>
            <w:r>
              <w:rPr>
                <w:bCs/>
                <w:sz w:val="18"/>
                <w:szCs w:val="18"/>
              </w:rPr>
              <w:t>Mortalité infanto-juvénile</w:t>
            </w:r>
          </w:p>
        </w:tc>
        <w:tc>
          <w:tcPr>
            <w:tcW w:w="1838" w:type="dxa"/>
            <w:tcBorders>
              <w:bottom w:val="single" w:sz="12" w:space="0" w:color="auto"/>
            </w:tcBorders>
            <w:shd w:val="clear" w:color="auto" w:fill="auto"/>
            <w:vAlign w:val="bottom"/>
          </w:tcPr>
          <w:p w:rsidR="00000000" w:rsidRDefault="00000000">
            <w:pPr>
              <w:spacing w:before="40" w:after="40" w:line="220" w:lineRule="exact"/>
              <w:jc w:val="right"/>
              <w:rPr>
                <w:bCs/>
                <w:sz w:val="18"/>
                <w:szCs w:val="18"/>
              </w:rPr>
            </w:pPr>
            <w:r>
              <w:rPr>
                <w:bCs/>
                <w:sz w:val="18"/>
                <w:szCs w:val="18"/>
              </w:rPr>
              <w:t>153</w:t>
            </w:r>
          </w:p>
        </w:tc>
        <w:tc>
          <w:tcPr>
            <w:tcW w:w="1550" w:type="dxa"/>
            <w:tcBorders>
              <w:bottom w:val="single" w:sz="12" w:space="0" w:color="auto"/>
            </w:tcBorders>
            <w:shd w:val="clear" w:color="auto" w:fill="auto"/>
            <w:vAlign w:val="bottom"/>
          </w:tcPr>
          <w:p w:rsidR="00000000" w:rsidRDefault="00000000">
            <w:pPr>
              <w:spacing w:before="40" w:after="40" w:line="220" w:lineRule="exact"/>
              <w:jc w:val="right"/>
              <w:rPr>
                <w:bCs/>
                <w:sz w:val="18"/>
                <w:szCs w:val="18"/>
              </w:rPr>
            </w:pPr>
            <w:r>
              <w:rPr>
                <w:bCs/>
                <w:sz w:val="18"/>
                <w:szCs w:val="18"/>
              </w:rPr>
              <w:t>142</w:t>
            </w:r>
          </w:p>
        </w:tc>
        <w:tc>
          <w:tcPr>
            <w:tcW w:w="1694" w:type="dxa"/>
            <w:tcBorders>
              <w:bottom w:val="single" w:sz="12" w:space="0" w:color="auto"/>
            </w:tcBorders>
            <w:shd w:val="clear" w:color="auto" w:fill="auto"/>
            <w:vAlign w:val="bottom"/>
          </w:tcPr>
          <w:p w:rsidR="00000000" w:rsidRDefault="00000000">
            <w:pPr>
              <w:spacing w:before="40" w:after="40" w:line="220" w:lineRule="exact"/>
              <w:jc w:val="right"/>
              <w:rPr>
                <w:bCs/>
                <w:sz w:val="18"/>
                <w:szCs w:val="18"/>
              </w:rPr>
            </w:pPr>
            <w:r>
              <w:rPr>
                <w:bCs/>
                <w:sz w:val="18"/>
                <w:szCs w:val="18"/>
              </w:rPr>
              <w:t>94</w:t>
            </w:r>
          </w:p>
        </w:tc>
      </w:tr>
    </w:tbl>
    <w:p w:rsidR="00000000" w:rsidRDefault="00000000">
      <w:pPr>
        <w:spacing w:before="120" w:after="240"/>
        <w:ind w:left="1134" w:firstLine="170"/>
        <w:rPr>
          <w:i/>
          <w:iCs/>
          <w:sz w:val="18"/>
          <w:szCs w:val="18"/>
          <w:lang w:val="fr-FR"/>
        </w:rPr>
      </w:pPr>
      <w:r>
        <w:rPr>
          <w:i/>
          <w:iCs/>
          <w:sz w:val="18"/>
          <w:szCs w:val="18"/>
          <w:lang w:val="fr-FR"/>
        </w:rPr>
        <w:t xml:space="preserve">Source: </w:t>
      </w:r>
      <w:r>
        <w:rPr>
          <w:iCs/>
          <w:sz w:val="18"/>
          <w:szCs w:val="18"/>
          <w:lang w:val="fr-FR"/>
        </w:rPr>
        <w:t>Politique nationale de la santé de l’enfant (PNSE 2005).</w:t>
      </w:r>
    </w:p>
    <w:p w:rsidR="00000000" w:rsidRDefault="00000000">
      <w:pPr>
        <w:pStyle w:val="SingleTxtG"/>
        <w:rPr>
          <w:b/>
          <w:lang w:val="fr-FR"/>
        </w:rPr>
      </w:pPr>
      <w:r>
        <w:rPr>
          <w:lang w:val="fr-FR"/>
        </w:rPr>
        <w:t>344.</w:t>
      </w:r>
      <w:r>
        <w:rPr>
          <w:lang w:val="fr-FR"/>
        </w:rPr>
        <w:tab/>
        <w:t>Parmi les facteurs qui ont contribué à la baisse on peut mentionner la relance, depuis 2003, de la couverture vaccinale dans les districts les moins favorisés, le programme élargi de vaccination (PEV) et les campagnes de vaccination contre la rougeole en 2004 (9 millions d’enfants vaccinés) et contre la polio en 2005.</w:t>
      </w:r>
    </w:p>
    <w:p w:rsidR="00000000" w:rsidRDefault="00000000">
      <w:pPr>
        <w:pStyle w:val="SingleTxtG"/>
        <w:keepNext/>
        <w:spacing w:after="0"/>
      </w:pPr>
      <w:bookmarkStart w:id="786" w:name="_Toc260298254"/>
      <w:r>
        <w:t>Tableau 17</w:t>
      </w:r>
    </w:p>
    <w:p w:rsidR="00000000" w:rsidRDefault="00000000">
      <w:pPr>
        <w:keepNext/>
        <w:keepLines/>
        <w:spacing w:after="120"/>
        <w:ind w:left="1134"/>
        <w:rPr>
          <w:b/>
          <w:bCs/>
        </w:rPr>
      </w:pPr>
      <w:r>
        <w:rPr>
          <w:b/>
          <w:bCs/>
        </w:rPr>
        <w:t>La couverture vaccinale au 21 décembre 2006</w:t>
      </w:r>
      <w:bookmarkEnd w:id="786"/>
    </w:p>
    <w:tbl>
      <w:tblPr>
        <w:tblW w:w="7371" w:type="dxa"/>
        <w:tblInd w:w="1134" w:type="dxa"/>
        <w:tblCellMar>
          <w:left w:w="0" w:type="dxa"/>
          <w:right w:w="0" w:type="dxa"/>
        </w:tblCellMar>
        <w:tblLook w:val="01E0" w:firstRow="1" w:lastRow="1" w:firstColumn="1" w:lastColumn="1" w:noHBand="0" w:noVBand="0"/>
      </w:tblPr>
      <w:tblGrid>
        <w:gridCol w:w="566"/>
        <w:gridCol w:w="850"/>
        <w:gridCol w:w="851"/>
        <w:gridCol w:w="851"/>
        <w:gridCol w:w="567"/>
        <w:gridCol w:w="567"/>
        <w:gridCol w:w="567"/>
        <w:gridCol w:w="567"/>
        <w:gridCol w:w="567"/>
        <w:gridCol w:w="567"/>
        <w:gridCol w:w="851"/>
      </w:tblGrid>
      <w:tr w:rsidR="00000000">
        <w:tc>
          <w:tcPr>
            <w:tcW w:w="567" w:type="dxa"/>
            <w:tcBorders>
              <w:top w:val="single" w:sz="4" w:space="0" w:color="auto"/>
              <w:bottom w:val="single" w:sz="12" w:space="0" w:color="auto"/>
            </w:tcBorders>
            <w:shd w:val="clear" w:color="auto" w:fill="auto"/>
            <w:vAlign w:val="bottom"/>
          </w:tcPr>
          <w:p w:rsidR="00000000" w:rsidRDefault="00000000">
            <w:pPr>
              <w:keepNext/>
              <w:keepLines/>
              <w:spacing w:before="80" w:after="80" w:line="200" w:lineRule="exact"/>
              <w:jc w:val="right"/>
              <w:rPr>
                <w:bCs/>
                <w:i/>
                <w:sz w:val="16"/>
                <w:szCs w:val="16"/>
              </w:rPr>
            </w:pPr>
            <w:r>
              <w:rPr>
                <w:bCs/>
                <w:i/>
                <w:sz w:val="16"/>
                <w:szCs w:val="16"/>
              </w:rPr>
              <w:t>BCG</w:t>
            </w:r>
          </w:p>
        </w:tc>
        <w:tc>
          <w:tcPr>
            <w:tcW w:w="851" w:type="dxa"/>
            <w:tcBorders>
              <w:top w:val="single" w:sz="4" w:space="0" w:color="auto"/>
              <w:bottom w:val="single" w:sz="12" w:space="0" w:color="auto"/>
            </w:tcBorders>
            <w:shd w:val="clear" w:color="auto" w:fill="auto"/>
            <w:vAlign w:val="bottom"/>
          </w:tcPr>
          <w:p w:rsidR="00000000" w:rsidRDefault="00000000">
            <w:pPr>
              <w:keepNext/>
              <w:keepLines/>
              <w:spacing w:before="80" w:after="80" w:line="200" w:lineRule="exact"/>
              <w:jc w:val="right"/>
              <w:rPr>
                <w:bCs/>
                <w:i/>
                <w:sz w:val="16"/>
                <w:szCs w:val="16"/>
              </w:rPr>
            </w:pPr>
            <w:r>
              <w:rPr>
                <w:bCs/>
                <w:i/>
                <w:sz w:val="16"/>
                <w:szCs w:val="16"/>
              </w:rPr>
              <w:t>DTC</w:t>
            </w:r>
            <w:r>
              <w:rPr>
                <w:bCs/>
                <w:i/>
                <w:sz w:val="16"/>
                <w:szCs w:val="16"/>
              </w:rPr>
              <w:br/>
              <w:t>Hep B1</w:t>
            </w:r>
          </w:p>
        </w:tc>
        <w:tc>
          <w:tcPr>
            <w:tcW w:w="851" w:type="dxa"/>
            <w:tcBorders>
              <w:top w:val="single" w:sz="4" w:space="0" w:color="auto"/>
              <w:bottom w:val="single" w:sz="12" w:space="0" w:color="auto"/>
            </w:tcBorders>
            <w:shd w:val="clear" w:color="auto" w:fill="auto"/>
            <w:vAlign w:val="bottom"/>
          </w:tcPr>
          <w:p w:rsidR="00000000" w:rsidRDefault="00000000">
            <w:pPr>
              <w:keepNext/>
              <w:keepLines/>
              <w:spacing w:before="80" w:after="80" w:line="200" w:lineRule="exact"/>
              <w:jc w:val="right"/>
              <w:rPr>
                <w:bCs/>
                <w:i/>
                <w:sz w:val="16"/>
                <w:szCs w:val="16"/>
              </w:rPr>
            </w:pPr>
            <w:r>
              <w:rPr>
                <w:bCs/>
                <w:i/>
                <w:sz w:val="16"/>
                <w:szCs w:val="16"/>
              </w:rPr>
              <w:t>DTC</w:t>
            </w:r>
            <w:r>
              <w:rPr>
                <w:bCs/>
                <w:i/>
                <w:sz w:val="16"/>
                <w:szCs w:val="16"/>
              </w:rPr>
              <w:br/>
              <w:t>Hep B2</w:t>
            </w:r>
          </w:p>
        </w:tc>
        <w:tc>
          <w:tcPr>
            <w:tcW w:w="851" w:type="dxa"/>
            <w:tcBorders>
              <w:top w:val="single" w:sz="4" w:space="0" w:color="auto"/>
              <w:bottom w:val="single" w:sz="12" w:space="0" w:color="auto"/>
            </w:tcBorders>
            <w:shd w:val="clear" w:color="auto" w:fill="auto"/>
            <w:vAlign w:val="bottom"/>
          </w:tcPr>
          <w:p w:rsidR="00000000" w:rsidRDefault="00000000">
            <w:pPr>
              <w:keepNext/>
              <w:keepLines/>
              <w:spacing w:before="80" w:after="80" w:line="200" w:lineRule="exact"/>
              <w:jc w:val="right"/>
              <w:rPr>
                <w:bCs/>
                <w:i/>
                <w:sz w:val="16"/>
                <w:szCs w:val="16"/>
              </w:rPr>
            </w:pPr>
            <w:r>
              <w:rPr>
                <w:bCs/>
                <w:i/>
                <w:sz w:val="16"/>
                <w:szCs w:val="16"/>
              </w:rPr>
              <w:t>DTC</w:t>
            </w:r>
            <w:r>
              <w:rPr>
                <w:bCs/>
                <w:i/>
                <w:sz w:val="16"/>
                <w:szCs w:val="16"/>
              </w:rPr>
              <w:br/>
              <w:t>Hep B3</w:t>
            </w:r>
          </w:p>
        </w:tc>
        <w:tc>
          <w:tcPr>
            <w:tcW w:w="567" w:type="dxa"/>
            <w:tcBorders>
              <w:top w:val="single" w:sz="4" w:space="0" w:color="auto"/>
              <w:bottom w:val="single" w:sz="12" w:space="0" w:color="auto"/>
            </w:tcBorders>
            <w:shd w:val="clear" w:color="auto" w:fill="auto"/>
            <w:vAlign w:val="bottom"/>
          </w:tcPr>
          <w:p w:rsidR="00000000" w:rsidRDefault="00000000">
            <w:pPr>
              <w:keepNext/>
              <w:keepLines/>
              <w:spacing w:before="80" w:after="80" w:line="200" w:lineRule="exact"/>
              <w:jc w:val="right"/>
              <w:rPr>
                <w:bCs/>
                <w:i/>
                <w:sz w:val="16"/>
                <w:szCs w:val="16"/>
              </w:rPr>
            </w:pPr>
            <w:r>
              <w:rPr>
                <w:bCs/>
                <w:i/>
                <w:sz w:val="16"/>
                <w:szCs w:val="16"/>
              </w:rPr>
              <w:t>Polio 0</w:t>
            </w:r>
          </w:p>
        </w:tc>
        <w:tc>
          <w:tcPr>
            <w:tcW w:w="567" w:type="dxa"/>
            <w:tcBorders>
              <w:top w:val="single" w:sz="4" w:space="0" w:color="auto"/>
              <w:bottom w:val="single" w:sz="12" w:space="0" w:color="auto"/>
            </w:tcBorders>
            <w:shd w:val="clear" w:color="auto" w:fill="auto"/>
            <w:vAlign w:val="bottom"/>
          </w:tcPr>
          <w:p w:rsidR="00000000" w:rsidRDefault="00000000">
            <w:pPr>
              <w:keepNext/>
              <w:keepLines/>
              <w:spacing w:before="80" w:after="80" w:line="200" w:lineRule="exact"/>
              <w:jc w:val="right"/>
              <w:rPr>
                <w:bCs/>
                <w:i/>
                <w:sz w:val="16"/>
                <w:szCs w:val="16"/>
              </w:rPr>
            </w:pPr>
            <w:r>
              <w:rPr>
                <w:bCs/>
                <w:i/>
                <w:sz w:val="16"/>
                <w:szCs w:val="16"/>
              </w:rPr>
              <w:t>Polio 1</w:t>
            </w:r>
          </w:p>
        </w:tc>
        <w:tc>
          <w:tcPr>
            <w:tcW w:w="567" w:type="dxa"/>
            <w:tcBorders>
              <w:top w:val="single" w:sz="4" w:space="0" w:color="auto"/>
              <w:bottom w:val="single" w:sz="12" w:space="0" w:color="auto"/>
            </w:tcBorders>
            <w:shd w:val="clear" w:color="auto" w:fill="auto"/>
            <w:vAlign w:val="bottom"/>
          </w:tcPr>
          <w:p w:rsidR="00000000" w:rsidRDefault="00000000">
            <w:pPr>
              <w:keepNext/>
              <w:keepLines/>
              <w:spacing w:before="80" w:after="80" w:line="200" w:lineRule="exact"/>
              <w:jc w:val="right"/>
              <w:rPr>
                <w:bCs/>
                <w:i/>
                <w:sz w:val="16"/>
                <w:szCs w:val="16"/>
              </w:rPr>
            </w:pPr>
            <w:r>
              <w:rPr>
                <w:bCs/>
                <w:i/>
                <w:sz w:val="16"/>
                <w:szCs w:val="16"/>
              </w:rPr>
              <w:t>Polio 2</w:t>
            </w:r>
          </w:p>
        </w:tc>
        <w:tc>
          <w:tcPr>
            <w:tcW w:w="567" w:type="dxa"/>
            <w:tcBorders>
              <w:top w:val="single" w:sz="4" w:space="0" w:color="auto"/>
              <w:bottom w:val="single" w:sz="12" w:space="0" w:color="auto"/>
            </w:tcBorders>
            <w:shd w:val="clear" w:color="auto" w:fill="auto"/>
            <w:vAlign w:val="bottom"/>
          </w:tcPr>
          <w:p w:rsidR="00000000" w:rsidRDefault="00000000">
            <w:pPr>
              <w:keepNext/>
              <w:keepLines/>
              <w:spacing w:before="80" w:after="80" w:line="200" w:lineRule="exact"/>
              <w:jc w:val="right"/>
              <w:rPr>
                <w:bCs/>
                <w:i/>
                <w:sz w:val="16"/>
                <w:szCs w:val="16"/>
              </w:rPr>
            </w:pPr>
            <w:r>
              <w:rPr>
                <w:bCs/>
                <w:i/>
                <w:sz w:val="16"/>
                <w:szCs w:val="16"/>
              </w:rPr>
              <w:t>Polio 3</w:t>
            </w:r>
          </w:p>
        </w:tc>
        <w:tc>
          <w:tcPr>
            <w:tcW w:w="567" w:type="dxa"/>
            <w:tcBorders>
              <w:top w:val="single" w:sz="4" w:space="0" w:color="auto"/>
              <w:bottom w:val="single" w:sz="12" w:space="0" w:color="auto"/>
            </w:tcBorders>
            <w:shd w:val="clear" w:color="auto" w:fill="auto"/>
            <w:vAlign w:val="bottom"/>
          </w:tcPr>
          <w:p w:rsidR="00000000" w:rsidRDefault="00000000">
            <w:pPr>
              <w:keepNext/>
              <w:keepLines/>
              <w:spacing w:before="80" w:after="80" w:line="200" w:lineRule="exact"/>
              <w:jc w:val="right"/>
              <w:rPr>
                <w:bCs/>
                <w:i/>
                <w:sz w:val="16"/>
                <w:szCs w:val="16"/>
              </w:rPr>
            </w:pPr>
            <w:r>
              <w:rPr>
                <w:bCs/>
                <w:i/>
                <w:sz w:val="16"/>
                <w:szCs w:val="16"/>
              </w:rPr>
              <w:t>VAR</w:t>
            </w:r>
          </w:p>
        </w:tc>
        <w:tc>
          <w:tcPr>
            <w:tcW w:w="567" w:type="dxa"/>
            <w:tcBorders>
              <w:top w:val="single" w:sz="4" w:space="0" w:color="auto"/>
              <w:bottom w:val="single" w:sz="12" w:space="0" w:color="auto"/>
            </w:tcBorders>
            <w:shd w:val="clear" w:color="auto" w:fill="auto"/>
            <w:vAlign w:val="bottom"/>
          </w:tcPr>
          <w:p w:rsidR="00000000" w:rsidRDefault="00000000">
            <w:pPr>
              <w:keepNext/>
              <w:keepLines/>
              <w:spacing w:before="80" w:after="80" w:line="200" w:lineRule="exact"/>
              <w:jc w:val="right"/>
              <w:rPr>
                <w:bCs/>
                <w:i/>
                <w:sz w:val="16"/>
                <w:szCs w:val="16"/>
              </w:rPr>
            </w:pPr>
            <w:r>
              <w:rPr>
                <w:bCs/>
                <w:i/>
                <w:sz w:val="16"/>
                <w:szCs w:val="16"/>
              </w:rPr>
              <w:t>VAT 1</w:t>
            </w:r>
          </w:p>
        </w:tc>
        <w:tc>
          <w:tcPr>
            <w:tcW w:w="851" w:type="dxa"/>
            <w:tcBorders>
              <w:top w:val="single" w:sz="4" w:space="0" w:color="auto"/>
              <w:bottom w:val="single" w:sz="12" w:space="0" w:color="auto"/>
            </w:tcBorders>
            <w:shd w:val="clear" w:color="auto" w:fill="auto"/>
            <w:vAlign w:val="bottom"/>
          </w:tcPr>
          <w:p w:rsidR="00000000" w:rsidRDefault="00000000">
            <w:pPr>
              <w:keepNext/>
              <w:keepLines/>
              <w:spacing w:before="80" w:after="80" w:line="200" w:lineRule="exact"/>
              <w:jc w:val="right"/>
              <w:rPr>
                <w:bCs/>
                <w:i/>
                <w:sz w:val="16"/>
                <w:szCs w:val="16"/>
              </w:rPr>
            </w:pPr>
            <w:r>
              <w:rPr>
                <w:bCs/>
                <w:i/>
                <w:sz w:val="16"/>
                <w:szCs w:val="16"/>
              </w:rPr>
              <w:t>VAT 2 et +</w:t>
            </w:r>
          </w:p>
        </w:tc>
      </w:tr>
      <w:tr w:rsidR="00000000">
        <w:tc>
          <w:tcPr>
            <w:tcW w:w="567" w:type="dxa"/>
            <w:tcBorders>
              <w:top w:val="single" w:sz="12" w:space="0" w:color="auto"/>
              <w:bottom w:val="single" w:sz="12" w:space="0" w:color="auto"/>
            </w:tcBorders>
            <w:shd w:val="clear" w:color="auto" w:fill="auto"/>
            <w:vAlign w:val="bottom"/>
          </w:tcPr>
          <w:p w:rsidR="00000000" w:rsidRDefault="00000000">
            <w:pPr>
              <w:keepNext/>
              <w:spacing w:before="40" w:after="40" w:line="220" w:lineRule="exact"/>
              <w:jc w:val="right"/>
              <w:rPr>
                <w:sz w:val="18"/>
                <w:szCs w:val="18"/>
              </w:rPr>
            </w:pPr>
            <w:r>
              <w:rPr>
                <w:sz w:val="18"/>
                <w:szCs w:val="18"/>
              </w:rPr>
              <w:t>103,4</w:t>
            </w:r>
          </w:p>
        </w:tc>
        <w:tc>
          <w:tcPr>
            <w:tcW w:w="851" w:type="dxa"/>
            <w:tcBorders>
              <w:top w:val="single" w:sz="12" w:space="0" w:color="auto"/>
              <w:bottom w:val="single" w:sz="12" w:space="0" w:color="auto"/>
            </w:tcBorders>
            <w:shd w:val="clear" w:color="auto" w:fill="auto"/>
            <w:vAlign w:val="bottom"/>
          </w:tcPr>
          <w:p w:rsidR="00000000" w:rsidRDefault="00000000">
            <w:pPr>
              <w:keepNext/>
              <w:spacing w:before="40" w:after="40" w:line="220" w:lineRule="exact"/>
              <w:jc w:val="right"/>
              <w:rPr>
                <w:sz w:val="18"/>
                <w:szCs w:val="18"/>
              </w:rPr>
            </w:pPr>
            <w:r>
              <w:rPr>
                <w:sz w:val="18"/>
                <w:szCs w:val="18"/>
              </w:rPr>
              <w:t>101,8</w:t>
            </w:r>
          </w:p>
        </w:tc>
        <w:tc>
          <w:tcPr>
            <w:tcW w:w="851" w:type="dxa"/>
            <w:tcBorders>
              <w:top w:val="single" w:sz="12" w:space="0" w:color="auto"/>
              <w:bottom w:val="single" w:sz="12" w:space="0" w:color="auto"/>
            </w:tcBorders>
            <w:shd w:val="clear" w:color="auto" w:fill="auto"/>
            <w:vAlign w:val="bottom"/>
          </w:tcPr>
          <w:p w:rsidR="00000000" w:rsidRDefault="00000000">
            <w:pPr>
              <w:keepNext/>
              <w:spacing w:before="40" w:after="40" w:line="220" w:lineRule="exact"/>
              <w:jc w:val="right"/>
              <w:rPr>
                <w:sz w:val="18"/>
                <w:szCs w:val="18"/>
              </w:rPr>
            </w:pPr>
            <w:r>
              <w:rPr>
                <w:sz w:val="18"/>
                <w:szCs w:val="18"/>
              </w:rPr>
              <w:t>93,9</w:t>
            </w:r>
          </w:p>
        </w:tc>
        <w:tc>
          <w:tcPr>
            <w:tcW w:w="851" w:type="dxa"/>
            <w:tcBorders>
              <w:top w:val="single" w:sz="12" w:space="0" w:color="auto"/>
              <w:bottom w:val="single" w:sz="12" w:space="0" w:color="auto"/>
            </w:tcBorders>
            <w:shd w:val="clear" w:color="auto" w:fill="auto"/>
            <w:vAlign w:val="bottom"/>
          </w:tcPr>
          <w:p w:rsidR="00000000" w:rsidRDefault="00000000">
            <w:pPr>
              <w:keepNext/>
              <w:spacing w:before="40" w:after="40" w:line="220" w:lineRule="exact"/>
              <w:jc w:val="right"/>
              <w:rPr>
                <w:sz w:val="18"/>
                <w:szCs w:val="18"/>
              </w:rPr>
            </w:pPr>
            <w:r>
              <w:rPr>
                <w:sz w:val="18"/>
                <w:szCs w:val="18"/>
              </w:rPr>
              <w:t>95,3</w:t>
            </w:r>
          </w:p>
        </w:tc>
        <w:tc>
          <w:tcPr>
            <w:tcW w:w="567" w:type="dxa"/>
            <w:tcBorders>
              <w:top w:val="single" w:sz="12" w:space="0" w:color="auto"/>
              <w:bottom w:val="single" w:sz="12" w:space="0" w:color="auto"/>
            </w:tcBorders>
            <w:shd w:val="clear" w:color="auto" w:fill="auto"/>
            <w:vAlign w:val="bottom"/>
          </w:tcPr>
          <w:p w:rsidR="00000000" w:rsidRDefault="00000000">
            <w:pPr>
              <w:keepNext/>
              <w:spacing w:before="40" w:after="40" w:line="220" w:lineRule="exact"/>
              <w:jc w:val="right"/>
              <w:rPr>
                <w:sz w:val="18"/>
                <w:szCs w:val="18"/>
              </w:rPr>
            </w:pPr>
            <w:r>
              <w:rPr>
                <w:sz w:val="18"/>
                <w:szCs w:val="18"/>
              </w:rPr>
              <w:t>42,1</w:t>
            </w:r>
          </w:p>
        </w:tc>
        <w:tc>
          <w:tcPr>
            <w:tcW w:w="567" w:type="dxa"/>
            <w:tcBorders>
              <w:top w:val="single" w:sz="12" w:space="0" w:color="auto"/>
              <w:bottom w:val="single" w:sz="12" w:space="0" w:color="auto"/>
            </w:tcBorders>
            <w:shd w:val="clear" w:color="auto" w:fill="auto"/>
            <w:vAlign w:val="bottom"/>
          </w:tcPr>
          <w:p w:rsidR="00000000" w:rsidRDefault="00000000">
            <w:pPr>
              <w:keepNext/>
              <w:spacing w:before="40" w:after="40" w:line="220" w:lineRule="exact"/>
              <w:jc w:val="right"/>
              <w:rPr>
                <w:sz w:val="18"/>
                <w:szCs w:val="18"/>
              </w:rPr>
            </w:pPr>
            <w:r>
              <w:rPr>
                <w:sz w:val="18"/>
                <w:szCs w:val="18"/>
              </w:rPr>
              <w:t>105,8</w:t>
            </w:r>
          </w:p>
        </w:tc>
        <w:tc>
          <w:tcPr>
            <w:tcW w:w="567" w:type="dxa"/>
            <w:tcBorders>
              <w:top w:val="single" w:sz="12" w:space="0" w:color="auto"/>
              <w:bottom w:val="single" w:sz="12" w:space="0" w:color="auto"/>
            </w:tcBorders>
            <w:shd w:val="clear" w:color="auto" w:fill="auto"/>
            <w:vAlign w:val="bottom"/>
          </w:tcPr>
          <w:p w:rsidR="00000000" w:rsidRDefault="00000000">
            <w:pPr>
              <w:keepNext/>
              <w:spacing w:before="40" w:after="40" w:line="220" w:lineRule="exact"/>
              <w:jc w:val="right"/>
              <w:rPr>
                <w:sz w:val="18"/>
                <w:szCs w:val="18"/>
              </w:rPr>
            </w:pPr>
            <w:r>
              <w:rPr>
                <w:sz w:val="18"/>
                <w:szCs w:val="18"/>
              </w:rPr>
              <w:t>95</w:t>
            </w:r>
          </w:p>
        </w:tc>
        <w:tc>
          <w:tcPr>
            <w:tcW w:w="567" w:type="dxa"/>
            <w:tcBorders>
              <w:top w:val="single" w:sz="12" w:space="0" w:color="auto"/>
              <w:bottom w:val="single" w:sz="12" w:space="0" w:color="auto"/>
            </w:tcBorders>
            <w:shd w:val="clear" w:color="auto" w:fill="auto"/>
            <w:vAlign w:val="bottom"/>
          </w:tcPr>
          <w:p w:rsidR="00000000" w:rsidRDefault="00000000">
            <w:pPr>
              <w:keepNext/>
              <w:spacing w:before="40" w:after="40" w:line="220" w:lineRule="exact"/>
              <w:jc w:val="right"/>
              <w:rPr>
                <w:sz w:val="18"/>
                <w:szCs w:val="18"/>
              </w:rPr>
            </w:pPr>
            <w:r>
              <w:rPr>
                <w:sz w:val="18"/>
                <w:szCs w:val="18"/>
              </w:rPr>
              <w:t>94,2</w:t>
            </w:r>
          </w:p>
        </w:tc>
        <w:tc>
          <w:tcPr>
            <w:tcW w:w="567" w:type="dxa"/>
            <w:tcBorders>
              <w:top w:val="single" w:sz="12" w:space="0" w:color="auto"/>
              <w:bottom w:val="single" w:sz="12" w:space="0" w:color="auto"/>
            </w:tcBorders>
            <w:shd w:val="clear" w:color="auto" w:fill="auto"/>
            <w:vAlign w:val="bottom"/>
          </w:tcPr>
          <w:p w:rsidR="00000000" w:rsidRDefault="00000000">
            <w:pPr>
              <w:keepNext/>
              <w:spacing w:before="40" w:after="40" w:line="220" w:lineRule="exact"/>
              <w:jc w:val="right"/>
              <w:rPr>
                <w:sz w:val="18"/>
                <w:szCs w:val="18"/>
              </w:rPr>
            </w:pPr>
            <w:r>
              <w:rPr>
                <w:sz w:val="18"/>
                <w:szCs w:val="18"/>
              </w:rPr>
              <w:t>86,2</w:t>
            </w:r>
          </w:p>
        </w:tc>
        <w:tc>
          <w:tcPr>
            <w:tcW w:w="567" w:type="dxa"/>
            <w:tcBorders>
              <w:top w:val="single" w:sz="12" w:space="0" w:color="auto"/>
              <w:bottom w:val="single" w:sz="12" w:space="0" w:color="auto"/>
            </w:tcBorders>
            <w:shd w:val="clear" w:color="auto" w:fill="auto"/>
            <w:vAlign w:val="bottom"/>
          </w:tcPr>
          <w:p w:rsidR="00000000" w:rsidRDefault="00000000">
            <w:pPr>
              <w:keepNext/>
              <w:spacing w:before="40" w:after="40" w:line="220" w:lineRule="exact"/>
              <w:jc w:val="right"/>
              <w:rPr>
                <w:sz w:val="18"/>
                <w:szCs w:val="18"/>
              </w:rPr>
            </w:pPr>
            <w:r>
              <w:rPr>
                <w:sz w:val="18"/>
                <w:szCs w:val="18"/>
              </w:rPr>
              <w:t>44,8</w:t>
            </w:r>
          </w:p>
        </w:tc>
        <w:tc>
          <w:tcPr>
            <w:tcW w:w="851" w:type="dxa"/>
            <w:tcBorders>
              <w:top w:val="single" w:sz="12" w:space="0" w:color="auto"/>
              <w:bottom w:val="single" w:sz="12" w:space="0" w:color="auto"/>
            </w:tcBorders>
            <w:shd w:val="clear" w:color="auto" w:fill="auto"/>
            <w:vAlign w:val="bottom"/>
          </w:tcPr>
          <w:p w:rsidR="00000000" w:rsidRDefault="00000000">
            <w:pPr>
              <w:keepNext/>
              <w:spacing w:before="40" w:after="40" w:line="220" w:lineRule="exact"/>
              <w:jc w:val="right"/>
              <w:rPr>
                <w:sz w:val="18"/>
                <w:szCs w:val="18"/>
              </w:rPr>
            </w:pPr>
            <w:r>
              <w:rPr>
                <w:sz w:val="18"/>
                <w:szCs w:val="18"/>
              </w:rPr>
              <w:t>53,5</w:t>
            </w:r>
          </w:p>
        </w:tc>
      </w:tr>
    </w:tbl>
    <w:p w:rsidR="00000000" w:rsidRDefault="00000000">
      <w:pPr>
        <w:spacing w:before="120" w:after="240"/>
        <w:ind w:left="1134" w:firstLine="170"/>
        <w:rPr>
          <w:sz w:val="18"/>
          <w:szCs w:val="18"/>
          <w:lang w:val="fr-FR"/>
        </w:rPr>
      </w:pPr>
      <w:r>
        <w:rPr>
          <w:i/>
          <w:sz w:val="18"/>
          <w:szCs w:val="18"/>
          <w:lang w:val="fr-FR"/>
        </w:rPr>
        <w:t>Source</w:t>
      </w:r>
      <w:r>
        <w:rPr>
          <w:sz w:val="18"/>
          <w:szCs w:val="18"/>
          <w:lang w:val="fr-FR"/>
        </w:rPr>
        <w:t>: Service des vaccinations MINSANPFPS</w:t>
      </w:r>
    </w:p>
    <w:p w:rsidR="00000000" w:rsidRDefault="00000000">
      <w:pPr>
        <w:pStyle w:val="SingleTxtG"/>
        <w:rPr>
          <w:lang w:val="fr-FR"/>
        </w:rPr>
      </w:pPr>
      <w:r>
        <w:rPr>
          <w:lang w:val="fr-FR"/>
        </w:rPr>
        <w:t>345.</w:t>
      </w:r>
      <w:r>
        <w:rPr>
          <w:lang w:val="fr-FR"/>
        </w:rPr>
        <w:tab/>
        <w:t>Voici quelques informations sur la situation de la mère et de l’enfant à Madagascar:</w:t>
      </w:r>
    </w:p>
    <w:p w:rsidR="00000000" w:rsidRDefault="00000000">
      <w:pPr>
        <w:pStyle w:val="Bullet1G"/>
        <w:rPr>
          <w:lang w:val="fr-FR"/>
        </w:rPr>
      </w:pPr>
      <w:r>
        <w:rPr>
          <w:lang w:val="fr-FR"/>
        </w:rPr>
        <w:t>Le taux de prévalence contraceptive a quintuplé en 10 ans passant de 3,5 % en 1992 à environ 10 % en 1997 et 18 % en 2004;</w:t>
      </w:r>
    </w:p>
    <w:p w:rsidR="00000000" w:rsidRDefault="00000000">
      <w:pPr>
        <w:pStyle w:val="Bullet1G"/>
        <w:rPr>
          <w:lang w:val="fr-FR"/>
        </w:rPr>
      </w:pPr>
      <w:r>
        <w:rPr>
          <w:lang w:val="fr-FR"/>
        </w:rPr>
        <w:t>l’Indice Synthétique de fécondité chez les femmes en union est passé de 6 enfants par femme en 1995-1997 à 5,2 enfants par femme pendant la période 2001-2004;</w:t>
      </w:r>
    </w:p>
    <w:p w:rsidR="00000000" w:rsidRDefault="00000000">
      <w:pPr>
        <w:pStyle w:val="Bullet1G"/>
        <w:rPr>
          <w:lang w:val="fr-FR"/>
        </w:rPr>
      </w:pPr>
      <w:r>
        <w:rPr>
          <w:lang w:val="fr-FR"/>
        </w:rPr>
        <w:t>Trois nouveaux nés sur 100 meurent avant le premier mois, avec un recul de 21 % de la mortalité néonatale entre 1992 et 2004;</w:t>
      </w:r>
    </w:p>
    <w:p w:rsidR="00000000" w:rsidRDefault="00000000">
      <w:pPr>
        <w:pStyle w:val="Bullet1G"/>
        <w:rPr>
          <w:lang w:val="fr-FR"/>
        </w:rPr>
      </w:pPr>
      <w:r>
        <w:rPr>
          <w:lang w:val="fr-FR"/>
        </w:rPr>
        <w:t>Cinquante pour cent des femmes reçoivent l’assistance lors de l’accouchement.</w:t>
      </w:r>
    </w:p>
    <w:p w:rsidR="00000000" w:rsidRDefault="00000000">
      <w:pPr>
        <w:pStyle w:val="Bullet1G"/>
        <w:rPr>
          <w:lang w:val="fr-FR"/>
        </w:rPr>
      </w:pPr>
      <w:r>
        <w:rPr>
          <w:lang w:val="fr-FR"/>
        </w:rPr>
        <w:t>Neuf enfants sur 100 meurent avant 5 ans</w:t>
      </w:r>
    </w:p>
    <w:p w:rsidR="00000000" w:rsidRDefault="00000000">
      <w:pPr>
        <w:pStyle w:val="Bullet1G"/>
        <w:rPr>
          <w:lang w:val="fr-FR"/>
        </w:rPr>
      </w:pPr>
      <w:r>
        <w:rPr>
          <w:lang w:val="fr-FR"/>
        </w:rPr>
        <w:t>51,3 % des accouchements sont assistés par un personnel qualifié</w:t>
      </w:r>
    </w:p>
    <w:p w:rsidR="00000000" w:rsidRDefault="00000000">
      <w:pPr>
        <w:pStyle w:val="Bullet1G"/>
        <w:rPr>
          <w:lang w:val="fr-FR"/>
        </w:rPr>
      </w:pPr>
      <w:r>
        <w:rPr>
          <w:lang w:val="fr-FR"/>
        </w:rPr>
        <w:t>Vingt-neuf pour cent des naissances se font dans un établissement sanitaire</w:t>
      </w:r>
    </w:p>
    <w:p w:rsidR="00000000" w:rsidRDefault="00000000">
      <w:pPr>
        <w:pStyle w:val="Bullet1G"/>
        <w:rPr>
          <w:lang w:val="fr-FR"/>
        </w:rPr>
      </w:pPr>
      <w:r>
        <w:rPr>
          <w:lang w:val="fr-FR"/>
        </w:rPr>
        <w:t>Quatre-vingt-treize pour cent des jeunes de 15 à 18 ans ont déjà eu des rapports sexuels</w:t>
      </w:r>
    </w:p>
    <w:p w:rsidR="00000000" w:rsidRDefault="00000000">
      <w:pPr>
        <w:pStyle w:val="Bullet1G"/>
        <w:rPr>
          <w:lang w:val="fr-FR"/>
        </w:rPr>
      </w:pPr>
      <w:r>
        <w:rPr>
          <w:lang w:val="fr-FR"/>
        </w:rPr>
        <w:t>Trente-cinq pour cent de la population ont accès à l’eau potable en 2004 (23,8 % en 1997 et 27,2 % en 2001).</w:t>
      </w:r>
    </w:p>
    <w:p w:rsidR="00000000" w:rsidRDefault="00000000">
      <w:pPr>
        <w:pStyle w:val="SingleTxtG"/>
        <w:rPr>
          <w:lang w:val="fr-FR"/>
        </w:rPr>
      </w:pPr>
      <w:r>
        <w:rPr>
          <w:lang w:val="fr-FR"/>
        </w:rPr>
        <w:t>346.</w:t>
      </w:r>
      <w:r>
        <w:rPr>
          <w:lang w:val="fr-FR"/>
        </w:rPr>
        <w:tab/>
        <w:t xml:space="preserve">Malnutrition: </w:t>
      </w:r>
    </w:p>
    <w:p w:rsidR="00000000" w:rsidRDefault="00000000">
      <w:pPr>
        <w:pStyle w:val="Bullet1G"/>
        <w:rPr>
          <w:lang w:val="fr-FR"/>
        </w:rPr>
      </w:pPr>
      <w:r>
        <w:rPr>
          <w:lang w:val="fr-FR"/>
        </w:rPr>
        <w:t>Quatre enfants sur 10 sont atteints de malnutrition;</w:t>
      </w:r>
    </w:p>
    <w:p w:rsidR="00000000" w:rsidRDefault="00000000">
      <w:pPr>
        <w:pStyle w:val="Bullet1G"/>
        <w:rPr>
          <w:lang w:val="fr-FR"/>
        </w:rPr>
      </w:pPr>
      <w:r>
        <w:rPr>
          <w:lang w:val="fr-FR"/>
        </w:rPr>
        <w:t>Sept ménages sur 10 sont victimes d’insécurité alimentaire;</w:t>
      </w:r>
    </w:p>
    <w:p w:rsidR="00000000" w:rsidRDefault="00000000">
      <w:pPr>
        <w:pStyle w:val="Bullet1G"/>
        <w:rPr>
          <w:lang w:val="fr-FR"/>
        </w:rPr>
      </w:pPr>
      <w:r>
        <w:rPr>
          <w:lang w:val="fr-FR"/>
        </w:rPr>
        <w:t>Cinquante-quatre pour cent de la mortalité chez les enfants, imputables à la malnutrition;</w:t>
      </w:r>
    </w:p>
    <w:p w:rsidR="00000000" w:rsidRDefault="00000000">
      <w:pPr>
        <w:pStyle w:val="Bullet1G"/>
        <w:rPr>
          <w:lang w:val="fr-FR"/>
        </w:rPr>
      </w:pPr>
      <w:r>
        <w:rPr>
          <w:lang w:val="fr-FR"/>
        </w:rPr>
        <w:t>Soixante-huit pour cent des enfants sont anémiés;</w:t>
      </w:r>
    </w:p>
    <w:p w:rsidR="00000000" w:rsidRDefault="00000000">
      <w:pPr>
        <w:pStyle w:val="Bullet1G"/>
        <w:rPr>
          <w:lang w:val="fr-FR"/>
        </w:rPr>
      </w:pPr>
      <w:r>
        <w:rPr>
          <w:lang w:val="fr-FR"/>
        </w:rPr>
        <w:t>Soixante-sept pour cent des enfants de moins de 6 mois sont nourris exclusivement au sein.</w:t>
      </w:r>
    </w:p>
    <w:p w:rsidR="00000000" w:rsidRDefault="00000000">
      <w:pPr>
        <w:pStyle w:val="H23G"/>
        <w:rPr>
          <w:lang w:val="fr-FR"/>
        </w:rPr>
      </w:pPr>
      <w:bookmarkStart w:id="787" w:name="_Toc206414560"/>
      <w:bookmarkStart w:id="788" w:name="_Toc206460402"/>
      <w:bookmarkStart w:id="789" w:name="_Toc206460734"/>
      <w:bookmarkStart w:id="790" w:name="_Toc206461456"/>
      <w:bookmarkStart w:id="791" w:name="_Toc206476250"/>
      <w:bookmarkStart w:id="792" w:name="_Toc207788785"/>
      <w:bookmarkStart w:id="793" w:name="_Toc211835456"/>
      <w:bookmarkStart w:id="794" w:name="_Toc211926763"/>
      <w:r>
        <w:rPr>
          <w:lang w:val="fr-FR"/>
        </w:rPr>
        <w:tab/>
        <w:t>3.</w:t>
      </w:r>
      <w:r>
        <w:rPr>
          <w:lang w:val="fr-FR"/>
        </w:rPr>
        <w:tab/>
        <w:t>Allocations budgétaires en santé</w:t>
      </w:r>
      <w:bookmarkEnd w:id="787"/>
      <w:bookmarkEnd w:id="788"/>
      <w:bookmarkEnd w:id="789"/>
      <w:bookmarkEnd w:id="790"/>
      <w:bookmarkEnd w:id="791"/>
      <w:bookmarkEnd w:id="792"/>
      <w:bookmarkEnd w:id="793"/>
      <w:bookmarkEnd w:id="794"/>
    </w:p>
    <w:p w:rsidR="00000000" w:rsidRDefault="00000000">
      <w:pPr>
        <w:pStyle w:val="SingleTxtG"/>
        <w:rPr>
          <w:lang w:val="fr-FR"/>
        </w:rPr>
      </w:pPr>
      <w:r>
        <w:rPr>
          <w:lang w:val="fr-FR"/>
        </w:rPr>
        <w:t>347.</w:t>
      </w:r>
      <w:r>
        <w:rPr>
          <w:lang w:val="fr-FR"/>
        </w:rPr>
        <w:tab/>
        <w:t>Le secteur santé est financé pour 32 % par l’État, 36 % par les partenaires techniques et financiers et 32 % par des fonds privés comprenant les versements directs des ménages (19,1 %). Par rapport aux produits et services fournis dans le secteur, les services de prévention et de santé publique représentent 28 % des dépenses totales de santé. 20 % sont pour les produits pharmaceutiques et 22 % pour les soins ambulatoires. Ce qui dénote une affectation convenable des fonds par rapport aux besoins en santé de la population.</w:t>
      </w:r>
    </w:p>
    <w:p w:rsidR="00000000" w:rsidRDefault="00000000">
      <w:pPr>
        <w:pStyle w:val="SingleTxtG"/>
        <w:rPr>
          <w:lang w:val="fr-FR"/>
        </w:rPr>
      </w:pPr>
      <w:r>
        <w:rPr>
          <w:lang w:val="fr-FR"/>
        </w:rPr>
        <w:t>348.</w:t>
      </w:r>
      <w:r>
        <w:rPr>
          <w:lang w:val="fr-FR"/>
        </w:rPr>
        <w:tab/>
        <w:t>Les dépenses totales de santé de Madagascar représentent 3,5 % du PIB (CNS 2003).</w:t>
      </w:r>
    </w:p>
    <w:p w:rsidR="00000000" w:rsidRDefault="00000000">
      <w:pPr>
        <w:pStyle w:val="SingleTxtG"/>
        <w:rPr>
          <w:lang w:val="fr-FR"/>
        </w:rPr>
      </w:pPr>
      <w:r>
        <w:rPr>
          <w:lang w:val="fr-FR"/>
        </w:rPr>
        <w:t>349.</w:t>
      </w:r>
      <w:r>
        <w:rPr>
          <w:lang w:val="fr-FR"/>
        </w:rPr>
        <w:tab/>
        <w:t>Pour l’année 2005, le budget de l’État alloué à la santé qui s’élève à 144 milliards MGA représente environ 8,7 % du budget général (5 US$ par tête).</w:t>
      </w:r>
    </w:p>
    <w:p w:rsidR="00000000" w:rsidRDefault="00000000">
      <w:pPr>
        <w:pStyle w:val="SingleTxtG"/>
        <w:rPr>
          <w:lang w:val="fr-FR"/>
        </w:rPr>
      </w:pPr>
      <w:r>
        <w:rPr>
          <w:lang w:val="fr-FR"/>
        </w:rPr>
        <w:t>350.</w:t>
      </w:r>
      <w:r>
        <w:rPr>
          <w:lang w:val="fr-FR"/>
        </w:rPr>
        <w:tab/>
        <w:t>Le tableau suivant indique l’évolution de la part du budget alloué au secteur santé par rapport au budget général de l’État de 1994 à 2005.</w:t>
      </w:r>
    </w:p>
    <w:p w:rsidR="00000000" w:rsidRDefault="00000000">
      <w:pPr>
        <w:pStyle w:val="SingleTxtG"/>
        <w:spacing w:after="0"/>
      </w:pPr>
      <w:bookmarkStart w:id="795" w:name="_Toc260298255"/>
      <w:r>
        <w:t>Tableau 18</w:t>
      </w:r>
    </w:p>
    <w:p w:rsidR="00000000" w:rsidRDefault="00000000">
      <w:pPr>
        <w:pStyle w:val="SingleTxtG"/>
        <w:rPr>
          <w:b/>
        </w:rPr>
      </w:pPr>
      <w:r>
        <w:rPr>
          <w:b/>
        </w:rPr>
        <w:t>Évolution de la part du budget alloué au secteur par rapport au budget général par rapport au budget général en % de 1994 à 2005</w:t>
      </w:r>
      <w:bookmarkEnd w:id="795"/>
    </w:p>
    <w:tbl>
      <w:tblPr>
        <w:tblW w:w="9639" w:type="dxa"/>
        <w:tblCellMar>
          <w:left w:w="0" w:type="dxa"/>
          <w:right w:w="0" w:type="dxa"/>
        </w:tblCellMar>
        <w:tblLook w:val="01E0" w:firstRow="1" w:lastRow="1" w:firstColumn="1" w:lastColumn="1" w:noHBand="0" w:noVBand="0"/>
      </w:tblPr>
      <w:tblGrid>
        <w:gridCol w:w="1794"/>
        <w:gridCol w:w="568"/>
        <w:gridCol w:w="604"/>
        <w:gridCol w:w="741"/>
        <w:gridCol w:w="636"/>
        <w:gridCol w:w="636"/>
        <w:gridCol w:w="741"/>
        <w:gridCol w:w="741"/>
        <w:gridCol w:w="636"/>
        <w:gridCol w:w="636"/>
        <w:gridCol w:w="568"/>
        <w:gridCol w:w="597"/>
        <w:gridCol w:w="741"/>
      </w:tblGrid>
      <w:tr w:rsidR="00000000">
        <w:tc>
          <w:tcPr>
            <w:tcW w:w="1694" w:type="dxa"/>
            <w:tcBorders>
              <w:top w:val="single" w:sz="4" w:space="0" w:color="auto"/>
              <w:bottom w:val="single" w:sz="12" w:space="0" w:color="auto"/>
            </w:tcBorders>
            <w:shd w:val="clear" w:color="auto" w:fill="auto"/>
          </w:tcPr>
          <w:p w:rsidR="00000000" w:rsidRDefault="00000000">
            <w:pPr>
              <w:spacing w:before="80" w:after="80" w:line="200" w:lineRule="exact"/>
              <w:rPr>
                <w:bCs/>
                <w:i/>
                <w:sz w:val="16"/>
                <w:szCs w:val="16"/>
              </w:rPr>
            </w:pPr>
            <w:r>
              <w:rPr>
                <w:bCs/>
                <w:i/>
                <w:sz w:val="16"/>
                <w:szCs w:val="16"/>
              </w:rPr>
              <w:t>Libellé</w:t>
            </w:r>
          </w:p>
        </w:tc>
        <w:tc>
          <w:tcPr>
            <w:tcW w:w="536"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bCs/>
                <w:i/>
                <w:sz w:val="16"/>
                <w:szCs w:val="16"/>
              </w:rPr>
            </w:pPr>
            <w:r>
              <w:rPr>
                <w:bCs/>
                <w:i/>
                <w:sz w:val="16"/>
                <w:szCs w:val="16"/>
              </w:rPr>
              <w:t>1994</w:t>
            </w:r>
          </w:p>
        </w:tc>
        <w:tc>
          <w:tcPr>
            <w:tcW w:w="570"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bCs/>
                <w:i/>
                <w:sz w:val="16"/>
                <w:szCs w:val="16"/>
              </w:rPr>
            </w:pPr>
            <w:r>
              <w:rPr>
                <w:bCs/>
                <w:i/>
                <w:sz w:val="16"/>
                <w:szCs w:val="16"/>
              </w:rPr>
              <w:t>1995</w:t>
            </w:r>
          </w:p>
        </w:tc>
        <w:tc>
          <w:tcPr>
            <w:tcW w:w="700"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bCs/>
                <w:i/>
                <w:sz w:val="16"/>
                <w:szCs w:val="16"/>
              </w:rPr>
            </w:pPr>
            <w:r>
              <w:rPr>
                <w:bCs/>
                <w:i/>
                <w:sz w:val="16"/>
                <w:szCs w:val="16"/>
              </w:rPr>
              <w:t>1996</w:t>
            </w:r>
          </w:p>
        </w:tc>
        <w:tc>
          <w:tcPr>
            <w:tcW w:w="600"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bCs/>
                <w:i/>
                <w:sz w:val="16"/>
                <w:szCs w:val="16"/>
              </w:rPr>
            </w:pPr>
            <w:r>
              <w:rPr>
                <w:bCs/>
                <w:i/>
                <w:sz w:val="16"/>
                <w:szCs w:val="16"/>
              </w:rPr>
              <w:t>1997</w:t>
            </w:r>
          </w:p>
        </w:tc>
        <w:tc>
          <w:tcPr>
            <w:tcW w:w="600"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bCs/>
                <w:i/>
                <w:sz w:val="16"/>
                <w:szCs w:val="16"/>
              </w:rPr>
            </w:pPr>
            <w:r>
              <w:rPr>
                <w:bCs/>
                <w:i/>
                <w:sz w:val="16"/>
                <w:szCs w:val="16"/>
              </w:rPr>
              <w:t>1998</w:t>
            </w:r>
          </w:p>
        </w:tc>
        <w:tc>
          <w:tcPr>
            <w:tcW w:w="700"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bCs/>
                <w:i/>
                <w:sz w:val="16"/>
                <w:szCs w:val="16"/>
              </w:rPr>
            </w:pPr>
            <w:r>
              <w:rPr>
                <w:bCs/>
                <w:i/>
                <w:sz w:val="16"/>
                <w:szCs w:val="16"/>
              </w:rPr>
              <w:t>1999</w:t>
            </w:r>
          </w:p>
        </w:tc>
        <w:tc>
          <w:tcPr>
            <w:tcW w:w="700"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bCs/>
                <w:i/>
                <w:sz w:val="16"/>
                <w:szCs w:val="16"/>
              </w:rPr>
            </w:pPr>
            <w:r>
              <w:rPr>
                <w:bCs/>
                <w:i/>
                <w:sz w:val="16"/>
                <w:szCs w:val="16"/>
              </w:rPr>
              <w:t>2000</w:t>
            </w:r>
          </w:p>
        </w:tc>
        <w:tc>
          <w:tcPr>
            <w:tcW w:w="600"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bCs/>
                <w:i/>
                <w:sz w:val="16"/>
                <w:szCs w:val="16"/>
              </w:rPr>
            </w:pPr>
            <w:r>
              <w:rPr>
                <w:bCs/>
                <w:i/>
                <w:sz w:val="16"/>
                <w:szCs w:val="16"/>
              </w:rPr>
              <w:t>2001</w:t>
            </w:r>
          </w:p>
        </w:tc>
        <w:tc>
          <w:tcPr>
            <w:tcW w:w="600"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bCs/>
                <w:i/>
                <w:sz w:val="16"/>
                <w:szCs w:val="16"/>
              </w:rPr>
            </w:pPr>
            <w:r>
              <w:rPr>
                <w:bCs/>
                <w:i/>
                <w:sz w:val="16"/>
                <w:szCs w:val="16"/>
              </w:rPr>
              <w:t>2002</w:t>
            </w:r>
          </w:p>
        </w:tc>
        <w:tc>
          <w:tcPr>
            <w:tcW w:w="536"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bCs/>
                <w:i/>
                <w:sz w:val="16"/>
                <w:szCs w:val="16"/>
              </w:rPr>
            </w:pPr>
            <w:r>
              <w:rPr>
                <w:bCs/>
                <w:i/>
                <w:sz w:val="16"/>
                <w:szCs w:val="16"/>
              </w:rPr>
              <w:t>2003</w:t>
            </w:r>
          </w:p>
        </w:tc>
        <w:tc>
          <w:tcPr>
            <w:tcW w:w="564"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bCs/>
                <w:i/>
                <w:sz w:val="16"/>
                <w:szCs w:val="16"/>
              </w:rPr>
            </w:pPr>
            <w:r>
              <w:rPr>
                <w:bCs/>
                <w:i/>
                <w:sz w:val="16"/>
                <w:szCs w:val="16"/>
              </w:rPr>
              <w:t>2004</w:t>
            </w:r>
          </w:p>
        </w:tc>
        <w:tc>
          <w:tcPr>
            <w:tcW w:w="700"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bCs/>
                <w:i/>
                <w:sz w:val="16"/>
                <w:szCs w:val="16"/>
              </w:rPr>
            </w:pPr>
            <w:r>
              <w:rPr>
                <w:bCs/>
                <w:i/>
                <w:sz w:val="16"/>
                <w:szCs w:val="16"/>
              </w:rPr>
              <w:t>2005</w:t>
            </w:r>
          </w:p>
        </w:tc>
      </w:tr>
      <w:tr w:rsidR="00000000">
        <w:tc>
          <w:tcPr>
            <w:tcW w:w="1694" w:type="dxa"/>
            <w:tcBorders>
              <w:top w:val="single" w:sz="12" w:space="0" w:color="auto"/>
            </w:tcBorders>
            <w:shd w:val="clear" w:color="auto" w:fill="auto"/>
            <w:vAlign w:val="bottom"/>
          </w:tcPr>
          <w:p w:rsidR="00000000" w:rsidRDefault="00000000">
            <w:pPr>
              <w:spacing w:before="40" w:after="40" w:line="220" w:lineRule="exact"/>
              <w:rPr>
                <w:sz w:val="18"/>
                <w:szCs w:val="18"/>
              </w:rPr>
            </w:pPr>
            <w:r>
              <w:rPr>
                <w:sz w:val="18"/>
                <w:szCs w:val="18"/>
              </w:rPr>
              <w:t>Fonctionnement</w:t>
            </w:r>
          </w:p>
        </w:tc>
        <w:tc>
          <w:tcPr>
            <w:tcW w:w="536" w:type="dxa"/>
            <w:tcBorders>
              <w:top w:val="single" w:sz="12" w:space="0" w:color="auto"/>
            </w:tcBorders>
            <w:shd w:val="clear" w:color="auto" w:fill="auto"/>
            <w:vAlign w:val="bottom"/>
          </w:tcPr>
          <w:p w:rsidR="00000000" w:rsidRDefault="00000000">
            <w:pPr>
              <w:spacing w:before="40" w:after="40" w:line="220" w:lineRule="exact"/>
              <w:jc w:val="right"/>
              <w:rPr>
                <w:sz w:val="18"/>
                <w:szCs w:val="18"/>
              </w:rPr>
            </w:pPr>
            <w:r>
              <w:rPr>
                <w:sz w:val="18"/>
                <w:szCs w:val="18"/>
              </w:rPr>
              <w:t>8,6</w:t>
            </w:r>
          </w:p>
        </w:tc>
        <w:tc>
          <w:tcPr>
            <w:tcW w:w="570" w:type="dxa"/>
            <w:tcBorders>
              <w:top w:val="single" w:sz="12" w:space="0" w:color="auto"/>
            </w:tcBorders>
            <w:shd w:val="clear" w:color="auto" w:fill="auto"/>
            <w:vAlign w:val="bottom"/>
          </w:tcPr>
          <w:p w:rsidR="00000000" w:rsidRDefault="00000000">
            <w:pPr>
              <w:spacing w:before="40" w:after="40" w:line="220" w:lineRule="exact"/>
              <w:jc w:val="right"/>
              <w:rPr>
                <w:sz w:val="18"/>
                <w:szCs w:val="18"/>
              </w:rPr>
            </w:pPr>
            <w:r>
              <w:rPr>
                <w:sz w:val="18"/>
                <w:szCs w:val="18"/>
              </w:rPr>
              <w:t>10,9</w:t>
            </w:r>
          </w:p>
        </w:tc>
        <w:tc>
          <w:tcPr>
            <w:tcW w:w="700" w:type="dxa"/>
            <w:tcBorders>
              <w:top w:val="single" w:sz="12" w:space="0" w:color="auto"/>
            </w:tcBorders>
            <w:shd w:val="clear" w:color="auto" w:fill="auto"/>
            <w:vAlign w:val="bottom"/>
          </w:tcPr>
          <w:p w:rsidR="00000000" w:rsidRDefault="00000000">
            <w:pPr>
              <w:spacing w:before="40" w:after="40" w:line="220" w:lineRule="exact"/>
              <w:jc w:val="right"/>
              <w:rPr>
                <w:sz w:val="18"/>
                <w:szCs w:val="18"/>
              </w:rPr>
            </w:pPr>
            <w:r>
              <w:rPr>
                <w:sz w:val="18"/>
                <w:szCs w:val="18"/>
              </w:rPr>
              <w:t>10,1</w:t>
            </w:r>
          </w:p>
        </w:tc>
        <w:tc>
          <w:tcPr>
            <w:tcW w:w="600" w:type="dxa"/>
            <w:tcBorders>
              <w:top w:val="single" w:sz="12" w:space="0" w:color="auto"/>
            </w:tcBorders>
            <w:shd w:val="clear" w:color="auto" w:fill="auto"/>
            <w:vAlign w:val="bottom"/>
          </w:tcPr>
          <w:p w:rsidR="00000000" w:rsidRDefault="00000000">
            <w:pPr>
              <w:spacing w:before="40" w:after="40" w:line="220" w:lineRule="exact"/>
              <w:jc w:val="right"/>
              <w:rPr>
                <w:sz w:val="18"/>
                <w:szCs w:val="18"/>
              </w:rPr>
            </w:pPr>
            <w:r>
              <w:rPr>
                <w:sz w:val="18"/>
                <w:szCs w:val="18"/>
              </w:rPr>
              <w:t>10,4</w:t>
            </w:r>
          </w:p>
        </w:tc>
        <w:tc>
          <w:tcPr>
            <w:tcW w:w="600" w:type="dxa"/>
            <w:tcBorders>
              <w:top w:val="single" w:sz="12" w:space="0" w:color="auto"/>
            </w:tcBorders>
            <w:shd w:val="clear" w:color="auto" w:fill="auto"/>
            <w:vAlign w:val="bottom"/>
          </w:tcPr>
          <w:p w:rsidR="00000000" w:rsidRDefault="00000000">
            <w:pPr>
              <w:spacing w:before="40" w:after="40" w:line="220" w:lineRule="exact"/>
              <w:jc w:val="right"/>
              <w:rPr>
                <w:sz w:val="18"/>
                <w:szCs w:val="18"/>
              </w:rPr>
            </w:pPr>
            <w:r>
              <w:rPr>
                <w:sz w:val="18"/>
                <w:szCs w:val="18"/>
              </w:rPr>
              <w:t>10,8</w:t>
            </w:r>
          </w:p>
        </w:tc>
        <w:tc>
          <w:tcPr>
            <w:tcW w:w="700" w:type="dxa"/>
            <w:tcBorders>
              <w:top w:val="single" w:sz="12" w:space="0" w:color="auto"/>
            </w:tcBorders>
            <w:shd w:val="clear" w:color="auto" w:fill="auto"/>
            <w:vAlign w:val="bottom"/>
          </w:tcPr>
          <w:p w:rsidR="00000000" w:rsidRDefault="00000000">
            <w:pPr>
              <w:spacing w:before="40" w:after="40" w:line="220" w:lineRule="exact"/>
              <w:jc w:val="right"/>
              <w:rPr>
                <w:sz w:val="18"/>
                <w:szCs w:val="18"/>
              </w:rPr>
            </w:pPr>
            <w:r>
              <w:rPr>
                <w:sz w:val="18"/>
                <w:szCs w:val="18"/>
              </w:rPr>
              <w:t>8,2</w:t>
            </w:r>
          </w:p>
        </w:tc>
        <w:tc>
          <w:tcPr>
            <w:tcW w:w="700" w:type="dxa"/>
            <w:tcBorders>
              <w:top w:val="single" w:sz="12" w:space="0" w:color="auto"/>
            </w:tcBorders>
            <w:shd w:val="clear" w:color="auto" w:fill="auto"/>
            <w:vAlign w:val="bottom"/>
          </w:tcPr>
          <w:p w:rsidR="00000000" w:rsidRDefault="00000000">
            <w:pPr>
              <w:spacing w:before="40" w:after="40" w:line="220" w:lineRule="exact"/>
              <w:jc w:val="right"/>
              <w:rPr>
                <w:sz w:val="18"/>
                <w:szCs w:val="18"/>
              </w:rPr>
            </w:pPr>
            <w:r>
              <w:rPr>
                <w:sz w:val="18"/>
                <w:szCs w:val="18"/>
              </w:rPr>
              <w:t>9,1</w:t>
            </w:r>
          </w:p>
        </w:tc>
        <w:tc>
          <w:tcPr>
            <w:tcW w:w="600" w:type="dxa"/>
            <w:tcBorders>
              <w:top w:val="single" w:sz="12" w:space="0" w:color="auto"/>
            </w:tcBorders>
            <w:shd w:val="clear" w:color="auto" w:fill="auto"/>
            <w:vAlign w:val="bottom"/>
          </w:tcPr>
          <w:p w:rsidR="00000000" w:rsidRDefault="00000000">
            <w:pPr>
              <w:spacing w:before="40" w:after="40" w:line="220" w:lineRule="exact"/>
              <w:jc w:val="right"/>
              <w:rPr>
                <w:sz w:val="18"/>
                <w:szCs w:val="18"/>
              </w:rPr>
            </w:pPr>
            <w:r>
              <w:rPr>
                <w:sz w:val="18"/>
                <w:szCs w:val="18"/>
              </w:rPr>
              <w:t>23,3</w:t>
            </w:r>
          </w:p>
        </w:tc>
        <w:tc>
          <w:tcPr>
            <w:tcW w:w="600" w:type="dxa"/>
            <w:tcBorders>
              <w:top w:val="single" w:sz="12" w:space="0" w:color="auto"/>
            </w:tcBorders>
            <w:shd w:val="clear" w:color="auto" w:fill="auto"/>
            <w:vAlign w:val="bottom"/>
          </w:tcPr>
          <w:p w:rsidR="00000000" w:rsidRDefault="00000000">
            <w:pPr>
              <w:spacing w:before="40" w:after="40" w:line="220" w:lineRule="exact"/>
              <w:jc w:val="right"/>
              <w:rPr>
                <w:sz w:val="18"/>
                <w:szCs w:val="18"/>
              </w:rPr>
            </w:pPr>
            <w:r>
              <w:rPr>
                <w:sz w:val="18"/>
                <w:szCs w:val="18"/>
              </w:rPr>
              <w:t>19,9</w:t>
            </w:r>
          </w:p>
        </w:tc>
        <w:tc>
          <w:tcPr>
            <w:tcW w:w="536" w:type="dxa"/>
            <w:tcBorders>
              <w:top w:val="single" w:sz="12" w:space="0" w:color="auto"/>
            </w:tcBorders>
            <w:shd w:val="clear" w:color="auto" w:fill="auto"/>
            <w:vAlign w:val="bottom"/>
          </w:tcPr>
          <w:p w:rsidR="00000000" w:rsidRDefault="00000000">
            <w:pPr>
              <w:spacing w:before="40" w:after="40" w:line="220" w:lineRule="exact"/>
              <w:jc w:val="right"/>
              <w:rPr>
                <w:sz w:val="18"/>
                <w:szCs w:val="18"/>
              </w:rPr>
            </w:pPr>
            <w:r>
              <w:rPr>
                <w:sz w:val="18"/>
                <w:szCs w:val="18"/>
              </w:rPr>
              <w:t>18,5</w:t>
            </w:r>
          </w:p>
        </w:tc>
        <w:tc>
          <w:tcPr>
            <w:tcW w:w="564" w:type="dxa"/>
            <w:tcBorders>
              <w:top w:val="single" w:sz="12" w:space="0" w:color="auto"/>
            </w:tcBorders>
            <w:shd w:val="clear" w:color="auto" w:fill="auto"/>
            <w:vAlign w:val="bottom"/>
          </w:tcPr>
          <w:p w:rsidR="00000000" w:rsidRDefault="00000000">
            <w:pPr>
              <w:spacing w:before="40" w:after="40" w:line="220" w:lineRule="exact"/>
              <w:jc w:val="right"/>
              <w:rPr>
                <w:sz w:val="18"/>
                <w:szCs w:val="18"/>
              </w:rPr>
            </w:pPr>
            <w:r>
              <w:rPr>
                <w:sz w:val="18"/>
                <w:szCs w:val="18"/>
              </w:rPr>
              <w:t>17,4</w:t>
            </w:r>
          </w:p>
        </w:tc>
        <w:tc>
          <w:tcPr>
            <w:tcW w:w="700" w:type="dxa"/>
            <w:tcBorders>
              <w:top w:val="single" w:sz="12" w:space="0" w:color="auto"/>
            </w:tcBorders>
            <w:shd w:val="clear" w:color="auto" w:fill="auto"/>
            <w:vAlign w:val="bottom"/>
          </w:tcPr>
          <w:p w:rsidR="00000000" w:rsidRDefault="00000000">
            <w:pPr>
              <w:spacing w:before="40" w:after="40" w:line="220" w:lineRule="exact"/>
              <w:jc w:val="right"/>
              <w:rPr>
                <w:sz w:val="18"/>
                <w:szCs w:val="18"/>
              </w:rPr>
            </w:pPr>
            <w:r>
              <w:rPr>
                <w:sz w:val="18"/>
                <w:szCs w:val="18"/>
              </w:rPr>
              <w:t>10,33</w:t>
            </w:r>
          </w:p>
        </w:tc>
      </w:tr>
      <w:tr w:rsidR="00000000">
        <w:tc>
          <w:tcPr>
            <w:tcW w:w="1694" w:type="dxa"/>
            <w:shd w:val="clear" w:color="auto" w:fill="auto"/>
            <w:vAlign w:val="bottom"/>
          </w:tcPr>
          <w:p w:rsidR="00000000" w:rsidRDefault="00000000">
            <w:pPr>
              <w:spacing w:before="40" w:after="40" w:line="220" w:lineRule="exact"/>
              <w:rPr>
                <w:sz w:val="18"/>
                <w:szCs w:val="18"/>
              </w:rPr>
            </w:pPr>
            <w:r>
              <w:rPr>
                <w:sz w:val="18"/>
                <w:szCs w:val="18"/>
              </w:rPr>
              <w:t>Investissement</w:t>
            </w:r>
          </w:p>
        </w:tc>
        <w:tc>
          <w:tcPr>
            <w:tcW w:w="536" w:type="dxa"/>
            <w:shd w:val="clear" w:color="auto" w:fill="auto"/>
            <w:vAlign w:val="bottom"/>
          </w:tcPr>
          <w:p w:rsidR="00000000" w:rsidRDefault="00000000">
            <w:pPr>
              <w:spacing w:before="40" w:after="40" w:line="220" w:lineRule="exact"/>
              <w:jc w:val="right"/>
              <w:rPr>
                <w:sz w:val="18"/>
                <w:szCs w:val="18"/>
              </w:rPr>
            </w:pPr>
            <w:r>
              <w:rPr>
                <w:sz w:val="18"/>
                <w:szCs w:val="18"/>
              </w:rPr>
              <w:t>6,5</w:t>
            </w:r>
          </w:p>
        </w:tc>
        <w:tc>
          <w:tcPr>
            <w:tcW w:w="570" w:type="dxa"/>
            <w:shd w:val="clear" w:color="auto" w:fill="auto"/>
            <w:vAlign w:val="bottom"/>
          </w:tcPr>
          <w:p w:rsidR="00000000" w:rsidRDefault="00000000">
            <w:pPr>
              <w:spacing w:before="40" w:after="40" w:line="220" w:lineRule="exact"/>
              <w:jc w:val="right"/>
              <w:rPr>
                <w:sz w:val="18"/>
                <w:szCs w:val="18"/>
              </w:rPr>
            </w:pPr>
            <w:r>
              <w:rPr>
                <w:sz w:val="18"/>
                <w:szCs w:val="18"/>
              </w:rPr>
              <w:t>6,2</w:t>
            </w:r>
          </w:p>
        </w:tc>
        <w:tc>
          <w:tcPr>
            <w:tcW w:w="700" w:type="dxa"/>
            <w:shd w:val="clear" w:color="auto" w:fill="auto"/>
            <w:vAlign w:val="bottom"/>
          </w:tcPr>
          <w:p w:rsidR="00000000" w:rsidRDefault="00000000">
            <w:pPr>
              <w:spacing w:before="40" w:after="40" w:line="220" w:lineRule="exact"/>
              <w:jc w:val="right"/>
              <w:rPr>
                <w:sz w:val="18"/>
                <w:szCs w:val="18"/>
              </w:rPr>
            </w:pPr>
            <w:r>
              <w:rPr>
                <w:sz w:val="18"/>
                <w:szCs w:val="18"/>
              </w:rPr>
              <w:t>11,8</w:t>
            </w:r>
          </w:p>
        </w:tc>
        <w:tc>
          <w:tcPr>
            <w:tcW w:w="600" w:type="dxa"/>
            <w:shd w:val="clear" w:color="auto" w:fill="auto"/>
            <w:vAlign w:val="bottom"/>
          </w:tcPr>
          <w:p w:rsidR="00000000" w:rsidRDefault="00000000">
            <w:pPr>
              <w:spacing w:before="40" w:after="40" w:line="220" w:lineRule="exact"/>
              <w:jc w:val="right"/>
              <w:rPr>
                <w:sz w:val="18"/>
                <w:szCs w:val="18"/>
              </w:rPr>
            </w:pPr>
            <w:r>
              <w:rPr>
                <w:sz w:val="18"/>
                <w:szCs w:val="18"/>
              </w:rPr>
              <w:t>10,3</w:t>
            </w:r>
          </w:p>
        </w:tc>
        <w:tc>
          <w:tcPr>
            <w:tcW w:w="600" w:type="dxa"/>
            <w:shd w:val="clear" w:color="auto" w:fill="auto"/>
            <w:vAlign w:val="bottom"/>
          </w:tcPr>
          <w:p w:rsidR="00000000" w:rsidRDefault="00000000">
            <w:pPr>
              <w:spacing w:before="40" w:after="40" w:line="220" w:lineRule="exact"/>
              <w:jc w:val="right"/>
              <w:rPr>
                <w:sz w:val="18"/>
                <w:szCs w:val="18"/>
              </w:rPr>
            </w:pPr>
            <w:r>
              <w:rPr>
                <w:sz w:val="18"/>
                <w:szCs w:val="18"/>
              </w:rPr>
              <w:t>12,4</w:t>
            </w:r>
          </w:p>
        </w:tc>
        <w:tc>
          <w:tcPr>
            <w:tcW w:w="700" w:type="dxa"/>
            <w:shd w:val="clear" w:color="auto" w:fill="auto"/>
            <w:vAlign w:val="bottom"/>
          </w:tcPr>
          <w:p w:rsidR="00000000" w:rsidRDefault="00000000">
            <w:pPr>
              <w:spacing w:before="40" w:after="40" w:line="220" w:lineRule="exact"/>
              <w:jc w:val="right"/>
              <w:rPr>
                <w:sz w:val="18"/>
                <w:szCs w:val="18"/>
              </w:rPr>
            </w:pPr>
            <w:r>
              <w:rPr>
                <w:sz w:val="18"/>
                <w:szCs w:val="18"/>
              </w:rPr>
              <w:t>14,3</w:t>
            </w:r>
          </w:p>
        </w:tc>
        <w:tc>
          <w:tcPr>
            <w:tcW w:w="700" w:type="dxa"/>
            <w:shd w:val="clear" w:color="auto" w:fill="auto"/>
            <w:vAlign w:val="bottom"/>
          </w:tcPr>
          <w:p w:rsidR="00000000" w:rsidRDefault="00000000">
            <w:pPr>
              <w:spacing w:before="40" w:after="40" w:line="220" w:lineRule="exact"/>
              <w:jc w:val="right"/>
              <w:rPr>
                <w:sz w:val="18"/>
                <w:szCs w:val="18"/>
              </w:rPr>
            </w:pPr>
            <w:r>
              <w:rPr>
                <w:sz w:val="18"/>
                <w:szCs w:val="18"/>
              </w:rPr>
              <w:t>16,9</w:t>
            </w:r>
          </w:p>
        </w:tc>
        <w:tc>
          <w:tcPr>
            <w:tcW w:w="600" w:type="dxa"/>
            <w:shd w:val="clear" w:color="auto" w:fill="auto"/>
            <w:vAlign w:val="bottom"/>
          </w:tcPr>
          <w:p w:rsidR="00000000" w:rsidRDefault="00000000">
            <w:pPr>
              <w:spacing w:before="40" w:after="40" w:line="220" w:lineRule="exact"/>
              <w:jc w:val="right"/>
              <w:rPr>
                <w:sz w:val="18"/>
                <w:szCs w:val="18"/>
              </w:rPr>
            </w:pPr>
            <w:r>
              <w:rPr>
                <w:sz w:val="18"/>
                <w:szCs w:val="18"/>
              </w:rPr>
              <w:t>7,67</w:t>
            </w:r>
          </w:p>
        </w:tc>
        <w:tc>
          <w:tcPr>
            <w:tcW w:w="600" w:type="dxa"/>
            <w:shd w:val="clear" w:color="auto" w:fill="auto"/>
            <w:vAlign w:val="bottom"/>
          </w:tcPr>
          <w:p w:rsidR="00000000" w:rsidRDefault="00000000">
            <w:pPr>
              <w:spacing w:before="40" w:after="40" w:line="220" w:lineRule="exact"/>
              <w:jc w:val="right"/>
              <w:rPr>
                <w:sz w:val="18"/>
                <w:szCs w:val="18"/>
              </w:rPr>
            </w:pPr>
            <w:r>
              <w:rPr>
                <w:sz w:val="18"/>
                <w:szCs w:val="18"/>
              </w:rPr>
              <w:t>8,15</w:t>
            </w:r>
          </w:p>
        </w:tc>
        <w:tc>
          <w:tcPr>
            <w:tcW w:w="536" w:type="dxa"/>
            <w:shd w:val="clear" w:color="auto" w:fill="auto"/>
            <w:vAlign w:val="bottom"/>
          </w:tcPr>
          <w:p w:rsidR="00000000" w:rsidRDefault="00000000">
            <w:pPr>
              <w:spacing w:before="40" w:after="40" w:line="220" w:lineRule="exact"/>
              <w:jc w:val="right"/>
              <w:rPr>
                <w:sz w:val="18"/>
                <w:szCs w:val="18"/>
              </w:rPr>
            </w:pPr>
            <w:r>
              <w:rPr>
                <w:sz w:val="18"/>
                <w:szCs w:val="18"/>
              </w:rPr>
              <w:t>nd</w:t>
            </w:r>
          </w:p>
        </w:tc>
        <w:tc>
          <w:tcPr>
            <w:tcW w:w="564" w:type="dxa"/>
            <w:shd w:val="clear" w:color="auto" w:fill="auto"/>
            <w:vAlign w:val="bottom"/>
          </w:tcPr>
          <w:p w:rsidR="00000000" w:rsidRDefault="00000000">
            <w:pPr>
              <w:spacing w:before="40" w:after="40" w:line="220" w:lineRule="exact"/>
              <w:jc w:val="right"/>
              <w:rPr>
                <w:sz w:val="18"/>
                <w:szCs w:val="18"/>
              </w:rPr>
            </w:pPr>
            <w:r>
              <w:rPr>
                <w:sz w:val="18"/>
                <w:szCs w:val="18"/>
              </w:rPr>
              <w:t>nd</w:t>
            </w:r>
          </w:p>
        </w:tc>
        <w:tc>
          <w:tcPr>
            <w:tcW w:w="700" w:type="dxa"/>
            <w:shd w:val="clear" w:color="auto" w:fill="auto"/>
            <w:vAlign w:val="bottom"/>
          </w:tcPr>
          <w:p w:rsidR="00000000" w:rsidRDefault="00000000">
            <w:pPr>
              <w:spacing w:before="40" w:after="40" w:line="220" w:lineRule="exact"/>
              <w:jc w:val="right"/>
              <w:rPr>
                <w:sz w:val="18"/>
                <w:szCs w:val="18"/>
              </w:rPr>
            </w:pPr>
            <w:r>
              <w:rPr>
                <w:sz w:val="18"/>
                <w:szCs w:val="18"/>
              </w:rPr>
              <w:t>7,91</w:t>
            </w:r>
          </w:p>
        </w:tc>
      </w:tr>
      <w:tr w:rsidR="00000000">
        <w:tc>
          <w:tcPr>
            <w:tcW w:w="1694" w:type="dxa"/>
            <w:tcBorders>
              <w:bottom w:val="single" w:sz="12" w:space="0" w:color="auto"/>
            </w:tcBorders>
            <w:shd w:val="clear" w:color="auto" w:fill="auto"/>
            <w:vAlign w:val="bottom"/>
          </w:tcPr>
          <w:p w:rsidR="00000000" w:rsidRDefault="00000000">
            <w:pPr>
              <w:spacing w:before="40" w:after="40" w:line="220" w:lineRule="exact"/>
              <w:rPr>
                <w:sz w:val="18"/>
                <w:szCs w:val="18"/>
              </w:rPr>
            </w:pPr>
            <w:r>
              <w:rPr>
                <w:sz w:val="18"/>
                <w:szCs w:val="18"/>
              </w:rPr>
              <w:t>Part du budget santé</w:t>
            </w:r>
          </w:p>
        </w:tc>
        <w:tc>
          <w:tcPr>
            <w:tcW w:w="536" w:type="dxa"/>
            <w:tcBorders>
              <w:bottom w:val="single" w:sz="12" w:space="0" w:color="auto"/>
            </w:tcBorders>
            <w:shd w:val="clear" w:color="auto" w:fill="auto"/>
            <w:vAlign w:val="bottom"/>
          </w:tcPr>
          <w:p w:rsidR="00000000" w:rsidRDefault="00000000">
            <w:pPr>
              <w:spacing w:before="40" w:after="40" w:line="220" w:lineRule="exact"/>
              <w:jc w:val="right"/>
              <w:rPr>
                <w:sz w:val="18"/>
                <w:szCs w:val="18"/>
              </w:rPr>
            </w:pPr>
            <w:r>
              <w:rPr>
                <w:sz w:val="18"/>
                <w:szCs w:val="18"/>
              </w:rPr>
              <w:t>7,5</w:t>
            </w:r>
          </w:p>
        </w:tc>
        <w:tc>
          <w:tcPr>
            <w:tcW w:w="570" w:type="dxa"/>
            <w:tcBorders>
              <w:bottom w:val="single" w:sz="12" w:space="0" w:color="auto"/>
            </w:tcBorders>
            <w:shd w:val="clear" w:color="auto" w:fill="auto"/>
            <w:vAlign w:val="bottom"/>
          </w:tcPr>
          <w:p w:rsidR="00000000" w:rsidRDefault="00000000">
            <w:pPr>
              <w:spacing w:before="40" w:after="40" w:line="220" w:lineRule="exact"/>
              <w:jc w:val="right"/>
              <w:rPr>
                <w:sz w:val="18"/>
                <w:szCs w:val="18"/>
              </w:rPr>
            </w:pPr>
            <w:r>
              <w:rPr>
                <w:sz w:val="18"/>
                <w:szCs w:val="18"/>
              </w:rPr>
              <w:t>8,1</w:t>
            </w:r>
          </w:p>
        </w:tc>
        <w:tc>
          <w:tcPr>
            <w:tcW w:w="700" w:type="dxa"/>
            <w:tcBorders>
              <w:bottom w:val="single" w:sz="12" w:space="0" w:color="auto"/>
            </w:tcBorders>
            <w:shd w:val="clear" w:color="auto" w:fill="auto"/>
            <w:vAlign w:val="bottom"/>
          </w:tcPr>
          <w:p w:rsidR="00000000" w:rsidRDefault="00000000">
            <w:pPr>
              <w:spacing w:before="40" w:after="40" w:line="220" w:lineRule="exact"/>
              <w:jc w:val="right"/>
              <w:rPr>
                <w:sz w:val="18"/>
                <w:szCs w:val="18"/>
              </w:rPr>
            </w:pPr>
            <w:r>
              <w:rPr>
                <w:sz w:val="18"/>
                <w:szCs w:val="18"/>
              </w:rPr>
              <w:t>11,0</w:t>
            </w:r>
          </w:p>
        </w:tc>
        <w:tc>
          <w:tcPr>
            <w:tcW w:w="600" w:type="dxa"/>
            <w:tcBorders>
              <w:bottom w:val="single" w:sz="12" w:space="0" w:color="auto"/>
            </w:tcBorders>
            <w:shd w:val="clear" w:color="auto" w:fill="auto"/>
            <w:vAlign w:val="bottom"/>
          </w:tcPr>
          <w:p w:rsidR="00000000" w:rsidRDefault="00000000">
            <w:pPr>
              <w:spacing w:before="40" w:after="40" w:line="220" w:lineRule="exact"/>
              <w:jc w:val="right"/>
              <w:rPr>
                <w:sz w:val="18"/>
                <w:szCs w:val="18"/>
              </w:rPr>
            </w:pPr>
            <w:r>
              <w:rPr>
                <w:sz w:val="18"/>
                <w:szCs w:val="18"/>
              </w:rPr>
              <w:t>10,3</w:t>
            </w:r>
          </w:p>
        </w:tc>
        <w:tc>
          <w:tcPr>
            <w:tcW w:w="600" w:type="dxa"/>
            <w:tcBorders>
              <w:bottom w:val="single" w:sz="12" w:space="0" w:color="auto"/>
            </w:tcBorders>
            <w:shd w:val="clear" w:color="auto" w:fill="auto"/>
            <w:vAlign w:val="bottom"/>
          </w:tcPr>
          <w:p w:rsidR="00000000" w:rsidRDefault="00000000">
            <w:pPr>
              <w:spacing w:before="40" w:after="40" w:line="220" w:lineRule="exact"/>
              <w:jc w:val="right"/>
              <w:rPr>
                <w:sz w:val="18"/>
                <w:szCs w:val="18"/>
              </w:rPr>
            </w:pPr>
            <w:r>
              <w:rPr>
                <w:sz w:val="18"/>
                <w:szCs w:val="18"/>
              </w:rPr>
              <w:t>10,3</w:t>
            </w:r>
          </w:p>
        </w:tc>
        <w:tc>
          <w:tcPr>
            <w:tcW w:w="700" w:type="dxa"/>
            <w:tcBorders>
              <w:bottom w:val="single" w:sz="12" w:space="0" w:color="auto"/>
            </w:tcBorders>
            <w:shd w:val="clear" w:color="auto" w:fill="auto"/>
            <w:vAlign w:val="bottom"/>
          </w:tcPr>
          <w:p w:rsidR="00000000" w:rsidRDefault="00000000">
            <w:pPr>
              <w:spacing w:before="40" w:after="40" w:line="220" w:lineRule="exact"/>
              <w:jc w:val="right"/>
              <w:rPr>
                <w:sz w:val="18"/>
                <w:szCs w:val="18"/>
              </w:rPr>
            </w:pPr>
            <w:r>
              <w:rPr>
                <w:sz w:val="18"/>
                <w:szCs w:val="18"/>
              </w:rPr>
              <w:t>9,2</w:t>
            </w:r>
          </w:p>
        </w:tc>
        <w:tc>
          <w:tcPr>
            <w:tcW w:w="700" w:type="dxa"/>
            <w:tcBorders>
              <w:bottom w:val="single" w:sz="12" w:space="0" w:color="auto"/>
            </w:tcBorders>
            <w:shd w:val="clear" w:color="auto" w:fill="auto"/>
            <w:vAlign w:val="bottom"/>
          </w:tcPr>
          <w:p w:rsidR="00000000" w:rsidRDefault="00000000">
            <w:pPr>
              <w:spacing w:before="40" w:after="40" w:line="220" w:lineRule="exact"/>
              <w:jc w:val="right"/>
              <w:rPr>
                <w:sz w:val="18"/>
                <w:szCs w:val="18"/>
              </w:rPr>
            </w:pPr>
            <w:r>
              <w:rPr>
                <w:sz w:val="18"/>
                <w:szCs w:val="18"/>
              </w:rPr>
              <w:t>10,2</w:t>
            </w:r>
          </w:p>
        </w:tc>
        <w:tc>
          <w:tcPr>
            <w:tcW w:w="600" w:type="dxa"/>
            <w:tcBorders>
              <w:bottom w:val="single" w:sz="12" w:space="0" w:color="auto"/>
            </w:tcBorders>
            <w:shd w:val="clear" w:color="auto" w:fill="auto"/>
            <w:vAlign w:val="bottom"/>
          </w:tcPr>
          <w:p w:rsidR="00000000" w:rsidRDefault="00000000">
            <w:pPr>
              <w:spacing w:before="40" w:after="40" w:line="220" w:lineRule="exact"/>
              <w:jc w:val="right"/>
              <w:rPr>
                <w:sz w:val="18"/>
                <w:szCs w:val="18"/>
              </w:rPr>
            </w:pPr>
            <w:r>
              <w:rPr>
                <w:sz w:val="18"/>
                <w:szCs w:val="18"/>
              </w:rPr>
              <w:t>10,4</w:t>
            </w:r>
          </w:p>
        </w:tc>
        <w:tc>
          <w:tcPr>
            <w:tcW w:w="600" w:type="dxa"/>
            <w:tcBorders>
              <w:bottom w:val="single" w:sz="12" w:space="0" w:color="auto"/>
            </w:tcBorders>
            <w:shd w:val="clear" w:color="auto" w:fill="auto"/>
            <w:vAlign w:val="bottom"/>
          </w:tcPr>
          <w:p w:rsidR="00000000" w:rsidRDefault="00000000">
            <w:pPr>
              <w:spacing w:before="40" w:after="40" w:line="220" w:lineRule="exact"/>
              <w:jc w:val="right"/>
              <w:rPr>
                <w:sz w:val="18"/>
                <w:szCs w:val="18"/>
              </w:rPr>
            </w:pPr>
            <w:r>
              <w:rPr>
                <w:sz w:val="18"/>
                <w:szCs w:val="18"/>
              </w:rPr>
              <w:t>12,9</w:t>
            </w:r>
          </w:p>
        </w:tc>
        <w:tc>
          <w:tcPr>
            <w:tcW w:w="536" w:type="dxa"/>
            <w:tcBorders>
              <w:bottom w:val="single" w:sz="12" w:space="0" w:color="auto"/>
            </w:tcBorders>
            <w:shd w:val="clear" w:color="auto" w:fill="auto"/>
            <w:vAlign w:val="bottom"/>
          </w:tcPr>
          <w:p w:rsidR="00000000" w:rsidRDefault="00000000">
            <w:pPr>
              <w:spacing w:before="40" w:after="40" w:line="220" w:lineRule="exact"/>
              <w:jc w:val="right"/>
              <w:rPr>
                <w:sz w:val="18"/>
                <w:szCs w:val="18"/>
              </w:rPr>
            </w:pPr>
            <w:r>
              <w:rPr>
                <w:sz w:val="18"/>
                <w:szCs w:val="18"/>
              </w:rPr>
              <w:t>7,7</w:t>
            </w:r>
          </w:p>
        </w:tc>
        <w:tc>
          <w:tcPr>
            <w:tcW w:w="564" w:type="dxa"/>
            <w:tcBorders>
              <w:bottom w:val="single" w:sz="12" w:space="0" w:color="auto"/>
            </w:tcBorders>
            <w:shd w:val="clear" w:color="auto" w:fill="auto"/>
            <w:vAlign w:val="bottom"/>
          </w:tcPr>
          <w:p w:rsidR="00000000" w:rsidRDefault="00000000">
            <w:pPr>
              <w:spacing w:before="40" w:after="40" w:line="220" w:lineRule="exact"/>
              <w:jc w:val="right"/>
              <w:rPr>
                <w:sz w:val="18"/>
                <w:szCs w:val="18"/>
              </w:rPr>
            </w:pPr>
            <w:r>
              <w:rPr>
                <w:sz w:val="18"/>
                <w:szCs w:val="18"/>
              </w:rPr>
              <w:t>5,8</w:t>
            </w:r>
          </w:p>
        </w:tc>
        <w:tc>
          <w:tcPr>
            <w:tcW w:w="700" w:type="dxa"/>
            <w:tcBorders>
              <w:bottom w:val="single" w:sz="12" w:space="0" w:color="auto"/>
            </w:tcBorders>
            <w:shd w:val="clear" w:color="auto" w:fill="auto"/>
            <w:vAlign w:val="bottom"/>
          </w:tcPr>
          <w:p w:rsidR="00000000" w:rsidRDefault="00000000">
            <w:pPr>
              <w:spacing w:before="40" w:after="40" w:line="220" w:lineRule="exact"/>
              <w:jc w:val="right"/>
              <w:rPr>
                <w:sz w:val="18"/>
                <w:szCs w:val="18"/>
              </w:rPr>
            </w:pPr>
            <w:r>
              <w:rPr>
                <w:sz w:val="18"/>
                <w:szCs w:val="18"/>
              </w:rPr>
              <w:t>8,74</w:t>
            </w:r>
          </w:p>
        </w:tc>
      </w:tr>
    </w:tbl>
    <w:p w:rsidR="00000000" w:rsidRDefault="00000000">
      <w:pPr>
        <w:spacing w:before="120" w:after="240"/>
        <w:ind w:firstLine="170"/>
        <w:rPr>
          <w:iCs/>
          <w:sz w:val="18"/>
          <w:szCs w:val="18"/>
          <w:lang w:val="fr-FR"/>
        </w:rPr>
      </w:pPr>
      <w:r>
        <w:rPr>
          <w:i/>
          <w:iCs/>
          <w:sz w:val="18"/>
          <w:szCs w:val="18"/>
          <w:lang w:val="fr-FR"/>
        </w:rPr>
        <w:t xml:space="preserve">Source: </w:t>
      </w:r>
      <w:r>
        <w:rPr>
          <w:iCs/>
          <w:sz w:val="18"/>
          <w:szCs w:val="18"/>
          <w:lang w:val="fr-FR"/>
        </w:rPr>
        <w:t>Annuaire Statistique sanitaire, CDMT du secteur santé</w:t>
      </w:r>
    </w:p>
    <w:p w:rsidR="00000000" w:rsidRDefault="00000000">
      <w:pPr>
        <w:pStyle w:val="SingleTxtG"/>
        <w:rPr>
          <w:lang w:val="fr-FR"/>
        </w:rPr>
      </w:pPr>
      <w:r>
        <w:rPr>
          <w:lang w:val="fr-FR"/>
        </w:rPr>
        <w:t>351.</w:t>
      </w:r>
      <w:r>
        <w:rPr>
          <w:lang w:val="fr-FR"/>
        </w:rPr>
        <w:tab/>
        <w:t>En matière de répartition du budget de l’État par niveau, le tableau ci-après montre son évolution de 1998 à 2006.</w:t>
      </w:r>
    </w:p>
    <w:p w:rsidR="00000000" w:rsidRDefault="00000000">
      <w:pPr>
        <w:pStyle w:val="SingleTxtG"/>
        <w:spacing w:after="0"/>
      </w:pPr>
      <w:bookmarkStart w:id="796" w:name="_Toc260298256"/>
      <w:r>
        <w:t>Tableau 19</w:t>
      </w:r>
    </w:p>
    <w:p w:rsidR="00000000" w:rsidRDefault="00000000">
      <w:pPr>
        <w:pStyle w:val="SingleTxtG"/>
        <w:rPr>
          <w:b/>
        </w:rPr>
      </w:pPr>
      <w:r>
        <w:rPr>
          <w:b/>
        </w:rPr>
        <w:t>Évolution du taux de répartition du budget santé par niveau de 1998 à 2006</w:t>
      </w:r>
      <w:bookmarkEnd w:id="796"/>
    </w:p>
    <w:tbl>
      <w:tblPr>
        <w:tblW w:w="8505" w:type="dxa"/>
        <w:tblInd w:w="1134" w:type="dxa"/>
        <w:tblCellMar>
          <w:left w:w="0" w:type="dxa"/>
          <w:right w:w="0" w:type="dxa"/>
        </w:tblCellMar>
        <w:tblLook w:val="01E0" w:firstRow="1" w:lastRow="1" w:firstColumn="1" w:lastColumn="1" w:noHBand="0" w:noVBand="0"/>
      </w:tblPr>
      <w:tblGrid>
        <w:gridCol w:w="1843"/>
        <w:gridCol w:w="773"/>
        <w:gridCol w:w="709"/>
        <w:gridCol w:w="709"/>
        <w:gridCol w:w="771"/>
        <w:gridCol w:w="709"/>
        <w:gridCol w:w="709"/>
        <w:gridCol w:w="771"/>
        <w:gridCol w:w="709"/>
        <w:gridCol w:w="802"/>
      </w:tblGrid>
      <w:tr w:rsidR="00000000">
        <w:tc>
          <w:tcPr>
            <w:tcW w:w="1980" w:type="dxa"/>
            <w:tcBorders>
              <w:top w:val="single" w:sz="4" w:space="0" w:color="auto"/>
              <w:bottom w:val="single" w:sz="12" w:space="0" w:color="auto"/>
            </w:tcBorders>
            <w:shd w:val="clear" w:color="auto" w:fill="auto"/>
          </w:tcPr>
          <w:p w:rsidR="00000000" w:rsidRDefault="00000000">
            <w:pPr>
              <w:spacing w:before="80" w:after="80" w:line="200" w:lineRule="exact"/>
              <w:rPr>
                <w:bCs/>
                <w:i/>
                <w:sz w:val="16"/>
                <w:szCs w:val="16"/>
              </w:rPr>
            </w:pPr>
            <w:r>
              <w:rPr>
                <w:bCs/>
                <w:i/>
                <w:sz w:val="16"/>
                <w:szCs w:val="16"/>
              </w:rPr>
              <w:t>Exercices</w:t>
            </w:r>
            <w:r>
              <w:rPr>
                <w:bCs/>
                <w:i/>
                <w:sz w:val="16"/>
                <w:szCs w:val="16"/>
              </w:rPr>
              <w:br/>
              <w:t>Niveaux</w:t>
            </w:r>
          </w:p>
        </w:tc>
        <w:tc>
          <w:tcPr>
            <w:tcW w:w="831"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bCs/>
                <w:i/>
                <w:sz w:val="16"/>
                <w:szCs w:val="16"/>
              </w:rPr>
            </w:pPr>
            <w:r>
              <w:rPr>
                <w:bCs/>
                <w:i/>
                <w:sz w:val="16"/>
                <w:szCs w:val="16"/>
              </w:rPr>
              <w:t>1998</w:t>
            </w:r>
          </w:p>
        </w:tc>
        <w:tc>
          <w:tcPr>
            <w:tcW w:w="756"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bCs/>
                <w:i/>
                <w:sz w:val="16"/>
                <w:szCs w:val="16"/>
              </w:rPr>
            </w:pPr>
            <w:r>
              <w:rPr>
                <w:bCs/>
                <w:i/>
                <w:sz w:val="16"/>
                <w:szCs w:val="16"/>
              </w:rPr>
              <w:t>1999</w:t>
            </w:r>
          </w:p>
        </w:tc>
        <w:tc>
          <w:tcPr>
            <w:tcW w:w="756"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bCs/>
                <w:i/>
                <w:sz w:val="16"/>
                <w:szCs w:val="16"/>
              </w:rPr>
            </w:pPr>
            <w:r>
              <w:rPr>
                <w:bCs/>
                <w:i/>
                <w:sz w:val="16"/>
                <w:szCs w:val="16"/>
              </w:rPr>
              <w:t>2000</w:t>
            </w:r>
          </w:p>
        </w:tc>
        <w:tc>
          <w:tcPr>
            <w:tcW w:w="828"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bCs/>
                <w:i/>
                <w:sz w:val="16"/>
                <w:szCs w:val="16"/>
              </w:rPr>
            </w:pPr>
            <w:r>
              <w:rPr>
                <w:bCs/>
                <w:i/>
                <w:sz w:val="16"/>
                <w:szCs w:val="16"/>
              </w:rPr>
              <w:t>2001</w:t>
            </w:r>
          </w:p>
        </w:tc>
        <w:tc>
          <w:tcPr>
            <w:tcW w:w="756"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bCs/>
                <w:i/>
                <w:sz w:val="16"/>
                <w:szCs w:val="16"/>
              </w:rPr>
            </w:pPr>
            <w:r>
              <w:rPr>
                <w:bCs/>
                <w:i/>
                <w:sz w:val="16"/>
                <w:szCs w:val="16"/>
              </w:rPr>
              <w:t>2002</w:t>
            </w:r>
          </w:p>
        </w:tc>
        <w:tc>
          <w:tcPr>
            <w:tcW w:w="756"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bCs/>
                <w:i/>
                <w:sz w:val="16"/>
                <w:szCs w:val="16"/>
              </w:rPr>
            </w:pPr>
            <w:r>
              <w:rPr>
                <w:bCs/>
                <w:i/>
                <w:sz w:val="16"/>
                <w:szCs w:val="16"/>
              </w:rPr>
              <w:t>2003</w:t>
            </w:r>
          </w:p>
        </w:tc>
        <w:tc>
          <w:tcPr>
            <w:tcW w:w="828"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bCs/>
                <w:i/>
                <w:sz w:val="16"/>
                <w:szCs w:val="16"/>
              </w:rPr>
            </w:pPr>
            <w:r>
              <w:rPr>
                <w:bCs/>
                <w:i/>
                <w:sz w:val="16"/>
                <w:szCs w:val="16"/>
              </w:rPr>
              <w:t>2004</w:t>
            </w:r>
          </w:p>
        </w:tc>
        <w:tc>
          <w:tcPr>
            <w:tcW w:w="756"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bCs/>
                <w:i/>
                <w:sz w:val="16"/>
                <w:szCs w:val="16"/>
              </w:rPr>
            </w:pPr>
            <w:r>
              <w:rPr>
                <w:bCs/>
                <w:i/>
                <w:sz w:val="16"/>
                <w:szCs w:val="16"/>
              </w:rPr>
              <w:t>2005</w:t>
            </w:r>
          </w:p>
        </w:tc>
        <w:tc>
          <w:tcPr>
            <w:tcW w:w="864"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bCs/>
                <w:i/>
                <w:sz w:val="16"/>
                <w:szCs w:val="16"/>
              </w:rPr>
            </w:pPr>
            <w:r>
              <w:rPr>
                <w:bCs/>
                <w:i/>
                <w:sz w:val="16"/>
                <w:szCs w:val="16"/>
              </w:rPr>
              <w:t>2006</w:t>
            </w:r>
          </w:p>
        </w:tc>
      </w:tr>
      <w:tr w:rsidR="00000000">
        <w:tc>
          <w:tcPr>
            <w:tcW w:w="1980" w:type="dxa"/>
            <w:tcBorders>
              <w:top w:val="single" w:sz="12" w:space="0" w:color="auto"/>
            </w:tcBorders>
            <w:shd w:val="clear" w:color="auto" w:fill="auto"/>
            <w:vAlign w:val="bottom"/>
          </w:tcPr>
          <w:p w:rsidR="00000000" w:rsidRDefault="00000000">
            <w:pPr>
              <w:spacing w:before="40" w:after="40" w:line="220" w:lineRule="exact"/>
              <w:rPr>
                <w:sz w:val="18"/>
                <w:szCs w:val="18"/>
              </w:rPr>
            </w:pPr>
            <w:r>
              <w:rPr>
                <w:sz w:val="18"/>
                <w:szCs w:val="18"/>
              </w:rPr>
              <w:t>Central</w:t>
            </w:r>
          </w:p>
        </w:tc>
        <w:tc>
          <w:tcPr>
            <w:tcW w:w="831" w:type="dxa"/>
            <w:tcBorders>
              <w:top w:val="single" w:sz="12" w:space="0" w:color="auto"/>
            </w:tcBorders>
            <w:shd w:val="clear" w:color="auto" w:fill="auto"/>
            <w:vAlign w:val="bottom"/>
          </w:tcPr>
          <w:p w:rsidR="00000000" w:rsidRDefault="00000000">
            <w:pPr>
              <w:spacing w:before="40" w:after="40" w:line="220" w:lineRule="exact"/>
              <w:jc w:val="right"/>
              <w:rPr>
                <w:sz w:val="18"/>
                <w:szCs w:val="18"/>
              </w:rPr>
            </w:pPr>
            <w:r>
              <w:rPr>
                <w:sz w:val="18"/>
                <w:szCs w:val="18"/>
              </w:rPr>
              <w:t>48,5</w:t>
            </w:r>
          </w:p>
        </w:tc>
        <w:tc>
          <w:tcPr>
            <w:tcW w:w="756" w:type="dxa"/>
            <w:tcBorders>
              <w:top w:val="single" w:sz="12" w:space="0" w:color="auto"/>
            </w:tcBorders>
            <w:shd w:val="clear" w:color="auto" w:fill="auto"/>
            <w:vAlign w:val="bottom"/>
          </w:tcPr>
          <w:p w:rsidR="00000000" w:rsidRDefault="00000000">
            <w:pPr>
              <w:spacing w:before="40" w:after="40" w:line="220" w:lineRule="exact"/>
              <w:jc w:val="right"/>
              <w:rPr>
                <w:sz w:val="18"/>
                <w:szCs w:val="18"/>
              </w:rPr>
            </w:pPr>
            <w:r>
              <w:rPr>
                <w:sz w:val="18"/>
                <w:szCs w:val="18"/>
              </w:rPr>
              <w:t>57,4</w:t>
            </w:r>
          </w:p>
        </w:tc>
        <w:tc>
          <w:tcPr>
            <w:tcW w:w="756" w:type="dxa"/>
            <w:tcBorders>
              <w:top w:val="single" w:sz="12" w:space="0" w:color="auto"/>
            </w:tcBorders>
            <w:shd w:val="clear" w:color="auto" w:fill="auto"/>
            <w:vAlign w:val="bottom"/>
          </w:tcPr>
          <w:p w:rsidR="00000000" w:rsidRDefault="00000000">
            <w:pPr>
              <w:spacing w:before="40" w:after="40" w:line="220" w:lineRule="exact"/>
              <w:jc w:val="right"/>
              <w:rPr>
                <w:sz w:val="18"/>
                <w:szCs w:val="18"/>
              </w:rPr>
            </w:pPr>
            <w:r>
              <w:rPr>
                <w:sz w:val="18"/>
                <w:szCs w:val="18"/>
              </w:rPr>
              <w:t>62,6</w:t>
            </w:r>
          </w:p>
        </w:tc>
        <w:tc>
          <w:tcPr>
            <w:tcW w:w="828" w:type="dxa"/>
            <w:tcBorders>
              <w:top w:val="single" w:sz="12" w:space="0" w:color="auto"/>
            </w:tcBorders>
            <w:shd w:val="clear" w:color="auto" w:fill="auto"/>
            <w:vAlign w:val="bottom"/>
          </w:tcPr>
          <w:p w:rsidR="00000000" w:rsidRDefault="00000000">
            <w:pPr>
              <w:spacing w:before="40" w:after="40" w:line="220" w:lineRule="exact"/>
              <w:jc w:val="right"/>
              <w:rPr>
                <w:sz w:val="18"/>
                <w:szCs w:val="18"/>
              </w:rPr>
            </w:pPr>
            <w:r>
              <w:rPr>
                <w:sz w:val="18"/>
                <w:szCs w:val="18"/>
              </w:rPr>
              <w:t>54,9</w:t>
            </w:r>
          </w:p>
        </w:tc>
        <w:tc>
          <w:tcPr>
            <w:tcW w:w="756" w:type="dxa"/>
            <w:tcBorders>
              <w:top w:val="single" w:sz="12" w:space="0" w:color="auto"/>
            </w:tcBorders>
            <w:shd w:val="clear" w:color="auto" w:fill="auto"/>
            <w:vAlign w:val="bottom"/>
          </w:tcPr>
          <w:p w:rsidR="00000000" w:rsidRDefault="00000000">
            <w:pPr>
              <w:spacing w:before="40" w:after="40" w:line="220" w:lineRule="exact"/>
              <w:jc w:val="right"/>
              <w:rPr>
                <w:sz w:val="18"/>
                <w:szCs w:val="18"/>
              </w:rPr>
            </w:pPr>
            <w:r>
              <w:rPr>
                <w:sz w:val="18"/>
                <w:szCs w:val="18"/>
              </w:rPr>
              <w:t>47,4</w:t>
            </w:r>
          </w:p>
        </w:tc>
        <w:tc>
          <w:tcPr>
            <w:tcW w:w="756" w:type="dxa"/>
            <w:tcBorders>
              <w:top w:val="single" w:sz="12" w:space="0" w:color="auto"/>
            </w:tcBorders>
            <w:shd w:val="clear" w:color="auto" w:fill="auto"/>
            <w:vAlign w:val="bottom"/>
          </w:tcPr>
          <w:p w:rsidR="00000000" w:rsidRDefault="00000000">
            <w:pPr>
              <w:spacing w:before="40" w:after="40" w:line="220" w:lineRule="exact"/>
              <w:jc w:val="right"/>
              <w:rPr>
                <w:sz w:val="18"/>
                <w:szCs w:val="18"/>
              </w:rPr>
            </w:pPr>
            <w:r>
              <w:rPr>
                <w:sz w:val="18"/>
                <w:szCs w:val="18"/>
              </w:rPr>
              <w:t>43,4</w:t>
            </w:r>
          </w:p>
        </w:tc>
        <w:tc>
          <w:tcPr>
            <w:tcW w:w="828" w:type="dxa"/>
            <w:tcBorders>
              <w:top w:val="single" w:sz="12" w:space="0" w:color="auto"/>
            </w:tcBorders>
            <w:shd w:val="clear" w:color="auto" w:fill="auto"/>
            <w:vAlign w:val="bottom"/>
          </w:tcPr>
          <w:p w:rsidR="00000000" w:rsidRDefault="00000000">
            <w:pPr>
              <w:spacing w:before="40" w:after="40" w:line="220" w:lineRule="exact"/>
              <w:jc w:val="right"/>
              <w:rPr>
                <w:sz w:val="18"/>
                <w:szCs w:val="18"/>
              </w:rPr>
            </w:pPr>
            <w:r>
              <w:rPr>
                <w:sz w:val="18"/>
                <w:szCs w:val="18"/>
              </w:rPr>
              <w:t>41,4</w:t>
            </w:r>
          </w:p>
        </w:tc>
        <w:tc>
          <w:tcPr>
            <w:tcW w:w="756" w:type="dxa"/>
            <w:tcBorders>
              <w:top w:val="single" w:sz="12" w:space="0" w:color="auto"/>
            </w:tcBorders>
            <w:shd w:val="clear" w:color="auto" w:fill="auto"/>
            <w:vAlign w:val="bottom"/>
          </w:tcPr>
          <w:p w:rsidR="00000000" w:rsidRDefault="00000000">
            <w:pPr>
              <w:spacing w:before="40" w:after="40" w:line="220" w:lineRule="exact"/>
              <w:jc w:val="right"/>
              <w:rPr>
                <w:sz w:val="18"/>
                <w:szCs w:val="18"/>
              </w:rPr>
            </w:pPr>
            <w:r>
              <w:rPr>
                <w:sz w:val="18"/>
                <w:szCs w:val="18"/>
              </w:rPr>
              <w:t>45,8</w:t>
            </w:r>
          </w:p>
        </w:tc>
        <w:tc>
          <w:tcPr>
            <w:tcW w:w="864" w:type="dxa"/>
            <w:tcBorders>
              <w:top w:val="single" w:sz="12" w:space="0" w:color="auto"/>
            </w:tcBorders>
            <w:shd w:val="clear" w:color="auto" w:fill="auto"/>
            <w:vAlign w:val="bottom"/>
          </w:tcPr>
          <w:p w:rsidR="00000000" w:rsidRDefault="00000000">
            <w:pPr>
              <w:spacing w:before="40" w:after="40" w:line="220" w:lineRule="exact"/>
              <w:jc w:val="right"/>
              <w:rPr>
                <w:sz w:val="18"/>
                <w:szCs w:val="18"/>
              </w:rPr>
            </w:pPr>
            <w:r>
              <w:rPr>
                <w:sz w:val="18"/>
                <w:szCs w:val="18"/>
              </w:rPr>
              <w:t>41,40</w:t>
            </w:r>
          </w:p>
        </w:tc>
      </w:tr>
      <w:tr w:rsidR="00000000">
        <w:tc>
          <w:tcPr>
            <w:tcW w:w="1980" w:type="dxa"/>
            <w:shd w:val="clear" w:color="auto" w:fill="auto"/>
            <w:vAlign w:val="bottom"/>
          </w:tcPr>
          <w:p w:rsidR="00000000" w:rsidRDefault="00000000">
            <w:pPr>
              <w:spacing w:before="40" w:after="40" w:line="220" w:lineRule="exact"/>
              <w:rPr>
                <w:sz w:val="18"/>
                <w:szCs w:val="18"/>
              </w:rPr>
            </w:pPr>
            <w:r>
              <w:rPr>
                <w:sz w:val="18"/>
                <w:szCs w:val="18"/>
              </w:rPr>
              <w:t>Intermédiaire</w:t>
            </w:r>
          </w:p>
        </w:tc>
        <w:tc>
          <w:tcPr>
            <w:tcW w:w="831" w:type="dxa"/>
            <w:shd w:val="clear" w:color="auto" w:fill="auto"/>
            <w:vAlign w:val="bottom"/>
          </w:tcPr>
          <w:p w:rsidR="00000000" w:rsidRDefault="00000000">
            <w:pPr>
              <w:spacing w:before="40" w:after="40" w:line="220" w:lineRule="exact"/>
              <w:jc w:val="right"/>
              <w:rPr>
                <w:sz w:val="18"/>
                <w:szCs w:val="18"/>
              </w:rPr>
            </w:pPr>
            <w:r>
              <w:rPr>
                <w:sz w:val="18"/>
                <w:szCs w:val="18"/>
              </w:rPr>
              <w:t>9,9</w:t>
            </w:r>
          </w:p>
        </w:tc>
        <w:tc>
          <w:tcPr>
            <w:tcW w:w="756" w:type="dxa"/>
            <w:shd w:val="clear" w:color="auto" w:fill="auto"/>
            <w:vAlign w:val="bottom"/>
          </w:tcPr>
          <w:p w:rsidR="00000000" w:rsidRDefault="00000000">
            <w:pPr>
              <w:spacing w:before="40" w:after="40" w:line="220" w:lineRule="exact"/>
              <w:jc w:val="right"/>
              <w:rPr>
                <w:sz w:val="18"/>
                <w:szCs w:val="18"/>
              </w:rPr>
            </w:pPr>
            <w:r>
              <w:rPr>
                <w:sz w:val="18"/>
                <w:szCs w:val="18"/>
              </w:rPr>
              <w:t>10,7</w:t>
            </w:r>
          </w:p>
        </w:tc>
        <w:tc>
          <w:tcPr>
            <w:tcW w:w="756" w:type="dxa"/>
            <w:shd w:val="clear" w:color="auto" w:fill="auto"/>
            <w:vAlign w:val="bottom"/>
          </w:tcPr>
          <w:p w:rsidR="00000000" w:rsidRDefault="00000000">
            <w:pPr>
              <w:spacing w:before="40" w:after="40" w:line="220" w:lineRule="exact"/>
              <w:jc w:val="right"/>
              <w:rPr>
                <w:sz w:val="18"/>
                <w:szCs w:val="18"/>
              </w:rPr>
            </w:pPr>
            <w:r>
              <w:rPr>
                <w:sz w:val="18"/>
                <w:szCs w:val="18"/>
              </w:rPr>
              <w:t>9,7</w:t>
            </w:r>
          </w:p>
        </w:tc>
        <w:tc>
          <w:tcPr>
            <w:tcW w:w="828" w:type="dxa"/>
            <w:shd w:val="clear" w:color="auto" w:fill="auto"/>
            <w:vAlign w:val="bottom"/>
          </w:tcPr>
          <w:p w:rsidR="00000000" w:rsidRDefault="00000000">
            <w:pPr>
              <w:spacing w:before="40" w:after="40" w:line="220" w:lineRule="exact"/>
              <w:jc w:val="right"/>
              <w:rPr>
                <w:sz w:val="18"/>
                <w:szCs w:val="18"/>
              </w:rPr>
            </w:pPr>
            <w:r>
              <w:rPr>
                <w:sz w:val="18"/>
                <w:szCs w:val="18"/>
              </w:rPr>
              <w:t>13,9</w:t>
            </w:r>
          </w:p>
        </w:tc>
        <w:tc>
          <w:tcPr>
            <w:tcW w:w="756" w:type="dxa"/>
            <w:shd w:val="clear" w:color="auto" w:fill="auto"/>
            <w:vAlign w:val="bottom"/>
          </w:tcPr>
          <w:p w:rsidR="00000000" w:rsidRDefault="00000000">
            <w:pPr>
              <w:spacing w:before="40" w:after="40" w:line="220" w:lineRule="exact"/>
              <w:jc w:val="right"/>
              <w:rPr>
                <w:sz w:val="18"/>
                <w:szCs w:val="18"/>
              </w:rPr>
            </w:pPr>
            <w:r>
              <w:rPr>
                <w:sz w:val="18"/>
                <w:szCs w:val="18"/>
              </w:rPr>
              <w:t>22,9</w:t>
            </w:r>
          </w:p>
        </w:tc>
        <w:tc>
          <w:tcPr>
            <w:tcW w:w="756" w:type="dxa"/>
            <w:shd w:val="clear" w:color="auto" w:fill="auto"/>
            <w:vAlign w:val="bottom"/>
          </w:tcPr>
          <w:p w:rsidR="00000000" w:rsidRDefault="00000000">
            <w:pPr>
              <w:spacing w:before="40" w:after="40" w:line="220" w:lineRule="exact"/>
              <w:jc w:val="right"/>
              <w:rPr>
                <w:sz w:val="18"/>
                <w:szCs w:val="18"/>
              </w:rPr>
            </w:pPr>
            <w:r>
              <w:rPr>
                <w:sz w:val="18"/>
                <w:szCs w:val="18"/>
              </w:rPr>
              <w:t>18,8</w:t>
            </w:r>
          </w:p>
        </w:tc>
        <w:tc>
          <w:tcPr>
            <w:tcW w:w="828" w:type="dxa"/>
            <w:vMerge w:val="restart"/>
            <w:shd w:val="clear" w:color="auto" w:fill="auto"/>
            <w:vAlign w:val="bottom"/>
          </w:tcPr>
          <w:p w:rsidR="00000000" w:rsidRDefault="00000000">
            <w:pPr>
              <w:spacing w:before="40" w:after="40" w:line="220" w:lineRule="exact"/>
              <w:jc w:val="right"/>
              <w:rPr>
                <w:sz w:val="18"/>
                <w:szCs w:val="18"/>
              </w:rPr>
            </w:pPr>
            <w:r>
              <w:rPr>
                <w:sz w:val="18"/>
                <w:szCs w:val="18"/>
              </w:rPr>
              <w:t>58,6</w:t>
            </w:r>
          </w:p>
        </w:tc>
        <w:tc>
          <w:tcPr>
            <w:tcW w:w="756" w:type="dxa"/>
            <w:vMerge w:val="restart"/>
            <w:shd w:val="clear" w:color="auto" w:fill="auto"/>
            <w:vAlign w:val="bottom"/>
          </w:tcPr>
          <w:p w:rsidR="00000000" w:rsidRDefault="00000000">
            <w:pPr>
              <w:spacing w:before="40" w:after="40" w:line="220" w:lineRule="exact"/>
              <w:jc w:val="right"/>
              <w:rPr>
                <w:sz w:val="18"/>
                <w:szCs w:val="18"/>
              </w:rPr>
            </w:pPr>
            <w:r>
              <w:rPr>
                <w:sz w:val="18"/>
                <w:szCs w:val="18"/>
              </w:rPr>
              <w:t>54,20</w:t>
            </w:r>
          </w:p>
        </w:tc>
        <w:tc>
          <w:tcPr>
            <w:tcW w:w="864" w:type="dxa"/>
            <w:vMerge w:val="restart"/>
            <w:shd w:val="clear" w:color="auto" w:fill="auto"/>
            <w:vAlign w:val="bottom"/>
          </w:tcPr>
          <w:p w:rsidR="00000000" w:rsidRDefault="00000000">
            <w:pPr>
              <w:spacing w:before="40" w:after="40" w:line="220" w:lineRule="exact"/>
              <w:jc w:val="right"/>
              <w:rPr>
                <w:sz w:val="18"/>
                <w:szCs w:val="18"/>
              </w:rPr>
            </w:pPr>
            <w:r>
              <w:rPr>
                <w:sz w:val="18"/>
                <w:szCs w:val="18"/>
              </w:rPr>
              <w:t>58,60</w:t>
            </w:r>
          </w:p>
        </w:tc>
      </w:tr>
      <w:tr w:rsidR="00000000">
        <w:tc>
          <w:tcPr>
            <w:tcW w:w="1980" w:type="dxa"/>
            <w:tcBorders>
              <w:bottom w:val="single" w:sz="4" w:space="0" w:color="auto"/>
            </w:tcBorders>
            <w:shd w:val="clear" w:color="auto" w:fill="auto"/>
            <w:vAlign w:val="bottom"/>
          </w:tcPr>
          <w:p w:rsidR="00000000" w:rsidRDefault="00000000">
            <w:pPr>
              <w:spacing w:before="40" w:after="40" w:line="220" w:lineRule="exact"/>
              <w:rPr>
                <w:sz w:val="18"/>
                <w:szCs w:val="18"/>
              </w:rPr>
            </w:pPr>
            <w:r>
              <w:rPr>
                <w:sz w:val="18"/>
                <w:szCs w:val="18"/>
              </w:rPr>
              <w:t>Périphérique</w:t>
            </w:r>
          </w:p>
        </w:tc>
        <w:tc>
          <w:tcPr>
            <w:tcW w:w="831" w:type="dxa"/>
            <w:tcBorders>
              <w:bottom w:val="single" w:sz="4" w:space="0" w:color="auto"/>
            </w:tcBorders>
            <w:shd w:val="clear" w:color="auto" w:fill="auto"/>
            <w:vAlign w:val="bottom"/>
          </w:tcPr>
          <w:p w:rsidR="00000000" w:rsidRDefault="00000000">
            <w:pPr>
              <w:spacing w:before="40" w:after="40" w:line="220" w:lineRule="exact"/>
              <w:jc w:val="right"/>
              <w:rPr>
                <w:sz w:val="18"/>
                <w:szCs w:val="18"/>
              </w:rPr>
            </w:pPr>
            <w:r>
              <w:rPr>
                <w:sz w:val="18"/>
                <w:szCs w:val="18"/>
              </w:rPr>
              <w:t>41,6</w:t>
            </w:r>
          </w:p>
        </w:tc>
        <w:tc>
          <w:tcPr>
            <w:tcW w:w="756" w:type="dxa"/>
            <w:tcBorders>
              <w:bottom w:val="single" w:sz="4" w:space="0" w:color="auto"/>
            </w:tcBorders>
            <w:shd w:val="clear" w:color="auto" w:fill="auto"/>
            <w:vAlign w:val="bottom"/>
          </w:tcPr>
          <w:p w:rsidR="00000000" w:rsidRDefault="00000000">
            <w:pPr>
              <w:spacing w:before="40" w:after="40" w:line="220" w:lineRule="exact"/>
              <w:jc w:val="right"/>
              <w:rPr>
                <w:sz w:val="18"/>
                <w:szCs w:val="18"/>
              </w:rPr>
            </w:pPr>
            <w:r>
              <w:rPr>
                <w:sz w:val="18"/>
                <w:szCs w:val="18"/>
              </w:rPr>
              <w:t>31,9</w:t>
            </w:r>
          </w:p>
        </w:tc>
        <w:tc>
          <w:tcPr>
            <w:tcW w:w="756" w:type="dxa"/>
            <w:tcBorders>
              <w:bottom w:val="single" w:sz="4" w:space="0" w:color="auto"/>
            </w:tcBorders>
            <w:shd w:val="clear" w:color="auto" w:fill="auto"/>
            <w:vAlign w:val="bottom"/>
          </w:tcPr>
          <w:p w:rsidR="00000000" w:rsidRDefault="00000000">
            <w:pPr>
              <w:spacing w:before="40" w:after="40" w:line="220" w:lineRule="exact"/>
              <w:jc w:val="right"/>
              <w:rPr>
                <w:sz w:val="18"/>
                <w:szCs w:val="18"/>
              </w:rPr>
            </w:pPr>
            <w:r>
              <w:rPr>
                <w:sz w:val="18"/>
                <w:szCs w:val="18"/>
              </w:rPr>
              <w:t>27,7</w:t>
            </w:r>
          </w:p>
        </w:tc>
        <w:tc>
          <w:tcPr>
            <w:tcW w:w="828" w:type="dxa"/>
            <w:tcBorders>
              <w:bottom w:val="single" w:sz="4" w:space="0" w:color="auto"/>
            </w:tcBorders>
            <w:shd w:val="clear" w:color="auto" w:fill="auto"/>
            <w:vAlign w:val="bottom"/>
          </w:tcPr>
          <w:p w:rsidR="00000000" w:rsidRDefault="00000000">
            <w:pPr>
              <w:spacing w:before="40" w:after="40" w:line="220" w:lineRule="exact"/>
              <w:jc w:val="right"/>
              <w:rPr>
                <w:sz w:val="18"/>
                <w:szCs w:val="18"/>
              </w:rPr>
            </w:pPr>
            <w:r>
              <w:rPr>
                <w:sz w:val="18"/>
                <w:szCs w:val="18"/>
              </w:rPr>
              <w:t>31,2</w:t>
            </w:r>
          </w:p>
        </w:tc>
        <w:tc>
          <w:tcPr>
            <w:tcW w:w="756" w:type="dxa"/>
            <w:tcBorders>
              <w:bottom w:val="single" w:sz="4" w:space="0" w:color="auto"/>
            </w:tcBorders>
            <w:shd w:val="clear" w:color="auto" w:fill="auto"/>
            <w:vAlign w:val="bottom"/>
          </w:tcPr>
          <w:p w:rsidR="00000000" w:rsidRDefault="00000000">
            <w:pPr>
              <w:spacing w:before="40" w:after="40" w:line="220" w:lineRule="exact"/>
              <w:jc w:val="right"/>
              <w:rPr>
                <w:sz w:val="18"/>
                <w:szCs w:val="18"/>
              </w:rPr>
            </w:pPr>
            <w:r>
              <w:rPr>
                <w:sz w:val="18"/>
                <w:szCs w:val="18"/>
              </w:rPr>
              <w:t>29,7</w:t>
            </w:r>
          </w:p>
        </w:tc>
        <w:tc>
          <w:tcPr>
            <w:tcW w:w="756" w:type="dxa"/>
            <w:tcBorders>
              <w:bottom w:val="single" w:sz="4" w:space="0" w:color="auto"/>
            </w:tcBorders>
            <w:shd w:val="clear" w:color="auto" w:fill="auto"/>
            <w:vAlign w:val="bottom"/>
          </w:tcPr>
          <w:p w:rsidR="00000000" w:rsidRDefault="00000000">
            <w:pPr>
              <w:spacing w:before="40" w:after="40" w:line="220" w:lineRule="exact"/>
              <w:jc w:val="right"/>
              <w:rPr>
                <w:sz w:val="18"/>
                <w:szCs w:val="18"/>
              </w:rPr>
            </w:pPr>
            <w:r>
              <w:rPr>
                <w:sz w:val="18"/>
                <w:szCs w:val="18"/>
              </w:rPr>
              <w:t>37,8</w:t>
            </w:r>
          </w:p>
        </w:tc>
        <w:tc>
          <w:tcPr>
            <w:tcW w:w="828" w:type="dxa"/>
            <w:vMerge/>
            <w:tcBorders>
              <w:bottom w:val="single" w:sz="4" w:space="0" w:color="auto"/>
            </w:tcBorders>
            <w:shd w:val="clear" w:color="auto" w:fill="auto"/>
            <w:vAlign w:val="bottom"/>
          </w:tcPr>
          <w:p w:rsidR="00000000" w:rsidRDefault="00000000">
            <w:pPr>
              <w:spacing w:before="40" w:after="40" w:line="220" w:lineRule="exact"/>
              <w:jc w:val="right"/>
              <w:rPr>
                <w:sz w:val="18"/>
                <w:szCs w:val="18"/>
              </w:rPr>
            </w:pPr>
          </w:p>
        </w:tc>
        <w:tc>
          <w:tcPr>
            <w:tcW w:w="756" w:type="dxa"/>
            <w:vMerge/>
            <w:tcBorders>
              <w:bottom w:val="single" w:sz="4" w:space="0" w:color="auto"/>
            </w:tcBorders>
            <w:shd w:val="clear" w:color="auto" w:fill="auto"/>
            <w:vAlign w:val="bottom"/>
          </w:tcPr>
          <w:p w:rsidR="00000000" w:rsidRDefault="00000000">
            <w:pPr>
              <w:spacing w:before="40" w:after="40" w:line="220" w:lineRule="exact"/>
              <w:jc w:val="right"/>
              <w:rPr>
                <w:sz w:val="18"/>
                <w:szCs w:val="18"/>
              </w:rPr>
            </w:pPr>
          </w:p>
        </w:tc>
        <w:tc>
          <w:tcPr>
            <w:tcW w:w="864" w:type="dxa"/>
            <w:vMerge/>
            <w:tcBorders>
              <w:bottom w:val="single" w:sz="4" w:space="0" w:color="auto"/>
            </w:tcBorders>
            <w:shd w:val="clear" w:color="auto" w:fill="auto"/>
            <w:vAlign w:val="bottom"/>
          </w:tcPr>
          <w:p w:rsidR="00000000" w:rsidRDefault="00000000">
            <w:pPr>
              <w:spacing w:before="40" w:after="40" w:line="220" w:lineRule="exact"/>
              <w:jc w:val="right"/>
              <w:rPr>
                <w:sz w:val="18"/>
                <w:szCs w:val="18"/>
              </w:rPr>
            </w:pPr>
          </w:p>
        </w:tc>
      </w:tr>
      <w:tr w:rsidR="00000000">
        <w:tc>
          <w:tcPr>
            <w:tcW w:w="1980" w:type="dxa"/>
            <w:tcBorders>
              <w:top w:val="single" w:sz="4" w:space="0" w:color="auto"/>
              <w:bottom w:val="single" w:sz="12" w:space="0" w:color="auto"/>
            </w:tcBorders>
            <w:shd w:val="clear" w:color="auto" w:fill="auto"/>
            <w:vAlign w:val="bottom"/>
          </w:tcPr>
          <w:p w:rsidR="00000000" w:rsidRDefault="00000000">
            <w:pPr>
              <w:spacing w:before="40" w:after="40" w:line="220" w:lineRule="exact"/>
              <w:rPr>
                <w:b/>
                <w:sz w:val="18"/>
                <w:szCs w:val="18"/>
              </w:rPr>
            </w:pPr>
            <w:r>
              <w:rPr>
                <w:b/>
                <w:sz w:val="18"/>
                <w:szCs w:val="18"/>
              </w:rPr>
              <w:t>Total</w:t>
            </w:r>
          </w:p>
        </w:tc>
        <w:tc>
          <w:tcPr>
            <w:tcW w:w="831" w:type="dxa"/>
            <w:tcBorders>
              <w:top w:val="single" w:sz="4" w:space="0" w:color="auto"/>
              <w:bottom w:val="single" w:sz="12" w:space="0" w:color="auto"/>
            </w:tcBorders>
            <w:shd w:val="clear" w:color="auto" w:fill="auto"/>
            <w:vAlign w:val="bottom"/>
          </w:tcPr>
          <w:p w:rsidR="00000000" w:rsidRDefault="00000000">
            <w:pPr>
              <w:spacing w:before="40" w:after="40" w:line="220" w:lineRule="exact"/>
              <w:jc w:val="right"/>
              <w:rPr>
                <w:b/>
                <w:sz w:val="18"/>
                <w:szCs w:val="18"/>
              </w:rPr>
            </w:pPr>
            <w:r>
              <w:rPr>
                <w:b/>
                <w:sz w:val="18"/>
                <w:szCs w:val="18"/>
              </w:rPr>
              <w:t>100,0</w:t>
            </w:r>
          </w:p>
        </w:tc>
        <w:tc>
          <w:tcPr>
            <w:tcW w:w="756" w:type="dxa"/>
            <w:tcBorders>
              <w:top w:val="single" w:sz="4" w:space="0" w:color="auto"/>
              <w:bottom w:val="single" w:sz="12" w:space="0" w:color="auto"/>
            </w:tcBorders>
            <w:shd w:val="clear" w:color="auto" w:fill="auto"/>
            <w:vAlign w:val="bottom"/>
          </w:tcPr>
          <w:p w:rsidR="00000000" w:rsidRDefault="00000000">
            <w:pPr>
              <w:spacing w:before="40" w:after="40" w:line="220" w:lineRule="exact"/>
              <w:jc w:val="right"/>
              <w:rPr>
                <w:b/>
                <w:sz w:val="18"/>
                <w:szCs w:val="18"/>
              </w:rPr>
            </w:pPr>
            <w:r>
              <w:rPr>
                <w:b/>
                <w:sz w:val="18"/>
                <w:szCs w:val="18"/>
              </w:rPr>
              <w:t>100,0</w:t>
            </w:r>
          </w:p>
        </w:tc>
        <w:tc>
          <w:tcPr>
            <w:tcW w:w="756" w:type="dxa"/>
            <w:tcBorders>
              <w:top w:val="single" w:sz="4" w:space="0" w:color="auto"/>
              <w:bottom w:val="single" w:sz="12" w:space="0" w:color="auto"/>
            </w:tcBorders>
            <w:shd w:val="clear" w:color="auto" w:fill="auto"/>
            <w:vAlign w:val="bottom"/>
          </w:tcPr>
          <w:p w:rsidR="00000000" w:rsidRDefault="00000000">
            <w:pPr>
              <w:spacing w:before="40" w:after="40" w:line="220" w:lineRule="exact"/>
              <w:jc w:val="right"/>
              <w:rPr>
                <w:b/>
                <w:sz w:val="18"/>
                <w:szCs w:val="18"/>
              </w:rPr>
            </w:pPr>
            <w:r>
              <w:rPr>
                <w:b/>
                <w:sz w:val="18"/>
                <w:szCs w:val="18"/>
              </w:rPr>
              <w:t>100,0</w:t>
            </w:r>
          </w:p>
        </w:tc>
        <w:tc>
          <w:tcPr>
            <w:tcW w:w="828" w:type="dxa"/>
            <w:tcBorders>
              <w:top w:val="single" w:sz="4" w:space="0" w:color="auto"/>
              <w:bottom w:val="single" w:sz="12" w:space="0" w:color="auto"/>
            </w:tcBorders>
            <w:shd w:val="clear" w:color="auto" w:fill="auto"/>
            <w:vAlign w:val="bottom"/>
          </w:tcPr>
          <w:p w:rsidR="00000000" w:rsidRDefault="00000000">
            <w:pPr>
              <w:spacing w:before="40" w:after="40" w:line="220" w:lineRule="exact"/>
              <w:jc w:val="right"/>
              <w:rPr>
                <w:b/>
                <w:sz w:val="18"/>
                <w:szCs w:val="18"/>
              </w:rPr>
            </w:pPr>
            <w:r>
              <w:rPr>
                <w:b/>
                <w:sz w:val="18"/>
                <w:szCs w:val="18"/>
              </w:rPr>
              <w:t>100,0</w:t>
            </w:r>
          </w:p>
        </w:tc>
        <w:tc>
          <w:tcPr>
            <w:tcW w:w="756" w:type="dxa"/>
            <w:tcBorders>
              <w:top w:val="single" w:sz="4" w:space="0" w:color="auto"/>
              <w:bottom w:val="single" w:sz="12" w:space="0" w:color="auto"/>
            </w:tcBorders>
            <w:shd w:val="clear" w:color="auto" w:fill="auto"/>
            <w:vAlign w:val="bottom"/>
          </w:tcPr>
          <w:p w:rsidR="00000000" w:rsidRDefault="00000000">
            <w:pPr>
              <w:spacing w:before="40" w:after="40" w:line="220" w:lineRule="exact"/>
              <w:jc w:val="right"/>
              <w:rPr>
                <w:b/>
                <w:sz w:val="18"/>
                <w:szCs w:val="18"/>
              </w:rPr>
            </w:pPr>
            <w:r>
              <w:rPr>
                <w:b/>
                <w:sz w:val="18"/>
                <w:szCs w:val="18"/>
              </w:rPr>
              <w:t>100,0</w:t>
            </w:r>
          </w:p>
        </w:tc>
        <w:tc>
          <w:tcPr>
            <w:tcW w:w="756" w:type="dxa"/>
            <w:tcBorders>
              <w:top w:val="single" w:sz="4" w:space="0" w:color="auto"/>
              <w:bottom w:val="single" w:sz="12" w:space="0" w:color="auto"/>
            </w:tcBorders>
            <w:shd w:val="clear" w:color="auto" w:fill="auto"/>
            <w:vAlign w:val="bottom"/>
          </w:tcPr>
          <w:p w:rsidR="00000000" w:rsidRDefault="00000000">
            <w:pPr>
              <w:spacing w:before="40" w:after="40" w:line="220" w:lineRule="exact"/>
              <w:jc w:val="right"/>
              <w:rPr>
                <w:b/>
                <w:sz w:val="18"/>
                <w:szCs w:val="18"/>
              </w:rPr>
            </w:pPr>
            <w:r>
              <w:rPr>
                <w:b/>
                <w:sz w:val="18"/>
                <w:szCs w:val="18"/>
              </w:rPr>
              <w:t>100,0</w:t>
            </w:r>
          </w:p>
        </w:tc>
        <w:tc>
          <w:tcPr>
            <w:tcW w:w="828" w:type="dxa"/>
            <w:tcBorders>
              <w:top w:val="single" w:sz="4" w:space="0" w:color="auto"/>
              <w:bottom w:val="single" w:sz="12" w:space="0" w:color="auto"/>
            </w:tcBorders>
            <w:shd w:val="clear" w:color="auto" w:fill="auto"/>
            <w:vAlign w:val="bottom"/>
          </w:tcPr>
          <w:p w:rsidR="00000000" w:rsidRDefault="00000000">
            <w:pPr>
              <w:spacing w:before="40" w:after="40" w:line="220" w:lineRule="exact"/>
              <w:jc w:val="right"/>
              <w:rPr>
                <w:b/>
                <w:sz w:val="18"/>
                <w:szCs w:val="18"/>
              </w:rPr>
            </w:pPr>
            <w:r>
              <w:rPr>
                <w:b/>
                <w:sz w:val="18"/>
                <w:szCs w:val="18"/>
              </w:rPr>
              <w:t>100,0</w:t>
            </w:r>
          </w:p>
        </w:tc>
        <w:tc>
          <w:tcPr>
            <w:tcW w:w="756" w:type="dxa"/>
            <w:tcBorders>
              <w:top w:val="single" w:sz="4" w:space="0" w:color="auto"/>
              <w:bottom w:val="single" w:sz="12" w:space="0" w:color="auto"/>
            </w:tcBorders>
            <w:shd w:val="clear" w:color="auto" w:fill="auto"/>
            <w:vAlign w:val="bottom"/>
          </w:tcPr>
          <w:p w:rsidR="00000000" w:rsidRDefault="00000000">
            <w:pPr>
              <w:spacing w:before="40" w:after="40" w:line="220" w:lineRule="exact"/>
              <w:jc w:val="right"/>
              <w:rPr>
                <w:b/>
                <w:sz w:val="18"/>
                <w:szCs w:val="18"/>
              </w:rPr>
            </w:pPr>
            <w:r>
              <w:rPr>
                <w:b/>
                <w:sz w:val="18"/>
                <w:szCs w:val="18"/>
              </w:rPr>
              <w:t>100,0</w:t>
            </w:r>
          </w:p>
        </w:tc>
        <w:tc>
          <w:tcPr>
            <w:tcW w:w="864" w:type="dxa"/>
            <w:tcBorders>
              <w:top w:val="single" w:sz="4" w:space="0" w:color="auto"/>
              <w:bottom w:val="single" w:sz="12" w:space="0" w:color="auto"/>
            </w:tcBorders>
            <w:shd w:val="clear" w:color="auto" w:fill="auto"/>
            <w:vAlign w:val="bottom"/>
          </w:tcPr>
          <w:p w:rsidR="00000000" w:rsidRDefault="00000000">
            <w:pPr>
              <w:spacing w:before="40" w:after="40" w:line="220" w:lineRule="exact"/>
              <w:jc w:val="right"/>
              <w:rPr>
                <w:b/>
                <w:sz w:val="18"/>
                <w:szCs w:val="18"/>
              </w:rPr>
            </w:pPr>
            <w:r>
              <w:rPr>
                <w:b/>
                <w:sz w:val="18"/>
                <w:szCs w:val="18"/>
              </w:rPr>
              <w:t>100,0</w:t>
            </w:r>
          </w:p>
        </w:tc>
      </w:tr>
    </w:tbl>
    <w:p w:rsidR="00000000" w:rsidRDefault="00000000">
      <w:pPr>
        <w:spacing w:before="120" w:after="240"/>
        <w:ind w:left="1134" w:firstLine="170"/>
        <w:rPr>
          <w:b/>
          <w:sz w:val="18"/>
          <w:szCs w:val="18"/>
          <w:lang w:val="fr-FR"/>
        </w:rPr>
      </w:pPr>
      <w:r>
        <w:rPr>
          <w:i/>
          <w:iCs/>
          <w:sz w:val="18"/>
          <w:szCs w:val="18"/>
          <w:lang w:val="fr-FR"/>
        </w:rPr>
        <w:t xml:space="preserve">Sources: </w:t>
      </w:r>
      <w:r>
        <w:rPr>
          <w:iCs/>
          <w:sz w:val="18"/>
          <w:szCs w:val="18"/>
          <w:lang w:val="fr-FR"/>
        </w:rPr>
        <w:t>Annuaire Statistique sanitaire, CDMT du secteur Santé.</w:t>
      </w:r>
    </w:p>
    <w:p w:rsidR="00000000" w:rsidRDefault="00000000">
      <w:pPr>
        <w:pStyle w:val="H23G"/>
        <w:rPr>
          <w:i/>
          <w:lang w:val="fr-FR"/>
        </w:rPr>
      </w:pPr>
      <w:bookmarkStart w:id="797" w:name="_Toc206414561"/>
      <w:bookmarkStart w:id="798" w:name="_Toc206460403"/>
      <w:bookmarkStart w:id="799" w:name="_Toc206460735"/>
      <w:bookmarkStart w:id="800" w:name="_Toc206461457"/>
      <w:bookmarkStart w:id="801" w:name="_Toc206476251"/>
      <w:bookmarkStart w:id="802" w:name="_Toc207788786"/>
      <w:bookmarkStart w:id="803" w:name="_Toc211835457"/>
      <w:bookmarkStart w:id="804" w:name="_Toc211926764"/>
      <w:r>
        <w:rPr>
          <w:lang w:val="fr-FR"/>
        </w:rPr>
        <w:tab/>
        <w:t>4.</w:t>
      </w:r>
      <w:r>
        <w:rPr>
          <w:lang w:val="fr-FR"/>
        </w:rPr>
        <w:tab/>
        <w:t>Le système de</w:t>
      </w:r>
      <w:r>
        <w:rPr>
          <w:i/>
          <w:lang w:val="fr-FR"/>
        </w:rPr>
        <w:t xml:space="preserve"> </w:t>
      </w:r>
      <w:r>
        <w:rPr>
          <w:lang w:val="fr-FR"/>
        </w:rPr>
        <w:t>partenariat</w:t>
      </w:r>
      <w:bookmarkEnd w:id="797"/>
      <w:bookmarkEnd w:id="798"/>
      <w:bookmarkEnd w:id="799"/>
      <w:bookmarkEnd w:id="800"/>
      <w:bookmarkEnd w:id="801"/>
      <w:bookmarkEnd w:id="802"/>
      <w:bookmarkEnd w:id="803"/>
      <w:bookmarkEnd w:id="804"/>
    </w:p>
    <w:p w:rsidR="00000000" w:rsidRDefault="00000000">
      <w:pPr>
        <w:pStyle w:val="SingleTxtG"/>
        <w:rPr>
          <w:b/>
          <w:lang w:val="fr-FR"/>
        </w:rPr>
      </w:pPr>
      <w:r>
        <w:rPr>
          <w:lang w:val="fr-FR"/>
        </w:rPr>
        <w:t>352.</w:t>
      </w:r>
      <w:r>
        <w:rPr>
          <w:lang w:val="fr-FR"/>
        </w:rPr>
        <w:tab/>
        <w:t xml:space="preserve">Le secteur santé a développé un plan de développement du secteur santé et un cadre de dépenses </w:t>
      </w:r>
      <w:r>
        <w:rPr>
          <w:b/>
          <w:lang w:val="fr-FR"/>
        </w:rPr>
        <w:t>à</w:t>
      </w:r>
      <w:r>
        <w:rPr>
          <w:lang w:val="fr-FR"/>
        </w:rPr>
        <w:t xml:space="preserve"> moyen terme (2006</w:t>
      </w:r>
      <w:r>
        <w:rPr>
          <w:b/>
          <w:lang w:val="fr-FR"/>
        </w:rPr>
        <w:t>-</w:t>
      </w:r>
      <w:r>
        <w:rPr>
          <w:lang w:val="fr-FR"/>
        </w:rPr>
        <w:t>2008) qui établit les besoins financiers du secteur. Ce cadre est la base pour la définition des partenariats financiers entre l’État et les principaux bailleurs de fonds.</w:t>
      </w:r>
    </w:p>
    <w:p w:rsidR="00000000" w:rsidRDefault="00000000">
      <w:pPr>
        <w:pStyle w:val="H23G"/>
        <w:rPr>
          <w:lang w:val="fr-FR"/>
        </w:rPr>
      </w:pPr>
      <w:bookmarkStart w:id="805" w:name="_Toc206414562"/>
      <w:bookmarkStart w:id="806" w:name="_Toc206460404"/>
      <w:bookmarkStart w:id="807" w:name="_Toc206460736"/>
      <w:bookmarkStart w:id="808" w:name="_Toc206461458"/>
      <w:bookmarkStart w:id="809" w:name="_Toc206476252"/>
      <w:bookmarkStart w:id="810" w:name="_Toc207788787"/>
      <w:bookmarkStart w:id="811" w:name="_Toc211835458"/>
      <w:bookmarkStart w:id="812" w:name="_Toc211926765"/>
      <w:r>
        <w:rPr>
          <w:lang w:val="fr-FR"/>
        </w:rPr>
        <w:tab/>
        <w:t>5.</w:t>
      </w:r>
      <w:r>
        <w:rPr>
          <w:lang w:val="fr-FR"/>
        </w:rPr>
        <w:tab/>
        <w:t>Réduction de la mortalité infanto-juvénile</w:t>
      </w:r>
      <w:bookmarkEnd w:id="805"/>
      <w:bookmarkEnd w:id="806"/>
      <w:bookmarkEnd w:id="807"/>
      <w:bookmarkEnd w:id="808"/>
      <w:bookmarkEnd w:id="809"/>
      <w:bookmarkEnd w:id="810"/>
      <w:bookmarkEnd w:id="811"/>
      <w:bookmarkEnd w:id="812"/>
    </w:p>
    <w:p w:rsidR="00000000" w:rsidRDefault="00000000">
      <w:pPr>
        <w:pStyle w:val="H4G"/>
        <w:rPr>
          <w:lang w:val="fr-FR"/>
        </w:rPr>
      </w:pPr>
      <w:r>
        <w:rPr>
          <w:lang w:val="fr-FR"/>
        </w:rPr>
        <w:tab/>
      </w:r>
      <w:r>
        <w:rPr>
          <w:lang w:val="fr-FR"/>
        </w:rPr>
        <w:tab/>
        <w:t>Les objectifs de l’État</w:t>
      </w:r>
    </w:p>
    <w:p w:rsidR="00000000" w:rsidRDefault="00000000">
      <w:pPr>
        <w:pStyle w:val="SingleTxtG"/>
        <w:rPr>
          <w:lang w:val="fr-FR"/>
        </w:rPr>
      </w:pPr>
      <w:r>
        <w:rPr>
          <w:lang w:val="fr-FR"/>
        </w:rPr>
        <w:t>353.</w:t>
      </w:r>
      <w:r>
        <w:rPr>
          <w:lang w:val="fr-FR"/>
        </w:rPr>
        <w:tab/>
        <w:t>Les stratégies et projets dans le MAP intègrent les ODM pour la santé maternelle et infantile dans l’engagement 5, avec la fourniture de service de santé de qualité à tous, l’éradication des maladies transmissibles, comme le paludisme, la réduction de la mortalité infanto-juvénile et maternelle et néonatale, une stratégie efficace de planning familial, la réduction de la malnutrition et l’amélioration de l’accès à l’eau et à l’assainissement.</w:t>
      </w:r>
    </w:p>
    <w:p w:rsidR="00000000" w:rsidRDefault="00000000">
      <w:pPr>
        <w:pStyle w:val="SingleTxtG"/>
        <w:rPr>
          <w:lang w:val="fr-FR"/>
        </w:rPr>
      </w:pPr>
      <w:r>
        <w:rPr>
          <w:lang w:val="fr-FR"/>
        </w:rPr>
        <w:t>354.</w:t>
      </w:r>
      <w:r>
        <w:rPr>
          <w:lang w:val="fr-FR"/>
        </w:rPr>
        <w:tab/>
        <w:t>La politique de santé est exprimée à travers les documents suivants:</w:t>
      </w:r>
    </w:p>
    <w:p w:rsidR="00000000" w:rsidRDefault="00000000">
      <w:pPr>
        <w:pStyle w:val="Bullet1G"/>
        <w:rPr>
          <w:lang w:val="fr-FR"/>
        </w:rPr>
      </w:pPr>
      <w:r>
        <w:rPr>
          <w:lang w:val="fr-FR"/>
        </w:rPr>
        <w:t>Politique nationale de la santé de l’enfant;</w:t>
      </w:r>
    </w:p>
    <w:p w:rsidR="00000000" w:rsidRDefault="00000000">
      <w:pPr>
        <w:pStyle w:val="Bullet1G"/>
        <w:rPr>
          <w:lang w:val="fr-FR"/>
        </w:rPr>
      </w:pPr>
      <w:r>
        <w:rPr>
          <w:lang w:val="fr-FR"/>
        </w:rPr>
        <w:t>Plan stratégique pour la survie de l’enfant 2006-2010;</w:t>
      </w:r>
    </w:p>
    <w:p w:rsidR="00000000" w:rsidRDefault="00000000">
      <w:pPr>
        <w:pStyle w:val="Bullet1G"/>
        <w:rPr>
          <w:lang w:val="fr-FR"/>
        </w:rPr>
      </w:pPr>
      <w:r>
        <w:rPr>
          <w:lang w:val="fr-FR"/>
        </w:rPr>
        <w:t>Feuille de route pour la maternité à moindre risque;</w:t>
      </w:r>
    </w:p>
    <w:p w:rsidR="00000000" w:rsidRDefault="00000000">
      <w:pPr>
        <w:pStyle w:val="Bullet1G"/>
        <w:rPr>
          <w:lang w:val="fr-FR"/>
        </w:rPr>
      </w:pPr>
      <w:r>
        <w:rPr>
          <w:lang w:val="fr-FR"/>
        </w:rPr>
        <w:t>Programme national «Eau et assainissement pour tous».</w:t>
      </w:r>
    </w:p>
    <w:p w:rsidR="00000000" w:rsidRDefault="00000000">
      <w:pPr>
        <w:pStyle w:val="SingleTxtG"/>
        <w:rPr>
          <w:lang w:val="fr-FR"/>
        </w:rPr>
      </w:pPr>
      <w:r>
        <w:rPr>
          <w:lang w:val="fr-FR"/>
        </w:rPr>
        <w:t>355.</w:t>
      </w:r>
      <w:r>
        <w:rPr>
          <w:lang w:val="fr-FR"/>
        </w:rPr>
        <w:tab/>
        <w:t>Pour la mise en œuvre des programmes, l’État par le biais du Ministère en charge de la santé, a apporté des réformes dans les domaines liés à la santé de l’enfant:</w:t>
      </w:r>
    </w:p>
    <w:p w:rsidR="00000000" w:rsidRDefault="00000000">
      <w:pPr>
        <w:pStyle w:val="Bullet1G"/>
        <w:rPr>
          <w:lang w:val="fr-FR"/>
        </w:rPr>
      </w:pPr>
      <w:r>
        <w:rPr>
          <w:lang w:val="fr-FR"/>
        </w:rPr>
        <w:t>Planification familiale;</w:t>
      </w:r>
    </w:p>
    <w:p w:rsidR="00000000" w:rsidRDefault="00000000">
      <w:pPr>
        <w:pStyle w:val="Bullet1G"/>
        <w:rPr>
          <w:lang w:val="fr-FR"/>
        </w:rPr>
      </w:pPr>
      <w:r>
        <w:rPr>
          <w:lang w:val="fr-FR"/>
        </w:rPr>
        <w:t>Lutte contre le paludisme par utilisation des MID (moustiquaire Imprégnée d’insecticide pour les femmes enceintes et les enfants de moins de 5 ans);</w:t>
      </w:r>
    </w:p>
    <w:p w:rsidR="00000000" w:rsidRDefault="00000000">
      <w:pPr>
        <w:pStyle w:val="Bullet1G"/>
        <w:rPr>
          <w:lang w:val="fr-FR"/>
        </w:rPr>
      </w:pPr>
      <w:r>
        <w:rPr>
          <w:lang w:val="fr-FR"/>
        </w:rPr>
        <w:t>Lutte contre le VIH/sida par prévention transmission mère enfant: PTME.</w:t>
      </w:r>
    </w:p>
    <w:p w:rsidR="00000000" w:rsidRDefault="00000000">
      <w:pPr>
        <w:pStyle w:val="SingleTxtG"/>
        <w:rPr>
          <w:lang w:val="fr-FR"/>
        </w:rPr>
      </w:pPr>
      <w:r>
        <w:rPr>
          <w:lang w:val="fr-FR"/>
        </w:rPr>
        <w:t>356.</w:t>
      </w:r>
      <w:r>
        <w:rPr>
          <w:lang w:val="fr-FR"/>
        </w:rPr>
        <w:tab/>
        <w:t>Pour une meilleure efficacité du système de santé les mesures suivantes sont envisagées:</w:t>
      </w:r>
    </w:p>
    <w:p w:rsidR="00000000" w:rsidRDefault="00000000">
      <w:pPr>
        <w:pStyle w:val="Bullet1G"/>
        <w:rPr>
          <w:lang w:val="fr-FR"/>
        </w:rPr>
      </w:pPr>
      <w:r>
        <w:rPr>
          <w:lang w:val="fr-FR"/>
        </w:rPr>
        <w:t>Assurer que tous les centres de santé et les hôpitaux de première référence ont le personnel qualifié pour offrir le paquet de service de base;</w:t>
      </w:r>
    </w:p>
    <w:p w:rsidR="00000000" w:rsidRDefault="00000000">
      <w:pPr>
        <w:pStyle w:val="Bullet1G"/>
        <w:rPr>
          <w:lang w:val="fr-FR"/>
        </w:rPr>
      </w:pPr>
      <w:r>
        <w:rPr>
          <w:lang w:val="fr-FR"/>
        </w:rPr>
        <w:t>Assurer l’accès aux soins de santé de qualité en particulier en milieu rural;</w:t>
      </w:r>
    </w:p>
    <w:p w:rsidR="00000000" w:rsidRDefault="00000000">
      <w:pPr>
        <w:pStyle w:val="Bullet1G"/>
        <w:rPr>
          <w:lang w:val="fr-FR"/>
        </w:rPr>
      </w:pPr>
      <w:r>
        <w:rPr>
          <w:lang w:val="fr-FR"/>
        </w:rPr>
        <w:t>Attirer le personnel médical qualifié en périphérie en leur offrant des motivations appropriées tel qu’un logement décent;</w:t>
      </w:r>
    </w:p>
    <w:p w:rsidR="00000000" w:rsidRDefault="00000000">
      <w:pPr>
        <w:pStyle w:val="Bullet1G"/>
        <w:rPr>
          <w:lang w:val="fr-FR"/>
        </w:rPr>
      </w:pPr>
      <w:r>
        <w:rPr>
          <w:lang w:val="fr-FR"/>
        </w:rPr>
        <w:t>Faire en sorte que le personnel médical exerce effectivement la profession pour laquelle il a été formé;</w:t>
      </w:r>
    </w:p>
    <w:p w:rsidR="00000000" w:rsidRDefault="00000000">
      <w:pPr>
        <w:pStyle w:val="Bullet1G"/>
        <w:rPr>
          <w:lang w:val="fr-FR"/>
        </w:rPr>
      </w:pPr>
      <w:r>
        <w:rPr>
          <w:lang w:val="fr-FR"/>
        </w:rPr>
        <w:t>Décentraliser la gestion et le financement du système de santé et la prise de décision au niveau région et commune;</w:t>
      </w:r>
    </w:p>
    <w:p w:rsidR="00000000" w:rsidRDefault="00000000">
      <w:pPr>
        <w:pStyle w:val="Bullet1G"/>
        <w:rPr>
          <w:lang w:val="fr-FR"/>
        </w:rPr>
      </w:pPr>
      <w:r>
        <w:rPr>
          <w:lang w:val="fr-FR"/>
        </w:rPr>
        <w:t>Créer une synergie entre les pratiques de médecines traditionnelle et moderne.</w:t>
      </w:r>
    </w:p>
    <w:p w:rsidR="00000000" w:rsidRDefault="00000000">
      <w:pPr>
        <w:pStyle w:val="H23G"/>
        <w:rPr>
          <w:lang w:val="fr-FR"/>
        </w:rPr>
      </w:pPr>
      <w:bookmarkStart w:id="813" w:name="_Toc206414563"/>
      <w:bookmarkStart w:id="814" w:name="_Toc206460405"/>
      <w:bookmarkStart w:id="815" w:name="_Toc206460737"/>
      <w:bookmarkStart w:id="816" w:name="_Toc206461459"/>
      <w:bookmarkStart w:id="817" w:name="_Toc206476253"/>
      <w:bookmarkStart w:id="818" w:name="_Toc207788788"/>
      <w:bookmarkStart w:id="819" w:name="_Toc211835459"/>
      <w:bookmarkStart w:id="820" w:name="_Toc211926766"/>
      <w:r>
        <w:rPr>
          <w:lang w:val="fr-FR"/>
        </w:rPr>
        <w:tab/>
        <w:t>6.</w:t>
      </w:r>
      <w:r>
        <w:rPr>
          <w:lang w:val="fr-FR"/>
        </w:rPr>
        <w:tab/>
        <w:t>Les principales causes de morbidité des moins de cinq ans</w:t>
      </w:r>
      <w:bookmarkEnd w:id="813"/>
      <w:bookmarkEnd w:id="814"/>
      <w:bookmarkEnd w:id="815"/>
      <w:bookmarkEnd w:id="816"/>
      <w:bookmarkEnd w:id="817"/>
      <w:bookmarkEnd w:id="818"/>
      <w:bookmarkEnd w:id="819"/>
      <w:bookmarkEnd w:id="820"/>
    </w:p>
    <w:p w:rsidR="00000000" w:rsidRDefault="00000000">
      <w:pPr>
        <w:pStyle w:val="SingleTxtG"/>
        <w:rPr>
          <w:b/>
          <w:lang w:val="fr-FR"/>
        </w:rPr>
      </w:pPr>
      <w:r>
        <w:rPr>
          <w:lang w:val="fr-FR"/>
        </w:rPr>
        <w:t>357.</w:t>
      </w:r>
      <w:r>
        <w:rPr>
          <w:lang w:val="fr-FR"/>
        </w:rPr>
        <w:tab/>
        <w:t>Au niveau des centres de santé de base les principales causes de morbidité sont les IRA, le paludisme, la diarrhée et les infections cutanées.</w:t>
      </w:r>
    </w:p>
    <w:p w:rsidR="00000000" w:rsidRDefault="00000000">
      <w:pPr>
        <w:pStyle w:val="SingleTxtG"/>
        <w:spacing w:after="0"/>
      </w:pPr>
      <w:bookmarkStart w:id="821" w:name="_Toc260298257"/>
      <w:r>
        <w:t>Tableau 20</w:t>
      </w:r>
    </w:p>
    <w:p w:rsidR="00000000" w:rsidRDefault="00000000">
      <w:pPr>
        <w:pStyle w:val="SingleTxtG"/>
        <w:rPr>
          <w:b/>
        </w:rPr>
      </w:pPr>
      <w:r>
        <w:rPr>
          <w:b/>
        </w:rPr>
        <w:t>Principales causes de morbidité des moins de 5 ans au niveau des CSB</w:t>
      </w:r>
      <w:bookmarkEnd w:id="821"/>
    </w:p>
    <w:tbl>
      <w:tblPr>
        <w:tblW w:w="7371" w:type="dxa"/>
        <w:tblInd w:w="1116" w:type="dxa"/>
        <w:tblCellMar>
          <w:left w:w="0" w:type="dxa"/>
          <w:right w:w="0" w:type="dxa"/>
        </w:tblCellMar>
        <w:tblLook w:val="01E0" w:firstRow="1" w:lastRow="1" w:firstColumn="1" w:lastColumn="1" w:noHBand="0" w:noVBand="0"/>
      </w:tblPr>
      <w:tblGrid>
        <w:gridCol w:w="3646"/>
        <w:gridCol w:w="1862"/>
        <w:gridCol w:w="1863"/>
      </w:tblGrid>
      <w:tr w:rsidR="00000000">
        <w:trPr>
          <w:trHeight w:val="323"/>
        </w:trPr>
        <w:tc>
          <w:tcPr>
            <w:tcW w:w="3646" w:type="dxa"/>
            <w:vMerge w:val="restart"/>
            <w:tcBorders>
              <w:top w:val="single" w:sz="4" w:space="0" w:color="auto"/>
            </w:tcBorders>
            <w:shd w:val="clear" w:color="auto" w:fill="auto"/>
            <w:vAlign w:val="bottom"/>
          </w:tcPr>
          <w:p w:rsidR="00000000" w:rsidRDefault="00000000">
            <w:pPr>
              <w:spacing w:before="80" w:after="80" w:line="200" w:lineRule="exact"/>
              <w:rPr>
                <w:bCs/>
                <w:i/>
                <w:sz w:val="16"/>
                <w:szCs w:val="16"/>
              </w:rPr>
            </w:pPr>
            <w:r>
              <w:rPr>
                <w:bCs/>
                <w:i/>
                <w:sz w:val="16"/>
                <w:szCs w:val="16"/>
              </w:rPr>
              <w:t>Années</w:t>
            </w:r>
            <w:r>
              <w:rPr>
                <w:bCs/>
                <w:i/>
                <w:sz w:val="16"/>
                <w:szCs w:val="16"/>
              </w:rPr>
              <w:br/>
              <w:t>Maladies</w:t>
            </w:r>
          </w:p>
        </w:tc>
        <w:tc>
          <w:tcPr>
            <w:tcW w:w="3725" w:type="dxa"/>
            <w:gridSpan w:val="2"/>
            <w:tcBorders>
              <w:top w:val="single" w:sz="4" w:space="0" w:color="auto"/>
              <w:bottom w:val="single" w:sz="4" w:space="0" w:color="auto"/>
            </w:tcBorders>
            <w:shd w:val="clear" w:color="auto" w:fill="auto"/>
            <w:vAlign w:val="bottom"/>
          </w:tcPr>
          <w:p w:rsidR="00000000" w:rsidRDefault="00000000">
            <w:pPr>
              <w:spacing w:before="80" w:after="80" w:line="200" w:lineRule="exact"/>
              <w:jc w:val="center"/>
              <w:rPr>
                <w:bCs/>
                <w:i/>
                <w:sz w:val="16"/>
                <w:szCs w:val="16"/>
              </w:rPr>
            </w:pPr>
            <w:r>
              <w:rPr>
                <w:bCs/>
                <w:i/>
                <w:sz w:val="16"/>
                <w:szCs w:val="16"/>
              </w:rPr>
              <w:t>Années</w:t>
            </w:r>
          </w:p>
        </w:tc>
      </w:tr>
      <w:tr w:rsidR="00000000">
        <w:trPr>
          <w:trHeight w:val="322"/>
        </w:trPr>
        <w:tc>
          <w:tcPr>
            <w:tcW w:w="3646" w:type="dxa"/>
            <w:vMerge/>
            <w:tcBorders>
              <w:bottom w:val="single" w:sz="12" w:space="0" w:color="auto"/>
            </w:tcBorders>
            <w:shd w:val="clear" w:color="auto" w:fill="auto"/>
            <w:vAlign w:val="bottom"/>
          </w:tcPr>
          <w:p w:rsidR="00000000" w:rsidRDefault="00000000">
            <w:pPr>
              <w:spacing w:before="80" w:after="80" w:line="200" w:lineRule="exact"/>
              <w:rPr>
                <w:bCs/>
                <w:i/>
                <w:sz w:val="16"/>
                <w:szCs w:val="16"/>
              </w:rPr>
            </w:pPr>
          </w:p>
        </w:tc>
        <w:tc>
          <w:tcPr>
            <w:tcW w:w="1862"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bCs/>
                <w:i/>
                <w:sz w:val="16"/>
                <w:szCs w:val="16"/>
              </w:rPr>
            </w:pPr>
            <w:r>
              <w:rPr>
                <w:bCs/>
                <w:i/>
                <w:sz w:val="16"/>
                <w:szCs w:val="16"/>
              </w:rPr>
              <w:t>2005</w:t>
            </w:r>
          </w:p>
        </w:tc>
        <w:tc>
          <w:tcPr>
            <w:tcW w:w="1863"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bCs/>
                <w:i/>
                <w:sz w:val="16"/>
                <w:szCs w:val="16"/>
              </w:rPr>
            </w:pPr>
            <w:r>
              <w:rPr>
                <w:bCs/>
                <w:i/>
                <w:sz w:val="16"/>
                <w:szCs w:val="16"/>
              </w:rPr>
              <w:t>2007</w:t>
            </w:r>
          </w:p>
        </w:tc>
      </w:tr>
      <w:tr w:rsidR="00000000">
        <w:tc>
          <w:tcPr>
            <w:tcW w:w="3646" w:type="dxa"/>
            <w:tcBorders>
              <w:top w:val="single" w:sz="12" w:space="0" w:color="auto"/>
            </w:tcBorders>
            <w:shd w:val="clear" w:color="auto" w:fill="auto"/>
            <w:vAlign w:val="bottom"/>
          </w:tcPr>
          <w:p w:rsidR="00000000" w:rsidRDefault="00000000">
            <w:pPr>
              <w:spacing w:before="40" w:after="40" w:line="220" w:lineRule="exact"/>
              <w:rPr>
                <w:sz w:val="18"/>
                <w:szCs w:val="18"/>
              </w:rPr>
            </w:pPr>
            <w:r>
              <w:rPr>
                <w:sz w:val="18"/>
                <w:szCs w:val="18"/>
              </w:rPr>
              <w:t>Insuffisance respiratoire aiguës (IRA)</w:t>
            </w:r>
          </w:p>
        </w:tc>
        <w:tc>
          <w:tcPr>
            <w:tcW w:w="1862" w:type="dxa"/>
            <w:tcBorders>
              <w:top w:val="single" w:sz="12" w:space="0" w:color="auto"/>
            </w:tcBorders>
            <w:shd w:val="clear" w:color="auto" w:fill="auto"/>
            <w:vAlign w:val="bottom"/>
          </w:tcPr>
          <w:p w:rsidR="00000000" w:rsidRDefault="00000000">
            <w:pPr>
              <w:spacing w:before="40" w:after="40" w:line="220" w:lineRule="exact"/>
              <w:jc w:val="right"/>
              <w:rPr>
                <w:sz w:val="18"/>
                <w:szCs w:val="18"/>
              </w:rPr>
            </w:pPr>
            <w:r>
              <w:rPr>
                <w:sz w:val="18"/>
                <w:szCs w:val="18"/>
              </w:rPr>
              <w:t>33,8</w:t>
            </w:r>
          </w:p>
        </w:tc>
        <w:tc>
          <w:tcPr>
            <w:tcW w:w="1863" w:type="dxa"/>
            <w:tcBorders>
              <w:top w:val="single" w:sz="12" w:space="0" w:color="auto"/>
            </w:tcBorders>
            <w:shd w:val="clear" w:color="auto" w:fill="auto"/>
            <w:vAlign w:val="bottom"/>
          </w:tcPr>
          <w:p w:rsidR="00000000" w:rsidRDefault="00000000">
            <w:pPr>
              <w:spacing w:before="40" w:after="40" w:line="220" w:lineRule="exact"/>
              <w:jc w:val="right"/>
              <w:rPr>
                <w:sz w:val="18"/>
                <w:szCs w:val="18"/>
              </w:rPr>
            </w:pPr>
            <w:r>
              <w:rPr>
                <w:sz w:val="18"/>
                <w:szCs w:val="18"/>
              </w:rPr>
              <w:t>42,5</w:t>
            </w:r>
          </w:p>
        </w:tc>
      </w:tr>
      <w:tr w:rsidR="00000000">
        <w:tc>
          <w:tcPr>
            <w:tcW w:w="3646" w:type="dxa"/>
            <w:shd w:val="clear" w:color="auto" w:fill="auto"/>
            <w:vAlign w:val="bottom"/>
          </w:tcPr>
          <w:p w:rsidR="00000000" w:rsidRDefault="00000000">
            <w:pPr>
              <w:spacing w:before="40" w:after="40" w:line="220" w:lineRule="exact"/>
              <w:rPr>
                <w:sz w:val="18"/>
                <w:szCs w:val="18"/>
              </w:rPr>
            </w:pPr>
            <w:r>
              <w:rPr>
                <w:sz w:val="18"/>
                <w:szCs w:val="18"/>
              </w:rPr>
              <w:t>Paludisme</w:t>
            </w:r>
          </w:p>
        </w:tc>
        <w:tc>
          <w:tcPr>
            <w:tcW w:w="1862" w:type="dxa"/>
            <w:shd w:val="clear" w:color="auto" w:fill="auto"/>
            <w:vAlign w:val="bottom"/>
          </w:tcPr>
          <w:p w:rsidR="00000000" w:rsidRDefault="00000000">
            <w:pPr>
              <w:spacing w:before="40" w:after="40" w:line="220" w:lineRule="exact"/>
              <w:jc w:val="right"/>
              <w:rPr>
                <w:sz w:val="18"/>
                <w:szCs w:val="18"/>
              </w:rPr>
            </w:pPr>
            <w:r>
              <w:rPr>
                <w:sz w:val="18"/>
                <w:szCs w:val="18"/>
              </w:rPr>
              <w:t>20,5</w:t>
            </w:r>
          </w:p>
        </w:tc>
        <w:tc>
          <w:tcPr>
            <w:tcW w:w="1863" w:type="dxa"/>
            <w:shd w:val="clear" w:color="auto" w:fill="auto"/>
            <w:vAlign w:val="bottom"/>
          </w:tcPr>
          <w:p w:rsidR="00000000" w:rsidRDefault="00000000">
            <w:pPr>
              <w:spacing w:before="40" w:after="40" w:line="220" w:lineRule="exact"/>
              <w:jc w:val="right"/>
              <w:rPr>
                <w:sz w:val="18"/>
                <w:szCs w:val="18"/>
              </w:rPr>
            </w:pPr>
            <w:r>
              <w:rPr>
                <w:sz w:val="18"/>
                <w:szCs w:val="18"/>
              </w:rPr>
              <w:t>12,4</w:t>
            </w:r>
          </w:p>
        </w:tc>
      </w:tr>
      <w:tr w:rsidR="00000000">
        <w:tc>
          <w:tcPr>
            <w:tcW w:w="3646" w:type="dxa"/>
            <w:shd w:val="clear" w:color="auto" w:fill="auto"/>
            <w:vAlign w:val="bottom"/>
          </w:tcPr>
          <w:p w:rsidR="00000000" w:rsidRDefault="00000000">
            <w:pPr>
              <w:spacing w:before="40" w:after="40" w:line="220" w:lineRule="exact"/>
              <w:rPr>
                <w:sz w:val="18"/>
                <w:szCs w:val="18"/>
              </w:rPr>
            </w:pPr>
            <w:r>
              <w:rPr>
                <w:sz w:val="18"/>
                <w:szCs w:val="18"/>
              </w:rPr>
              <w:t>Diarrhées</w:t>
            </w:r>
          </w:p>
        </w:tc>
        <w:tc>
          <w:tcPr>
            <w:tcW w:w="1862" w:type="dxa"/>
            <w:shd w:val="clear" w:color="auto" w:fill="auto"/>
            <w:vAlign w:val="bottom"/>
          </w:tcPr>
          <w:p w:rsidR="00000000" w:rsidRDefault="00000000">
            <w:pPr>
              <w:spacing w:before="40" w:after="40" w:line="220" w:lineRule="exact"/>
              <w:jc w:val="right"/>
              <w:rPr>
                <w:sz w:val="18"/>
                <w:szCs w:val="18"/>
              </w:rPr>
            </w:pPr>
            <w:r>
              <w:rPr>
                <w:sz w:val="18"/>
                <w:szCs w:val="18"/>
              </w:rPr>
              <w:t>14,7</w:t>
            </w:r>
          </w:p>
        </w:tc>
        <w:tc>
          <w:tcPr>
            <w:tcW w:w="1863" w:type="dxa"/>
            <w:shd w:val="clear" w:color="auto" w:fill="auto"/>
            <w:vAlign w:val="bottom"/>
          </w:tcPr>
          <w:p w:rsidR="00000000" w:rsidRDefault="00000000">
            <w:pPr>
              <w:spacing w:before="40" w:after="40" w:line="220" w:lineRule="exact"/>
              <w:jc w:val="right"/>
              <w:rPr>
                <w:sz w:val="18"/>
                <w:szCs w:val="18"/>
              </w:rPr>
            </w:pPr>
            <w:r>
              <w:rPr>
                <w:sz w:val="18"/>
                <w:szCs w:val="18"/>
              </w:rPr>
              <w:t>15,9</w:t>
            </w:r>
          </w:p>
        </w:tc>
      </w:tr>
      <w:tr w:rsidR="00000000">
        <w:tc>
          <w:tcPr>
            <w:tcW w:w="3646" w:type="dxa"/>
            <w:tcBorders>
              <w:bottom w:val="single" w:sz="12" w:space="0" w:color="auto"/>
            </w:tcBorders>
            <w:shd w:val="clear" w:color="auto" w:fill="auto"/>
            <w:vAlign w:val="bottom"/>
          </w:tcPr>
          <w:p w:rsidR="00000000" w:rsidRDefault="00000000">
            <w:pPr>
              <w:spacing w:before="40" w:after="40" w:line="220" w:lineRule="exact"/>
              <w:rPr>
                <w:sz w:val="18"/>
                <w:szCs w:val="18"/>
              </w:rPr>
            </w:pPr>
            <w:r>
              <w:rPr>
                <w:sz w:val="18"/>
                <w:szCs w:val="18"/>
              </w:rPr>
              <w:t>Infections cutanées</w:t>
            </w:r>
          </w:p>
        </w:tc>
        <w:tc>
          <w:tcPr>
            <w:tcW w:w="1862" w:type="dxa"/>
            <w:tcBorders>
              <w:bottom w:val="single" w:sz="12" w:space="0" w:color="auto"/>
            </w:tcBorders>
            <w:shd w:val="clear" w:color="auto" w:fill="auto"/>
            <w:vAlign w:val="bottom"/>
          </w:tcPr>
          <w:p w:rsidR="00000000" w:rsidRDefault="00000000">
            <w:pPr>
              <w:spacing w:before="40" w:after="40" w:line="220" w:lineRule="exact"/>
              <w:jc w:val="right"/>
              <w:rPr>
                <w:sz w:val="18"/>
                <w:szCs w:val="18"/>
              </w:rPr>
            </w:pPr>
            <w:r>
              <w:rPr>
                <w:sz w:val="18"/>
                <w:szCs w:val="18"/>
              </w:rPr>
              <w:t>4,2</w:t>
            </w:r>
          </w:p>
        </w:tc>
        <w:tc>
          <w:tcPr>
            <w:tcW w:w="1863" w:type="dxa"/>
            <w:tcBorders>
              <w:bottom w:val="single" w:sz="12" w:space="0" w:color="auto"/>
            </w:tcBorders>
            <w:shd w:val="clear" w:color="auto" w:fill="auto"/>
            <w:vAlign w:val="bottom"/>
          </w:tcPr>
          <w:p w:rsidR="00000000" w:rsidRDefault="00000000">
            <w:pPr>
              <w:spacing w:before="40" w:after="40" w:line="220" w:lineRule="exact"/>
              <w:jc w:val="right"/>
              <w:rPr>
                <w:sz w:val="18"/>
                <w:szCs w:val="18"/>
              </w:rPr>
            </w:pPr>
            <w:r>
              <w:rPr>
                <w:sz w:val="18"/>
                <w:szCs w:val="18"/>
              </w:rPr>
              <w:t>5</w:t>
            </w:r>
          </w:p>
        </w:tc>
      </w:tr>
    </w:tbl>
    <w:p w:rsidR="00000000" w:rsidRDefault="00000000">
      <w:pPr>
        <w:spacing w:before="120" w:after="200"/>
        <w:ind w:left="1134" w:firstLine="170"/>
        <w:rPr>
          <w:i/>
          <w:iCs/>
          <w:sz w:val="18"/>
          <w:szCs w:val="18"/>
          <w:lang w:val="fr-FR"/>
        </w:rPr>
      </w:pPr>
      <w:r>
        <w:rPr>
          <w:i/>
          <w:iCs/>
          <w:sz w:val="18"/>
          <w:szCs w:val="18"/>
          <w:lang w:val="fr-FR"/>
        </w:rPr>
        <w:t xml:space="preserve">Source: </w:t>
      </w:r>
      <w:r>
        <w:rPr>
          <w:iCs/>
          <w:sz w:val="18"/>
          <w:szCs w:val="18"/>
          <w:lang w:val="fr-FR"/>
        </w:rPr>
        <w:t>RMA du CDH.</w:t>
      </w:r>
    </w:p>
    <w:p w:rsidR="00000000" w:rsidRDefault="00000000">
      <w:pPr>
        <w:pStyle w:val="SingleTxtG"/>
        <w:spacing w:after="0"/>
      </w:pPr>
      <w:bookmarkStart w:id="822" w:name="_Toc260298258"/>
      <w:r>
        <w:t>Tableau 21</w:t>
      </w:r>
    </w:p>
    <w:p w:rsidR="00000000" w:rsidRDefault="00000000">
      <w:pPr>
        <w:pStyle w:val="SingleTxtG"/>
        <w:rPr>
          <w:b/>
        </w:rPr>
      </w:pPr>
      <w:r>
        <w:rPr>
          <w:b/>
        </w:rPr>
        <w:t>Principales causes de morbidité des moins de 5 ans au niveau des CHD</w:t>
      </w:r>
      <w:bookmarkEnd w:id="822"/>
    </w:p>
    <w:tbl>
      <w:tblPr>
        <w:tblW w:w="7371" w:type="dxa"/>
        <w:tblInd w:w="1116" w:type="dxa"/>
        <w:tblCellMar>
          <w:left w:w="0" w:type="dxa"/>
          <w:right w:w="0" w:type="dxa"/>
        </w:tblCellMar>
        <w:tblLook w:val="01E0" w:firstRow="1" w:lastRow="1" w:firstColumn="1" w:lastColumn="1" w:noHBand="0" w:noVBand="0"/>
      </w:tblPr>
      <w:tblGrid>
        <w:gridCol w:w="3595"/>
        <w:gridCol w:w="1888"/>
        <w:gridCol w:w="1888"/>
      </w:tblGrid>
      <w:tr w:rsidR="00000000">
        <w:trPr>
          <w:trHeight w:val="323"/>
        </w:trPr>
        <w:tc>
          <w:tcPr>
            <w:tcW w:w="3792" w:type="dxa"/>
            <w:vMerge w:val="restart"/>
            <w:tcBorders>
              <w:top w:val="single" w:sz="4" w:space="0" w:color="auto"/>
            </w:tcBorders>
            <w:shd w:val="clear" w:color="auto" w:fill="auto"/>
            <w:vAlign w:val="bottom"/>
          </w:tcPr>
          <w:p w:rsidR="00000000" w:rsidRDefault="00000000">
            <w:pPr>
              <w:spacing w:before="80" w:after="80" w:line="200" w:lineRule="exact"/>
              <w:rPr>
                <w:bCs/>
                <w:i/>
                <w:sz w:val="16"/>
                <w:szCs w:val="16"/>
              </w:rPr>
            </w:pPr>
            <w:r>
              <w:rPr>
                <w:bCs/>
                <w:i/>
                <w:sz w:val="16"/>
                <w:szCs w:val="16"/>
              </w:rPr>
              <w:t>Maladies</w:t>
            </w:r>
          </w:p>
        </w:tc>
        <w:tc>
          <w:tcPr>
            <w:tcW w:w="4020" w:type="dxa"/>
            <w:gridSpan w:val="2"/>
            <w:tcBorders>
              <w:top w:val="single" w:sz="4" w:space="0" w:color="auto"/>
              <w:bottom w:val="single" w:sz="4" w:space="0" w:color="auto"/>
            </w:tcBorders>
            <w:shd w:val="clear" w:color="auto" w:fill="auto"/>
            <w:vAlign w:val="bottom"/>
          </w:tcPr>
          <w:p w:rsidR="00000000" w:rsidRDefault="00000000">
            <w:pPr>
              <w:spacing w:before="80" w:after="80" w:line="200" w:lineRule="exact"/>
              <w:jc w:val="center"/>
              <w:rPr>
                <w:bCs/>
                <w:i/>
                <w:sz w:val="16"/>
                <w:szCs w:val="16"/>
              </w:rPr>
            </w:pPr>
            <w:r>
              <w:rPr>
                <w:bCs/>
                <w:i/>
                <w:sz w:val="16"/>
                <w:szCs w:val="16"/>
              </w:rPr>
              <w:t>Années</w:t>
            </w:r>
          </w:p>
        </w:tc>
      </w:tr>
      <w:tr w:rsidR="00000000">
        <w:trPr>
          <w:trHeight w:val="322"/>
        </w:trPr>
        <w:tc>
          <w:tcPr>
            <w:tcW w:w="3792" w:type="dxa"/>
            <w:vMerge/>
            <w:tcBorders>
              <w:bottom w:val="single" w:sz="12" w:space="0" w:color="auto"/>
            </w:tcBorders>
            <w:shd w:val="clear" w:color="auto" w:fill="auto"/>
            <w:vAlign w:val="bottom"/>
          </w:tcPr>
          <w:p w:rsidR="00000000" w:rsidRDefault="00000000">
            <w:pPr>
              <w:spacing w:before="80" w:after="80" w:line="200" w:lineRule="exact"/>
              <w:rPr>
                <w:bCs/>
                <w:i/>
                <w:sz w:val="16"/>
                <w:szCs w:val="16"/>
                <w:lang w:val="en-US"/>
              </w:rPr>
            </w:pPr>
          </w:p>
        </w:tc>
        <w:tc>
          <w:tcPr>
            <w:tcW w:w="2010"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bCs/>
                <w:i/>
                <w:sz w:val="16"/>
                <w:szCs w:val="16"/>
              </w:rPr>
            </w:pPr>
            <w:r>
              <w:rPr>
                <w:bCs/>
                <w:i/>
                <w:sz w:val="16"/>
                <w:szCs w:val="16"/>
              </w:rPr>
              <w:t>2005</w:t>
            </w:r>
          </w:p>
        </w:tc>
        <w:tc>
          <w:tcPr>
            <w:tcW w:w="2010"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bCs/>
                <w:i/>
                <w:sz w:val="16"/>
                <w:szCs w:val="16"/>
              </w:rPr>
            </w:pPr>
            <w:r>
              <w:rPr>
                <w:bCs/>
                <w:i/>
                <w:sz w:val="16"/>
                <w:szCs w:val="16"/>
              </w:rPr>
              <w:t>2007</w:t>
            </w:r>
          </w:p>
        </w:tc>
      </w:tr>
      <w:tr w:rsidR="00000000">
        <w:tc>
          <w:tcPr>
            <w:tcW w:w="3792" w:type="dxa"/>
            <w:tcBorders>
              <w:top w:val="single" w:sz="12" w:space="0" w:color="auto"/>
            </w:tcBorders>
            <w:shd w:val="clear" w:color="auto" w:fill="auto"/>
            <w:vAlign w:val="bottom"/>
          </w:tcPr>
          <w:p w:rsidR="00000000" w:rsidRDefault="00000000">
            <w:pPr>
              <w:spacing w:before="40" w:after="40" w:line="220" w:lineRule="exact"/>
              <w:rPr>
                <w:sz w:val="18"/>
                <w:szCs w:val="18"/>
              </w:rPr>
            </w:pPr>
            <w:r>
              <w:rPr>
                <w:sz w:val="18"/>
                <w:szCs w:val="18"/>
              </w:rPr>
              <w:t>Paludisme grave compliqué</w:t>
            </w:r>
          </w:p>
        </w:tc>
        <w:tc>
          <w:tcPr>
            <w:tcW w:w="2010" w:type="dxa"/>
            <w:tcBorders>
              <w:top w:val="single" w:sz="12" w:space="0" w:color="auto"/>
            </w:tcBorders>
            <w:shd w:val="clear" w:color="auto" w:fill="auto"/>
            <w:vAlign w:val="bottom"/>
          </w:tcPr>
          <w:p w:rsidR="00000000" w:rsidRDefault="00000000">
            <w:pPr>
              <w:spacing w:before="40" w:after="40" w:line="220" w:lineRule="exact"/>
              <w:jc w:val="right"/>
              <w:rPr>
                <w:i/>
                <w:sz w:val="18"/>
                <w:szCs w:val="18"/>
              </w:rPr>
            </w:pPr>
            <w:r>
              <w:rPr>
                <w:i/>
                <w:sz w:val="18"/>
                <w:szCs w:val="18"/>
              </w:rPr>
              <w:t>28,1</w:t>
            </w:r>
          </w:p>
        </w:tc>
        <w:tc>
          <w:tcPr>
            <w:tcW w:w="2010" w:type="dxa"/>
            <w:tcBorders>
              <w:top w:val="single" w:sz="12" w:space="0" w:color="auto"/>
            </w:tcBorders>
            <w:shd w:val="clear" w:color="auto" w:fill="auto"/>
            <w:vAlign w:val="bottom"/>
          </w:tcPr>
          <w:p w:rsidR="00000000" w:rsidRDefault="00000000">
            <w:pPr>
              <w:spacing w:before="40" w:after="40" w:line="220" w:lineRule="exact"/>
              <w:jc w:val="right"/>
              <w:rPr>
                <w:i/>
                <w:sz w:val="18"/>
                <w:szCs w:val="18"/>
              </w:rPr>
            </w:pPr>
            <w:r>
              <w:rPr>
                <w:i/>
                <w:sz w:val="18"/>
                <w:szCs w:val="18"/>
              </w:rPr>
              <w:t>29,2</w:t>
            </w:r>
          </w:p>
        </w:tc>
      </w:tr>
      <w:tr w:rsidR="00000000">
        <w:tc>
          <w:tcPr>
            <w:tcW w:w="3792" w:type="dxa"/>
            <w:shd w:val="clear" w:color="auto" w:fill="auto"/>
            <w:vAlign w:val="bottom"/>
          </w:tcPr>
          <w:p w:rsidR="00000000" w:rsidRDefault="00000000">
            <w:pPr>
              <w:spacing w:before="40" w:after="40" w:line="220" w:lineRule="exact"/>
              <w:rPr>
                <w:sz w:val="18"/>
                <w:szCs w:val="18"/>
              </w:rPr>
            </w:pPr>
            <w:r>
              <w:rPr>
                <w:sz w:val="18"/>
                <w:szCs w:val="18"/>
              </w:rPr>
              <w:t>Diarrhée avec déshydratation sévère</w:t>
            </w:r>
          </w:p>
        </w:tc>
        <w:tc>
          <w:tcPr>
            <w:tcW w:w="2010" w:type="dxa"/>
            <w:shd w:val="clear" w:color="auto" w:fill="auto"/>
            <w:vAlign w:val="bottom"/>
          </w:tcPr>
          <w:p w:rsidR="00000000" w:rsidRDefault="00000000">
            <w:pPr>
              <w:spacing w:before="40" w:after="40" w:line="220" w:lineRule="exact"/>
              <w:jc w:val="right"/>
              <w:rPr>
                <w:i/>
                <w:sz w:val="18"/>
                <w:szCs w:val="18"/>
              </w:rPr>
            </w:pPr>
            <w:r>
              <w:rPr>
                <w:i/>
                <w:sz w:val="18"/>
                <w:szCs w:val="18"/>
              </w:rPr>
              <w:t>18,5</w:t>
            </w:r>
          </w:p>
        </w:tc>
        <w:tc>
          <w:tcPr>
            <w:tcW w:w="2010" w:type="dxa"/>
            <w:shd w:val="clear" w:color="auto" w:fill="auto"/>
            <w:vAlign w:val="bottom"/>
          </w:tcPr>
          <w:p w:rsidR="00000000" w:rsidRDefault="00000000">
            <w:pPr>
              <w:spacing w:before="40" w:after="40" w:line="220" w:lineRule="exact"/>
              <w:jc w:val="right"/>
              <w:rPr>
                <w:i/>
                <w:sz w:val="18"/>
                <w:szCs w:val="18"/>
              </w:rPr>
            </w:pPr>
            <w:r>
              <w:rPr>
                <w:i/>
                <w:sz w:val="18"/>
                <w:szCs w:val="18"/>
              </w:rPr>
              <w:t>25,5</w:t>
            </w:r>
          </w:p>
        </w:tc>
      </w:tr>
      <w:tr w:rsidR="00000000">
        <w:tc>
          <w:tcPr>
            <w:tcW w:w="3792" w:type="dxa"/>
            <w:shd w:val="clear" w:color="auto" w:fill="auto"/>
            <w:vAlign w:val="bottom"/>
          </w:tcPr>
          <w:p w:rsidR="00000000" w:rsidRDefault="00000000">
            <w:pPr>
              <w:spacing w:before="40" w:after="40" w:line="220" w:lineRule="exact"/>
              <w:rPr>
                <w:sz w:val="18"/>
                <w:szCs w:val="18"/>
              </w:rPr>
            </w:pPr>
            <w:r>
              <w:rPr>
                <w:sz w:val="18"/>
                <w:szCs w:val="18"/>
              </w:rPr>
              <w:t>Pneumonie</w:t>
            </w:r>
          </w:p>
        </w:tc>
        <w:tc>
          <w:tcPr>
            <w:tcW w:w="2010" w:type="dxa"/>
            <w:shd w:val="clear" w:color="auto" w:fill="auto"/>
            <w:vAlign w:val="bottom"/>
          </w:tcPr>
          <w:p w:rsidR="00000000" w:rsidRDefault="00000000">
            <w:pPr>
              <w:spacing w:before="40" w:after="40" w:line="220" w:lineRule="exact"/>
              <w:jc w:val="right"/>
              <w:rPr>
                <w:i/>
                <w:sz w:val="18"/>
                <w:szCs w:val="18"/>
              </w:rPr>
            </w:pPr>
            <w:r>
              <w:rPr>
                <w:i/>
                <w:sz w:val="18"/>
                <w:szCs w:val="18"/>
              </w:rPr>
              <w:t>7,2</w:t>
            </w:r>
          </w:p>
        </w:tc>
        <w:tc>
          <w:tcPr>
            <w:tcW w:w="2010" w:type="dxa"/>
            <w:shd w:val="clear" w:color="auto" w:fill="auto"/>
            <w:vAlign w:val="bottom"/>
          </w:tcPr>
          <w:p w:rsidR="00000000" w:rsidRDefault="00000000">
            <w:pPr>
              <w:spacing w:before="40" w:after="40" w:line="220" w:lineRule="exact"/>
              <w:jc w:val="right"/>
              <w:rPr>
                <w:i/>
                <w:sz w:val="18"/>
                <w:szCs w:val="18"/>
              </w:rPr>
            </w:pPr>
            <w:r>
              <w:rPr>
                <w:i/>
                <w:sz w:val="18"/>
                <w:szCs w:val="18"/>
              </w:rPr>
              <w:t>9,8</w:t>
            </w:r>
          </w:p>
        </w:tc>
      </w:tr>
      <w:tr w:rsidR="00000000">
        <w:tc>
          <w:tcPr>
            <w:tcW w:w="3792" w:type="dxa"/>
            <w:tcBorders>
              <w:bottom w:val="single" w:sz="12" w:space="0" w:color="auto"/>
            </w:tcBorders>
            <w:shd w:val="clear" w:color="auto" w:fill="auto"/>
            <w:vAlign w:val="bottom"/>
          </w:tcPr>
          <w:p w:rsidR="00000000" w:rsidRDefault="00000000">
            <w:pPr>
              <w:spacing w:before="40" w:after="40" w:line="220" w:lineRule="exact"/>
              <w:rPr>
                <w:sz w:val="18"/>
                <w:szCs w:val="18"/>
              </w:rPr>
            </w:pPr>
            <w:r>
              <w:rPr>
                <w:sz w:val="18"/>
                <w:szCs w:val="18"/>
              </w:rPr>
              <w:t>Hernie</w:t>
            </w:r>
          </w:p>
        </w:tc>
        <w:tc>
          <w:tcPr>
            <w:tcW w:w="2010" w:type="dxa"/>
            <w:tcBorders>
              <w:bottom w:val="single" w:sz="12" w:space="0" w:color="auto"/>
            </w:tcBorders>
            <w:shd w:val="clear" w:color="auto" w:fill="auto"/>
            <w:vAlign w:val="bottom"/>
          </w:tcPr>
          <w:p w:rsidR="00000000" w:rsidRDefault="00000000">
            <w:pPr>
              <w:spacing w:before="40" w:after="40" w:line="220" w:lineRule="exact"/>
              <w:jc w:val="right"/>
              <w:rPr>
                <w:i/>
                <w:sz w:val="18"/>
                <w:szCs w:val="18"/>
              </w:rPr>
            </w:pPr>
            <w:r>
              <w:rPr>
                <w:i/>
                <w:sz w:val="18"/>
                <w:szCs w:val="18"/>
              </w:rPr>
              <w:t>6,3</w:t>
            </w:r>
          </w:p>
        </w:tc>
        <w:tc>
          <w:tcPr>
            <w:tcW w:w="2010" w:type="dxa"/>
            <w:tcBorders>
              <w:bottom w:val="single" w:sz="12" w:space="0" w:color="auto"/>
            </w:tcBorders>
            <w:shd w:val="clear" w:color="auto" w:fill="auto"/>
            <w:vAlign w:val="bottom"/>
          </w:tcPr>
          <w:p w:rsidR="00000000" w:rsidRDefault="00000000">
            <w:pPr>
              <w:spacing w:before="40" w:after="40" w:line="220" w:lineRule="exact"/>
              <w:jc w:val="right"/>
              <w:rPr>
                <w:i/>
                <w:sz w:val="18"/>
                <w:szCs w:val="18"/>
              </w:rPr>
            </w:pPr>
            <w:r>
              <w:rPr>
                <w:i/>
                <w:sz w:val="18"/>
                <w:szCs w:val="18"/>
              </w:rPr>
              <w:t>12,9</w:t>
            </w:r>
          </w:p>
        </w:tc>
      </w:tr>
    </w:tbl>
    <w:p w:rsidR="00000000" w:rsidRDefault="00000000">
      <w:pPr>
        <w:spacing w:before="120" w:after="240"/>
        <w:ind w:left="1134" w:firstLine="170"/>
        <w:rPr>
          <w:iCs/>
          <w:sz w:val="18"/>
          <w:szCs w:val="18"/>
          <w:lang w:val="fr-FR"/>
        </w:rPr>
      </w:pPr>
      <w:r>
        <w:rPr>
          <w:i/>
          <w:iCs/>
          <w:sz w:val="18"/>
          <w:szCs w:val="18"/>
          <w:lang w:val="fr-FR"/>
        </w:rPr>
        <w:t xml:space="preserve">Source: </w:t>
      </w:r>
      <w:r>
        <w:rPr>
          <w:iCs/>
          <w:sz w:val="18"/>
          <w:szCs w:val="18"/>
          <w:lang w:val="fr-FR"/>
        </w:rPr>
        <w:t>RMA du CDH.</w:t>
      </w:r>
    </w:p>
    <w:p w:rsidR="00000000" w:rsidRDefault="00000000">
      <w:pPr>
        <w:pStyle w:val="SingleTxtG"/>
        <w:keepNext/>
        <w:spacing w:after="0"/>
      </w:pPr>
      <w:bookmarkStart w:id="823" w:name="_Toc260298259"/>
      <w:r>
        <w:t>Tab 22</w:t>
      </w:r>
    </w:p>
    <w:p w:rsidR="00000000" w:rsidRDefault="00000000">
      <w:pPr>
        <w:pStyle w:val="SingleTxtG"/>
        <w:keepNext/>
        <w:rPr>
          <w:b/>
        </w:rPr>
      </w:pPr>
      <w:r>
        <w:rPr>
          <w:b/>
        </w:rPr>
        <w:t>Prise en charge des enfants malades vus en consultations</w:t>
      </w:r>
      <w:bookmarkEnd w:id="823"/>
    </w:p>
    <w:tbl>
      <w:tblPr>
        <w:tblW w:w="7371" w:type="dxa"/>
        <w:tblInd w:w="1134" w:type="dxa"/>
        <w:tblCellMar>
          <w:left w:w="0" w:type="dxa"/>
          <w:right w:w="0" w:type="dxa"/>
        </w:tblCellMar>
        <w:tblLook w:val="01E0" w:firstRow="1" w:lastRow="1" w:firstColumn="1" w:lastColumn="1" w:noHBand="0" w:noVBand="0"/>
      </w:tblPr>
      <w:tblGrid>
        <w:gridCol w:w="2207"/>
        <w:gridCol w:w="2308"/>
        <w:gridCol w:w="2856"/>
      </w:tblGrid>
      <w:tr w:rsidR="00000000">
        <w:tc>
          <w:tcPr>
            <w:tcW w:w="7452" w:type="dxa"/>
            <w:gridSpan w:val="3"/>
            <w:tcBorders>
              <w:top w:val="single" w:sz="4" w:space="0" w:color="auto"/>
              <w:bottom w:val="single" w:sz="12" w:space="0" w:color="auto"/>
            </w:tcBorders>
            <w:shd w:val="clear" w:color="auto" w:fill="auto"/>
          </w:tcPr>
          <w:p w:rsidR="00000000" w:rsidRDefault="00000000">
            <w:pPr>
              <w:keepNext/>
              <w:spacing w:before="80" w:after="80" w:line="200" w:lineRule="exact"/>
              <w:rPr>
                <w:b/>
                <w:bCs/>
                <w:i/>
                <w:sz w:val="16"/>
                <w:szCs w:val="16"/>
              </w:rPr>
            </w:pPr>
            <w:r>
              <w:rPr>
                <w:b/>
                <w:bCs/>
                <w:i/>
                <w:sz w:val="16"/>
                <w:szCs w:val="16"/>
              </w:rPr>
              <w:t>Taux de prise en charge dans un établissement sanitaire</w:t>
            </w:r>
          </w:p>
        </w:tc>
      </w:tr>
      <w:tr w:rsidR="00000000">
        <w:tc>
          <w:tcPr>
            <w:tcW w:w="2232" w:type="dxa"/>
            <w:tcBorders>
              <w:top w:val="single" w:sz="12" w:space="0" w:color="auto"/>
            </w:tcBorders>
            <w:shd w:val="clear" w:color="auto" w:fill="auto"/>
          </w:tcPr>
          <w:p w:rsidR="00000000" w:rsidRDefault="00000000">
            <w:pPr>
              <w:spacing w:before="40" w:after="40" w:line="220" w:lineRule="exact"/>
              <w:rPr>
                <w:bCs/>
                <w:sz w:val="18"/>
                <w:szCs w:val="18"/>
              </w:rPr>
            </w:pPr>
            <w:r>
              <w:rPr>
                <w:bCs/>
                <w:sz w:val="18"/>
                <w:szCs w:val="18"/>
              </w:rPr>
              <w:t>Diarrhée</w:t>
            </w:r>
          </w:p>
        </w:tc>
        <w:tc>
          <w:tcPr>
            <w:tcW w:w="2340" w:type="dxa"/>
            <w:tcBorders>
              <w:top w:val="single" w:sz="12" w:space="0" w:color="auto"/>
            </w:tcBorders>
            <w:shd w:val="clear" w:color="auto" w:fill="auto"/>
            <w:vAlign w:val="bottom"/>
          </w:tcPr>
          <w:p w:rsidR="00000000" w:rsidRDefault="00000000">
            <w:pPr>
              <w:spacing w:before="40" w:after="40" w:line="220" w:lineRule="exact"/>
              <w:jc w:val="right"/>
              <w:rPr>
                <w:bCs/>
                <w:sz w:val="18"/>
                <w:szCs w:val="18"/>
              </w:rPr>
            </w:pPr>
            <w:r>
              <w:rPr>
                <w:bCs/>
                <w:sz w:val="18"/>
                <w:szCs w:val="18"/>
              </w:rPr>
              <w:t>43%</w:t>
            </w:r>
          </w:p>
        </w:tc>
        <w:tc>
          <w:tcPr>
            <w:tcW w:w="2880" w:type="dxa"/>
            <w:tcBorders>
              <w:top w:val="single" w:sz="12" w:space="0" w:color="auto"/>
            </w:tcBorders>
            <w:shd w:val="clear" w:color="auto" w:fill="auto"/>
            <w:vAlign w:val="bottom"/>
          </w:tcPr>
          <w:p w:rsidR="00000000" w:rsidRDefault="00000000">
            <w:pPr>
              <w:spacing w:before="40" w:after="40" w:line="220" w:lineRule="exact"/>
              <w:jc w:val="right"/>
              <w:rPr>
                <w:bCs/>
                <w:sz w:val="18"/>
                <w:szCs w:val="18"/>
              </w:rPr>
            </w:pPr>
            <w:r>
              <w:rPr>
                <w:bCs/>
                <w:sz w:val="18"/>
                <w:szCs w:val="18"/>
              </w:rPr>
              <w:t>TRO</w:t>
            </w:r>
          </w:p>
        </w:tc>
      </w:tr>
      <w:tr w:rsidR="00000000">
        <w:tc>
          <w:tcPr>
            <w:tcW w:w="2232" w:type="dxa"/>
            <w:shd w:val="clear" w:color="auto" w:fill="auto"/>
          </w:tcPr>
          <w:p w:rsidR="00000000" w:rsidRDefault="00000000">
            <w:pPr>
              <w:spacing w:before="40" w:after="40" w:line="220" w:lineRule="exact"/>
              <w:rPr>
                <w:bCs/>
                <w:sz w:val="18"/>
                <w:szCs w:val="18"/>
              </w:rPr>
            </w:pPr>
            <w:r>
              <w:rPr>
                <w:bCs/>
                <w:sz w:val="18"/>
                <w:szCs w:val="18"/>
              </w:rPr>
              <w:t>Fièvre</w:t>
            </w:r>
          </w:p>
        </w:tc>
        <w:tc>
          <w:tcPr>
            <w:tcW w:w="2340" w:type="dxa"/>
            <w:shd w:val="clear" w:color="auto" w:fill="auto"/>
            <w:vAlign w:val="bottom"/>
          </w:tcPr>
          <w:p w:rsidR="00000000" w:rsidRDefault="00000000">
            <w:pPr>
              <w:spacing w:before="40" w:after="40" w:line="220" w:lineRule="exact"/>
              <w:jc w:val="right"/>
              <w:rPr>
                <w:bCs/>
                <w:sz w:val="18"/>
                <w:szCs w:val="18"/>
              </w:rPr>
            </w:pPr>
            <w:r>
              <w:rPr>
                <w:bCs/>
                <w:sz w:val="18"/>
                <w:szCs w:val="18"/>
              </w:rPr>
              <w:t>39%</w:t>
            </w:r>
          </w:p>
        </w:tc>
        <w:tc>
          <w:tcPr>
            <w:tcW w:w="2880" w:type="dxa"/>
            <w:shd w:val="clear" w:color="auto" w:fill="auto"/>
            <w:vAlign w:val="bottom"/>
          </w:tcPr>
          <w:p w:rsidR="00000000" w:rsidRDefault="00000000">
            <w:pPr>
              <w:spacing w:before="40" w:after="40" w:line="220" w:lineRule="exact"/>
              <w:jc w:val="right"/>
              <w:rPr>
                <w:bCs/>
                <w:sz w:val="18"/>
                <w:szCs w:val="18"/>
              </w:rPr>
            </w:pPr>
            <w:r>
              <w:rPr>
                <w:bCs/>
                <w:sz w:val="18"/>
                <w:szCs w:val="18"/>
              </w:rPr>
              <w:t>Traitement/Conseil</w:t>
            </w:r>
          </w:p>
        </w:tc>
      </w:tr>
      <w:tr w:rsidR="00000000">
        <w:tc>
          <w:tcPr>
            <w:tcW w:w="2232" w:type="dxa"/>
            <w:tcBorders>
              <w:bottom w:val="single" w:sz="12" w:space="0" w:color="auto"/>
            </w:tcBorders>
            <w:shd w:val="clear" w:color="auto" w:fill="auto"/>
          </w:tcPr>
          <w:p w:rsidR="00000000" w:rsidRDefault="00000000">
            <w:pPr>
              <w:spacing w:before="40" w:after="40" w:line="220" w:lineRule="exact"/>
              <w:rPr>
                <w:bCs/>
                <w:sz w:val="18"/>
                <w:szCs w:val="18"/>
              </w:rPr>
            </w:pPr>
            <w:r>
              <w:rPr>
                <w:bCs/>
                <w:sz w:val="18"/>
                <w:szCs w:val="18"/>
              </w:rPr>
              <w:t>IRA</w:t>
            </w:r>
          </w:p>
        </w:tc>
        <w:tc>
          <w:tcPr>
            <w:tcW w:w="2340" w:type="dxa"/>
            <w:tcBorders>
              <w:bottom w:val="single" w:sz="12" w:space="0" w:color="auto"/>
            </w:tcBorders>
            <w:shd w:val="clear" w:color="auto" w:fill="auto"/>
            <w:vAlign w:val="bottom"/>
          </w:tcPr>
          <w:p w:rsidR="00000000" w:rsidRDefault="00000000">
            <w:pPr>
              <w:spacing w:before="40" w:after="40" w:line="220" w:lineRule="exact"/>
              <w:jc w:val="right"/>
              <w:rPr>
                <w:bCs/>
                <w:sz w:val="18"/>
                <w:szCs w:val="18"/>
              </w:rPr>
            </w:pPr>
            <w:r>
              <w:rPr>
                <w:bCs/>
                <w:sz w:val="18"/>
                <w:szCs w:val="18"/>
              </w:rPr>
              <w:t>4/10 cas</w:t>
            </w:r>
          </w:p>
        </w:tc>
        <w:tc>
          <w:tcPr>
            <w:tcW w:w="2880" w:type="dxa"/>
            <w:tcBorders>
              <w:bottom w:val="single" w:sz="12" w:space="0" w:color="auto"/>
            </w:tcBorders>
            <w:shd w:val="clear" w:color="auto" w:fill="auto"/>
            <w:vAlign w:val="bottom"/>
          </w:tcPr>
          <w:p w:rsidR="00000000" w:rsidRDefault="00000000">
            <w:pPr>
              <w:spacing w:before="40" w:after="40" w:line="220" w:lineRule="exact"/>
              <w:jc w:val="right"/>
              <w:rPr>
                <w:bCs/>
                <w:sz w:val="18"/>
                <w:szCs w:val="18"/>
              </w:rPr>
            </w:pPr>
            <w:r>
              <w:rPr>
                <w:bCs/>
                <w:sz w:val="18"/>
                <w:szCs w:val="18"/>
              </w:rPr>
              <w:t>Traitement/Conseil</w:t>
            </w:r>
          </w:p>
        </w:tc>
      </w:tr>
    </w:tbl>
    <w:p w:rsidR="00000000" w:rsidRDefault="00000000">
      <w:pPr>
        <w:spacing w:before="120" w:after="240"/>
        <w:ind w:left="1134" w:firstLine="170"/>
        <w:rPr>
          <w:iCs/>
          <w:sz w:val="18"/>
          <w:szCs w:val="18"/>
          <w:lang w:val="fr-FR"/>
        </w:rPr>
      </w:pPr>
      <w:r>
        <w:rPr>
          <w:i/>
          <w:iCs/>
          <w:sz w:val="18"/>
          <w:szCs w:val="18"/>
          <w:lang w:val="fr-FR"/>
        </w:rPr>
        <w:t>Source</w:t>
      </w:r>
      <w:r>
        <w:rPr>
          <w:iCs/>
          <w:sz w:val="18"/>
          <w:szCs w:val="18"/>
          <w:lang w:val="fr-FR"/>
        </w:rPr>
        <w:t>: INSTAT/DDSS/EDSMD III 2003-2004.</w:t>
      </w:r>
    </w:p>
    <w:p w:rsidR="00000000" w:rsidRDefault="00000000">
      <w:pPr>
        <w:pStyle w:val="H23G"/>
        <w:rPr>
          <w:lang w:val="fr-FR"/>
        </w:rPr>
      </w:pPr>
      <w:bookmarkStart w:id="824" w:name="_Toc206414564"/>
      <w:bookmarkStart w:id="825" w:name="_Toc206460406"/>
      <w:bookmarkStart w:id="826" w:name="_Toc206460738"/>
      <w:bookmarkStart w:id="827" w:name="_Toc206461460"/>
      <w:bookmarkStart w:id="828" w:name="_Toc206476254"/>
      <w:bookmarkStart w:id="829" w:name="_Toc207788789"/>
      <w:bookmarkStart w:id="830" w:name="_Toc211835460"/>
      <w:bookmarkStart w:id="831" w:name="_Toc211926767"/>
      <w:r>
        <w:rPr>
          <w:lang w:val="fr-FR"/>
        </w:rPr>
        <w:tab/>
      </w:r>
      <w:r>
        <w:rPr>
          <w:lang w:val="fr-FR"/>
        </w:rPr>
        <w:tab/>
        <w:t>7.</w:t>
      </w:r>
      <w:r>
        <w:rPr>
          <w:lang w:val="fr-FR"/>
        </w:rPr>
        <w:tab/>
        <w:t>Les principales causes de mortalité</w:t>
      </w:r>
      <w:bookmarkEnd w:id="824"/>
      <w:bookmarkEnd w:id="825"/>
      <w:bookmarkEnd w:id="826"/>
      <w:bookmarkEnd w:id="827"/>
      <w:bookmarkEnd w:id="828"/>
      <w:bookmarkEnd w:id="829"/>
      <w:bookmarkEnd w:id="830"/>
      <w:bookmarkEnd w:id="831"/>
    </w:p>
    <w:p w:rsidR="00000000" w:rsidRDefault="00000000">
      <w:pPr>
        <w:pStyle w:val="SingleTxtG"/>
        <w:rPr>
          <w:lang w:val="fr-FR"/>
        </w:rPr>
      </w:pPr>
      <w:r>
        <w:rPr>
          <w:lang w:val="fr-FR"/>
        </w:rPr>
        <w:t>358.</w:t>
      </w:r>
      <w:r>
        <w:rPr>
          <w:lang w:val="fr-FR"/>
        </w:rPr>
        <w:tab/>
        <w:t>Les principales causes de mortalité intra hospitalière pour les moins de 5cinq ans sont:</w:t>
      </w:r>
    </w:p>
    <w:p w:rsidR="00000000" w:rsidRDefault="00000000">
      <w:pPr>
        <w:pStyle w:val="Bullet1G"/>
        <w:rPr>
          <w:lang w:val="fr-FR"/>
        </w:rPr>
      </w:pPr>
      <w:r>
        <w:rPr>
          <w:lang w:val="fr-FR"/>
        </w:rPr>
        <w:t>Le paludisme grave: 25,9 %;</w:t>
      </w:r>
    </w:p>
    <w:p w:rsidR="00000000" w:rsidRDefault="00000000">
      <w:pPr>
        <w:pStyle w:val="Bullet1G"/>
        <w:rPr>
          <w:lang w:val="fr-FR"/>
        </w:rPr>
      </w:pPr>
      <w:r>
        <w:rPr>
          <w:lang w:val="fr-FR"/>
        </w:rPr>
        <w:t>La diarrhée: 13,7 %;</w:t>
      </w:r>
    </w:p>
    <w:p w:rsidR="00000000" w:rsidRDefault="00000000">
      <w:pPr>
        <w:pStyle w:val="Bullet1G"/>
        <w:rPr>
          <w:lang w:val="fr-FR"/>
        </w:rPr>
      </w:pPr>
      <w:r>
        <w:rPr>
          <w:lang w:val="fr-FR"/>
        </w:rPr>
        <w:t>La malnutrition grave: 10,9 %;</w:t>
      </w:r>
    </w:p>
    <w:p w:rsidR="00000000" w:rsidRDefault="00000000">
      <w:pPr>
        <w:pStyle w:val="Bullet1G"/>
        <w:rPr>
          <w:lang w:val="fr-FR"/>
        </w:rPr>
      </w:pPr>
      <w:r>
        <w:rPr>
          <w:lang w:val="fr-FR"/>
        </w:rPr>
        <w:t>L’IRA: 8,6 %.</w:t>
      </w:r>
    </w:p>
    <w:p w:rsidR="00000000" w:rsidRDefault="00000000">
      <w:pPr>
        <w:pStyle w:val="H23G"/>
        <w:rPr>
          <w:lang w:val="fr-FR"/>
        </w:rPr>
      </w:pPr>
      <w:r>
        <w:rPr>
          <w:lang w:val="fr-FR"/>
        </w:rPr>
        <w:tab/>
        <w:t>8.</w:t>
      </w:r>
      <w:r>
        <w:rPr>
          <w:lang w:val="fr-FR"/>
        </w:rPr>
        <w:tab/>
        <w:t xml:space="preserve">Évolution et situation de la mortalité maternelle </w:t>
      </w:r>
    </w:p>
    <w:p w:rsidR="00000000" w:rsidRDefault="00000000">
      <w:pPr>
        <w:pStyle w:val="SingleTxtG"/>
        <w:rPr>
          <w:lang w:val="fr-FR"/>
        </w:rPr>
      </w:pPr>
      <w:r>
        <w:rPr>
          <w:lang w:val="fr-FR"/>
        </w:rPr>
        <w:t>359.</w:t>
      </w:r>
      <w:r>
        <w:rPr>
          <w:lang w:val="fr-FR"/>
        </w:rPr>
        <w:tab/>
        <w:t>En matière de santé maternelle, le taux de mortalité maternelle enregistre une baisse de 29 % sur la période 1992</w:t>
      </w:r>
      <w:r>
        <w:rPr>
          <w:lang w:val="fr-FR"/>
        </w:rPr>
        <w:noBreakHyphen/>
        <w:t>2003/04, passant de 660 à 469 pour mille naissances vivantes (EDS). Le pays a connu des progrès dans la lutte contre le tétanos néonatal, suite à des activités de vaccination supplémentaire visant des districts à haut risque.</w:t>
      </w:r>
    </w:p>
    <w:p w:rsidR="00000000" w:rsidRDefault="00000000">
      <w:pPr>
        <w:pStyle w:val="SingleTxtG"/>
        <w:spacing w:after="0"/>
      </w:pPr>
      <w:bookmarkStart w:id="832" w:name="_Toc260298260"/>
      <w:r>
        <w:t>Tableau 23</w:t>
      </w:r>
    </w:p>
    <w:p w:rsidR="00000000" w:rsidRDefault="00000000">
      <w:pPr>
        <w:pStyle w:val="SingleTxtG"/>
        <w:rPr>
          <w:b/>
        </w:rPr>
      </w:pPr>
      <w:r>
        <w:rPr>
          <w:b/>
        </w:rPr>
        <w:t>Consultations prénatales et taux de mortalité</w:t>
      </w:r>
      <w:bookmarkEnd w:id="832"/>
    </w:p>
    <w:tbl>
      <w:tblPr>
        <w:tblW w:w="7371" w:type="dxa"/>
        <w:tblInd w:w="1134" w:type="dxa"/>
        <w:tblCellMar>
          <w:left w:w="0" w:type="dxa"/>
          <w:right w:w="0" w:type="dxa"/>
        </w:tblCellMar>
        <w:tblLook w:val="01E0" w:firstRow="1" w:lastRow="1" w:firstColumn="1" w:lastColumn="1" w:noHBand="0" w:noVBand="0"/>
      </w:tblPr>
      <w:tblGrid>
        <w:gridCol w:w="2996"/>
        <w:gridCol w:w="1433"/>
        <w:gridCol w:w="25"/>
        <w:gridCol w:w="1458"/>
        <w:gridCol w:w="33"/>
        <w:gridCol w:w="1426"/>
      </w:tblGrid>
      <w:tr w:rsidR="00000000">
        <w:trPr>
          <w:trHeight w:val="488"/>
        </w:trPr>
        <w:tc>
          <w:tcPr>
            <w:tcW w:w="2996" w:type="dxa"/>
            <w:vMerge w:val="restart"/>
            <w:tcBorders>
              <w:top w:val="single" w:sz="4" w:space="0" w:color="auto"/>
            </w:tcBorders>
            <w:shd w:val="clear" w:color="auto" w:fill="auto"/>
            <w:vAlign w:val="bottom"/>
          </w:tcPr>
          <w:p w:rsidR="00000000" w:rsidRDefault="00000000">
            <w:pPr>
              <w:spacing w:before="80" w:after="80" w:line="220" w:lineRule="exact"/>
              <w:rPr>
                <w:bCs/>
                <w:i/>
                <w:sz w:val="16"/>
                <w:szCs w:val="16"/>
              </w:rPr>
            </w:pPr>
            <w:r>
              <w:rPr>
                <w:bCs/>
                <w:i/>
                <w:sz w:val="16"/>
                <w:szCs w:val="16"/>
              </w:rPr>
              <w:t>Indicateurs</w:t>
            </w:r>
          </w:p>
        </w:tc>
        <w:tc>
          <w:tcPr>
            <w:tcW w:w="4375" w:type="dxa"/>
            <w:gridSpan w:val="5"/>
            <w:tcBorders>
              <w:top w:val="single" w:sz="4" w:space="0" w:color="auto"/>
              <w:bottom w:val="single" w:sz="4" w:space="0" w:color="auto"/>
            </w:tcBorders>
            <w:shd w:val="clear" w:color="auto" w:fill="auto"/>
            <w:vAlign w:val="bottom"/>
          </w:tcPr>
          <w:p w:rsidR="00000000" w:rsidRDefault="00000000">
            <w:pPr>
              <w:spacing w:before="80" w:after="80" w:line="220" w:lineRule="exact"/>
              <w:jc w:val="center"/>
              <w:rPr>
                <w:bCs/>
                <w:i/>
                <w:sz w:val="16"/>
                <w:szCs w:val="16"/>
              </w:rPr>
            </w:pPr>
            <w:r>
              <w:rPr>
                <w:bCs/>
                <w:i/>
                <w:sz w:val="16"/>
                <w:szCs w:val="16"/>
              </w:rPr>
              <w:t>Années</w:t>
            </w:r>
          </w:p>
        </w:tc>
      </w:tr>
      <w:tr w:rsidR="00000000">
        <w:trPr>
          <w:trHeight w:val="487"/>
        </w:trPr>
        <w:tc>
          <w:tcPr>
            <w:tcW w:w="2996" w:type="dxa"/>
            <w:vMerge/>
            <w:tcBorders>
              <w:bottom w:val="single" w:sz="12" w:space="0" w:color="auto"/>
            </w:tcBorders>
            <w:shd w:val="clear" w:color="auto" w:fill="auto"/>
            <w:vAlign w:val="bottom"/>
          </w:tcPr>
          <w:p w:rsidR="00000000" w:rsidRDefault="00000000">
            <w:pPr>
              <w:spacing w:before="80" w:after="80" w:line="220" w:lineRule="exact"/>
              <w:rPr>
                <w:bCs/>
                <w:i/>
                <w:sz w:val="16"/>
                <w:szCs w:val="16"/>
              </w:rPr>
            </w:pPr>
          </w:p>
        </w:tc>
        <w:tc>
          <w:tcPr>
            <w:tcW w:w="1458" w:type="dxa"/>
            <w:gridSpan w:val="2"/>
            <w:tcBorders>
              <w:top w:val="single" w:sz="4" w:space="0" w:color="auto"/>
              <w:bottom w:val="single" w:sz="12" w:space="0" w:color="auto"/>
            </w:tcBorders>
            <w:shd w:val="clear" w:color="auto" w:fill="auto"/>
            <w:vAlign w:val="bottom"/>
          </w:tcPr>
          <w:p w:rsidR="00000000" w:rsidRDefault="00000000">
            <w:pPr>
              <w:spacing w:before="80" w:after="80" w:line="220" w:lineRule="exact"/>
              <w:jc w:val="right"/>
              <w:rPr>
                <w:bCs/>
                <w:i/>
                <w:sz w:val="16"/>
                <w:szCs w:val="16"/>
              </w:rPr>
            </w:pPr>
            <w:r>
              <w:rPr>
                <w:bCs/>
                <w:i/>
                <w:sz w:val="16"/>
                <w:szCs w:val="16"/>
              </w:rPr>
              <w:t>2005</w:t>
            </w:r>
          </w:p>
        </w:tc>
        <w:tc>
          <w:tcPr>
            <w:tcW w:w="1458" w:type="dxa"/>
            <w:tcBorders>
              <w:top w:val="single" w:sz="4" w:space="0" w:color="auto"/>
              <w:bottom w:val="single" w:sz="12" w:space="0" w:color="auto"/>
            </w:tcBorders>
            <w:shd w:val="clear" w:color="auto" w:fill="auto"/>
            <w:vAlign w:val="bottom"/>
          </w:tcPr>
          <w:p w:rsidR="00000000" w:rsidRDefault="00000000">
            <w:pPr>
              <w:spacing w:before="80" w:after="80" w:line="220" w:lineRule="exact"/>
              <w:jc w:val="right"/>
              <w:rPr>
                <w:bCs/>
                <w:i/>
                <w:sz w:val="16"/>
                <w:szCs w:val="16"/>
              </w:rPr>
            </w:pPr>
            <w:r>
              <w:rPr>
                <w:bCs/>
                <w:i/>
                <w:sz w:val="16"/>
                <w:szCs w:val="16"/>
              </w:rPr>
              <w:t>2006</w:t>
            </w:r>
          </w:p>
        </w:tc>
        <w:tc>
          <w:tcPr>
            <w:tcW w:w="1459" w:type="dxa"/>
            <w:gridSpan w:val="2"/>
            <w:tcBorders>
              <w:top w:val="single" w:sz="4" w:space="0" w:color="auto"/>
              <w:bottom w:val="single" w:sz="12" w:space="0" w:color="auto"/>
            </w:tcBorders>
            <w:shd w:val="clear" w:color="auto" w:fill="auto"/>
            <w:vAlign w:val="bottom"/>
          </w:tcPr>
          <w:p w:rsidR="00000000" w:rsidRDefault="00000000">
            <w:pPr>
              <w:spacing w:before="80" w:after="80" w:line="220" w:lineRule="exact"/>
              <w:jc w:val="right"/>
              <w:rPr>
                <w:bCs/>
                <w:i/>
                <w:sz w:val="16"/>
                <w:szCs w:val="16"/>
              </w:rPr>
            </w:pPr>
            <w:r>
              <w:rPr>
                <w:bCs/>
                <w:i/>
                <w:sz w:val="16"/>
                <w:szCs w:val="16"/>
              </w:rPr>
              <w:t>2007 juillet</w:t>
            </w:r>
          </w:p>
        </w:tc>
      </w:tr>
      <w:tr w:rsidR="00000000">
        <w:tc>
          <w:tcPr>
            <w:tcW w:w="2996" w:type="dxa"/>
            <w:tcBorders>
              <w:top w:val="single" w:sz="12" w:space="0" w:color="auto"/>
            </w:tcBorders>
            <w:shd w:val="clear" w:color="auto" w:fill="auto"/>
            <w:vAlign w:val="bottom"/>
          </w:tcPr>
          <w:p w:rsidR="00000000" w:rsidRDefault="00000000">
            <w:pPr>
              <w:spacing w:before="40" w:after="40" w:line="220" w:lineRule="exact"/>
              <w:rPr>
                <w:bCs/>
                <w:sz w:val="18"/>
                <w:szCs w:val="18"/>
              </w:rPr>
            </w:pPr>
            <w:r>
              <w:rPr>
                <w:bCs/>
                <w:sz w:val="18"/>
                <w:szCs w:val="18"/>
              </w:rPr>
              <w:t>Taux de Consulation Prénatale</w:t>
            </w:r>
          </w:p>
        </w:tc>
        <w:tc>
          <w:tcPr>
            <w:tcW w:w="1433" w:type="dxa"/>
            <w:tcBorders>
              <w:top w:val="single" w:sz="12" w:space="0" w:color="auto"/>
            </w:tcBorders>
            <w:shd w:val="clear" w:color="auto" w:fill="auto"/>
            <w:vAlign w:val="bottom"/>
          </w:tcPr>
          <w:p w:rsidR="00000000" w:rsidRDefault="00000000">
            <w:pPr>
              <w:spacing w:before="40" w:after="40" w:line="220" w:lineRule="exact"/>
              <w:jc w:val="right"/>
              <w:rPr>
                <w:sz w:val="18"/>
                <w:szCs w:val="18"/>
              </w:rPr>
            </w:pPr>
            <w:r>
              <w:rPr>
                <w:sz w:val="18"/>
                <w:szCs w:val="18"/>
              </w:rPr>
              <w:t>68,10</w:t>
            </w:r>
          </w:p>
        </w:tc>
        <w:tc>
          <w:tcPr>
            <w:tcW w:w="1516" w:type="dxa"/>
            <w:gridSpan w:val="3"/>
            <w:tcBorders>
              <w:top w:val="single" w:sz="12" w:space="0" w:color="auto"/>
            </w:tcBorders>
            <w:shd w:val="clear" w:color="auto" w:fill="auto"/>
            <w:vAlign w:val="bottom"/>
          </w:tcPr>
          <w:p w:rsidR="00000000" w:rsidRDefault="00000000">
            <w:pPr>
              <w:spacing w:before="40" w:after="40" w:line="220" w:lineRule="exact"/>
              <w:jc w:val="right"/>
              <w:rPr>
                <w:sz w:val="18"/>
                <w:szCs w:val="18"/>
              </w:rPr>
            </w:pPr>
            <w:r>
              <w:rPr>
                <w:sz w:val="18"/>
                <w:szCs w:val="18"/>
              </w:rPr>
              <w:t>63,81</w:t>
            </w:r>
          </w:p>
        </w:tc>
        <w:tc>
          <w:tcPr>
            <w:tcW w:w="1426" w:type="dxa"/>
            <w:tcBorders>
              <w:top w:val="single" w:sz="12" w:space="0" w:color="auto"/>
            </w:tcBorders>
            <w:shd w:val="clear" w:color="auto" w:fill="auto"/>
            <w:vAlign w:val="bottom"/>
          </w:tcPr>
          <w:p w:rsidR="00000000" w:rsidRDefault="00000000">
            <w:pPr>
              <w:spacing w:before="40" w:after="40" w:line="220" w:lineRule="exact"/>
              <w:jc w:val="right"/>
              <w:rPr>
                <w:sz w:val="18"/>
                <w:szCs w:val="18"/>
              </w:rPr>
            </w:pPr>
            <w:r>
              <w:rPr>
                <w:sz w:val="18"/>
                <w:szCs w:val="18"/>
              </w:rPr>
              <w:t>86,76</w:t>
            </w:r>
          </w:p>
        </w:tc>
      </w:tr>
      <w:tr w:rsidR="00000000">
        <w:tc>
          <w:tcPr>
            <w:tcW w:w="2996" w:type="dxa"/>
            <w:shd w:val="clear" w:color="auto" w:fill="auto"/>
            <w:vAlign w:val="bottom"/>
          </w:tcPr>
          <w:p w:rsidR="00000000" w:rsidRDefault="00000000">
            <w:pPr>
              <w:spacing w:before="40" w:after="40" w:line="220" w:lineRule="exact"/>
              <w:rPr>
                <w:bCs/>
                <w:sz w:val="18"/>
                <w:szCs w:val="18"/>
              </w:rPr>
            </w:pPr>
            <w:r>
              <w:rPr>
                <w:bCs/>
                <w:sz w:val="18"/>
                <w:szCs w:val="18"/>
              </w:rPr>
              <w:t>Accouchement</w:t>
            </w:r>
          </w:p>
        </w:tc>
        <w:tc>
          <w:tcPr>
            <w:tcW w:w="1433" w:type="dxa"/>
            <w:shd w:val="clear" w:color="auto" w:fill="auto"/>
            <w:vAlign w:val="bottom"/>
          </w:tcPr>
          <w:p w:rsidR="00000000" w:rsidRDefault="00000000">
            <w:pPr>
              <w:spacing w:before="40" w:after="40" w:line="220" w:lineRule="exact"/>
              <w:jc w:val="right"/>
              <w:rPr>
                <w:sz w:val="18"/>
                <w:szCs w:val="18"/>
              </w:rPr>
            </w:pPr>
            <w:r>
              <w:rPr>
                <w:sz w:val="18"/>
                <w:szCs w:val="18"/>
              </w:rPr>
              <w:t>21,10</w:t>
            </w:r>
          </w:p>
        </w:tc>
        <w:tc>
          <w:tcPr>
            <w:tcW w:w="1516" w:type="dxa"/>
            <w:gridSpan w:val="3"/>
            <w:shd w:val="clear" w:color="auto" w:fill="auto"/>
            <w:vAlign w:val="bottom"/>
          </w:tcPr>
          <w:p w:rsidR="00000000" w:rsidRDefault="00000000">
            <w:pPr>
              <w:spacing w:before="40" w:after="40" w:line="220" w:lineRule="exact"/>
              <w:jc w:val="right"/>
              <w:rPr>
                <w:sz w:val="18"/>
                <w:szCs w:val="18"/>
              </w:rPr>
            </w:pPr>
            <w:r>
              <w:rPr>
                <w:sz w:val="18"/>
                <w:szCs w:val="18"/>
              </w:rPr>
              <w:t>22,85</w:t>
            </w:r>
          </w:p>
        </w:tc>
        <w:tc>
          <w:tcPr>
            <w:tcW w:w="1426" w:type="dxa"/>
            <w:shd w:val="clear" w:color="auto" w:fill="auto"/>
            <w:vAlign w:val="bottom"/>
          </w:tcPr>
          <w:p w:rsidR="00000000" w:rsidRDefault="00000000">
            <w:pPr>
              <w:spacing w:before="40" w:after="40" w:line="220" w:lineRule="exact"/>
              <w:jc w:val="right"/>
              <w:rPr>
                <w:sz w:val="18"/>
                <w:szCs w:val="18"/>
              </w:rPr>
            </w:pPr>
            <w:r>
              <w:rPr>
                <w:sz w:val="18"/>
                <w:szCs w:val="18"/>
              </w:rPr>
              <w:t>27,37</w:t>
            </w:r>
          </w:p>
        </w:tc>
      </w:tr>
      <w:tr w:rsidR="00000000">
        <w:tc>
          <w:tcPr>
            <w:tcW w:w="2996" w:type="dxa"/>
            <w:shd w:val="clear" w:color="auto" w:fill="auto"/>
            <w:vAlign w:val="bottom"/>
          </w:tcPr>
          <w:p w:rsidR="00000000" w:rsidRDefault="00000000">
            <w:pPr>
              <w:spacing w:before="40" w:after="40" w:line="220" w:lineRule="exact"/>
              <w:rPr>
                <w:bCs/>
                <w:sz w:val="18"/>
                <w:szCs w:val="18"/>
              </w:rPr>
            </w:pPr>
            <w:r>
              <w:rPr>
                <w:bCs/>
                <w:sz w:val="18"/>
                <w:szCs w:val="18"/>
              </w:rPr>
              <w:t>TMN (taux de mortalité néo natale)</w:t>
            </w:r>
          </w:p>
        </w:tc>
        <w:tc>
          <w:tcPr>
            <w:tcW w:w="1433" w:type="dxa"/>
            <w:shd w:val="clear" w:color="auto" w:fill="auto"/>
            <w:vAlign w:val="bottom"/>
          </w:tcPr>
          <w:p w:rsidR="00000000" w:rsidRDefault="00000000">
            <w:pPr>
              <w:spacing w:before="40" w:after="40" w:line="220" w:lineRule="exact"/>
              <w:jc w:val="right"/>
              <w:rPr>
                <w:sz w:val="18"/>
                <w:szCs w:val="18"/>
              </w:rPr>
            </w:pPr>
            <w:r>
              <w:rPr>
                <w:sz w:val="18"/>
                <w:szCs w:val="18"/>
              </w:rPr>
              <w:t>2,30</w:t>
            </w:r>
          </w:p>
        </w:tc>
        <w:tc>
          <w:tcPr>
            <w:tcW w:w="1516" w:type="dxa"/>
            <w:gridSpan w:val="3"/>
            <w:shd w:val="clear" w:color="auto" w:fill="auto"/>
            <w:vAlign w:val="bottom"/>
          </w:tcPr>
          <w:p w:rsidR="00000000" w:rsidRDefault="00000000">
            <w:pPr>
              <w:spacing w:before="40" w:after="40" w:line="220" w:lineRule="exact"/>
              <w:jc w:val="right"/>
              <w:rPr>
                <w:sz w:val="18"/>
                <w:szCs w:val="18"/>
              </w:rPr>
            </w:pPr>
            <w:r>
              <w:rPr>
                <w:sz w:val="18"/>
                <w:szCs w:val="18"/>
              </w:rPr>
              <w:t>2,18</w:t>
            </w:r>
          </w:p>
        </w:tc>
        <w:tc>
          <w:tcPr>
            <w:tcW w:w="1426" w:type="dxa"/>
            <w:shd w:val="clear" w:color="auto" w:fill="auto"/>
            <w:vAlign w:val="bottom"/>
          </w:tcPr>
          <w:p w:rsidR="00000000" w:rsidRDefault="00000000">
            <w:pPr>
              <w:spacing w:before="40" w:after="40" w:line="220" w:lineRule="exact"/>
              <w:jc w:val="right"/>
              <w:rPr>
                <w:sz w:val="18"/>
                <w:szCs w:val="18"/>
              </w:rPr>
            </w:pPr>
            <w:r>
              <w:rPr>
                <w:sz w:val="18"/>
                <w:szCs w:val="18"/>
              </w:rPr>
              <w:t>2,71</w:t>
            </w:r>
          </w:p>
        </w:tc>
      </w:tr>
      <w:tr w:rsidR="00000000">
        <w:tc>
          <w:tcPr>
            <w:tcW w:w="2996" w:type="dxa"/>
            <w:tcBorders>
              <w:bottom w:val="single" w:sz="12" w:space="0" w:color="auto"/>
            </w:tcBorders>
            <w:shd w:val="clear" w:color="auto" w:fill="auto"/>
            <w:vAlign w:val="bottom"/>
          </w:tcPr>
          <w:p w:rsidR="00000000" w:rsidRDefault="00000000">
            <w:pPr>
              <w:spacing w:before="40" w:after="40" w:line="220" w:lineRule="exact"/>
              <w:rPr>
                <w:bCs/>
                <w:sz w:val="18"/>
                <w:szCs w:val="18"/>
              </w:rPr>
            </w:pPr>
            <w:r>
              <w:rPr>
                <w:bCs/>
                <w:sz w:val="18"/>
                <w:szCs w:val="18"/>
              </w:rPr>
              <w:t>TMM (taux de mortalité maternelle)</w:t>
            </w:r>
          </w:p>
        </w:tc>
        <w:tc>
          <w:tcPr>
            <w:tcW w:w="1433" w:type="dxa"/>
            <w:tcBorders>
              <w:bottom w:val="single" w:sz="12" w:space="0" w:color="auto"/>
            </w:tcBorders>
            <w:shd w:val="clear" w:color="auto" w:fill="auto"/>
            <w:vAlign w:val="bottom"/>
          </w:tcPr>
          <w:p w:rsidR="00000000" w:rsidRDefault="00000000">
            <w:pPr>
              <w:spacing w:before="40" w:after="40" w:line="220" w:lineRule="exact"/>
              <w:jc w:val="right"/>
              <w:rPr>
                <w:sz w:val="18"/>
                <w:szCs w:val="18"/>
              </w:rPr>
            </w:pPr>
            <w:r>
              <w:rPr>
                <w:sz w:val="18"/>
                <w:szCs w:val="18"/>
              </w:rPr>
              <w:t>0,18</w:t>
            </w:r>
          </w:p>
        </w:tc>
        <w:tc>
          <w:tcPr>
            <w:tcW w:w="1516" w:type="dxa"/>
            <w:gridSpan w:val="3"/>
            <w:tcBorders>
              <w:bottom w:val="single" w:sz="12" w:space="0" w:color="auto"/>
            </w:tcBorders>
            <w:shd w:val="clear" w:color="auto" w:fill="auto"/>
            <w:vAlign w:val="bottom"/>
          </w:tcPr>
          <w:p w:rsidR="00000000" w:rsidRDefault="00000000">
            <w:pPr>
              <w:spacing w:before="40" w:after="40" w:line="220" w:lineRule="exact"/>
              <w:jc w:val="right"/>
              <w:rPr>
                <w:sz w:val="18"/>
                <w:szCs w:val="18"/>
              </w:rPr>
            </w:pPr>
            <w:r>
              <w:rPr>
                <w:sz w:val="18"/>
                <w:szCs w:val="18"/>
              </w:rPr>
              <w:t>0,24</w:t>
            </w:r>
          </w:p>
        </w:tc>
        <w:tc>
          <w:tcPr>
            <w:tcW w:w="1426" w:type="dxa"/>
            <w:tcBorders>
              <w:bottom w:val="single" w:sz="12" w:space="0" w:color="auto"/>
            </w:tcBorders>
            <w:shd w:val="clear" w:color="auto" w:fill="auto"/>
            <w:vAlign w:val="bottom"/>
          </w:tcPr>
          <w:p w:rsidR="00000000" w:rsidRDefault="00000000">
            <w:pPr>
              <w:spacing w:before="40" w:after="40" w:line="220" w:lineRule="exact"/>
              <w:jc w:val="right"/>
              <w:rPr>
                <w:sz w:val="18"/>
                <w:szCs w:val="18"/>
              </w:rPr>
            </w:pPr>
            <w:r>
              <w:rPr>
                <w:sz w:val="18"/>
                <w:szCs w:val="18"/>
              </w:rPr>
              <w:t>0,27</w:t>
            </w:r>
          </w:p>
        </w:tc>
      </w:tr>
    </w:tbl>
    <w:p w:rsidR="00000000" w:rsidRDefault="00000000">
      <w:pPr>
        <w:spacing w:before="120" w:after="240"/>
        <w:ind w:left="1134" w:firstLine="170"/>
        <w:rPr>
          <w:sz w:val="18"/>
          <w:szCs w:val="18"/>
          <w:lang w:val="fr-FR"/>
        </w:rPr>
      </w:pPr>
      <w:r>
        <w:rPr>
          <w:i/>
          <w:sz w:val="18"/>
          <w:szCs w:val="18"/>
          <w:lang w:val="fr-FR"/>
        </w:rPr>
        <w:t>Source</w:t>
      </w:r>
      <w:r>
        <w:rPr>
          <w:sz w:val="18"/>
          <w:szCs w:val="18"/>
          <w:lang w:val="fr-FR"/>
        </w:rPr>
        <w:t>: SSSa/MINSANPFPS.</w:t>
      </w:r>
    </w:p>
    <w:p w:rsidR="00000000" w:rsidRDefault="00000000">
      <w:pPr>
        <w:pStyle w:val="H23G"/>
        <w:rPr>
          <w:lang w:val="fr-FR"/>
        </w:rPr>
      </w:pPr>
      <w:bookmarkStart w:id="833" w:name="_Toc206414565"/>
      <w:bookmarkStart w:id="834" w:name="_Toc206460407"/>
      <w:bookmarkStart w:id="835" w:name="_Toc206460739"/>
      <w:bookmarkStart w:id="836" w:name="_Toc206461461"/>
      <w:bookmarkStart w:id="837" w:name="_Toc206476255"/>
      <w:bookmarkStart w:id="838" w:name="_Toc207788790"/>
      <w:bookmarkStart w:id="839" w:name="_Toc211835461"/>
      <w:bookmarkStart w:id="840" w:name="_Toc211926768"/>
      <w:r>
        <w:rPr>
          <w:lang w:val="fr-FR"/>
        </w:rPr>
        <w:tab/>
        <w:t>9.</w:t>
      </w:r>
      <w:r>
        <w:rPr>
          <w:lang w:val="fr-FR"/>
        </w:rPr>
        <w:tab/>
        <w:t>Les stratégies de lutte pour la survie de l’enfant et de la mère</w:t>
      </w:r>
      <w:bookmarkEnd w:id="833"/>
      <w:bookmarkEnd w:id="834"/>
      <w:bookmarkEnd w:id="835"/>
      <w:bookmarkEnd w:id="836"/>
      <w:bookmarkEnd w:id="837"/>
      <w:bookmarkEnd w:id="838"/>
      <w:bookmarkEnd w:id="839"/>
      <w:bookmarkEnd w:id="840"/>
    </w:p>
    <w:p w:rsidR="00000000" w:rsidRDefault="00000000">
      <w:pPr>
        <w:pStyle w:val="SingleTxtG"/>
        <w:rPr>
          <w:lang w:val="fr-FR"/>
        </w:rPr>
      </w:pPr>
      <w:r>
        <w:rPr>
          <w:lang w:val="fr-FR"/>
        </w:rPr>
        <w:t>360.</w:t>
      </w:r>
      <w:r>
        <w:rPr>
          <w:lang w:val="fr-FR"/>
        </w:rPr>
        <w:tab/>
        <w:t>Les principales stratégies appliquées pour l’amélioration de la survie de l’enfant sont représentées par 11 points essentiels à savoir:</w:t>
      </w:r>
    </w:p>
    <w:p w:rsidR="00000000" w:rsidRDefault="00000000">
      <w:pPr>
        <w:pStyle w:val="Bullet1G"/>
        <w:rPr>
          <w:lang w:val="fr-FR"/>
        </w:rPr>
      </w:pPr>
      <w:r>
        <w:rPr>
          <w:lang w:val="fr-FR"/>
        </w:rPr>
        <w:t>Mise en œuvre de la feuille de route pour la réduction de la mortalité maternelle et néonatale;</w:t>
      </w:r>
    </w:p>
    <w:p w:rsidR="00000000" w:rsidRDefault="00000000">
      <w:pPr>
        <w:pStyle w:val="Bullet1G"/>
        <w:rPr>
          <w:lang w:val="fr-FR"/>
        </w:rPr>
      </w:pPr>
      <w:r>
        <w:rPr>
          <w:lang w:val="fr-FR"/>
        </w:rPr>
        <w:t>Généralisation de la Prise en charge intégrée des maladies de l’enfant (PCIME);</w:t>
      </w:r>
    </w:p>
    <w:p w:rsidR="00000000" w:rsidRDefault="00000000">
      <w:pPr>
        <w:pStyle w:val="Bullet1G"/>
        <w:rPr>
          <w:lang w:val="fr-FR"/>
        </w:rPr>
      </w:pPr>
      <w:r>
        <w:rPr>
          <w:lang w:val="fr-FR"/>
        </w:rPr>
        <w:t>Sensibilisation lors de la célébration de la Semaine de la Santé de la Mère et de l’Enfant, deux fois dans l’année;</w:t>
      </w:r>
    </w:p>
    <w:p w:rsidR="00000000" w:rsidRDefault="00000000">
      <w:pPr>
        <w:pStyle w:val="Bullet1G"/>
        <w:rPr>
          <w:lang w:val="fr-FR"/>
        </w:rPr>
      </w:pPr>
      <w:r>
        <w:rPr>
          <w:lang w:val="fr-FR"/>
        </w:rPr>
        <w:t>Information et éducation de base sur la santé;</w:t>
      </w:r>
    </w:p>
    <w:p w:rsidR="00000000" w:rsidRDefault="00000000">
      <w:pPr>
        <w:pStyle w:val="Bullet1G"/>
        <w:rPr>
          <w:lang w:val="fr-FR"/>
        </w:rPr>
      </w:pPr>
      <w:r>
        <w:rPr>
          <w:lang w:val="fr-FR"/>
        </w:rPr>
        <w:t>Accès à l’eau, hygiène et assainissement;</w:t>
      </w:r>
    </w:p>
    <w:p w:rsidR="00000000" w:rsidRDefault="00000000">
      <w:pPr>
        <w:pStyle w:val="Bullet1G"/>
        <w:rPr>
          <w:lang w:val="fr-FR"/>
        </w:rPr>
      </w:pPr>
      <w:r>
        <w:rPr>
          <w:lang w:val="fr-FR"/>
        </w:rPr>
        <w:t>Intensification de la lutte contre la malnutrition;</w:t>
      </w:r>
    </w:p>
    <w:p w:rsidR="00000000" w:rsidRDefault="00000000">
      <w:pPr>
        <w:pStyle w:val="Bullet1G"/>
        <w:rPr>
          <w:lang w:val="fr-FR"/>
        </w:rPr>
      </w:pPr>
      <w:r>
        <w:rPr>
          <w:lang w:val="fr-FR"/>
        </w:rPr>
        <w:t>Mise en œuvre de la prise en charge des nouveaux nés à domicile;</w:t>
      </w:r>
    </w:p>
    <w:p w:rsidR="00000000" w:rsidRDefault="00000000">
      <w:pPr>
        <w:pStyle w:val="Bullet1G"/>
        <w:rPr>
          <w:lang w:val="fr-FR"/>
        </w:rPr>
      </w:pPr>
      <w:r>
        <w:rPr>
          <w:lang w:val="fr-FR"/>
        </w:rPr>
        <w:t>Fourniture de services de santé de qualité à tous;</w:t>
      </w:r>
    </w:p>
    <w:p w:rsidR="00000000" w:rsidRDefault="00000000">
      <w:pPr>
        <w:pStyle w:val="Bullet1G"/>
        <w:rPr>
          <w:lang w:val="fr-FR"/>
        </w:rPr>
      </w:pPr>
      <w:r>
        <w:rPr>
          <w:lang w:val="fr-FR"/>
        </w:rPr>
        <w:t>Renforcement des activités du PEV par l’approche «Atteindre chaque district»;</w:t>
      </w:r>
    </w:p>
    <w:p w:rsidR="00000000" w:rsidRDefault="00000000">
      <w:pPr>
        <w:pStyle w:val="Bullet1G"/>
        <w:rPr>
          <w:lang w:val="fr-FR"/>
        </w:rPr>
      </w:pPr>
      <w:r>
        <w:rPr>
          <w:lang w:val="fr-FR"/>
        </w:rPr>
        <w:t>Prévention et lutte contre le paludisme chez la femme enceinte et les enfants.</w:t>
      </w:r>
    </w:p>
    <w:p w:rsidR="00000000" w:rsidRDefault="00000000">
      <w:pPr>
        <w:pStyle w:val="H23G"/>
        <w:rPr>
          <w:lang w:val="fr-FR"/>
        </w:rPr>
      </w:pPr>
      <w:r>
        <w:rPr>
          <w:lang w:val="fr-FR"/>
        </w:rPr>
        <w:tab/>
        <w:t>10.</w:t>
      </w:r>
      <w:r>
        <w:rPr>
          <w:lang w:val="fr-FR"/>
        </w:rPr>
        <w:tab/>
        <w:t xml:space="preserve">Mesures prises pour améliorer la santé des enfants et des adolescents. </w:t>
      </w:r>
    </w:p>
    <w:p w:rsidR="00000000" w:rsidRDefault="00000000">
      <w:pPr>
        <w:pStyle w:val="SingleTxtG"/>
        <w:rPr>
          <w:lang w:val="fr-FR"/>
        </w:rPr>
      </w:pPr>
      <w:r>
        <w:rPr>
          <w:lang w:val="fr-FR"/>
        </w:rPr>
        <w:t>361.</w:t>
      </w:r>
      <w:r>
        <w:rPr>
          <w:lang w:val="fr-FR"/>
        </w:rPr>
        <w:tab/>
        <w:t>La feuille de route pour la réduction de la mortalité maternelle et néonatale a commencé à être mise en œuvre en 2006, avec la définition de standards nationaux de soins obstétriques et néonataux.</w:t>
      </w:r>
    </w:p>
    <w:p w:rsidR="00000000" w:rsidRDefault="00000000">
      <w:pPr>
        <w:pStyle w:val="SingleTxtG"/>
        <w:rPr>
          <w:lang w:val="fr-FR"/>
        </w:rPr>
      </w:pPr>
      <w:r>
        <w:rPr>
          <w:lang w:val="fr-FR"/>
        </w:rPr>
        <w:t>362.</w:t>
      </w:r>
      <w:r>
        <w:rPr>
          <w:lang w:val="fr-FR"/>
        </w:rPr>
        <w:tab/>
        <w:t>Cette feuille de route prévoit que les soins maternels et néonatals de qualité soient disponibles et accessibles à tous les niveaux du système de santé dans 70 % des structures sanitaires d’ici à 2015 (objectif 1) et que les capacités des individus, des familles et de la communauté sur la prise en charge de leur santé soient renforcées (objectif 2).</w:t>
      </w:r>
    </w:p>
    <w:p w:rsidR="00000000" w:rsidRDefault="00000000">
      <w:pPr>
        <w:pStyle w:val="SingleTxtG"/>
        <w:rPr>
          <w:lang w:val="fr-FR"/>
        </w:rPr>
      </w:pPr>
      <w:r>
        <w:rPr>
          <w:lang w:val="fr-FR"/>
        </w:rPr>
        <w:t>363.</w:t>
      </w:r>
      <w:r>
        <w:rPr>
          <w:lang w:val="fr-FR"/>
        </w:rPr>
        <w:tab/>
        <w:t>La généralisation de la Prise en charge des maladies de l’enfant (PCIME) a contribué de beaucoup à l’amélioration des indicateurs de morbidité chez les enfants de moins de cinq ans. Les efforts importants fournis dans la mise en œuvre de programme d’interventions préventives ciblées à grande échelle sont certainement au cœur de la réduction significative de la mortalité et de la morbidité infanto-juvénile depuis le début de la décennie 1990 jusqu’à ce jour.</w:t>
      </w:r>
    </w:p>
    <w:p w:rsidR="00000000" w:rsidRDefault="00000000">
      <w:pPr>
        <w:pStyle w:val="SingleTxtG"/>
        <w:rPr>
          <w:lang w:val="fr-FR"/>
        </w:rPr>
      </w:pPr>
      <w:r>
        <w:rPr>
          <w:lang w:val="fr-FR"/>
        </w:rPr>
        <w:t>364.</w:t>
      </w:r>
      <w:r>
        <w:rPr>
          <w:lang w:val="fr-FR"/>
        </w:rPr>
        <w:tab/>
        <w:t>Les activités menées sont:</w:t>
      </w:r>
    </w:p>
    <w:p w:rsidR="00000000" w:rsidRDefault="00000000">
      <w:pPr>
        <w:pStyle w:val="Bullet1G"/>
        <w:rPr>
          <w:lang w:val="fr-FR"/>
        </w:rPr>
      </w:pPr>
      <w:r>
        <w:rPr>
          <w:lang w:val="fr-FR"/>
        </w:rPr>
        <w:t>La prise en charge de la diarrhée par utilisation du zinc et la solution de réhydratation orale (SRO) nouvelle formule;</w:t>
      </w:r>
    </w:p>
    <w:p w:rsidR="00000000" w:rsidRDefault="00000000">
      <w:pPr>
        <w:pStyle w:val="Bullet1G"/>
        <w:rPr>
          <w:lang w:val="fr-FR"/>
        </w:rPr>
      </w:pPr>
      <w:r>
        <w:rPr>
          <w:lang w:val="fr-FR"/>
        </w:rPr>
        <w:t xml:space="preserve">La prise en charge des infections respiratoires aiguës (IRA) par le Cotrimoxazole; </w:t>
      </w:r>
    </w:p>
    <w:p w:rsidR="00000000" w:rsidRDefault="00000000">
      <w:pPr>
        <w:pStyle w:val="Bullet1G"/>
        <w:rPr>
          <w:lang w:val="fr-FR"/>
        </w:rPr>
      </w:pPr>
      <w:r>
        <w:rPr>
          <w:lang w:val="fr-FR"/>
        </w:rPr>
        <w:t>La prise en charge du paludisme à domicile.</w:t>
      </w:r>
    </w:p>
    <w:p w:rsidR="00000000" w:rsidRDefault="00000000">
      <w:pPr>
        <w:pStyle w:val="SingleTxtG"/>
        <w:rPr>
          <w:lang w:val="fr-FR"/>
        </w:rPr>
      </w:pPr>
      <w:r>
        <w:rPr>
          <w:lang w:val="fr-FR"/>
        </w:rPr>
        <w:t>365.</w:t>
      </w:r>
      <w:r>
        <w:rPr>
          <w:lang w:val="fr-FR"/>
        </w:rPr>
        <w:tab/>
        <w:t>La réalisation de la Semaine de la santé de la mère et de l’enfant (SSME) est parmi les grandes innovations pour la survie de l’enfant. Depuis2006, la campagne nationale biannuelle de supplémentation en vitamine A est devenue la Semaine de la mère et de l’enfant, une stratégie de renforcement de l’offre et de l’utilisation des services de santé de base, qui offre un paquet intégré de services incluant la vaccination, la prévention du paludisme, la consultation pré natale et le planning familial. La SSME cible en priorité les mères et les enfants des zones les moins accessibles et les moins desservies par les services de routine et vise à rejoindre au moins 90 % des populations.</w:t>
      </w:r>
    </w:p>
    <w:p w:rsidR="00000000" w:rsidRDefault="00000000">
      <w:pPr>
        <w:pStyle w:val="SingleTxtG"/>
        <w:rPr>
          <w:lang w:val="fr-FR"/>
        </w:rPr>
      </w:pPr>
      <w:r>
        <w:rPr>
          <w:lang w:val="fr-FR"/>
        </w:rPr>
        <w:t>366.</w:t>
      </w:r>
      <w:r>
        <w:rPr>
          <w:lang w:val="fr-FR"/>
        </w:rPr>
        <w:tab/>
        <w:t>Durant la semaine de la célébration, les services offerts sont gratuits que ce soit en stratégie fixe, avancé ou mobile.</w:t>
      </w:r>
    </w:p>
    <w:p w:rsidR="00000000" w:rsidRDefault="00000000">
      <w:pPr>
        <w:pStyle w:val="SingleTxtG"/>
        <w:rPr>
          <w:lang w:val="fr-FR"/>
        </w:rPr>
      </w:pPr>
      <w:r>
        <w:rPr>
          <w:lang w:val="fr-FR"/>
        </w:rPr>
        <w:t>367.</w:t>
      </w:r>
      <w:r>
        <w:rPr>
          <w:lang w:val="fr-FR"/>
        </w:rPr>
        <w:tab/>
        <w:t>Durant la SSME, est faite une utilisation intensive de tous les moyens de communication disponibles (mass-média, presse écrite et parlée, les communiqués de presse, les tables rondes, les débats télévisés, les différentes campagnes de masse…) pour promouvoir des comportements favorables a la survie de la mère et de l’enfant.</w:t>
      </w:r>
    </w:p>
    <w:p w:rsidR="00000000" w:rsidRDefault="00000000">
      <w:pPr>
        <w:pStyle w:val="SingleTxtG"/>
        <w:keepNext/>
        <w:spacing w:after="0"/>
      </w:pPr>
      <w:bookmarkStart w:id="841" w:name="_Toc260298261"/>
      <w:r>
        <w:t>Tableau 24</w:t>
      </w:r>
    </w:p>
    <w:p w:rsidR="00000000" w:rsidRDefault="00000000">
      <w:pPr>
        <w:pStyle w:val="SingleTxtG"/>
        <w:keepNext/>
        <w:spacing w:after="240"/>
        <w:rPr>
          <w:b/>
        </w:rPr>
      </w:pPr>
      <w:r>
        <w:rPr>
          <w:b/>
        </w:rPr>
        <w:t>Nombre de diffusions effectuées pour la santé de la mère et de l’enfant</w:t>
      </w:r>
      <w:bookmarkEnd w:id="841"/>
    </w:p>
    <w:tbl>
      <w:tblPr>
        <w:tblStyle w:val="TableGrid"/>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819"/>
        <w:gridCol w:w="819"/>
        <w:gridCol w:w="113"/>
        <w:gridCol w:w="818"/>
        <w:gridCol w:w="819"/>
        <w:gridCol w:w="819"/>
        <w:gridCol w:w="819"/>
        <w:gridCol w:w="113"/>
        <w:gridCol w:w="819"/>
      </w:tblGrid>
      <w:tr w:rsidR="00000000">
        <w:tc>
          <w:tcPr>
            <w:tcW w:w="819" w:type="dxa"/>
            <w:vMerge w:val="restart"/>
            <w:tcBorders>
              <w:top w:val="single" w:sz="4" w:space="0" w:color="auto"/>
            </w:tcBorders>
            <w:shd w:val="clear" w:color="auto" w:fill="auto"/>
            <w:vAlign w:val="bottom"/>
          </w:tcPr>
          <w:p w:rsidR="00000000" w:rsidRDefault="00000000">
            <w:pPr>
              <w:keepNext/>
              <w:spacing w:before="80" w:after="80" w:line="200" w:lineRule="exact"/>
              <w:jc w:val="right"/>
              <w:rPr>
                <w:bCs/>
                <w:i/>
                <w:sz w:val="16"/>
                <w:szCs w:val="16"/>
              </w:rPr>
            </w:pPr>
            <w:r>
              <w:rPr>
                <w:bCs/>
                <w:i/>
                <w:sz w:val="16"/>
                <w:szCs w:val="16"/>
              </w:rPr>
              <w:t>Sites couverts</w:t>
            </w:r>
          </w:p>
        </w:tc>
        <w:tc>
          <w:tcPr>
            <w:tcW w:w="819" w:type="dxa"/>
            <w:vMerge w:val="restart"/>
            <w:tcBorders>
              <w:top w:val="single" w:sz="4" w:space="0" w:color="auto"/>
            </w:tcBorders>
            <w:shd w:val="clear" w:color="auto" w:fill="auto"/>
            <w:vAlign w:val="bottom"/>
          </w:tcPr>
          <w:p w:rsidR="00000000" w:rsidRDefault="00000000">
            <w:pPr>
              <w:keepNext/>
              <w:spacing w:before="80" w:after="80" w:line="200" w:lineRule="exact"/>
              <w:jc w:val="right"/>
              <w:rPr>
                <w:bCs/>
                <w:i/>
                <w:sz w:val="16"/>
                <w:szCs w:val="16"/>
              </w:rPr>
            </w:pPr>
            <w:r>
              <w:rPr>
                <w:bCs/>
                <w:i/>
                <w:sz w:val="16"/>
                <w:szCs w:val="16"/>
              </w:rPr>
              <w:t>Nombre de stations</w:t>
            </w:r>
          </w:p>
        </w:tc>
        <w:tc>
          <w:tcPr>
            <w:tcW w:w="113" w:type="dxa"/>
            <w:tcBorders>
              <w:top w:val="single" w:sz="4" w:space="0" w:color="auto"/>
            </w:tcBorders>
            <w:shd w:val="clear" w:color="auto" w:fill="auto"/>
            <w:vAlign w:val="bottom"/>
          </w:tcPr>
          <w:p w:rsidR="00000000" w:rsidRDefault="00000000">
            <w:pPr>
              <w:spacing w:before="80" w:after="80" w:line="200" w:lineRule="exact"/>
              <w:jc w:val="right"/>
              <w:rPr>
                <w:i/>
                <w:sz w:val="16"/>
              </w:rPr>
            </w:pPr>
          </w:p>
        </w:tc>
        <w:tc>
          <w:tcPr>
            <w:tcW w:w="3275" w:type="dxa"/>
            <w:gridSpan w:val="4"/>
            <w:tcBorders>
              <w:top w:val="single" w:sz="4" w:space="0" w:color="auto"/>
              <w:bottom w:val="single" w:sz="4" w:space="0" w:color="auto"/>
            </w:tcBorders>
            <w:shd w:val="clear" w:color="auto" w:fill="auto"/>
            <w:vAlign w:val="bottom"/>
          </w:tcPr>
          <w:p w:rsidR="00000000" w:rsidRDefault="00000000">
            <w:pPr>
              <w:spacing w:before="80" w:after="80" w:line="200" w:lineRule="exact"/>
              <w:jc w:val="center"/>
              <w:rPr>
                <w:i/>
                <w:sz w:val="16"/>
              </w:rPr>
            </w:pPr>
            <w:r>
              <w:rPr>
                <w:i/>
                <w:sz w:val="16"/>
              </w:rPr>
              <w:t>Types d’émissions</w:t>
            </w:r>
          </w:p>
        </w:tc>
        <w:tc>
          <w:tcPr>
            <w:tcW w:w="113" w:type="dxa"/>
            <w:tcBorders>
              <w:top w:val="single" w:sz="4" w:space="0" w:color="auto"/>
            </w:tcBorders>
            <w:shd w:val="clear" w:color="auto" w:fill="auto"/>
            <w:vAlign w:val="bottom"/>
          </w:tcPr>
          <w:p w:rsidR="00000000" w:rsidRDefault="00000000">
            <w:pPr>
              <w:spacing w:before="80" w:after="80" w:line="200" w:lineRule="exact"/>
              <w:jc w:val="right"/>
              <w:rPr>
                <w:i/>
                <w:sz w:val="16"/>
              </w:rPr>
            </w:pPr>
          </w:p>
        </w:tc>
        <w:tc>
          <w:tcPr>
            <w:tcW w:w="819" w:type="dxa"/>
            <w:vMerge w:val="restart"/>
            <w:tcBorders>
              <w:top w:val="single" w:sz="4" w:space="0" w:color="auto"/>
            </w:tcBorders>
            <w:shd w:val="clear" w:color="auto" w:fill="auto"/>
            <w:vAlign w:val="bottom"/>
          </w:tcPr>
          <w:p w:rsidR="00000000" w:rsidRDefault="00000000">
            <w:pPr>
              <w:spacing w:before="80" w:after="80" w:line="200" w:lineRule="exact"/>
              <w:jc w:val="right"/>
              <w:rPr>
                <w:i/>
                <w:sz w:val="16"/>
              </w:rPr>
            </w:pPr>
            <w:r>
              <w:rPr>
                <w:i/>
                <w:sz w:val="16"/>
              </w:rPr>
              <w:t>Total</w:t>
            </w:r>
          </w:p>
        </w:tc>
      </w:tr>
      <w:tr w:rsidR="00000000">
        <w:tc>
          <w:tcPr>
            <w:tcW w:w="819" w:type="dxa"/>
            <w:vMerge/>
            <w:tcBorders>
              <w:bottom w:val="single" w:sz="12" w:space="0" w:color="auto"/>
            </w:tcBorders>
            <w:shd w:val="clear" w:color="auto" w:fill="auto"/>
            <w:vAlign w:val="bottom"/>
          </w:tcPr>
          <w:p w:rsidR="00000000" w:rsidRDefault="00000000">
            <w:pPr>
              <w:spacing w:before="40" w:after="40" w:line="220" w:lineRule="exact"/>
              <w:rPr>
                <w:sz w:val="18"/>
              </w:rPr>
            </w:pPr>
          </w:p>
        </w:tc>
        <w:tc>
          <w:tcPr>
            <w:tcW w:w="819" w:type="dxa"/>
            <w:vMerge/>
            <w:tcBorders>
              <w:bottom w:val="single" w:sz="12" w:space="0" w:color="auto"/>
            </w:tcBorders>
            <w:shd w:val="clear" w:color="auto" w:fill="auto"/>
            <w:vAlign w:val="bottom"/>
          </w:tcPr>
          <w:p w:rsidR="00000000" w:rsidRDefault="00000000">
            <w:pPr>
              <w:spacing w:before="40" w:after="40" w:line="220" w:lineRule="exact"/>
              <w:jc w:val="right"/>
              <w:rPr>
                <w:sz w:val="18"/>
              </w:rPr>
            </w:pPr>
          </w:p>
        </w:tc>
        <w:tc>
          <w:tcPr>
            <w:tcW w:w="113" w:type="dxa"/>
            <w:tcBorders>
              <w:bottom w:val="single" w:sz="12" w:space="0" w:color="auto"/>
            </w:tcBorders>
            <w:shd w:val="clear" w:color="auto" w:fill="auto"/>
            <w:vAlign w:val="bottom"/>
          </w:tcPr>
          <w:p w:rsidR="00000000" w:rsidRDefault="00000000">
            <w:pPr>
              <w:spacing w:before="40" w:after="40" w:line="220" w:lineRule="exact"/>
              <w:jc w:val="right"/>
              <w:rPr>
                <w:sz w:val="18"/>
              </w:rPr>
            </w:pPr>
          </w:p>
        </w:tc>
        <w:tc>
          <w:tcPr>
            <w:tcW w:w="818" w:type="dxa"/>
            <w:tcBorders>
              <w:top w:val="single" w:sz="4" w:space="0" w:color="auto"/>
              <w:bottom w:val="single" w:sz="12" w:space="0" w:color="auto"/>
            </w:tcBorders>
            <w:shd w:val="clear" w:color="auto" w:fill="auto"/>
            <w:vAlign w:val="bottom"/>
          </w:tcPr>
          <w:p w:rsidR="00000000" w:rsidRDefault="00000000">
            <w:pPr>
              <w:keepNext/>
              <w:spacing w:before="80" w:after="80" w:line="200" w:lineRule="exact"/>
              <w:jc w:val="right"/>
              <w:rPr>
                <w:bCs/>
                <w:i/>
                <w:sz w:val="16"/>
                <w:szCs w:val="16"/>
              </w:rPr>
            </w:pPr>
            <w:r>
              <w:rPr>
                <w:bCs/>
                <w:i/>
                <w:sz w:val="16"/>
                <w:szCs w:val="16"/>
              </w:rPr>
              <w:t>Spots</w:t>
            </w:r>
          </w:p>
        </w:tc>
        <w:tc>
          <w:tcPr>
            <w:tcW w:w="819" w:type="dxa"/>
            <w:tcBorders>
              <w:top w:val="single" w:sz="4" w:space="0" w:color="auto"/>
              <w:bottom w:val="single" w:sz="12" w:space="0" w:color="auto"/>
            </w:tcBorders>
            <w:shd w:val="clear" w:color="auto" w:fill="auto"/>
            <w:vAlign w:val="bottom"/>
          </w:tcPr>
          <w:p w:rsidR="00000000" w:rsidRDefault="00000000">
            <w:pPr>
              <w:keepNext/>
              <w:spacing w:before="80" w:after="80" w:line="200" w:lineRule="exact"/>
              <w:jc w:val="right"/>
              <w:rPr>
                <w:bCs/>
                <w:i/>
                <w:sz w:val="16"/>
                <w:szCs w:val="16"/>
              </w:rPr>
            </w:pPr>
            <w:r>
              <w:rPr>
                <w:bCs/>
                <w:i/>
                <w:sz w:val="16"/>
                <w:szCs w:val="16"/>
              </w:rPr>
              <w:t>Top horaire</w:t>
            </w:r>
          </w:p>
        </w:tc>
        <w:tc>
          <w:tcPr>
            <w:tcW w:w="819" w:type="dxa"/>
            <w:tcBorders>
              <w:top w:val="single" w:sz="4" w:space="0" w:color="auto"/>
              <w:bottom w:val="single" w:sz="12" w:space="0" w:color="auto"/>
            </w:tcBorders>
            <w:shd w:val="clear" w:color="auto" w:fill="auto"/>
            <w:vAlign w:val="bottom"/>
          </w:tcPr>
          <w:p w:rsidR="00000000" w:rsidRDefault="00000000">
            <w:pPr>
              <w:keepNext/>
              <w:spacing w:before="80" w:after="80" w:line="200" w:lineRule="exact"/>
              <w:jc w:val="right"/>
              <w:rPr>
                <w:bCs/>
                <w:i/>
                <w:sz w:val="16"/>
                <w:szCs w:val="16"/>
              </w:rPr>
            </w:pPr>
            <w:r>
              <w:rPr>
                <w:bCs/>
                <w:i/>
                <w:sz w:val="16"/>
                <w:szCs w:val="16"/>
              </w:rPr>
              <w:t>Animation</w:t>
            </w:r>
          </w:p>
        </w:tc>
        <w:tc>
          <w:tcPr>
            <w:tcW w:w="819" w:type="dxa"/>
            <w:tcBorders>
              <w:top w:val="single" w:sz="4" w:space="0" w:color="auto"/>
              <w:bottom w:val="single" w:sz="12" w:space="0" w:color="auto"/>
            </w:tcBorders>
            <w:shd w:val="clear" w:color="auto" w:fill="auto"/>
            <w:vAlign w:val="bottom"/>
          </w:tcPr>
          <w:p w:rsidR="00000000" w:rsidRDefault="00000000">
            <w:pPr>
              <w:keepNext/>
              <w:spacing w:before="80" w:after="80" w:line="200" w:lineRule="exact"/>
              <w:jc w:val="right"/>
              <w:rPr>
                <w:bCs/>
                <w:i/>
                <w:sz w:val="16"/>
                <w:szCs w:val="16"/>
              </w:rPr>
            </w:pPr>
            <w:r>
              <w:rPr>
                <w:bCs/>
                <w:i/>
                <w:sz w:val="16"/>
                <w:szCs w:val="16"/>
              </w:rPr>
              <w:t>Émission</w:t>
            </w:r>
          </w:p>
        </w:tc>
        <w:tc>
          <w:tcPr>
            <w:tcW w:w="113" w:type="dxa"/>
            <w:tcBorders>
              <w:bottom w:val="single" w:sz="12" w:space="0" w:color="auto"/>
            </w:tcBorders>
            <w:shd w:val="clear" w:color="auto" w:fill="auto"/>
            <w:vAlign w:val="bottom"/>
          </w:tcPr>
          <w:p w:rsidR="00000000" w:rsidRDefault="00000000">
            <w:pPr>
              <w:spacing w:before="40" w:after="40" w:line="220" w:lineRule="exact"/>
              <w:jc w:val="right"/>
              <w:rPr>
                <w:sz w:val="18"/>
              </w:rPr>
            </w:pPr>
          </w:p>
        </w:tc>
        <w:tc>
          <w:tcPr>
            <w:tcW w:w="819" w:type="dxa"/>
            <w:vMerge/>
            <w:tcBorders>
              <w:bottom w:val="single" w:sz="12" w:space="0" w:color="auto"/>
            </w:tcBorders>
            <w:shd w:val="clear" w:color="auto" w:fill="auto"/>
            <w:vAlign w:val="bottom"/>
          </w:tcPr>
          <w:p w:rsidR="00000000" w:rsidRDefault="00000000">
            <w:pPr>
              <w:spacing w:before="40" w:after="40" w:line="220" w:lineRule="exact"/>
              <w:jc w:val="right"/>
              <w:rPr>
                <w:sz w:val="18"/>
              </w:rPr>
            </w:pPr>
          </w:p>
        </w:tc>
      </w:tr>
      <w:tr w:rsidR="00000000">
        <w:tc>
          <w:tcPr>
            <w:tcW w:w="819" w:type="dxa"/>
            <w:tcBorders>
              <w:top w:val="single" w:sz="12" w:space="0" w:color="auto"/>
              <w:bottom w:val="single" w:sz="12" w:space="0" w:color="auto"/>
            </w:tcBorders>
            <w:shd w:val="clear" w:color="auto" w:fill="auto"/>
            <w:vAlign w:val="bottom"/>
          </w:tcPr>
          <w:p w:rsidR="00000000" w:rsidRDefault="00000000">
            <w:pPr>
              <w:spacing w:before="40" w:after="40" w:line="220" w:lineRule="exact"/>
              <w:rPr>
                <w:bCs/>
                <w:sz w:val="18"/>
                <w:szCs w:val="18"/>
              </w:rPr>
            </w:pPr>
            <w:r>
              <w:rPr>
                <w:bCs/>
                <w:sz w:val="18"/>
                <w:szCs w:val="18"/>
              </w:rPr>
              <w:t>National</w:t>
            </w:r>
          </w:p>
        </w:tc>
        <w:tc>
          <w:tcPr>
            <w:tcW w:w="819" w:type="dxa"/>
            <w:tcBorders>
              <w:top w:val="single" w:sz="12" w:space="0" w:color="auto"/>
              <w:bottom w:val="single" w:sz="12" w:space="0" w:color="auto"/>
            </w:tcBorders>
            <w:shd w:val="clear" w:color="auto" w:fill="auto"/>
            <w:vAlign w:val="bottom"/>
          </w:tcPr>
          <w:p w:rsidR="00000000" w:rsidRDefault="00000000">
            <w:pPr>
              <w:spacing w:before="40" w:after="40" w:line="220" w:lineRule="exact"/>
              <w:jc w:val="right"/>
              <w:rPr>
                <w:bCs/>
                <w:sz w:val="18"/>
                <w:szCs w:val="18"/>
              </w:rPr>
            </w:pPr>
            <w:r>
              <w:rPr>
                <w:bCs/>
                <w:sz w:val="18"/>
                <w:szCs w:val="18"/>
              </w:rPr>
              <w:t>97</w:t>
            </w:r>
          </w:p>
        </w:tc>
        <w:tc>
          <w:tcPr>
            <w:tcW w:w="113" w:type="dxa"/>
            <w:tcBorders>
              <w:top w:val="single" w:sz="12" w:space="0" w:color="auto"/>
              <w:bottom w:val="single" w:sz="12" w:space="0" w:color="auto"/>
            </w:tcBorders>
            <w:shd w:val="clear" w:color="auto" w:fill="auto"/>
            <w:vAlign w:val="bottom"/>
          </w:tcPr>
          <w:p w:rsidR="00000000" w:rsidRDefault="00000000">
            <w:pPr>
              <w:spacing w:before="40" w:after="40" w:line="220" w:lineRule="exact"/>
              <w:jc w:val="right"/>
              <w:rPr>
                <w:sz w:val="18"/>
              </w:rPr>
            </w:pPr>
          </w:p>
        </w:tc>
        <w:tc>
          <w:tcPr>
            <w:tcW w:w="818" w:type="dxa"/>
            <w:tcBorders>
              <w:top w:val="single" w:sz="12" w:space="0" w:color="auto"/>
              <w:bottom w:val="single" w:sz="12" w:space="0" w:color="auto"/>
            </w:tcBorders>
            <w:shd w:val="clear" w:color="auto" w:fill="auto"/>
            <w:vAlign w:val="bottom"/>
          </w:tcPr>
          <w:p w:rsidR="00000000" w:rsidRDefault="00000000">
            <w:pPr>
              <w:spacing w:before="40" w:after="40" w:line="220" w:lineRule="exact"/>
              <w:jc w:val="right"/>
              <w:rPr>
                <w:bCs/>
                <w:sz w:val="18"/>
                <w:szCs w:val="18"/>
              </w:rPr>
            </w:pPr>
            <w:r>
              <w:rPr>
                <w:bCs/>
                <w:sz w:val="18"/>
                <w:szCs w:val="18"/>
              </w:rPr>
              <w:t>5 787</w:t>
            </w:r>
          </w:p>
        </w:tc>
        <w:tc>
          <w:tcPr>
            <w:tcW w:w="819" w:type="dxa"/>
            <w:tcBorders>
              <w:top w:val="single" w:sz="12" w:space="0" w:color="auto"/>
              <w:bottom w:val="single" w:sz="12" w:space="0" w:color="auto"/>
            </w:tcBorders>
            <w:shd w:val="clear" w:color="auto" w:fill="auto"/>
            <w:vAlign w:val="bottom"/>
          </w:tcPr>
          <w:p w:rsidR="00000000" w:rsidRDefault="00000000">
            <w:pPr>
              <w:spacing w:before="40" w:after="40" w:line="220" w:lineRule="exact"/>
              <w:jc w:val="right"/>
              <w:rPr>
                <w:bCs/>
                <w:sz w:val="18"/>
                <w:szCs w:val="18"/>
              </w:rPr>
            </w:pPr>
            <w:r>
              <w:rPr>
                <w:bCs/>
                <w:sz w:val="18"/>
                <w:szCs w:val="18"/>
              </w:rPr>
              <w:t>1 442</w:t>
            </w:r>
          </w:p>
        </w:tc>
        <w:tc>
          <w:tcPr>
            <w:tcW w:w="819" w:type="dxa"/>
            <w:tcBorders>
              <w:top w:val="single" w:sz="12" w:space="0" w:color="auto"/>
              <w:bottom w:val="single" w:sz="12" w:space="0" w:color="auto"/>
            </w:tcBorders>
            <w:shd w:val="clear" w:color="auto" w:fill="auto"/>
            <w:vAlign w:val="bottom"/>
          </w:tcPr>
          <w:p w:rsidR="00000000" w:rsidRDefault="00000000">
            <w:pPr>
              <w:spacing w:before="40" w:after="40" w:line="220" w:lineRule="exact"/>
              <w:jc w:val="right"/>
              <w:rPr>
                <w:bCs/>
                <w:sz w:val="18"/>
                <w:szCs w:val="18"/>
              </w:rPr>
            </w:pPr>
            <w:r>
              <w:rPr>
                <w:bCs/>
                <w:sz w:val="18"/>
                <w:szCs w:val="18"/>
              </w:rPr>
              <w:t>1 144</w:t>
            </w:r>
          </w:p>
        </w:tc>
        <w:tc>
          <w:tcPr>
            <w:tcW w:w="819" w:type="dxa"/>
            <w:tcBorders>
              <w:top w:val="single" w:sz="12" w:space="0" w:color="auto"/>
              <w:bottom w:val="single" w:sz="12" w:space="0" w:color="auto"/>
            </w:tcBorders>
            <w:shd w:val="clear" w:color="auto" w:fill="auto"/>
            <w:vAlign w:val="bottom"/>
          </w:tcPr>
          <w:p w:rsidR="00000000" w:rsidRDefault="00000000">
            <w:pPr>
              <w:spacing w:before="40" w:after="40" w:line="220" w:lineRule="exact"/>
              <w:jc w:val="right"/>
              <w:rPr>
                <w:bCs/>
                <w:sz w:val="18"/>
                <w:szCs w:val="18"/>
              </w:rPr>
            </w:pPr>
            <w:r>
              <w:rPr>
                <w:bCs/>
                <w:sz w:val="18"/>
                <w:szCs w:val="18"/>
              </w:rPr>
              <w:t>945</w:t>
            </w:r>
          </w:p>
        </w:tc>
        <w:tc>
          <w:tcPr>
            <w:tcW w:w="113" w:type="dxa"/>
            <w:tcBorders>
              <w:top w:val="single" w:sz="12" w:space="0" w:color="auto"/>
              <w:bottom w:val="single" w:sz="12" w:space="0" w:color="auto"/>
            </w:tcBorders>
            <w:shd w:val="clear" w:color="auto" w:fill="auto"/>
            <w:vAlign w:val="bottom"/>
          </w:tcPr>
          <w:p w:rsidR="00000000" w:rsidRDefault="00000000">
            <w:pPr>
              <w:spacing w:before="40" w:after="40" w:line="220" w:lineRule="exact"/>
              <w:jc w:val="right"/>
              <w:rPr>
                <w:sz w:val="18"/>
              </w:rPr>
            </w:pPr>
          </w:p>
        </w:tc>
        <w:tc>
          <w:tcPr>
            <w:tcW w:w="819" w:type="dxa"/>
            <w:tcBorders>
              <w:top w:val="single" w:sz="12" w:space="0" w:color="auto"/>
              <w:bottom w:val="single" w:sz="12" w:space="0" w:color="auto"/>
            </w:tcBorders>
            <w:shd w:val="clear" w:color="auto" w:fill="auto"/>
            <w:vAlign w:val="bottom"/>
          </w:tcPr>
          <w:p w:rsidR="00000000" w:rsidRDefault="00000000">
            <w:pPr>
              <w:spacing w:before="40" w:after="40" w:line="220" w:lineRule="exact"/>
              <w:jc w:val="right"/>
              <w:rPr>
                <w:sz w:val="18"/>
              </w:rPr>
            </w:pPr>
            <w:r>
              <w:rPr>
                <w:bCs/>
                <w:sz w:val="18"/>
                <w:szCs w:val="18"/>
              </w:rPr>
              <w:t>9 318</w:t>
            </w:r>
          </w:p>
        </w:tc>
      </w:tr>
    </w:tbl>
    <w:p w:rsidR="00000000" w:rsidRDefault="00000000">
      <w:pPr>
        <w:spacing w:before="120" w:after="240"/>
        <w:ind w:left="1134" w:right="1134" w:firstLine="170"/>
        <w:rPr>
          <w:i/>
          <w:iCs/>
          <w:lang w:val="fr-FR"/>
        </w:rPr>
      </w:pPr>
      <w:r>
        <w:rPr>
          <w:i/>
          <w:iCs/>
          <w:sz w:val="18"/>
          <w:szCs w:val="18"/>
          <w:lang w:val="fr-FR"/>
        </w:rPr>
        <w:t>Source</w:t>
      </w:r>
      <w:r>
        <w:rPr>
          <w:i/>
          <w:iCs/>
          <w:lang w:val="fr-FR"/>
        </w:rPr>
        <w:t xml:space="preserve">: </w:t>
      </w:r>
      <w:r>
        <w:rPr>
          <w:iCs/>
          <w:sz w:val="18"/>
          <w:szCs w:val="18"/>
          <w:lang w:val="fr-FR"/>
        </w:rPr>
        <w:t>Ministère des télécommunications, des postes et de la communication/Direction de l’information, de la régulation et des médias.</w:t>
      </w:r>
      <w:r>
        <w:rPr>
          <w:i/>
          <w:iCs/>
          <w:lang w:val="fr-FR"/>
        </w:rPr>
        <w:t xml:space="preserve"> </w:t>
      </w:r>
    </w:p>
    <w:p w:rsidR="00000000" w:rsidRDefault="00000000">
      <w:pPr>
        <w:pStyle w:val="SingleTxtG"/>
        <w:rPr>
          <w:lang w:val="fr-FR"/>
        </w:rPr>
      </w:pPr>
      <w:r>
        <w:rPr>
          <w:lang w:val="fr-FR"/>
        </w:rPr>
        <w:t>368.</w:t>
      </w:r>
      <w:r>
        <w:rPr>
          <w:lang w:val="fr-FR"/>
        </w:rPr>
        <w:tab/>
        <w:t>Lors de la SSME d’avril 2007, il y a eu diffusions intensive des messages sur plusieurs thèmes traduits et diffusés en 21 dialectes locaux.</w:t>
      </w:r>
    </w:p>
    <w:p w:rsidR="00000000" w:rsidRDefault="00000000">
      <w:pPr>
        <w:pStyle w:val="SingleTxtG"/>
        <w:rPr>
          <w:lang w:val="fr-FR"/>
        </w:rPr>
      </w:pPr>
      <w:r>
        <w:rPr>
          <w:lang w:val="fr-FR"/>
        </w:rPr>
        <w:t>369.</w:t>
      </w:r>
      <w:r>
        <w:rPr>
          <w:lang w:val="fr-FR"/>
        </w:rPr>
        <w:tab/>
        <w:t>L’évaluation des activités en Avril 2007 a montré un taux de couverture en: Vitamine A, déparasitage en mébendazole, chez les enfants de 6 0 59 mois, supérieur à 80 %</w:t>
      </w:r>
      <w:r>
        <w:rPr>
          <w:rStyle w:val="FootnoteReference"/>
        </w:rPr>
        <w:footnoteReference w:id="12"/>
      </w:r>
      <w:r>
        <w:rPr>
          <w:lang w:val="fr-FR"/>
        </w:rPr>
        <w:t>.</w:t>
      </w:r>
    </w:p>
    <w:p w:rsidR="00000000" w:rsidRDefault="00000000">
      <w:pPr>
        <w:pStyle w:val="H4G"/>
        <w:rPr>
          <w:lang w:val="fr-FR"/>
        </w:rPr>
      </w:pPr>
      <w:r>
        <w:rPr>
          <w:lang w:val="fr-FR"/>
        </w:rPr>
        <w:tab/>
      </w:r>
      <w:r>
        <w:rPr>
          <w:lang w:val="fr-FR"/>
        </w:rPr>
        <w:tab/>
        <w:t xml:space="preserve">L’eau, l’hygiène et l’assainissement </w:t>
      </w:r>
    </w:p>
    <w:p w:rsidR="00000000" w:rsidRDefault="00000000">
      <w:pPr>
        <w:pStyle w:val="SingleTxtG"/>
        <w:rPr>
          <w:lang w:val="fr-FR"/>
        </w:rPr>
      </w:pPr>
      <w:r>
        <w:rPr>
          <w:lang w:val="fr-FR"/>
        </w:rPr>
        <w:t>370.</w:t>
      </w:r>
      <w:r>
        <w:rPr>
          <w:lang w:val="fr-FR"/>
        </w:rPr>
        <w:tab/>
        <w:t xml:space="preserve">L’eau potable, l’hygiène et l’assainissement sont des domaines prioritaires dans l’engagement 5 du MAP, défi 8 qui vise d’approvisionner la population en eau potable et généraliser les pratiques hygiéniques et sanitaires. Les stratégies y afférentes sont: </w:t>
      </w:r>
    </w:p>
    <w:p w:rsidR="00000000" w:rsidRDefault="00000000">
      <w:pPr>
        <w:pStyle w:val="Bullet1G"/>
        <w:rPr>
          <w:lang w:val="fr-FR"/>
        </w:rPr>
      </w:pPr>
      <w:r>
        <w:rPr>
          <w:lang w:val="fr-FR"/>
        </w:rPr>
        <w:t>Assurer l’accès de toute la population à l’eau potable;</w:t>
      </w:r>
    </w:p>
    <w:p w:rsidR="00000000" w:rsidRDefault="00000000">
      <w:pPr>
        <w:pStyle w:val="Bullet1G"/>
        <w:rPr>
          <w:lang w:val="fr-FR"/>
        </w:rPr>
      </w:pPr>
      <w:r>
        <w:rPr>
          <w:lang w:val="fr-FR"/>
        </w:rPr>
        <w:t>Éduquer la population sur les pratiques hygiéniques et sanitaires; et</w:t>
      </w:r>
    </w:p>
    <w:p w:rsidR="00000000" w:rsidRDefault="00000000">
      <w:pPr>
        <w:pStyle w:val="Bullet1G"/>
        <w:rPr>
          <w:lang w:val="fr-FR"/>
        </w:rPr>
      </w:pPr>
      <w:r>
        <w:rPr>
          <w:lang w:val="fr-FR"/>
        </w:rPr>
        <w:t>Mettre en œuvre la stratégie WASH.</w:t>
      </w:r>
    </w:p>
    <w:p w:rsidR="00000000" w:rsidRDefault="00000000">
      <w:pPr>
        <w:pStyle w:val="SingleTxtG"/>
        <w:rPr>
          <w:lang w:val="fr-FR"/>
        </w:rPr>
      </w:pPr>
      <w:r>
        <w:rPr>
          <w:lang w:val="fr-FR"/>
        </w:rPr>
        <w:t>371.</w:t>
      </w:r>
      <w:r>
        <w:rPr>
          <w:lang w:val="fr-FR"/>
        </w:rPr>
        <w:tab/>
        <w:t>Le Programme national d’accès à l’eau potable et à l’assainissement a été validé en 2005 et concerne la période 2005-2006-2007. Il comprend des campagnes d’éducation sanitaire, la promotion du changement de comportement positif des populations vis-à-vis de l’hygiène et la mise en place des «Centres de santé de base Amis de WASH».</w:t>
      </w:r>
    </w:p>
    <w:p w:rsidR="00000000" w:rsidRDefault="00000000">
      <w:pPr>
        <w:pStyle w:val="SingleTxtG"/>
        <w:rPr>
          <w:lang w:val="fr-FR"/>
        </w:rPr>
      </w:pPr>
      <w:r>
        <w:rPr>
          <w:lang w:val="fr-FR"/>
        </w:rPr>
        <w:t>372.</w:t>
      </w:r>
      <w:r>
        <w:rPr>
          <w:lang w:val="fr-FR"/>
        </w:rPr>
        <w:tab/>
        <w:t>Le diagnostic sectoriel n’est pas très favorable. En 2006, 38 % de la population ont accès à l’eau potable et 52 % à un système d’assainissement de base. Autrement dit 9 millions de personnes n’ont pas accès aux infrastructures d’assainissement de base et 12 millions n’ont pas accès à l’eau potable. Cette situation affecte la santé de la population en général. Les maladies diarrhéiques représentent la deuxième cause de morbidité et atteignent 51 % des enfants de moins de cinq ans.</w:t>
      </w:r>
    </w:p>
    <w:p w:rsidR="00000000" w:rsidRDefault="00000000">
      <w:pPr>
        <w:pStyle w:val="H4G"/>
        <w:rPr>
          <w:lang w:val="fr-FR"/>
        </w:rPr>
      </w:pPr>
      <w:r>
        <w:rPr>
          <w:lang w:val="fr-FR"/>
        </w:rPr>
        <w:tab/>
      </w:r>
      <w:r>
        <w:rPr>
          <w:lang w:val="fr-FR"/>
        </w:rPr>
        <w:tab/>
        <w:t xml:space="preserve">L’intensification de la lutte contre la malnutrition </w:t>
      </w:r>
    </w:p>
    <w:p w:rsidR="00000000" w:rsidRDefault="00000000">
      <w:pPr>
        <w:pStyle w:val="SingleTxtG"/>
        <w:rPr>
          <w:lang w:val="fr-FR"/>
        </w:rPr>
      </w:pPr>
      <w:r>
        <w:rPr>
          <w:lang w:val="fr-FR"/>
        </w:rPr>
        <w:t>373.</w:t>
      </w:r>
      <w:r>
        <w:rPr>
          <w:lang w:val="fr-FR"/>
        </w:rPr>
        <w:tab/>
        <w:t>La Convention relative aux droits de l’enfant, reconnaît le droit des enfants à une nutrition adéquate afin d’assurer leur survie et leur développement physique et intellectuel.</w:t>
      </w:r>
    </w:p>
    <w:p w:rsidR="00000000" w:rsidRDefault="00000000">
      <w:pPr>
        <w:pStyle w:val="SingleTxtG"/>
        <w:rPr>
          <w:lang w:val="fr-FR"/>
        </w:rPr>
      </w:pPr>
      <w:r>
        <w:rPr>
          <w:lang w:val="fr-FR"/>
        </w:rPr>
        <w:t>374.</w:t>
      </w:r>
      <w:r>
        <w:rPr>
          <w:lang w:val="fr-FR"/>
        </w:rPr>
        <w:tab/>
        <w:t>Beaucoup d’enfants malgaches sont exposés à la malnutrition protéino-énergétique et aux carences en micronutriments. La malnutrition constitue la toile de fonds des maladies de l’enfance. Elle est en effet la cause de plus de 50 % de la morbidité et de la mortalité des enfants âgés de moins de cinq ans</w:t>
      </w:r>
      <w:r>
        <w:rPr>
          <w:rStyle w:val="FootnoteReference"/>
        </w:rPr>
        <w:footnoteReference w:id="13"/>
      </w:r>
      <w:r>
        <w:rPr>
          <w:lang w:val="fr-FR"/>
        </w:rPr>
        <w:t xml:space="preserve">. </w:t>
      </w:r>
    </w:p>
    <w:p w:rsidR="00000000" w:rsidRDefault="00000000">
      <w:pPr>
        <w:pStyle w:val="SingleTxtG"/>
        <w:keepLines/>
        <w:rPr>
          <w:lang w:val="fr-FR"/>
        </w:rPr>
      </w:pPr>
      <w:r>
        <w:rPr>
          <w:lang w:val="fr-FR"/>
        </w:rPr>
        <w:t>375.</w:t>
      </w:r>
      <w:r>
        <w:rPr>
          <w:lang w:val="fr-FR"/>
        </w:rPr>
        <w:tab/>
        <w:t>Le manque de données comparables rend difficile l’estimation de l’évolution des taux de malnutrition dans la dernière période. En 2003/04 on estimait que 48 % des moins de 5 ans souffraient de malnutrition chronique modérée (taille/âge), 42 % d’insuffisance pondérale et 13 % de malnutrition aigue (poids/taille, émaciation) (EDS).</w:t>
      </w:r>
    </w:p>
    <w:p w:rsidR="00000000" w:rsidRDefault="00000000">
      <w:pPr>
        <w:pStyle w:val="SingleTxtG"/>
        <w:rPr>
          <w:lang w:val="fr-FR"/>
        </w:rPr>
      </w:pPr>
      <w:r>
        <w:rPr>
          <w:lang w:val="fr-FR"/>
        </w:rPr>
        <w:t>376.</w:t>
      </w:r>
      <w:r>
        <w:rPr>
          <w:lang w:val="fr-FR"/>
        </w:rPr>
        <w:tab/>
        <w:t>Conscient de ces lacunes, Madagascar a adopté en 2004 la Politique nationale de nutrition, complété par le Plan national d’action pour la nutrition (PNAN) 2005-2009. L’Office national de nutrition a été créé pour assurer la coordination technique globale et le suivi de la mise en œuvre du PNAN sous les orientations stratégiques du Conseil national de nutrition.</w:t>
      </w:r>
    </w:p>
    <w:p w:rsidR="00000000" w:rsidRDefault="00000000">
      <w:pPr>
        <w:pStyle w:val="SingleTxtG"/>
        <w:rPr>
          <w:lang w:val="fr-FR"/>
        </w:rPr>
      </w:pPr>
      <w:r>
        <w:rPr>
          <w:lang w:val="fr-FR"/>
        </w:rPr>
        <w:t>377.</w:t>
      </w:r>
      <w:r>
        <w:rPr>
          <w:lang w:val="fr-FR"/>
        </w:rPr>
        <w:tab/>
        <w:t>Des mesures d’accompagnement ont été récemment prises: élaboration d’un projet d’arrêté portant création et organisation d’un Comité national de contrôle et des Comités régionaux de supervision de la commercialisation des substituts du lait maternel et Projet de décret portant réglementation de la commercialisation des produits d’alimentation des nourrissons et des jeunes enfants</w:t>
      </w:r>
    </w:p>
    <w:p w:rsidR="00000000" w:rsidRDefault="00000000">
      <w:pPr>
        <w:pStyle w:val="H23G"/>
        <w:rPr>
          <w:lang w:val="fr-FR"/>
        </w:rPr>
      </w:pPr>
      <w:r>
        <w:rPr>
          <w:lang w:val="fr-FR"/>
        </w:rPr>
        <w:tab/>
        <w:t>11.</w:t>
      </w:r>
      <w:r>
        <w:rPr>
          <w:lang w:val="fr-FR"/>
        </w:rPr>
        <w:tab/>
        <w:t>Les causes de la malnutrition infantile</w:t>
      </w:r>
    </w:p>
    <w:p w:rsidR="00000000" w:rsidRDefault="00000000">
      <w:pPr>
        <w:pStyle w:val="SingleTxtG"/>
        <w:rPr>
          <w:lang w:val="fr-FR"/>
        </w:rPr>
      </w:pPr>
      <w:r>
        <w:rPr>
          <w:lang w:val="fr-FR"/>
        </w:rPr>
        <w:t>378.</w:t>
      </w:r>
      <w:r>
        <w:rPr>
          <w:lang w:val="fr-FR"/>
        </w:rPr>
        <w:tab/>
        <w:t>Les causes de la malnutrition sont les apports alimentaires insuffisants en quantité et en qualité, les soins inadéquats et habitudes alimentaires inappropriés, l’accès inadéquat aux services de santé et l’insécurité alimentaire au niveau des ménages.</w:t>
      </w:r>
    </w:p>
    <w:p w:rsidR="00000000" w:rsidRDefault="00000000">
      <w:pPr>
        <w:pStyle w:val="SingleTxtG"/>
        <w:rPr>
          <w:lang w:val="fr-FR"/>
        </w:rPr>
      </w:pPr>
      <w:r>
        <w:rPr>
          <w:lang w:val="fr-FR"/>
        </w:rPr>
        <w:t>379.</w:t>
      </w:r>
      <w:r>
        <w:rPr>
          <w:lang w:val="fr-FR"/>
        </w:rPr>
        <w:tab/>
        <w:t>Bien que Madagascar dispose de potentialités agropastorales et halieutiques importantes, le régime alimentaire malgache est peu diversifié et déséquilibré.</w:t>
      </w:r>
    </w:p>
    <w:p w:rsidR="00000000" w:rsidRDefault="00000000">
      <w:pPr>
        <w:pStyle w:val="SingleTxtG"/>
        <w:rPr>
          <w:lang w:val="fr-FR"/>
        </w:rPr>
      </w:pPr>
      <w:r>
        <w:rPr>
          <w:lang w:val="fr-FR"/>
        </w:rPr>
        <w:t>380.</w:t>
      </w:r>
      <w:r>
        <w:rPr>
          <w:lang w:val="fr-FR"/>
        </w:rPr>
        <w:tab/>
        <w:t>Les pratiques de l’alimentation des nourrissons et des jeunes enfants ne sont pas encore satisfaisantes. Même si la grande majorité des mères allaitent leurs enfants (évaluée à 98 % en 2003), la pratique de l’allaitement maternel exclusif n’est pas encore répandue chez les enfants de moins de 6 mois avec 67 % en 2003, (48 % en 1997). Aussi observe</w:t>
      </w:r>
      <w:r>
        <w:rPr>
          <w:lang w:val="fr-FR"/>
        </w:rPr>
        <w:noBreakHyphen/>
        <w:t>t</w:t>
      </w:r>
      <w:r>
        <w:rPr>
          <w:lang w:val="fr-FR"/>
        </w:rPr>
        <w:noBreakHyphen/>
        <w:t>on un sevrage précoce chez 36 % des enfants de moins de 6 mois, dont 30 % chez les 45 mois (EDS) et un sevrage tardif de 22 % des enfants de 6-9 mois qui ne reçoivent pas d’aliments solides ou semi-solides en complément du lait maternel</w:t>
      </w:r>
      <w:r>
        <w:rPr>
          <w:rStyle w:val="FootnoteReference"/>
        </w:rPr>
        <w:footnoteReference w:id="14"/>
      </w:r>
      <w:r>
        <w:rPr>
          <w:lang w:val="fr-FR"/>
        </w:rPr>
        <w:t>.</w:t>
      </w:r>
    </w:p>
    <w:p w:rsidR="00000000" w:rsidRDefault="00000000">
      <w:pPr>
        <w:pStyle w:val="SingleTxtG"/>
        <w:rPr>
          <w:lang w:val="fr-FR"/>
        </w:rPr>
      </w:pPr>
      <w:r>
        <w:rPr>
          <w:lang w:val="fr-FR"/>
        </w:rPr>
        <w:t>381.</w:t>
      </w:r>
      <w:r>
        <w:rPr>
          <w:lang w:val="fr-FR"/>
        </w:rPr>
        <w:tab/>
        <w:t>La prévalence des maladies habituellement liées à la malnutrition reste encore élevée: maladies diarrhéiques (10 %), fièvre (paludisme) (20 %), IRA (9 %) et rougeole (3,4 %), montrant que l’environnement sanitaire et l’accès aux services de santé de base doivent encore être améliorés.</w:t>
      </w:r>
    </w:p>
    <w:p w:rsidR="00000000" w:rsidRDefault="00000000">
      <w:pPr>
        <w:pStyle w:val="SingleTxtG"/>
        <w:rPr>
          <w:lang w:val="fr-FR"/>
        </w:rPr>
      </w:pPr>
      <w:r>
        <w:rPr>
          <w:lang w:val="fr-FR"/>
        </w:rPr>
        <w:t>382.</w:t>
      </w:r>
      <w:r>
        <w:rPr>
          <w:lang w:val="fr-FR"/>
        </w:rPr>
        <w:tab/>
        <w:t>L’insécurité alimentaire des ménages a diminué mais reste largement répandue. Selon le PNN/PAM elle est passée de 65 % en 2001 à 25 % (chronique) en 2005.</w:t>
      </w:r>
    </w:p>
    <w:p w:rsidR="00000000" w:rsidRDefault="00000000">
      <w:pPr>
        <w:pStyle w:val="SingleTxtG"/>
        <w:rPr>
          <w:lang w:val="fr-FR"/>
        </w:rPr>
      </w:pPr>
      <w:r>
        <w:rPr>
          <w:lang w:val="fr-FR"/>
        </w:rPr>
        <w:t>383.</w:t>
      </w:r>
      <w:r>
        <w:rPr>
          <w:lang w:val="fr-FR"/>
        </w:rPr>
        <w:tab/>
        <w:t>Soixante-quinze pour cent des dépenses totales des ménages en milieu rural sont consacrés à l’alimentation (PNN) et seuls 15 % des Malgaches sont à l’abri de l’insécurité alimentaire.</w:t>
      </w:r>
    </w:p>
    <w:p w:rsidR="00000000" w:rsidRDefault="00000000">
      <w:pPr>
        <w:pStyle w:val="H23G"/>
        <w:rPr>
          <w:lang w:val="fr-FR"/>
        </w:rPr>
      </w:pPr>
      <w:bookmarkStart w:id="842" w:name="_Toc206414566"/>
      <w:bookmarkStart w:id="843" w:name="_Toc206460408"/>
      <w:bookmarkStart w:id="844" w:name="_Toc206460740"/>
      <w:bookmarkStart w:id="845" w:name="_Toc206461462"/>
      <w:bookmarkStart w:id="846" w:name="_Toc206476256"/>
      <w:bookmarkStart w:id="847" w:name="_Toc207788791"/>
      <w:bookmarkStart w:id="848" w:name="_Toc211835462"/>
      <w:bookmarkStart w:id="849" w:name="_Toc211926769"/>
      <w:r>
        <w:rPr>
          <w:lang w:val="fr-FR"/>
        </w:rPr>
        <w:tab/>
        <w:t>12.</w:t>
      </w:r>
      <w:r>
        <w:rPr>
          <w:lang w:val="fr-FR"/>
        </w:rPr>
        <w:tab/>
        <w:t xml:space="preserve">Les stratégies adoptées pour la mise en </w:t>
      </w:r>
      <w:bookmarkEnd w:id="842"/>
      <w:r>
        <w:rPr>
          <w:lang w:val="fr-FR"/>
        </w:rPr>
        <w:t>œuvre</w:t>
      </w:r>
      <w:bookmarkEnd w:id="843"/>
      <w:bookmarkEnd w:id="844"/>
      <w:bookmarkEnd w:id="845"/>
      <w:bookmarkEnd w:id="846"/>
      <w:bookmarkEnd w:id="847"/>
      <w:bookmarkEnd w:id="848"/>
      <w:bookmarkEnd w:id="849"/>
    </w:p>
    <w:p w:rsidR="00000000" w:rsidRDefault="00000000">
      <w:pPr>
        <w:pStyle w:val="SingleTxtG"/>
        <w:rPr>
          <w:lang w:val="fr-FR"/>
        </w:rPr>
      </w:pPr>
      <w:r>
        <w:rPr>
          <w:lang w:val="fr-FR"/>
        </w:rPr>
        <w:t>384.</w:t>
      </w:r>
      <w:r>
        <w:rPr>
          <w:lang w:val="fr-FR"/>
        </w:rPr>
        <w:tab/>
        <w:t>Sept «Actions essentielles en nutrition» ont été identifiées pour être mises en œuvre simultanément à savoir:</w:t>
      </w:r>
    </w:p>
    <w:p w:rsidR="00000000" w:rsidRDefault="00000000">
      <w:pPr>
        <w:pStyle w:val="Bullet1G"/>
        <w:rPr>
          <w:lang w:val="fr-FR"/>
        </w:rPr>
      </w:pPr>
      <w:r>
        <w:rPr>
          <w:lang w:val="fr-FR"/>
        </w:rPr>
        <w:t>L’allaitement maternel exclusif jusqu’à 6 mois;</w:t>
      </w:r>
    </w:p>
    <w:p w:rsidR="00000000" w:rsidRDefault="00000000">
      <w:pPr>
        <w:pStyle w:val="Bullet1G"/>
        <w:rPr>
          <w:lang w:val="fr-FR"/>
        </w:rPr>
      </w:pPr>
      <w:r>
        <w:rPr>
          <w:lang w:val="fr-FR"/>
        </w:rPr>
        <w:t>L’alimentation de complément adéquat et l’allaitement maternel;</w:t>
      </w:r>
    </w:p>
    <w:p w:rsidR="00000000" w:rsidRDefault="00000000">
      <w:pPr>
        <w:pStyle w:val="Bullet1G"/>
        <w:rPr>
          <w:lang w:val="fr-FR"/>
        </w:rPr>
      </w:pPr>
      <w:r>
        <w:rPr>
          <w:lang w:val="fr-FR"/>
        </w:rPr>
        <w:t>L’alimentation des enfants malades, notamment les malnutris;</w:t>
      </w:r>
    </w:p>
    <w:p w:rsidR="00000000" w:rsidRDefault="00000000">
      <w:pPr>
        <w:pStyle w:val="Bullet1G"/>
        <w:rPr>
          <w:lang w:val="fr-FR"/>
        </w:rPr>
      </w:pPr>
      <w:r>
        <w:rPr>
          <w:lang w:val="fr-FR"/>
        </w:rPr>
        <w:t>L’alimentation adéquate, notamment les femmes enceintes et allaitantes;</w:t>
      </w:r>
    </w:p>
    <w:p w:rsidR="00000000" w:rsidRDefault="00000000">
      <w:pPr>
        <w:pStyle w:val="Bullet1G"/>
        <w:rPr>
          <w:lang w:val="fr-FR"/>
        </w:rPr>
      </w:pPr>
      <w:r>
        <w:rPr>
          <w:lang w:val="fr-FR"/>
        </w:rPr>
        <w:t>La lutte contre l’avitaminose A;</w:t>
      </w:r>
    </w:p>
    <w:p w:rsidR="00000000" w:rsidRDefault="00000000">
      <w:pPr>
        <w:pStyle w:val="Bullet1G"/>
        <w:rPr>
          <w:lang w:val="fr-FR"/>
        </w:rPr>
      </w:pPr>
      <w:r>
        <w:rPr>
          <w:lang w:val="fr-FR"/>
        </w:rPr>
        <w:t>La lutte contre la carence en fer, et la lutte contre la carence en iode.</w:t>
      </w:r>
    </w:p>
    <w:p w:rsidR="00000000" w:rsidRDefault="00000000">
      <w:pPr>
        <w:pStyle w:val="SingleTxtG"/>
        <w:rPr>
          <w:lang w:val="fr-FR"/>
        </w:rPr>
      </w:pPr>
      <w:r>
        <w:rPr>
          <w:lang w:val="fr-FR"/>
        </w:rPr>
        <w:t>385.</w:t>
      </w:r>
      <w:r>
        <w:rPr>
          <w:lang w:val="fr-FR"/>
        </w:rPr>
        <w:tab/>
        <w:t>On propose également:</w:t>
      </w:r>
    </w:p>
    <w:p w:rsidR="00000000" w:rsidRDefault="00000000">
      <w:pPr>
        <w:pStyle w:val="Bullet1G"/>
        <w:rPr>
          <w:lang w:val="fr-FR"/>
        </w:rPr>
      </w:pPr>
      <w:r>
        <w:rPr>
          <w:lang w:val="fr-FR"/>
        </w:rPr>
        <w:t>La pérennisation des structures d’iodation du sel et la double fortification du sel iodé et fluor en vue de la prévention des TDCI et des caries dentaires respectivement;</w:t>
      </w:r>
    </w:p>
    <w:p w:rsidR="00000000" w:rsidRDefault="00000000">
      <w:pPr>
        <w:pStyle w:val="Bullet1G"/>
        <w:rPr>
          <w:lang w:val="fr-FR"/>
        </w:rPr>
      </w:pPr>
      <w:r>
        <w:rPr>
          <w:lang w:val="fr-FR"/>
        </w:rPr>
        <w:t>L’amélioration de la commercialisation du sel iodé/fluoré et l’assurance de la qualité jusqu’au niveau des consommateurs;</w:t>
      </w:r>
    </w:p>
    <w:p w:rsidR="00000000" w:rsidRDefault="00000000">
      <w:pPr>
        <w:pStyle w:val="Bullet1G"/>
        <w:rPr>
          <w:lang w:val="fr-FR"/>
        </w:rPr>
      </w:pPr>
      <w:r>
        <w:rPr>
          <w:lang w:val="fr-FR"/>
        </w:rPr>
        <w:t>Le renforcement du partenariat public/privé.</w:t>
      </w:r>
    </w:p>
    <w:p w:rsidR="00000000" w:rsidRDefault="00000000">
      <w:pPr>
        <w:pStyle w:val="H23G"/>
        <w:rPr>
          <w:lang w:val="fr-FR"/>
        </w:rPr>
      </w:pPr>
      <w:bookmarkStart w:id="850" w:name="_Toc206414567"/>
      <w:bookmarkStart w:id="851" w:name="_Toc206460409"/>
      <w:bookmarkStart w:id="852" w:name="_Toc206460741"/>
      <w:bookmarkStart w:id="853" w:name="_Toc206461463"/>
      <w:bookmarkStart w:id="854" w:name="_Toc206476257"/>
      <w:bookmarkStart w:id="855" w:name="_Toc207788792"/>
      <w:bookmarkStart w:id="856" w:name="_Toc211835463"/>
      <w:bookmarkStart w:id="857" w:name="_Toc211926770"/>
      <w:r>
        <w:rPr>
          <w:lang w:val="fr-FR"/>
        </w:rPr>
        <w:tab/>
        <w:t>13.</w:t>
      </w:r>
      <w:r>
        <w:rPr>
          <w:lang w:val="fr-FR"/>
        </w:rPr>
        <w:tab/>
        <w:t>Les résultats obtenus par l’Office Nationale de la Nutrition (ONN)</w:t>
      </w:r>
      <w:bookmarkEnd w:id="850"/>
      <w:bookmarkEnd w:id="851"/>
      <w:bookmarkEnd w:id="852"/>
      <w:bookmarkEnd w:id="853"/>
      <w:bookmarkEnd w:id="854"/>
      <w:bookmarkEnd w:id="855"/>
      <w:bookmarkEnd w:id="856"/>
      <w:bookmarkEnd w:id="857"/>
    </w:p>
    <w:p w:rsidR="00000000" w:rsidRDefault="00000000">
      <w:pPr>
        <w:pStyle w:val="SingleTxtG"/>
        <w:rPr>
          <w:lang w:val="fr-FR"/>
        </w:rPr>
      </w:pPr>
      <w:r>
        <w:rPr>
          <w:lang w:val="fr-FR"/>
        </w:rPr>
        <w:t>386.</w:t>
      </w:r>
      <w:r>
        <w:rPr>
          <w:lang w:val="fr-FR"/>
        </w:rPr>
        <w:tab/>
        <w:t>Dans le cadre de la PNNC ou Programme Nationale de Nutrition Communautaire</w:t>
      </w:r>
      <w:r>
        <w:rPr>
          <w:rStyle w:val="FootnoteReference"/>
        </w:rPr>
        <w:footnoteReference w:id="15"/>
      </w:r>
      <w:r>
        <w:rPr>
          <w:lang w:val="fr-FR"/>
        </w:rPr>
        <w:t>:</w:t>
      </w:r>
    </w:p>
    <w:p w:rsidR="00000000" w:rsidRDefault="00000000">
      <w:pPr>
        <w:pStyle w:val="Bullet1G"/>
        <w:rPr>
          <w:lang w:val="fr-FR"/>
        </w:rPr>
      </w:pPr>
      <w:r>
        <w:rPr>
          <w:lang w:val="fr-FR"/>
        </w:rPr>
        <w:t>550 sites sont fonctionnels dans tout le pays;</w:t>
      </w:r>
    </w:p>
    <w:p w:rsidR="00000000" w:rsidRDefault="00000000">
      <w:pPr>
        <w:pStyle w:val="Bullet1G"/>
        <w:rPr>
          <w:lang w:val="fr-FR"/>
        </w:rPr>
      </w:pPr>
      <w:r>
        <w:rPr>
          <w:lang w:val="fr-FR"/>
        </w:rPr>
        <w:t>967 308 enfants de moins de 5 ans suivis soit 76,44 % de l’objectif fixé;</w:t>
      </w:r>
    </w:p>
    <w:p w:rsidR="00000000" w:rsidRDefault="00000000">
      <w:pPr>
        <w:pStyle w:val="Bullet1G"/>
        <w:rPr>
          <w:lang w:val="fr-FR"/>
        </w:rPr>
      </w:pPr>
      <w:r>
        <w:rPr>
          <w:lang w:val="fr-FR"/>
        </w:rPr>
        <w:t>774 909 mères d’enfants de moins de cinq ans participent aux séances éducationnelles soit 77,18 % de l’objectif fixé;</w:t>
      </w:r>
    </w:p>
    <w:p w:rsidR="00000000" w:rsidRDefault="00000000">
      <w:pPr>
        <w:pStyle w:val="Bullet1G"/>
        <w:rPr>
          <w:lang w:val="fr-FR"/>
        </w:rPr>
      </w:pPr>
      <w:r>
        <w:rPr>
          <w:lang w:val="fr-FR"/>
        </w:rPr>
        <w:t>33 899 femmes enceintes participent aux séances éducationnelles soit 61,35 % des femmes enceintes recensées au niveau des sites;</w:t>
      </w:r>
    </w:p>
    <w:p w:rsidR="00000000" w:rsidRDefault="00000000">
      <w:pPr>
        <w:pStyle w:val="Bullet1G"/>
        <w:rPr>
          <w:lang w:val="fr-FR"/>
        </w:rPr>
      </w:pPr>
      <w:r>
        <w:rPr>
          <w:lang w:val="fr-FR"/>
        </w:rPr>
        <w:t>102 659 adolescentes participent aux séances éducationnelles soit 64,23 % de l’objectif fixé;</w:t>
      </w:r>
    </w:p>
    <w:p w:rsidR="00000000" w:rsidRDefault="00000000">
      <w:pPr>
        <w:pStyle w:val="Bullet1G"/>
        <w:rPr>
          <w:lang w:val="fr-FR"/>
        </w:rPr>
      </w:pPr>
      <w:r>
        <w:rPr>
          <w:lang w:val="fr-FR"/>
        </w:rPr>
        <w:t>207 175 séances d’éducation nutritionnelle effectuées;</w:t>
      </w:r>
    </w:p>
    <w:p w:rsidR="00000000" w:rsidRDefault="00000000">
      <w:pPr>
        <w:pStyle w:val="Bullet1G"/>
        <w:rPr>
          <w:lang w:val="fr-FR"/>
        </w:rPr>
      </w:pPr>
      <w:r>
        <w:rPr>
          <w:lang w:val="fr-FR"/>
        </w:rPr>
        <w:t>64 670 femmes enceintes supplémentées en vitamine A;</w:t>
      </w:r>
    </w:p>
    <w:p w:rsidR="00000000" w:rsidRDefault="00000000">
      <w:pPr>
        <w:pStyle w:val="Bullet1G"/>
        <w:rPr>
          <w:lang w:val="fr-FR"/>
        </w:rPr>
      </w:pPr>
      <w:r>
        <w:rPr>
          <w:lang w:val="fr-FR"/>
        </w:rPr>
        <w:t>6 322 séances d’évaluation communautaire effectuées.</w:t>
      </w:r>
    </w:p>
    <w:p w:rsidR="00000000" w:rsidRDefault="00000000">
      <w:pPr>
        <w:pStyle w:val="SingleTxtG"/>
        <w:rPr>
          <w:lang w:val="fr-FR"/>
        </w:rPr>
      </w:pPr>
      <w:r>
        <w:rPr>
          <w:lang w:val="fr-FR"/>
        </w:rPr>
        <w:t>387.</w:t>
      </w:r>
      <w:r>
        <w:rPr>
          <w:lang w:val="fr-FR"/>
        </w:rPr>
        <w:tab/>
        <w:t>En ce qui concerne le déparasitage des enfants d’âge scolaire (stratégie n°7 de la PNN) celui-ci concerne aussi bien les élèves des écoles primaires publiques que privées.</w:t>
      </w:r>
    </w:p>
    <w:p w:rsidR="00000000" w:rsidRDefault="00000000">
      <w:pPr>
        <w:pStyle w:val="SingleTxtG"/>
        <w:spacing w:after="0"/>
      </w:pPr>
      <w:bookmarkStart w:id="858" w:name="_Toc260298262"/>
      <w:r>
        <w:t>Tableau 25</w:t>
      </w:r>
    </w:p>
    <w:p w:rsidR="00000000" w:rsidRDefault="00000000">
      <w:pPr>
        <w:pStyle w:val="SingleTxtG"/>
        <w:rPr>
          <w:b/>
        </w:rPr>
      </w:pPr>
      <w:r>
        <w:rPr>
          <w:b/>
        </w:rPr>
        <w:t>Réalisations concernant le déparasitage des enfants d’âge scolaire</w:t>
      </w:r>
      <w:bookmarkEnd w:id="858"/>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11"/>
        <w:gridCol w:w="1211"/>
        <w:gridCol w:w="1212"/>
        <w:gridCol w:w="1212"/>
        <w:gridCol w:w="100"/>
        <w:gridCol w:w="1212"/>
        <w:gridCol w:w="1212"/>
      </w:tblGrid>
      <w:tr w:rsidR="00000000">
        <w:tc>
          <w:tcPr>
            <w:tcW w:w="1211" w:type="dxa"/>
            <w:tcBorders>
              <w:top w:val="single" w:sz="4" w:space="0" w:color="auto"/>
            </w:tcBorders>
            <w:shd w:val="clear" w:color="auto" w:fill="auto"/>
            <w:vAlign w:val="bottom"/>
          </w:tcPr>
          <w:p w:rsidR="00000000" w:rsidRDefault="00000000">
            <w:pPr>
              <w:spacing w:before="80" w:after="80" w:line="200" w:lineRule="exact"/>
              <w:rPr>
                <w:i/>
                <w:sz w:val="16"/>
              </w:rPr>
            </w:pPr>
          </w:p>
        </w:tc>
        <w:tc>
          <w:tcPr>
            <w:tcW w:w="1211" w:type="dxa"/>
            <w:tcBorders>
              <w:top w:val="single" w:sz="4" w:space="0" w:color="auto"/>
            </w:tcBorders>
            <w:shd w:val="clear" w:color="auto" w:fill="auto"/>
            <w:vAlign w:val="bottom"/>
          </w:tcPr>
          <w:p w:rsidR="00000000" w:rsidRDefault="00000000">
            <w:pPr>
              <w:spacing w:before="80" w:after="80" w:line="200" w:lineRule="exact"/>
              <w:jc w:val="right"/>
              <w:rPr>
                <w:i/>
                <w:sz w:val="16"/>
              </w:rPr>
            </w:pPr>
          </w:p>
        </w:tc>
        <w:tc>
          <w:tcPr>
            <w:tcW w:w="2424" w:type="dxa"/>
            <w:gridSpan w:val="2"/>
            <w:tcBorders>
              <w:top w:val="single" w:sz="4" w:space="0" w:color="auto"/>
            </w:tcBorders>
            <w:shd w:val="clear" w:color="auto" w:fill="auto"/>
            <w:vAlign w:val="bottom"/>
          </w:tcPr>
          <w:p w:rsidR="00000000" w:rsidRDefault="00000000">
            <w:pPr>
              <w:spacing w:before="80" w:after="80" w:line="200" w:lineRule="exact"/>
              <w:jc w:val="center"/>
              <w:rPr>
                <w:i/>
                <w:sz w:val="16"/>
              </w:rPr>
            </w:pPr>
            <w:r>
              <w:rPr>
                <w:bCs/>
                <w:i/>
                <w:sz w:val="16"/>
                <w:szCs w:val="16"/>
              </w:rPr>
              <w:t>Nombre d’enfants ciblés</w:t>
            </w:r>
          </w:p>
        </w:tc>
        <w:tc>
          <w:tcPr>
            <w:tcW w:w="100" w:type="dxa"/>
            <w:tcBorders>
              <w:top w:val="single" w:sz="4" w:space="0" w:color="auto"/>
            </w:tcBorders>
            <w:shd w:val="clear" w:color="auto" w:fill="auto"/>
            <w:vAlign w:val="bottom"/>
          </w:tcPr>
          <w:p w:rsidR="00000000" w:rsidRDefault="00000000">
            <w:pPr>
              <w:spacing w:before="80" w:after="80" w:line="200" w:lineRule="exact"/>
              <w:jc w:val="right"/>
              <w:rPr>
                <w:i/>
                <w:sz w:val="16"/>
              </w:rPr>
            </w:pPr>
          </w:p>
        </w:tc>
        <w:tc>
          <w:tcPr>
            <w:tcW w:w="2424" w:type="dxa"/>
            <w:gridSpan w:val="2"/>
            <w:tcBorders>
              <w:top w:val="single" w:sz="4" w:space="0" w:color="auto"/>
            </w:tcBorders>
            <w:shd w:val="clear" w:color="auto" w:fill="auto"/>
            <w:vAlign w:val="bottom"/>
          </w:tcPr>
          <w:p w:rsidR="00000000" w:rsidRDefault="00000000">
            <w:pPr>
              <w:spacing w:before="80" w:after="80" w:line="200" w:lineRule="exact"/>
              <w:jc w:val="center"/>
              <w:rPr>
                <w:i/>
                <w:sz w:val="16"/>
              </w:rPr>
            </w:pPr>
            <w:r>
              <w:rPr>
                <w:bCs/>
                <w:i/>
                <w:sz w:val="16"/>
                <w:szCs w:val="16"/>
              </w:rPr>
              <w:t>Nombre d’enfants 2 fois déparasités dans l’année</w:t>
            </w:r>
          </w:p>
        </w:tc>
      </w:tr>
      <w:tr w:rsidR="00000000">
        <w:tc>
          <w:tcPr>
            <w:tcW w:w="1211" w:type="dxa"/>
            <w:tcBorders>
              <w:bottom w:val="single" w:sz="12" w:space="0" w:color="auto"/>
            </w:tcBorders>
            <w:shd w:val="clear" w:color="auto" w:fill="auto"/>
            <w:vAlign w:val="bottom"/>
          </w:tcPr>
          <w:p w:rsidR="00000000" w:rsidRDefault="00000000">
            <w:pPr>
              <w:spacing w:before="80" w:after="80" w:line="200" w:lineRule="exact"/>
              <w:rPr>
                <w:i/>
                <w:sz w:val="16"/>
              </w:rPr>
            </w:pPr>
            <w:r>
              <w:rPr>
                <w:bCs/>
                <w:i/>
                <w:sz w:val="16"/>
                <w:szCs w:val="16"/>
              </w:rPr>
              <w:t>Année scolaire</w:t>
            </w:r>
          </w:p>
        </w:tc>
        <w:tc>
          <w:tcPr>
            <w:tcW w:w="1211" w:type="dxa"/>
            <w:tcBorders>
              <w:bottom w:val="single" w:sz="12" w:space="0" w:color="auto"/>
            </w:tcBorders>
            <w:shd w:val="clear" w:color="auto" w:fill="auto"/>
            <w:vAlign w:val="bottom"/>
          </w:tcPr>
          <w:p w:rsidR="00000000" w:rsidRDefault="00000000">
            <w:pPr>
              <w:spacing w:before="80" w:after="80" w:line="200" w:lineRule="exact"/>
              <w:jc w:val="right"/>
              <w:rPr>
                <w:i/>
                <w:sz w:val="16"/>
              </w:rPr>
            </w:pPr>
            <w:r>
              <w:rPr>
                <w:bCs/>
                <w:i/>
                <w:sz w:val="16"/>
                <w:szCs w:val="16"/>
              </w:rPr>
              <w:t>CISCO touchées</w:t>
            </w:r>
          </w:p>
        </w:tc>
        <w:tc>
          <w:tcPr>
            <w:tcW w:w="1212" w:type="dxa"/>
            <w:tcBorders>
              <w:bottom w:val="single" w:sz="12" w:space="0" w:color="auto"/>
            </w:tcBorders>
            <w:shd w:val="clear" w:color="auto" w:fill="auto"/>
            <w:vAlign w:val="bottom"/>
          </w:tcPr>
          <w:p w:rsidR="00000000" w:rsidRDefault="00000000">
            <w:pPr>
              <w:spacing w:before="80" w:after="80" w:line="200" w:lineRule="exact"/>
              <w:jc w:val="right"/>
              <w:rPr>
                <w:i/>
                <w:sz w:val="16"/>
              </w:rPr>
            </w:pPr>
            <w:r>
              <w:rPr>
                <w:bCs/>
                <w:i/>
                <w:sz w:val="16"/>
                <w:szCs w:val="16"/>
              </w:rPr>
              <w:t>Scolarisés</w:t>
            </w:r>
          </w:p>
        </w:tc>
        <w:tc>
          <w:tcPr>
            <w:tcW w:w="1212" w:type="dxa"/>
            <w:tcBorders>
              <w:bottom w:val="single" w:sz="12" w:space="0" w:color="auto"/>
            </w:tcBorders>
            <w:shd w:val="clear" w:color="auto" w:fill="auto"/>
            <w:vAlign w:val="bottom"/>
          </w:tcPr>
          <w:p w:rsidR="00000000" w:rsidRDefault="00000000">
            <w:pPr>
              <w:spacing w:before="80" w:after="80" w:line="200" w:lineRule="exact"/>
              <w:jc w:val="right"/>
              <w:rPr>
                <w:i/>
                <w:sz w:val="16"/>
              </w:rPr>
            </w:pPr>
            <w:r>
              <w:rPr>
                <w:bCs/>
                <w:i/>
                <w:sz w:val="16"/>
                <w:szCs w:val="16"/>
              </w:rPr>
              <w:t>Non scolarisés</w:t>
            </w:r>
          </w:p>
        </w:tc>
        <w:tc>
          <w:tcPr>
            <w:tcW w:w="100" w:type="dxa"/>
            <w:tcBorders>
              <w:bottom w:val="single" w:sz="12" w:space="0" w:color="auto"/>
            </w:tcBorders>
            <w:shd w:val="clear" w:color="auto" w:fill="auto"/>
            <w:vAlign w:val="bottom"/>
          </w:tcPr>
          <w:p w:rsidR="00000000" w:rsidRDefault="00000000">
            <w:pPr>
              <w:spacing w:before="80" w:after="80" w:line="200" w:lineRule="exact"/>
              <w:jc w:val="right"/>
              <w:rPr>
                <w:i/>
                <w:sz w:val="16"/>
              </w:rPr>
            </w:pPr>
          </w:p>
        </w:tc>
        <w:tc>
          <w:tcPr>
            <w:tcW w:w="1212" w:type="dxa"/>
            <w:tcBorders>
              <w:bottom w:val="single" w:sz="12" w:space="0" w:color="auto"/>
            </w:tcBorders>
            <w:shd w:val="clear" w:color="auto" w:fill="auto"/>
            <w:vAlign w:val="bottom"/>
          </w:tcPr>
          <w:p w:rsidR="00000000" w:rsidRDefault="00000000">
            <w:pPr>
              <w:spacing w:before="80" w:after="80" w:line="200" w:lineRule="exact"/>
              <w:jc w:val="right"/>
              <w:rPr>
                <w:i/>
                <w:sz w:val="16"/>
              </w:rPr>
            </w:pPr>
            <w:r>
              <w:rPr>
                <w:bCs/>
                <w:i/>
                <w:sz w:val="16"/>
                <w:szCs w:val="16"/>
              </w:rPr>
              <w:t>Scolarisés</w:t>
            </w:r>
          </w:p>
        </w:tc>
        <w:tc>
          <w:tcPr>
            <w:tcW w:w="1212" w:type="dxa"/>
            <w:tcBorders>
              <w:bottom w:val="single" w:sz="12" w:space="0" w:color="auto"/>
            </w:tcBorders>
            <w:shd w:val="clear" w:color="auto" w:fill="auto"/>
            <w:vAlign w:val="bottom"/>
          </w:tcPr>
          <w:p w:rsidR="00000000" w:rsidRDefault="00000000">
            <w:pPr>
              <w:spacing w:before="80" w:after="80" w:line="200" w:lineRule="exact"/>
              <w:jc w:val="right"/>
              <w:rPr>
                <w:i/>
                <w:sz w:val="16"/>
              </w:rPr>
            </w:pPr>
            <w:r>
              <w:rPr>
                <w:bCs/>
                <w:i/>
                <w:sz w:val="16"/>
                <w:szCs w:val="16"/>
              </w:rPr>
              <w:t>Non scolarisés</w:t>
            </w:r>
          </w:p>
        </w:tc>
      </w:tr>
      <w:tr w:rsidR="00000000">
        <w:tc>
          <w:tcPr>
            <w:tcW w:w="1211" w:type="dxa"/>
            <w:tcBorders>
              <w:top w:val="single" w:sz="12" w:space="0" w:color="auto"/>
            </w:tcBorders>
            <w:shd w:val="clear" w:color="auto" w:fill="auto"/>
          </w:tcPr>
          <w:p w:rsidR="00000000" w:rsidRDefault="00000000">
            <w:pPr>
              <w:spacing w:before="40" w:after="40" w:line="220" w:lineRule="exact"/>
              <w:rPr>
                <w:bCs/>
                <w:sz w:val="18"/>
                <w:szCs w:val="18"/>
              </w:rPr>
            </w:pPr>
            <w:r>
              <w:rPr>
                <w:bCs/>
                <w:sz w:val="18"/>
                <w:szCs w:val="18"/>
              </w:rPr>
              <w:t>2005-2006</w:t>
            </w:r>
          </w:p>
        </w:tc>
        <w:tc>
          <w:tcPr>
            <w:tcW w:w="1211" w:type="dxa"/>
            <w:tcBorders>
              <w:top w:val="single" w:sz="12" w:space="0" w:color="auto"/>
            </w:tcBorders>
            <w:shd w:val="clear" w:color="auto" w:fill="auto"/>
            <w:vAlign w:val="bottom"/>
          </w:tcPr>
          <w:p w:rsidR="00000000" w:rsidRDefault="00000000">
            <w:pPr>
              <w:spacing w:before="40" w:after="40" w:line="220" w:lineRule="exact"/>
              <w:jc w:val="right"/>
              <w:rPr>
                <w:bCs/>
                <w:sz w:val="18"/>
                <w:szCs w:val="18"/>
              </w:rPr>
            </w:pPr>
            <w:r>
              <w:rPr>
                <w:bCs/>
                <w:sz w:val="18"/>
                <w:szCs w:val="18"/>
              </w:rPr>
              <w:t>56</w:t>
            </w:r>
          </w:p>
        </w:tc>
        <w:tc>
          <w:tcPr>
            <w:tcW w:w="1212" w:type="dxa"/>
            <w:tcBorders>
              <w:top w:val="single" w:sz="12" w:space="0" w:color="auto"/>
            </w:tcBorders>
            <w:shd w:val="clear" w:color="auto" w:fill="auto"/>
            <w:vAlign w:val="bottom"/>
          </w:tcPr>
          <w:p w:rsidR="00000000" w:rsidRDefault="00000000">
            <w:pPr>
              <w:spacing w:before="40" w:after="40" w:line="220" w:lineRule="exact"/>
              <w:jc w:val="right"/>
              <w:rPr>
                <w:sz w:val="18"/>
                <w:szCs w:val="18"/>
              </w:rPr>
            </w:pPr>
            <w:r>
              <w:rPr>
                <w:sz w:val="18"/>
                <w:szCs w:val="18"/>
              </w:rPr>
              <w:t>1 950 000</w:t>
            </w:r>
          </w:p>
        </w:tc>
        <w:tc>
          <w:tcPr>
            <w:tcW w:w="1212" w:type="dxa"/>
            <w:tcBorders>
              <w:top w:val="single" w:sz="12" w:space="0" w:color="auto"/>
            </w:tcBorders>
            <w:shd w:val="clear" w:color="auto" w:fill="auto"/>
            <w:vAlign w:val="bottom"/>
          </w:tcPr>
          <w:p w:rsidR="00000000" w:rsidRDefault="00000000">
            <w:pPr>
              <w:spacing w:before="40" w:after="40" w:line="220" w:lineRule="exact"/>
              <w:jc w:val="right"/>
              <w:rPr>
                <w:sz w:val="18"/>
                <w:szCs w:val="18"/>
              </w:rPr>
            </w:pPr>
            <w:r>
              <w:rPr>
                <w:sz w:val="18"/>
                <w:szCs w:val="18"/>
              </w:rPr>
              <w:t>190 000</w:t>
            </w:r>
          </w:p>
        </w:tc>
        <w:tc>
          <w:tcPr>
            <w:tcW w:w="100" w:type="dxa"/>
            <w:tcBorders>
              <w:top w:val="single" w:sz="12" w:space="0" w:color="auto"/>
            </w:tcBorders>
            <w:shd w:val="clear" w:color="auto" w:fill="auto"/>
            <w:vAlign w:val="bottom"/>
          </w:tcPr>
          <w:p w:rsidR="00000000" w:rsidRDefault="00000000">
            <w:pPr>
              <w:spacing w:before="40" w:after="40" w:line="220" w:lineRule="exact"/>
              <w:jc w:val="right"/>
              <w:rPr>
                <w:sz w:val="18"/>
                <w:szCs w:val="18"/>
              </w:rPr>
            </w:pPr>
          </w:p>
        </w:tc>
        <w:tc>
          <w:tcPr>
            <w:tcW w:w="1212" w:type="dxa"/>
            <w:tcBorders>
              <w:top w:val="single" w:sz="12" w:space="0" w:color="auto"/>
            </w:tcBorders>
            <w:shd w:val="clear" w:color="auto" w:fill="auto"/>
            <w:vAlign w:val="bottom"/>
          </w:tcPr>
          <w:p w:rsidR="00000000" w:rsidRDefault="00000000">
            <w:pPr>
              <w:spacing w:before="40" w:after="40" w:line="220" w:lineRule="exact"/>
              <w:jc w:val="right"/>
              <w:rPr>
                <w:sz w:val="18"/>
                <w:szCs w:val="18"/>
              </w:rPr>
            </w:pPr>
            <w:r>
              <w:rPr>
                <w:sz w:val="18"/>
                <w:szCs w:val="18"/>
              </w:rPr>
              <w:t>1 835 850</w:t>
            </w:r>
          </w:p>
        </w:tc>
        <w:tc>
          <w:tcPr>
            <w:tcW w:w="1212" w:type="dxa"/>
            <w:tcBorders>
              <w:top w:val="single" w:sz="12" w:space="0" w:color="auto"/>
            </w:tcBorders>
            <w:shd w:val="clear" w:color="auto" w:fill="auto"/>
            <w:vAlign w:val="bottom"/>
          </w:tcPr>
          <w:p w:rsidR="00000000" w:rsidRDefault="00000000">
            <w:pPr>
              <w:spacing w:before="40" w:after="40" w:line="220" w:lineRule="exact"/>
              <w:jc w:val="right"/>
              <w:rPr>
                <w:sz w:val="18"/>
                <w:szCs w:val="18"/>
              </w:rPr>
            </w:pPr>
            <w:r>
              <w:rPr>
                <w:sz w:val="18"/>
                <w:szCs w:val="18"/>
              </w:rPr>
              <w:t>175 000</w:t>
            </w:r>
          </w:p>
        </w:tc>
      </w:tr>
      <w:tr w:rsidR="00000000">
        <w:tc>
          <w:tcPr>
            <w:tcW w:w="1211" w:type="dxa"/>
            <w:shd w:val="clear" w:color="auto" w:fill="auto"/>
          </w:tcPr>
          <w:p w:rsidR="00000000" w:rsidRDefault="00000000">
            <w:pPr>
              <w:spacing w:before="40" w:after="40" w:line="220" w:lineRule="exact"/>
              <w:rPr>
                <w:bCs/>
                <w:sz w:val="18"/>
                <w:szCs w:val="18"/>
              </w:rPr>
            </w:pPr>
            <w:r>
              <w:rPr>
                <w:bCs/>
                <w:sz w:val="18"/>
                <w:szCs w:val="18"/>
              </w:rPr>
              <w:t>2006-2007</w:t>
            </w:r>
          </w:p>
        </w:tc>
        <w:tc>
          <w:tcPr>
            <w:tcW w:w="1211" w:type="dxa"/>
            <w:shd w:val="clear" w:color="auto" w:fill="auto"/>
            <w:vAlign w:val="bottom"/>
          </w:tcPr>
          <w:p w:rsidR="00000000" w:rsidRDefault="00000000">
            <w:pPr>
              <w:spacing w:before="40" w:after="40" w:line="220" w:lineRule="exact"/>
              <w:jc w:val="right"/>
              <w:rPr>
                <w:bCs/>
                <w:sz w:val="18"/>
                <w:szCs w:val="18"/>
              </w:rPr>
            </w:pPr>
            <w:r>
              <w:rPr>
                <w:bCs/>
                <w:sz w:val="18"/>
                <w:szCs w:val="18"/>
              </w:rPr>
              <w:t>60</w:t>
            </w:r>
          </w:p>
        </w:tc>
        <w:tc>
          <w:tcPr>
            <w:tcW w:w="1212" w:type="dxa"/>
            <w:shd w:val="clear" w:color="auto" w:fill="auto"/>
            <w:vAlign w:val="bottom"/>
          </w:tcPr>
          <w:p w:rsidR="00000000" w:rsidRDefault="00000000">
            <w:pPr>
              <w:spacing w:before="40" w:after="40" w:line="220" w:lineRule="exact"/>
              <w:jc w:val="right"/>
              <w:rPr>
                <w:sz w:val="18"/>
                <w:szCs w:val="18"/>
              </w:rPr>
            </w:pPr>
            <w:r>
              <w:rPr>
                <w:sz w:val="18"/>
                <w:szCs w:val="18"/>
              </w:rPr>
              <w:t>2 071 836</w:t>
            </w:r>
          </w:p>
        </w:tc>
        <w:tc>
          <w:tcPr>
            <w:tcW w:w="1212" w:type="dxa"/>
            <w:shd w:val="clear" w:color="auto" w:fill="auto"/>
            <w:vAlign w:val="bottom"/>
          </w:tcPr>
          <w:p w:rsidR="00000000" w:rsidRDefault="00000000">
            <w:pPr>
              <w:spacing w:before="40" w:after="40" w:line="220" w:lineRule="exact"/>
              <w:jc w:val="right"/>
              <w:rPr>
                <w:sz w:val="18"/>
                <w:szCs w:val="18"/>
              </w:rPr>
            </w:pPr>
            <w:r>
              <w:rPr>
                <w:sz w:val="18"/>
                <w:szCs w:val="18"/>
              </w:rPr>
              <w:t>250 000</w:t>
            </w:r>
          </w:p>
        </w:tc>
        <w:tc>
          <w:tcPr>
            <w:tcW w:w="100" w:type="dxa"/>
            <w:shd w:val="clear" w:color="auto" w:fill="auto"/>
            <w:vAlign w:val="bottom"/>
          </w:tcPr>
          <w:p w:rsidR="00000000" w:rsidRDefault="00000000">
            <w:pPr>
              <w:spacing w:before="40" w:after="40" w:line="220" w:lineRule="exact"/>
              <w:jc w:val="right"/>
              <w:rPr>
                <w:sz w:val="18"/>
                <w:szCs w:val="18"/>
              </w:rPr>
            </w:pPr>
          </w:p>
        </w:tc>
        <w:tc>
          <w:tcPr>
            <w:tcW w:w="1212" w:type="dxa"/>
            <w:shd w:val="clear" w:color="auto" w:fill="auto"/>
            <w:vAlign w:val="bottom"/>
          </w:tcPr>
          <w:p w:rsidR="00000000" w:rsidRDefault="00000000">
            <w:pPr>
              <w:spacing w:before="40" w:after="40" w:line="220" w:lineRule="exact"/>
              <w:jc w:val="right"/>
              <w:rPr>
                <w:sz w:val="18"/>
                <w:szCs w:val="18"/>
              </w:rPr>
            </w:pPr>
            <w:r>
              <w:rPr>
                <w:sz w:val="18"/>
                <w:szCs w:val="18"/>
              </w:rPr>
              <w:t>1 300 000*</w:t>
            </w:r>
          </w:p>
        </w:tc>
        <w:tc>
          <w:tcPr>
            <w:tcW w:w="1212" w:type="dxa"/>
            <w:shd w:val="clear" w:color="auto" w:fill="auto"/>
            <w:vAlign w:val="bottom"/>
          </w:tcPr>
          <w:p w:rsidR="00000000" w:rsidRDefault="00000000">
            <w:pPr>
              <w:spacing w:before="40" w:after="40" w:line="220" w:lineRule="exact"/>
              <w:jc w:val="right"/>
              <w:rPr>
                <w:sz w:val="18"/>
                <w:szCs w:val="18"/>
              </w:rPr>
            </w:pPr>
            <w:r>
              <w:rPr>
                <w:sz w:val="18"/>
                <w:szCs w:val="18"/>
              </w:rPr>
              <w:t>75 000*</w:t>
            </w:r>
          </w:p>
        </w:tc>
      </w:tr>
      <w:tr w:rsidR="00000000">
        <w:tc>
          <w:tcPr>
            <w:tcW w:w="1211" w:type="dxa"/>
            <w:tcBorders>
              <w:bottom w:val="single" w:sz="12" w:space="0" w:color="auto"/>
            </w:tcBorders>
            <w:shd w:val="clear" w:color="auto" w:fill="auto"/>
          </w:tcPr>
          <w:p w:rsidR="00000000" w:rsidRDefault="00000000">
            <w:pPr>
              <w:spacing w:before="40" w:after="40" w:line="220" w:lineRule="exact"/>
              <w:rPr>
                <w:bCs/>
                <w:sz w:val="18"/>
                <w:szCs w:val="18"/>
              </w:rPr>
            </w:pPr>
            <w:r>
              <w:rPr>
                <w:bCs/>
                <w:sz w:val="18"/>
                <w:szCs w:val="18"/>
              </w:rPr>
              <w:t>2007-2008</w:t>
            </w:r>
          </w:p>
        </w:tc>
        <w:tc>
          <w:tcPr>
            <w:tcW w:w="1211" w:type="dxa"/>
            <w:tcBorders>
              <w:bottom w:val="single" w:sz="12" w:space="0" w:color="auto"/>
            </w:tcBorders>
            <w:shd w:val="clear" w:color="auto" w:fill="auto"/>
            <w:vAlign w:val="bottom"/>
          </w:tcPr>
          <w:p w:rsidR="00000000" w:rsidRDefault="00000000">
            <w:pPr>
              <w:spacing w:before="40" w:after="40" w:line="220" w:lineRule="exact"/>
              <w:jc w:val="right"/>
              <w:rPr>
                <w:bCs/>
                <w:sz w:val="18"/>
                <w:szCs w:val="18"/>
              </w:rPr>
            </w:pPr>
            <w:r>
              <w:rPr>
                <w:bCs/>
                <w:sz w:val="18"/>
                <w:szCs w:val="18"/>
              </w:rPr>
              <w:t>111</w:t>
            </w:r>
          </w:p>
        </w:tc>
        <w:tc>
          <w:tcPr>
            <w:tcW w:w="1212" w:type="dxa"/>
            <w:tcBorders>
              <w:bottom w:val="single" w:sz="12" w:space="0" w:color="auto"/>
            </w:tcBorders>
            <w:shd w:val="clear" w:color="auto" w:fill="auto"/>
            <w:vAlign w:val="bottom"/>
          </w:tcPr>
          <w:p w:rsidR="00000000" w:rsidRDefault="00000000">
            <w:pPr>
              <w:spacing w:before="40" w:after="40" w:line="220" w:lineRule="exact"/>
              <w:jc w:val="right"/>
              <w:rPr>
                <w:sz w:val="18"/>
                <w:szCs w:val="18"/>
              </w:rPr>
            </w:pPr>
            <w:r>
              <w:rPr>
                <w:sz w:val="18"/>
                <w:szCs w:val="18"/>
              </w:rPr>
              <w:t>4 034 050</w:t>
            </w:r>
          </w:p>
        </w:tc>
        <w:tc>
          <w:tcPr>
            <w:tcW w:w="1212" w:type="dxa"/>
            <w:tcBorders>
              <w:bottom w:val="single" w:sz="12" w:space="0" w:color="auto"/>
            </w:tcBorders>
            <w:shd w:val="clear" w:color="auto" w:fill="auto"/>
            <w:vAlign w:val="bottom"/>
          </w:tcPr>
          <w:p w:rsidR="00000000" w:rsidRDefault="00000000">
            <w:pPr>
              <w:spacing w:before="40" w:after="40" w:line="220" w:lineRule="exact"/>
              <w:jc w:val="right"/>
              <w:rPr>
                <w:sz w:val="18"/>
                <w:szCs w:val="18"/>
              </w:rPr>
            </w:pPr>
            <w:r>
              <w:rPr>
                <w:sz w:val="18"/>
                <w:szCs w:val="18"/>
              </w:rPr>
              <w:t>400 000</w:t>
            </w:r>
          </w:p>
        </w:tc>
        <w:tc>
          <w:tcPr>
            <w:tcW w:w="100" w:type="dxa"/>
            <w:tcBorders>
              <w:bottom w:val="single" w:sz="12" w:space="0" w:color="auto"/>
            </w:tcBorders>
            <w:shd w:val="clear" w:color="auto" w:fill="auto"/>
            <w:vAlign w:val="bottom"/>
          </w:tcPr>
          <w:p w:rsidR="00000000" w:rsidRDefault="00000000">
            <w:pPr>
              <w:spacing w:before="40" w:after="40" w:line="220" w:lineRule="exact"/>
              <w:jc w:val="right"/>
              <w:rPr>
                <w:sz w:val="18"/>
                <w:szCs w:val="18"/>
              </w:rPr>
            </w:pPr>
          </w:p>
        </w:tc>
        <w:tc>
          <w:tcPr>
            <w:tcW w:w="1212" w:type="dxa"/>
            <w:tcBorders>
              <w:bottom w:val="single" w:sz="12" w:space="0" w:color="auto"/>
            </w:tcBorders>
            <w:shd w:val="clear" w:color="auto" w:fill="auto"/>
            <w:vAlign w:val="bottom"/>
          </w:tcPr>
          <w:p w:rsidR="00000000" w:rsidRDefault="00000000">
            <w:pPr>
              <w:spacing w:before="40" w:after="40" w:line="220" w:lineRule="exact"/>
              <w:jc w:val="right"/>
              <w:rPr>
                <w:sz w:val="18"/>
                <w:szCs w:val="18"/>
              </w:rPr>
            </w:pPr>
            <w:r>
              <w:rPr>
                <w:sz w:val="18"/>
                <w:szCs w:val="18"/>
              </w:rPr>
              <w:t>En cours</w:t>
            </w:r>
          </w:p>
        </w:tc>
        <w:tc>
          <w:tcPr>
            <w:tcW w:w="1212" w:type="dxa"/>
            <w:tcBorders>
              <w:bottom w:val="single" w:sz="12" w:space="0" w:color="auto"/>
            </w:tcBorders>
            <w:shd w:val="clear" w:color="auto" w:fill="auto"/>
            <w:vAlign w:val="bottom"/>
          </w:tcPr>
          <w:p w:rsidR="00000000" w:rsidRDefault="00000000">
            <w:pPr>
              <w:spacing w:before="40" w:after="40" w:line="220" w:lineRule="exact"/>
              <w:jc w:val="right"/>
              <w:rPr>
                <w:sz w:val="18"/>
                <w:szCs w:val="18"/>
              </w:rPr>
            </w:pPr>
          </w:p>
        </w:tc>
      </w:tr>
    </w:tbl>
    <w:p w:rsidR="00000000" w:rsidRDefault="00000000">
      <w:pPr>
        <w:spacing w:before="120" w:after="240"/>
        <w:ind w:left="1134" w:right="1134" w:firstLine="170"/>
        <w:rPr>
          <w:iCs/>
          <w:sz w:val="18"/>
          <w:szCs w:val="18"/>
          <w:lang w:val="fr-FR"/>
        </w:rPr>
      </w:pPr>
      <w:r>
        <w:rPr>
          <w:b/>
          <w:iCs/>
          <w:sz w:val="18"/>
          <w:szCs w:val="18"/>
          <w:lang w:val="fr-FR"/>
        </w:rPr>
        <w:t>*</w:t>
      </w:r>
      <w:r>
        <w:rPr>
          <w:iCs/>
          <w:sz w:val="18"/>
          <w:szCs w:val="18"/>
          <w:lang w:val="fr-FR"/>
        </w:rPr>
        <w:t xml:space="preserve"> Données partielles dues à un problème de remontée de rapports au niveau des ZAP ou CISCO (source rapports ONN).</w:t>
      </w:r>
    </w:p>
    <w:p w:rsidR="00000000" w:rsidRDefault="00000000">
      <w:pPr>
        <w:pStyle w:val="H23G"/>
        <w:rPr>
          <w:lang w:val="fr-FR"/>
        </w:rPr>
      </w:pPr>
      <w:bookmarkStart w:id="859" w:name="_Toc206414568"/>
      <w:bookmarkStart w:id="860" w:name="_Toc206460410"/>
      <w:bookmarkStart w:id="861" w:name="_Toc206460742"/>
      <w:bookmarkStart w:id="862" w:name="_Toc206461464"/>
      <w:bookmarkStart w:id="863" w:name="_Toc206476258"/>
      <w:bookmarkStart w:id="864" w:name="_Toc207788793"/>
      <w:bookmarkStart w:id="865" w:name="_Toc211835464"/>
      <w:bookmarkStart w:id="866" w:name="_Toc211926771"/>
      <w:r>
        <w:rPr>
          <w:lang w:val="fr-FR"/>
        </w:rPr>
        <w:tab/>
        <w:t>14.</w:t>
      </w:r>
      <w:r>
        <w:rPr>
          <w:lang w:val="fr-FR"/>
        </w:rPr>
        <w:tab/>
        <w:t>La fourniture de service de santé de qualité à tous</w:t>
      </w:r>
      <w:bookmarkEnd w:id="859"/>
      <w:bookmarkEnd w:id="860"/>
      <w:bookmarkEnd w:id="861"/>
      <w:bookmarkEnd w:id="862"/>
      <w:bookmarkEnd w:id="863"/>
      <w:bookmarkEnd w:id="864"/>
      <w:bookmarkEnd w:id="865"/>
      <w:bookmarkEnd w:id="866"/>
    </w:p>
    <w:p w:rsidR="00000000" w:rsidRDefault="00000000">
      <w:pPr>
        <w:pStyle w:val="SingleTxtG"/>
        <w:rPr>
          <w:lang w:val="fr-FR"/>
        </w:rPr>
      </w:pPr>
      <w:r>
        <w:rPr>
          <w:lang w:val="fr-FR"/>
        </w:rPr>
        <w:t>388.</w:t>
      </w:r>
      <w:r>
        <w:rPr>
          <w:lang w:val="fr-FR"/>
        </w:rPr>
        <w:tab/>
        <w:t>La redynamisation du système de santé basé sur les régions et les districts sanitaires a été relancée par l’affectation des moyens humains et matériels nécessaires à la bonne marche des services. Cette mesure, combinée avec les autres actions sectorielles liées à la santé notamment la nutrition, l’eau, l’assainissement et la sécurité alimentaire, a eu des impacts remarquables sur la santé de la population.</w:t>
      </w:r>
    </w:p>
    <w:p w:rsidR="00000000" w:rsidRDefault="00000000">
      <w:pPr>
        <w:pStyle w:val="SingleTxtG"/>
        <w:spacing w:after="0"/>
      </w:pPr>
      <w:bookmarkStart w:id="867" w:name="_Toc260298263"/>
      <w:r>
        <w:t xml:space="preserve">Figure </w:t>
      </w:r>
      <w:r>
        <w:rPr>
          <w:rFonts w:eastAsia="MS Mincho"/>
        </w:rPr>
        <w:t>n</w:t>
      </w:r>
      <w:r>
        <w:rPr>
          <w:rFonts w:eastAsia="MS Mincho"/>
          <w:vertAlign w:val="superscript"/>
        </w:rPr>
        <w:t>o</w:t>
      </w:r>
      <w:r>
        <w:t xml:space="preserve"> 3</w:t>
      </w:r>
    </w:p>
    <w:p w:rsidR="00000000" w:rsidRDefault="00000000">
      <w:pPr>
        <w:pStyle w:val="SingleTxtG"/>
        <w:rPr>
          <w:b/>
        </w:rPr>
      </w:pPr>
      <w:r>
        <w:rPr>
          <w:b/>
        </w:rPr>
        <w:t>Le service de qualité au niveau santé</w:t>
      </w:r>
      <w:bookmarkEnd w:id="867"/>
    </w:p>
    <w:bookmarkStart w:id="868" w:name="_MON_1335169793"/>
    <w:bookmarkStart w:id="869" w:name="_MON_1335169825"/>
    <w:bookmarkStart w:id="870" w:name="_MON_1335169841"/>
    <w:bookmarkEnd w:id="868"/>
    <w:bookmarkEnd w:id="869"/>
    <w:bookmarkEnd w:id="870"/>
    <w:p w:rsidR="00000000" w:rsidRDefault="00000000">
      <w:pPr>
        <w:jc w:val="center"/>
        <w:rPr>
          <w:lang w:val="fr-FR"/>
        </w:rPr>
      </w:pPr>
      <w:r>
        <w:object w:dxaOrig="9045" w:dyaOrig="6259">
          <v:shape id="_x0000_i1027" type="#_x0000_t75" style="width:452.25pt;height:312.75pt" o:ole="">
            <v:imagedata r:id="rId9" o:title=""/>
          </v:shape>
          <o:OLEObject Type="Embed" ProgID="Word.Picture.8" ShapeID="_x0000_i1027" DrawAspect="Content" ObjectID="_1395502916" r:id="rId10"/>
        </w:object>
      </w:r>
    </w:p>
    <w:p w:rsidR="00000000" w:rsidRDefault="00000000">
      <w:pPr>
        <w:pStyle w:val="SingleTxtG"/>
        <w:spacing w:before="240"/>
        <w:rPr>
          <w:lang w:val="fr-FR"/>
        </w:rPr>
      </w:pPr>
      <w:r>
        <w:rPr>
          <w:lang w:val="fr-FR"/>
        </w:rPr>
        <w:t>389.</w:t>
      </w:r>
      <w:r>
        <w:rPr>
          <w:lang w:val="fr-FR"/>
        </w:rPr>
        <w:tab/>
        <w:t>Le système de santé s’articule en niveaux bien distincts et fonctionnels et dont les domaines de compétences sont clairement circonscrits par l’organigramme:</w:t>
      </w:r>
    </w:p>
    <w:p w:rsidR="00000000" w:rsidRDefault="00000000">
      <w:pPr>
        <w:pStyle w:val="SingleTxtG"/>
        <w:rPr>
          <w:lang w:val="fr-FR"/>
        </w:rPr>
      </w:pPr>
      <w:r>
        <w:rPr>
          <w:lang w:val="fr-FR"/>
        </w:rPr>
        <w:t>390.</w:t>
      </w:r>
      <w:r>
        <w:rPr>
          <w:lang w:val="fr-FR"/>
        </w:rPr>
        <w:tab/>
        <w:t>Le Ministère de la santé, du planning familial et de la protection sociale définit l’orientation globale de la Politique nationale de santé, les grands axes stratégiques et la mise en œuvre.</w:t>
      </w:r>
    </w:p>
    <w:p w:rsidR="00000000" w:rsidRDefault="00000000">
      <w:pPr>
        <w:pStyle w:val="SingleTxtG"/>
        <w:rPr>
          <w:lang w:val="fr-FR"/>
        </w:rPr>
      </w:pPr>
      <w:r>
        <w:rPr>
          <w:lang w:val="fr-FR"/>
        </w:rPr>
        <w:t>391.</w:t>
      </w:r>
      <w:r>
        <w:rPr>
          <w:lang w:val="fr-FR"/>
        </w:rPr>
        <w:tab/>
        <w:t>La Direction régionale coordonne l’exécution de la Politique nationale de santé au niveau de la région.</w:t>
      </w:r>
    </w:p>
    <w:p w:rsidR="00000000" w:rsidRDefault="00000000">
      <w:pPr>
        <w:pStyle w:val="SingleTxtG"/>
        <w:rPr>
          <w:lang w:val="fr-FR"/>
        </w:rPr>
      </w:pPr>
      <w:r>
        <w:rPr>
          <w:lang w:val="fr-FR"/>
        </w:rPr>
        <w:t>392.</w:t>
      </w:r>
      <w:r>
        <w:rPr>
          <w:lang w:val="fr-FR"/>
        </w:rPr>
        <w:tab/>
        <w:t>Le Service de santé de district constitue le niveau périphérique et assure la mise en œuvre de toutes les activités des programmes de santé à niveau des centres hospitaliers du niveau 1 et 2 et des CSB. Ces CSB assurent les soins de santé primaire.</w:t>
      </w:r>
    </w:p>
    <w:p w:rsidR="00000000" w:rsidRDefault="00000000">
      <w:pPr>
        <w:pStyle w:val="SingleTxtG"/>
        <w:rPr>
          <w:lang w:val="fr-FR"/>
        </w:rPr>
      </w:pPr>
      <w:r>
        <w:rPr>
          <w:lang w:val="fr-FR"/>
        </w:rPr>
        <w:t>393.</w:t>
      </w:r>
      <w:r>
        <w:rPr>
          <w:lang w:val="fr-FR"/>
        </w:rPr>
        <w:tab/>
        <w:t>Le niveau communautaire constitue la base du système. Il est à la fois acteur et bénéficiaire.</w:t>
      </w:r>
    </w:p>
    <w:p w:rsidR="00000000" w:rsidRDefault="00000000">
      <w:pPr>
        <w:pStyle w:val="SingleTxtG"/>
        <w:keepNext/>
        <w:spacing w:after="0"/>
        <w:rPr>
          <w:bCs/>
        </w:rPr>
      </w:pPr>
      <w:bookmarkStart w:id="871" w:name="_Toc260298264"/>
      <w:r>
        <w:rPr>
          <w:bCs/>
        </w:rPr>
        <w:t xml:space="preserve">Figure </w:t>
      </w:r>
      <w:r>
        <w:rPr>
          <w:rFonts w:eastAsia="MS Mincho"/>
          <w:bCs/>
        </w:rPr>
        <w:t>n</w:t>
      </w:r>
      <w:r>
        <w:rPr>
          <w:rFonts w:eastAsia="MS Mincho"/>
          <w:bCs/>
          <w:vertAlign w:val="superscript"/>
        </w:rPr>
        <w:t>o</w:t>
      </w:r>
      <w:r>
        <w:rPr>
          <w:bCs/>
        </w:rPr>
        <w:t xml:space="preserve"> 4</w:t>
      </w:r>
    </w:p>
    <w:p w:rsidR="00000000" w:rsidRDefault="00000000">
      <w:pPr>
        <w:pStyle w:val="SingleTxtG"/>
        <w:keepNext/>
        <w:rPr>
          <w:b/>
          <w:bCs/>
        </w:rPr>
      </w:pPr>
      <w:r>
        <w:rPr>
          <w:b/>
          <w:bCs/>
        </w:rPr>
        <w:t>Les mesures prises pour le renforcement du système de santé: ressources humaines et équipements</w:t>
      </w:r>
      <w:bookmarkEnd w:id="871"/>
    </w:p>
    <w:tbl>
      <w:tblPr>
        <w:tblStyle w:val="TableGrid"/>
        <w:tblW w:w="7653" w:type="dxa"/>
        <w:jc w:val="center"/>
        <w:tblBorders>
          <w:top w:val="none" w:sz="0" w:space="0" w:color="auto"/>
          <w:left w:val="none" w:sz="0" w:space="0" w:color="auto"/>
          <w:bottom w:val="none" w:sz="0" w:space="0" w:color="auto"/>
          <w:right w:val="none" w:sz="0" w:space="0" w:color="auto"/>
          <w:insideH w:val="none" w:sz="0" w:space="0" w:color="auto"/>
        </w:tblBorders>
        <w:tblLayout w:type="fixed"/>
        <w:tblCellMar>
          <w:left w:w="142" w:type="dxa"/>
          <w:right w:w="142" w:type="dxa"/>
        </w:tblCellMar>
        <w:tblLook w:val="01E0" w:firstRow="1" w:lastRow="1" w:firstColumn="1" w:lastColumn="1" w:noHBand="0" w:noVBand="0"/>
      </w:tblPr>
      <w:tblGrid>
        <w:gridCol w:w="7653"/>
      </w:tblGrid>
      <w:tr w:rsidR="00000000">
        <w:trPr>
          <w:trHeight w:hRule="exact" w:val="240"/>
          <w:jc w:val="center"/>
        </w:trPr>
        <w:tc>
          <w:tcPr>
            <w:tcW w:w="7653" w:type="dxa"/>
            <w:tcBorders>
              <w:top w:val="single" w:sz="4" w:space="0" w:color="auto"/>
              <w:left w:val="single" w:sz="4" w:space="0" w:color="auto"/>
              <w:bottom w:val="nil"/>
              <w:right w:val="single" w:sz="4" w:space="0" w:color="auto"/>
            </w:tcBorders>
            <w:shd w:val="clear" w:color="auto" w:fill="auto"/>
          </w:tcPr>
          <w:p w:rsidR="00000000" w:rsidRDefault="00000000"/>
        </w:tc>
      </w:tr>
      <w:tr w:rsidR="00000000">
        <w:trPr>
          <w:jc w:val="center"/>
        </w:trPr>
        <w:tc>
          <w:tcPr>
            <w:tcW w:w="7653" w:type="dxa"/>
            <w:tcBorders>
              <w:left w:val="single" w:sz="4" w:space="0" w:color="auto"/>
              <w:bottom w:val="nil"/>
              <w:right w:val="single" w:sz="4" w:space="0" w:color="auto"/>
            </w:tcBorders>
            <w:shd w:val="clear" w:color="auto" w:fill="auto"/>
          </w:tcPr>
          <w:p w:rsidR="00000000" w:rsidRDefault="00000000">
            <w:pPr>
              <w:spacing w:after="120"/>
              <w:rPr>
                <w:lang w:val="fr-FR"/>
              </w:rPr>
            </w:pPr>
            <w:r>
              <w:rPr>
                <w:lang w:val="fr-FR"/>
              </w:rPr>
              <w:t>Recrutement de 3803 agents de santé (2002-2006) dont 881 médecins, 200 paramédicaux et 1 722 administratifs;</w:t>
            </w:r>
          </w:p>
          <w:p w:rsidR="00000000" w:rsidRDefault="00000000">
            <w:pPr>
              <w:spacing w:after="120"/>
              <w:rPr>
                <w:lang w:val="fr-FR"/>
              </w:rPr>
            </w:pPr>
            <w:r>
              <w:rPr>
                <w:lang w:val="fr-FR"/>
              </w:rPr>
              <w:t>Renforcement de compétences des agents de santé;</w:t>
            </w:r>
          </w:p>
          <w:p w:rsidR="00000000" w:rsidRDefault="00000000">
            <w:pPr>
              <w:spacing w:after="120"/>
              <w:rPr>
                <w:lang w:val="fr-FR"/>
              </w:rPr>
            </w:pPr>
            <w:r>
              <w:rPr>
                <w:lang w:val="fr-FR"/>
              </w:rPr>
              <w:t>Mise aux normes des infrastructures;</w:t>
            </w:r>
          </w:p>
          <w:p w:rsidR="00000000" w:rsidRDefault="00000000">
            <w:pPr>
              <w:spacing w:after="120"/>
              <w:rPr>
                <w:lang w:val="fr-FR"/>
              </w:rPr>
            </w:pPr>
            <w:r>
              <w:rPr>
                <w:lang w:val="fr-FR"/>
              </w:rPr>
              <w:t>Rééquipement des CSB (CSB de 31 SSD dotés en kit d’accouchement, 790 réfrigérateurs et 138 congélateurs…);</w:t>
            </w:r>
          </w:p>
          <w:p w:rsidR="00000000" w:rsidRDefault="00000000">
            <w:pPr>
              <w:spacing w:after="120"/>
              <w:rPr>
                <w:lang w:val="fr-FR"/>
              </w:rPr>
            </w:pPr>
            <w:r>
              <w:rPr>
                <w:lang w:val="fr-FR"/>
              </w:rPr>
              <w:t>21 CHRR dotés de matériels et équipements de laboratoire;</w:t>
            </w:r>
          </w:p>
          <w:p w:rsidR="00000000" w:rsidRDefault="00000000">
            <w:pPr>
              <w:spacing w:after="120"/>
              <w:rPr>
                <w:lang w:val="fr-FR"/>
              </w:rPr>
            </w:pPr>
            <w:r>
              <w:rPr>
                <w:lang w:val="fr-FR"/>
              </w:rPr>
              <w:t>Dotation en ambulances des CHD2, 21 SSD en 4x4 et 4 régions en camions;</w:t>
            </w:r>
          </w:p>
          <w:p w:rsidR="00000000" w:rsidRDefault="00000000">
            <w:pPr>
              <w:spacing w:after="120"/>
              <w:rPr>
                <w:lang w:val="fr-FR"/>
              </w:rPr>
            </w:pPr>
            <w:r>
              <w:rPr>
                <w:lang w:val="fr-FR"/>
              </w:rPr>
              <w:t>Mise en place de réseau de communication dans les CHD2 et 350 CSB (BLU et BLU data);</w:t>
            </w:r>
          </w:p>
          <w:p w:rsidR="00000000" w:rsidRDefault="00000000">
            <w:pPr>
              <w:rPr>
                <w:lang w:val="fr-FR"/>
              </w:rPr>
            </w:pPr>
            <w:r>
              <w:rPr>
                <w:lang w:val="fr-FR"/>
              </w:rPr>
              <w:t>Généralisation du système d’information sanitaire informatisé;</w:t>
            </w:r>
          </w:p>
          <w:p w:rsidR="00000000" w:rsidRDefault="00000000">
            <w:pPr>
              <w:spacing w:after="120"/>
              <w:jc w:val="both"/>
            </w:pPr>
            <w:r>
              <w:rPr>
                <w:lang w:val="fr-FR"/>
              </w:rPr>
              <w:t>Mise en réseau interne du niveau central.</w:t>
            </w:r>
          </w:p>
        </w:tc>
      </w:tr>
      <w:tr w:rsidR="00000000">
        <w:trPr>
          <w:trHeight w:hRule="exact" w:val="23"/>
          <w:jc w:val="center"/>
        </w:trPr>
        <w:tc>
          <w:tcPr>
            <w:tcW w:w="7653" w:type="dxa"/>
            <w:tcBorders>
              <w:left w:val="single" w:sz="4" w:space="0" w:color="auto"/>
              <w:bottom w:val="single" w:sz="4" w:space="0" w:color="auto"/>
              <w:right w:val="single" w:sz="4" w:space="0" w:color="auto"/>
            </w:tcBorders>
            <w:shd w:val="clear" w:color="auto" w:fill="auto"/>
          </w:tcPr>
          <w:p w:rsidR="00000000" w:rsidRDefault="00000000"/>
        </w:tc>
      </w:tr>
    </w:tbl>
    <w:p w:rsidR="00000000" w:rsidRDefault="00000000">
      <w:pPr>
        <w:pStyle w:val="H23G"/>
        <w:rPr>
          <w:lang w:val="fr-FR"/>
        </w:rPr>
      </w:pPr>
      <w:bookmarkStart w:id="872" w:name="_Toc206414569"/>
      <w:bookmarkStart w:id="873" w:name="_Toc206460411"/>
      <w:bookmarkStart w:id="874" w:name="_Toc206460743"/>
      <w:bookmarkStart w:id="875" w:name="_Toc206461465"/>
      <w:bookmarkStart w:id="876" w:name="_Toc206476259"/>
      <w:bookmarkStart w:id="877" w:name="_Toc207788794"/>
      <w:bookmarkStart w:id="878" w:name="_Toc211835465"/>
      <w:bookmarkStart w:id="879" w:name="_Toc211926772"/>
      <w:r>
        <w:rPr>
          <w:lang w:val="fr-FR"/>
        </w:rPr>
        <w:tab/>
        <w:t>15.</w:t>
      </w:r>
      <w:r>
        <w:rPr>
          <w:lang w:val="fr-FR"/>
        </w:rPr>
        <w:tab/>
        <w:t>Renforcement des activités de vaccination</w:t>
      </w:r>
      <w:bookmarkEnd w:id="872"/>
      <w:bookmarkEnd w:id="873"/>
      <w:bookmarkEnd w:id="874"/>
      <w:bookmarkEnd w:id="875"/>
      <w:bookmarkEnd w:id="876"/>
      <w:bookmarkEnd w:id="877"/>
      <w:bookmarkEnd w:id="878"/>
      <w:bookmarkEnd w:id="879"/>
    </w:p>
    <w:p w:rsidR="00000000" w:rsidRDefault="00000000">
      <w:pPr>
        <w:pStyle w:val="SingleTxtG"/>
        <w:rPr>
          <w:lang w:val="fr-FR"/>
        </w:rPr>
      </w:pPr>
      <w:r>
        <w:rPr>
          <w:lang w:val="fr-FR"/>
        </w:rPr>
        <w:t>394.</w:t>
      </w:r>
      <w:r>
        <w:rPr>
          <w:lang w:val="fr-FR"/>
        </w:rPr>
        <w:tab/>
        <w:t>La plupart des maladies que l’on peut prévenir par la vaccination sont désormais sous contrôle à Madagascar. Les stratégies de vaccination sont renforcées par de vastes campagnes de vaccination supplémentaire: rougeole en 2004 et polio en 2006.</w:t>
      </w:r>
    </w:p>
    <w:p w:rsidR="00000000" w:rsidRDefault="00000000">
      <w:pPr>
        <w:pStyle w:val="SingleTxtG"/>
        <w:rPr>
          <w:lang w:val="fr-FR"/>
        </w:rPr>
      </w:pPr>
      <w:r>
        <w:rPr>
          <w:lang w:val="fr-FR"/>
        </w:rPr>
        <w:t>395.</w:t>
      </w:r>
      <w:r>
        <w:rPr>
          <w:lang w:val="fr-FR"/>
        </w:rPr>
        <w:tab/>
        <w:t xml:space="preserve">Le pays est en passe d’être certifié «sans polio». </w:t>
      </w:r>
    </w:p>
    <w:p w:rsidR="00000000" w:rsidRDefault="00000000">
      <w:pPr>
        <w:pStyle w:val="SingleTxtG"/>
        <w:rPr>
          <w:lang w:val="fr-FR"/>
        </w:rPr>
      </w:pPr>
      <w:r>
        <w:rPr>
          <w:lang w:val="fr-FR"/>
        </w:rPr>
        <w:t>396.</w:t>
      </w:r>
      <w:r>
        <w:rPr>
          <w:lang w:val="fr-FR"/>
        </w:rPr>
        <w:tab/>
        <w:t>Le pays a également enregistré des progrès en 2006/2007 vers l’élimination du tétanos maternel et néonatal suite à des activités de vaccination supplémentaire auprès des femmes enceintes et des femmes en âge de procréer au niveau des districts à haut risque.</w:t>
      </w:r>
    </w:p>
    <w:p w:rsidR="00000000" w:rsidRDefault="00000000">
      <w:pPr>
        <w:pStyle w:val="SingleTxtG"/>
        <w:spacing w:after="0"/>
        <w:rPr>
          <w:bCs/>
        </w:rPr>
      </w:pPr>
      <w:bookmarkStart w:id="880" w:name="_Toc260298265"/>
      <w:r>
        <w:rPr>
          <w:bCs/>
        </w:rPr>
        <w:t>Tableau 26</w:t>
      </w:r>
    </w:p>
    <w:p w:rsidR="00000000" w:rsidRDefault="00000000">
      <w:pPr>
        <w:pStyle w:val="SingleTxtG"/>
        <w:rPr>
          <w:b/>
          <w:bCs/>
        </w:rPr>
      </w:pPr>
      <w:r>
        <w:rPr>
          <w:b/>
          <w:bCs/>
        </w:rPr>
        <w:t>Évolution du taux de couverture de 2001 à 2006</w:t>
      </w:r>
      <w:bookmarkEnd w:id="880"/>
    </w:p>
    <w:tbl>
      <w:tblPr>
        <w:tblW w:w="7371" w:type="dxa"/>
        <w:tblInd w:w="1134" w:type="dxa"/>
        <w:tblCellMar>
          <w:left w:w="0" w:type="dxa"/>
          <w:right w:w="0" w:type="dxa"/>
        </w:tblCellMar>
        <w:tblLook w:val="04A0" w:firstRow="1" w:lastRow="0" w:firstColumn="1" w:lastColumn="0" w:noHBand="0" w:noVBand="1"/>
      </w:tblPr>
      <w:tblGrid>
        <w:gridCol w:w="1564"/>
        <w:gridCol w:w="1010"/>
        <w:gridCol w:w="1010"/>
        <w:gridCol w:w="919"/>
        <w:gridCol w:w="1009"/>
        <w:gridCol w:w="919"/>
        <w:gridCol w:w="940"/>
      </w:tblGrid>
      <w:tr w:rsidR="00000000">
        <w:tc>
          <w:tcPr>
            <w:tcW w:w="1564" w:type="dxa"/>
            <w:tcBorders>
              <w:top w:val="single" w:sz="12" w:space="0" w:color="auto"/>
            </w:tcBorders>
            <w:shd w:val="clear" w:color="auto" w:fill="auto"/>
            <w:vAlign w:val="bottom"/>
          </w:tcPr>
          <w:p w:rsidR="00000000" w:rsidRDefault="00000000">
            <w:pPr>
              <w:spacing w:before="80" w:after="80" w:line="200" w:lineRule="exact"/>
              <w:rPr>
                <w:bCs/>
                <w:i/>
                <w:sz w:val="16"/>
                <w:szCs w:val="16"/>
              </w:rPr>
            </w:pPr>
          </w:p>
        </w:tc>
        <w:tc>
          <w:tcPr>
            <w:tcW w:w="5807" w:type="dxa"/>
            <w:gridSpan w:val="6"/>
            <w:tcBorders>
              <w:top w:val="single" w:sz="12" w:space="0" w:color="auto"/>
              <w:bottom w:val="single" w:sz="4" w:space="0" w:color="auto"/>
            </w:tcBorders>
            <w:shd w:val="clear" w:color="auto" w:fill="auto"/>
            <w:vAlign w:val="bottom"/>
          </w:tcPr>
          <w:p w:rsidR="00000000" w:rsidRDefault="00000000">
            <w:pPr>
              <w:spacing w:before="80" w:after="80" w:line="200" w:lineRule="exact"/>
              <w:jc w:val="center"/>
              <w:rPr>
                <w:bCs/>
                <w:i/>
                <w:sz w:val="16"/>
                <w:szCs w:val="16"/>
              </w:rPr>
            </w:pPr>
            <w:r>
              <w:rPr>
                <w:bCs/>
                <w:i/>
                <w:sz w:val="16"/>
                <w:szCs w:val="16"/>
              </w:rPr>
              <w:t>Années</w:t>
            </w:r>
          </w:p>
        </w:tc>
      </w:tr>
      <w:tr w:rsidR="00000000">
        <w:tc>
          <w:tcPr>
            <w:tcW w:w="1564" w:type="dxa"/>
            <w:tcBorders>
              <w:bottom w:val="single" w:sz="12" w:space="0" w:color="auto"/>
            </w:tcBorders>
            <w:shd w:val="clear" w:color="auto" w:fill="auto"/>
            <w:vAlign w:val="bottom"/>
          </w:tcPr>
          <w:p w:rsidR="00000000" w:rsidRDefault="00000000">
            <w:pPr>
              <w:spacing w:before="80" w:after="80" w:line="200" w:lineRule="exact"/>
              <w:rPr>
                <w:bCs/>
                <w:i/>
                <w:sz w:val="16"/>
                <w:szCs w:val="16"/>
              </w:rPr>
            </w:pPr>
            <w:r>
              <w:rPr>
                <w:bCs/>
                <w:i/>
                <w:sz w:val="16"/>
                <w:szCs w:val="16"/>
              </w:rPr>
              <w:t>Antigènes</w:t>
            </w:r>
          </w:p>
        </w:tc>
        <w:tc>
          <w:tcPr>
            <w:tcW w:w="1010" w:type="dxa"/>
            <w:tcBorders>
              <w:top w:val="single" w:sz="4" w:space="0" w:color="auto"/>
              <w:bottom w:val="single" w:sz="12" w:space="0" w:color="auto"/>
            </w:tcBorders>
            <w:shd w:val="clear" w:color="auto" w:fill="auto"/>
            <w:vAlign w:val="bottom"/>
          </w:tcPr>
          <w:p w:rsidR="00000000" w:rsidRDefault="00000000">
            <w:pPr>
              <w:spacing w:before="80" w:after="80" w:line="200" w:lineRule="exact"/>
              <w:rPr>
                <w:bCs/>
                <w:i/>
                <w:sz w:val="16"/>
                <w:szCs w:val="16"/>
              </w:rPr>
            </w:pPr>
            <w:r>
              <w:rPr>
                <w:bCs/>
                <w:i/>
                <w:sz w:val="16"/>
                <w:szCs w:val="16"/>
              </w:rPr>
              <w:t>2001</w:t>
            </w:r>
          </w:p>
        </w:tc>
        <w:tc>
          <w:tcPr>
            <w:tcW w:w="1010" w:type="dxa"/>
            <w:tcBorders>
              <w:top w:val="single" w:sz="4" w:space="0" w:color="auto"/>
              <w:bottom w:val="single" w:sz="12" w:space="0" w:color="auto"/>
            </w:tcBorders>
            <w:shd w:val="clear" w:color="auto" w:fill="auto"/>
            <w:vAlign w:val="bottom"/>
          </w:tcPr>
          <w:p w:rsidR="00000000" w:rsidRDefault="00000000">
            <w:pPr>
              <w:spacing w:before="80" w:after="80" w:line="200" w:lineRule="exact"/>
              <w:rPr>
                <w:bCs/>
                <w:i/>
                <w:sz w:val="16"/>
                <w:szCs w:val="16"/>
              </w:rPr>
            </w:pPr>
            <w:r>
              <w:rPr>
                <w:bCs/>
                <w:i/>
                <w:sz w:val="16"/>
                <w:szCs w:val="16"/>
              </w:rPr>
              <w:t>2002</w:t>
            </w:r>
          </w:p>
        </w:tc>
        <w:tc>
          <w:tcPr>
            <w:tcW w:w="919" w:type="dxa"/>
            <w:tcBorders>
              <w:top w:val="single" w:sz="4" w:space="0" w:color="auto"/>
              <w:bottom w:val="single" w:sz="12" w:space="0" w:color="auto"/>
            </w:tcBorders>
            <w:shd w:val="clear" w:color="auto" w:fill="auto"/>
            <w:vAlign w:val="bottom"/>
          </w:tcPr>
          <w:p w:rsidR="00000000" w:rsidRDefault="00000000">
            <w:pPr>
              <w:spacing w:before="80" w:after="80" w:line="200" w:lineRule="exact"/>
              <w:rPr>
                <w:bCs/>
                <w:i/>
                <w:sz w:val="16"/>
                <w:szCs w:val="16"/>
              </w:rPr>
            </w:pPr>
            <w:r>
              <w:rPr>
                <w:bCs/>
                <w:i/>
                <w:sz w:val="16"/>
                <w:szCs w:val="16"/>
              </w:rPr>
              <w:t>2003</w:t>
            </w:r>
          </w:p>
        </w:tc>
        <w:tc>
          <w:tcPr>
            <w:tcW w:w="1009" w:type="dxa"/>
            <w:tcBorders>
              <w:top w:val="single" w:sz="4" w:space="0" w:color="auto"/>
              <w:bottom w:val="single" w:sz="12" w:space="0" w:color="auto"/>
            </w:tcBorders>
            <w:shd w:val="clear" w:color="auto" w:fill="auto"/>
            <w:vAlign w:val="bottom"/>
          </w:tcPr>
          <w:p w:rsidR="00000000" w:rsidRDefault="00000000">
            <w:pPr>
              <w:spacing w:before="80" w:after="80" w:line="200" w:lineRule="exact"/>
              <w:rPr>
                <w:bCs/>
                <w:i/>
                <w:sz w:val="16"/>
                <w:szCs w:val="16"/>
              </w:rPr>
            </w:pPr>
            <w:r>
              <w:rPr>
                <w:bCs/>
                <w:i/>
                <w:sz w:val="16"/>
                <w:szCs w:val="16"/>
              </w:rPr>
              <w:t>2004</w:t>
            </w:r>
          </w:p>
        </w:tc>
        <w:tc>
          <w:tcPr>
            <w:tcW w:w="919" w:type="dxa"/>
            <w:tcBorders>
              <w:top w:val="single" w:sz="4" w:space="0" w:color="auto"/>
              <w:bottom w:val="single" w:sz="12" w:space="0" w:color="auto"/>
            </w:tcBorders>
            <w:shd w:val="clear" w:color="auto" w:fill="auto"/>
            <w:vAlign w:val="bottom"/>
          </w:tcPr>
          <w:p w:rsidR="00000000" w:rsidRDefault="00000000">
            <w:pPr>
              <w:spacing w:before="80" w:after="80" w:line="200" w:lineRule="exact"/>
              <w:rPr>
                <w:bCs/>
                <w:i/>
                <w:sz w:val="16"/>
                <w:szCs w:val="16"/>
              </w:rPr>
            </w:pPr>
            <w:r>
              <w:rPr>
                <w:bCs/>
                <w:i/>
                <w:sz w:val="16"/>
                <w:szCs w:val="16"/>
              </w:rPr>
              <w:t>2005</w:t>
            </w:r>
          </w:p>
        </w:tc>
        <w:tc>
          <w:tcPr>
            <w:tcW w:w="940" w:type="dxa"/>
            <w:tcBorders>
              <w:top w:val="single" w:sz="4" w:space="0" w:color="auto"/>
              <w:bottom w:val="single" w:sz="12" w:space="0" w:color="auto"/>
            </w:tcBorders>
            <w:shd w:val="clear" w:color="auto" w:fill="auto"/>
            <w:vAlign w:val="bottom"/>
          </w:tcPr>
          <w:p w:rsidR="00000000" w:rsidRDefault="00000000">
            <w:pPr>
              <w:spacing w:before="80" w:after="80" w:line="200" w:lineRule="exact"/>
              <w:rPr>
                <w:bCs/>
                <w:i/>
                <w:sz w:val="16"/>
                <w:szCs w:val="16"/>
              </w:rPr>
            </w:pPr>
            <w:r>
              <w:rPr>
                <w:bCs/>
                <w:i/>
                <w:sz w:val="16"/>
                <w:szCs w:val="16"/>
              </w:rPr>
              <w:t>2006</w:t>
            </w:r>
          </w:p>
        </w:tc>
      </w:tr>
      <w:tr w:rsidR="00000000">
        <w:tc>
          <w:tcPr>
            <w:tcW w:w="1564" w:type="dxa"/>
            <w:tcBorders>
              <w:top w:val="single" w:sz="12" w:space="0" w:color="auto"/>
            </w:tcBorders>
            <w:shd w:val="clear" w:color="auto" w:fill="auto"/>
            <w:vAlign w:val="bottom"/>
          </w:tcPr>
          <w:p w:rsidR="00000000" w:rsidRDefault="00000000">
            <w:pPr>
              <w:spacing w:before="40" w:after="40" w:line="220" w:lineRule="atLeast"/>
              <w:rPr>
                <w:bCs/>
                <w:sz w:val="18"/>
                <w:szCs w:val="18"/>
              </w:rPr>
            </w:pPr>
            <w:r>
              <w:rPr>
                <w:bCs/>
                <w:sz w:val="18"/>
                <w:szCs w:val="18"/>
              </w:rPr>
              <w:t>BCG</w:t>
            </w:r>
          </w:p>
        </w:tc>
        <w:tc>
          <w:tcPr>
            <w:tcW w:w="1010" w:type="dxa"/>
            <w:tcBorders>
              <w:top w:val="single" w:sz="12" w:space="0" w:color="auto"/>
            </w:tcBorders>
            <w:shd w:val="clear" w:color="auto" w:fill="auto"/>
            <w:vAlign w:val="bottom"/>
          </w:tcPr>
          <w:p w:rsidR="00000000" w:rsidRDefault="00000000">
            <w:pPr>
              <w:spacing w:before="40" w:after="40" w:line="220" w:lineRule="atLeast"/>
              <w:jc w:val="right"/>
              <w:rPr>
                <w:sz w:val="18"/>
                <w:szCs w:val="18"/>
              </w:rPr>
            </w:pPr>
            <w:r>
              <w:rPr>
                <w:sz w:val="18"/>
                <w:szCs w:val="18"/>
              </w:rPr>
              <w:t>87,8</w:t>
            </w:r>
          </w:p>
        </w:tc>
        <w:tc>
          <w:tcPr>
            <w:tcW w:w="1010" w:type="dxa"/>
            <w:tcBorders>
              <w:top w:val="single" w:sz="12" w:space="0" w:color="auto"/>
            </w:tcBorders>
            <w:shd w:val="clear" w:color="auto" w:fill="auto"/>
            <w:vAlign w:val="bottom"/>
          </w:tcPr>
          <w:p w:rsidR="00000000" w:rsidRDefault="00000000">
            <w:pPr>
              <w:spacing w:before="40" w:after="40" w:line="220" w:lineRule="atLeast"/>
              <w:jc w:val="right"/>
              <w:rPr>
                <w:sz w:val="18"/>
                <w:szCs w:val="18"/>
              </w:rPr>
            </w:pPr>
            <w:r>
              <w:rPr>
                <w:sz w:val="18"/>
                <w:szCs w:val="18"/>
              </w:rPr>
              <w:t>73,6</w:t>
            </w:r>
          </w:p>
        </w:tc>
        <w:tc>
          <w:tcPr>
            <w:tcW w:w="919" w:type="dxa"/>
            <w:tcBorders>
              <w:top w:val="single" w:sz="12" w:space="0" w:color="auto"/>
            </w:tcBorders>
            <w:shd w:val="clear" w:color="auto" w:fill="auto"/>
            <w:vAlign w:val="bottom"/>
          </w:tcPr>
          <w:p w:rsidR="00000000" w:rsidRDefault="00000000">
            <w:pPr>
              <w:spacing w:before="40" w:after="40" w:line="220" w:lineRule="atLeast"/>
              <w:jc w:val="right"/>
              <w:rPr>
                <w:sz w:val="18"/>
                <w:szCs w:val="18"/>
              </w:rPr>
            </w:pPr>
            <w:r>
              <w:rPr>
                <w:sz w:val="18"/>
                <w:szCs w:val="18"/>
              </w:rPr>
              <w:t>96,3</w:t>
            </w:r>
          </w:p>
        </w:tc>
        <w:tc>
          <w:tcPr>
            <w:tcW w:w="1009" w:type="dxa"/>
            <w:tcBorders>
              <w:top w:val="single" w:sz="12" w:space="0" w:color="auto"/>
            </w:tcBorders>
            <w:shd w:val="clear" w:color="auto" w:fill="auto"/>
            <w:vAlign w:val="bottom"/>
          </w:tcPr>
          <w:p w:rsidR="00000000" w:rsidRDefault="00000000">
            <w:pPr>
              <w:spacing w:before="40" w:after="40" w:line="220" w:lineRule="atLeast"/>
              <w:jc w:val="right"/>
              <w:rPr>
                <w:sz w:val="18"/>
                <w:szCs w:val="18"/>
              </w:rPr>
            </w:pPr>
            <w:r>
              <w:rPr>
                <w:sz w:val="18"/>
                <w:szCs w:val="18"/>
              </w:rPr>
              <w:t>89</w:t>
            </w:r>
          </w:p>
        </w:tc>
        <w:tc>
          <w:tcPr>
            <w:tcW w:w="919" w:type="dxa"/>
            <w:tcBorders>
              <w:top w:val="single" w:sz="12" w:space="0" w:color="auto"/>
            </w:tcBorders>
            <w:shd w:val="clear" w:color="auto" w:fill="auto"/>
            <w:vAlign w:val="bottom"/>
          </w:tcPr>
          <w:p w:rsidR="00000000" w:rsidRDefault="00000000">
            <w:pPr>
              <w:spacing w:before="40" w:after="40" w:line="220" w:lineRule="atLeast"/>
              <w:jc w:val="right"/>
              <w:rPr>
                <w:sz w:val="18"/>
                <w:szCs w:val="18"/>
              </w:rPr>
            </w:pPr>
            <w:r>
              <w:rPr>
                <w:sz w:val="18"/>
                <w:szCs w:val="18"/>
              </w:rPr>
              <w:t>95,2</w:t>
            </w:r>
          </w:p>
        </w:tc>
        <w:tc>
          <w:tcPr>
            <w:tcW w:w="940" w:type="dxa"/>
            <w:tcBorders>
              <w:top w:val="single" w:sz="12" w:space="0" w:color="auto"/>
            </w:tcBorders>
            <w:shd w:val="clear" w:color="auto" w:fill="auto"/>
            <w:vAlign w:val="bottom"/>
          </w:tcPr>
          <w:p w:rsidR="00000000" w:rsidRDefault="00000000">
            <w:pPr>
              <w:spacing w:before="40" w:after="40" w:line="220" w:lineRule="atLeast"/>
              <w:jc w:val="right"/>
              <w:rPr>
                <w:sz w:val="18"/>
                <w:szCs w:val="18"/>
              </w:rPr>
            </w:pPr>
            <w:r>
              <w:rPr>
                <w:sz w:val="18"/>
                <w:szCs w:val="18"/>
              </w:rPr>
              <w:t>100</w:t>
            </w:r>
          </w:p>
        </w:tc>
      </w:tr>
      <w:tr w:rsidR="00000000">
        <w:tc>
          <w:tcPr>
            <w:tcW w:w="1564" w:type="dxa"/>
            <w:shd w:val="clear" w:color="auto" w:fill="auto"/>
            <w:vAlign w:val="bottom"/>
          </w:tcPr>
          <w:p w:rsidR="00000000" w:rsidRDefault="00000000">
            <w:pPr>
              <w:spacing w:before="40" w:after="40" w:line="220" w:lineRule="atLeast"/>
              <w:rPr>
                <w:bCs/>
                <w:sz w:val="18"/>
                <w:szCs w:val="18"/>
              </w:rPr>
            </w:pPr>
            <w:r>
              <w:rPr>
                <w:bCs/>
                <w:sz w:val="18"/>
                <w:szCs w:val="18"/>
              </w:rPr>
              <w:t>DTC</w:t>
            </w:r>
          </w:p>
        </w:tc>
        <w:tc>
          <w:tcPr>
            <w:tcW w:w="1010" w:type="dxa"/>
            <w:shd w:val="clear" w:color="auto" w:fill="auto"/>
            <w:vAlign w:val="bottom"/>
          </w:tcPr>
          <w:p w:rsidR="00000000" w:rsidRDefault="00000000">
            <w:pPr>
              <w:spacing w:before="40" w:after="40" w:line="220" w:lineRule="atLeast"/>
              <w:jc w:val="right"/>
              <w:rPr>
                <w:sz w:val="18"/>
                <w:szCs w:val="18"/>
              </w:rPr>
            </w:pPr>
            <w:r>
              <w:rPr>
                <w:sz w:val="18"/>
                <w:szCs w:val="18"/>
              </w:rPr>
              <w:t>80,2</w:t>
            </w:r>
          </w:p>
        </w:tc>
        <w:tc>
          <w:tcPr>
            <w:tcW w:w="1010" w:type="dxa"/>
            <w:shd w:val="clear" w:color="auto" w:fill="auto"/>
            <w:vAlign w:val="bottom"/>
          </w:tcPr>
          <w:p w:rsidR="00000000" w:rsidRDefault="00000000">
            <w:pPr>
              <w:spacing w:before="40" w:after="40" w:line="220" w:lineRule="atLeast"/>
              <w:jc w:val="right"/>
              <w:rPr>
                <w:sz w:val="18"/>
                <w:szCs w:val="18"/>
              </w:rPr>
            </w:pPr>
            <w:r>
              <w:rPr>
                <w:sz w:val="18"/>
                <w:szCs w:val="18"/>
              </w:rPr>
              <w:t>62,0</w:t>
            </w:r>
          </w:p>
        </w:tc>
        <w:tc>
          <w:tcPr>
            <w:tcW w:w="919" w:type="dxa"/>
            <w:shd w:val="clear" w:color="auto" w:fill="auto"/>
            <w:vAlign w:val="bottom"/>
          </w:tcPr>
          <w:p w:rsidR="00000000" w:rsidRDefault="00000000">
            <w:pPr>
              <w:spacing w:before="40" w:after="40" w:line="220" w:lineRule="atLeast"/>
              <w:jc w:val="right"/>
              <w:rPr>
                <w:sz w:val="18"/>
                <w:szCs w:val="18"/>
              </w:rPr>
            </w:pPr>
            <w:r>
              <w:rPr>
                <w:sz w:val="18"/>
                <w:szCs w:val="18"/>
              </w:rPr>
              <w:t>86,9</w:t>
            </w:r>
          </w:p>
        </w:tc>
        <w:tc>
          <w:tcPr>
            <w:tcW w:w="1009" w:type="dxa"/>
            <w:shd w:val="clear" w:color="auto" w:fill="auto"/>
            <w:vAlign w:val="bottom"/>
          </w:tcPr>
          <w:p w:rsidR="00000000" w:rsidRDefault="00000000">
            <w:pPr>
              <w:spacing w:before="40" w:after="40" w:line="220" w:lineRule="atLeast"/>
              <w:jc w:val="right"/>
              <w:rPr>
                <w:sz w:val="18"/>
                <w:szCs w:val="18"/>
              </w:rPr>
            </w:pPr>
            <w:r>
              <w:rPr>
                <w:sz w:val="18"/>
                <w:szCs w:val="18"/>
              </w:rPr>
              <w:t>79</w:t>
            </w:r>
          </w:p>
        </w:tc>
        <w:tc>
          <w:tcPr>
            <w:tcW w:w="919" w:type="dxa"/>
            <w:shd w:val="clear" w:color="auto" w:fill="auto"/>
            <w:vAlign w:val="bottom"/>
          </w:tcPr>
          <w:p w:rsidR="00000000" w:rsidRDefault="00000000">
            <w:pPr>
              <w:spacing w:before="40" w:after="40" w:line="220" w:lineRule="atLeast"/>
              <w:jc w:val="right"/>
              <w:rPr>
                <w:sz w:val="18"/>
                <w:szCs w:val="18"/>
              </w:rPr>
            </w:pPr>
            <w:r>
              <w:rPr>
                <w:sz w:val="18"/>
                <w:szCs w:val="18"/>
              </w:rPr>
              <w:t>92,2</w:t>
            </w:r>
          </w:p>
        </w:tc>
        <w:tc>
          <w:tcPr>
            <w:tcW w:w="940" w:type="dxa"/>
            <w:shd w:val="clear" w:color="auto" w:fill="auto"/>
            <w:vAlign w:val="bottom"/>
          </w:tcPr>
          <w:p w:rsidR="00000000" w:rsidRDefault="00000000">
            <w:pPr>
              <w:spacing w:before="40" w:after="40" w:line="220" w:lineRule="atLeast"/>
              <w:jc w:val="right"/>
              <w:rPr>
                <w:sz w:val="18"/>
                <w:szCs w:val="18"/>
              </w:rPr>
            </w:pPr>
            <w:r>
              <w:rPr>
                <w:sz w:val="18"/>
                <w:szCs w:val="18"/>
              </w:rPr>
              <w:t>93</w:t>
            </w:r>
          </w:p>
        </w:tc>
      </w:tr>
      <w:tr w:rsidR="00000000">
        <w:tc>
          <w:tcPr>
            <w:tcW w:w="1564" w:type="dxa"/>
            <w:shd w:val="clear" w:color="auto" w:fill="auto"/>
            <w:vAlign w:val="bottom"/>
          </w:tcPr>
          <w:p w:rsidR="00000000" w:rsidRDefault="00000000">
            <w:pPr>
              <w:spacing w:before="40" w:after="40" w:line="220" w:lineRule="atLeast"/>
              <w:rPr>
                <w:bCs/>
                <w:sz w:val="18"/>
                <w:szCs w:val="18"/>
              </w:rPr>
            </w:pPr>
            <w:r>
              <w:rPr>
                <w:bCs/>
                <w:sz w:val="18"/>
                <w:szCs w:val="18"/>
              </w:rPr>
              <w:t>P3</w:t>
            </w:r>
          </w:p>
        </w:tc>
        <w:tc>
          <w:tcPr>
            <w:tcW w:w="1010" w:type="dxa"/>
            <w:shd w:val="clear" w:color="auto" w:fill="auto"/>
            <w:vAlign w:val="bottom"/>
          </w:tcPr>
          <w:p w:rsidR="00000000" w:rsidRDefault="00000000">
            <w:pPr>
              <w:spacing w:before="40" w:after="40" w:line="220" w:lineRule="atLeast"/>
              <w:jc w:val="right"/>
              <w:rPr>
                <w:sz w:val="18"/>
                <w:szCs w:val="18"/>
              </w:rPr>
            </w:pPr>
            <w:r>
              <w:rPr>
                <w:sz w:val="18"/>
                <w:szCs w:val="18"/>
              </w:rPr>
              <w:t>77,8</w:t>
            </w:r>
          </w:p>
        </w:tc>
        <w:tc>
          <w:tcPr>
            <w:tcW w:w="1010" w:type="dxa"/>
            <w:shd w:val="clear" w:color="auto" w:fill="auto"/>
            <w:vAlign w:val="bottom"/>
          </w:tcPr>
          <w:p w:rsidR="00000000" w:rsidRDefault="00000000">
            <w:pPr>
              <w:spacing w:before="40" w:after="40" w:line="220" w:lineRule="atLeast"/>
              <w:jc w:val="right"/>
              <w:rPr>
                <w:sz w:val="18"/>
                <w:szCs w:val="18"/>
              </w:rPr>
            </w:pPr>
            <w:r>
              <w:rPr>
                <w:sz w:val="18"/>
                <w:szCs w:val="18"/>
              </w:rPr>
              <w:t>60,8</w:t>
            </w:r>
          </w:p>
        </w:tc>
        <w:tc>
          <w:tcPr>
            <w:tcW w:w="919" w:type="dxa"/>
            <w:shd w:val="clear" w:color="auto" w:fill="auto"/>
            <w:vAlign w:val="bottom"/>
          </w:tcPr>
          <w:p w:rsidR="00000000" w:rsidRDefault="00000000">
            <w:pPr>
              <w:spacing w:before="40" w:after="40" w:line="220" w:lineRule="atLeast"/>
              <w:jc w:val="right"/>
              <w:rPr>
                <w:sz w:val="18"/>
                <w:szCs w:val="18"/>
              </w:rPr>
            </w:pPr>
            <w:r>
              <w:rPr>
                <w:sz w:val="18"/>
                <w:szCs w:val="18"/>
              </w:rPr>
              <w:t>85,8</w:t>
            </w:r>
          </w:p>
        </w:tc>
        <w:tc>
          <w:tcPr>
            <w:tcW w:w="1009" w:type="dxa"/>
            <w:shd w:val="clear" w:color="auto" w:fill="auto"/>
            <w:vAlign w:val="bottom"/>
          </w:tcPr>
          <w:p w:rsidR="00000000" w:rsidRDefault="00000000">
            <w:pPr>
              <w:spacing w:before="40" w:after="40" w:line="220" w:lineRule="atLeast"/>
              <w:jc w:val="right"/>
              <w:rPr>
                <w:sz w:val="18"/>
                <w:szCs w:val="18"/>
              </w:rPr>
            </w:pPr>
            <w:r>
              <w:rPr>
                <w:sz w:val="18"/>
                <w:szCs w:val="18"/>
              </w:rPr>
              <w:t>80</w:t>
            </w:r>
          </w:p>
        </w:tc>
        <w:tc>
          <w:tcPr>
            <w:tcW w:w="919" w:type="dxa"/>
            <w:shd w:val="clear" w:color="auto" w:fill="auto"/>
            <w:vAlign w:val="bottom"/>
          </w:tcPr>
          <w:p w:rsidR="00000000" w:rsidRDefault="00000000">
            <w:pPr>
              <w:spacing w:before="40" w:after="40" w:line="220" w:lineRule="atLeast"/>
              <w:jc w:val="right"/>
              <w:rPr>
                <w:sz w:val="18"/>
                <w:szCs w:val="18"/>
              </w:rPr>
            </w:pPr>
            <w:r>
              <w:rPr>
                <w:sz w:val="18"/>
                <w:szCs w:val="18"/>
              </w:rPr>
              <w:t>87,4</w:t>
            </w:r>
          </w:p>
        </w:tc>
        <w:tc>
          <w:tcPr>
            <w:tcW w:w="940" w:type="dxa"/>
            <w:shd w:val="clear" w:color="auto" w:fill="auto"/>
            <w:vAlign w:val="bottom"/>
          </w:tcPr>
          <w:p w:rsidR="00000000" w:rsidRDefault="00000000">
            <w:pPr>
              <w:spacing w:before="40" w:after="40" w:line="220" w:lineRule="atLeast"/>
              <w:jc w:val="right"/>
              <w:rPr>
                <w:sz w:val="18"/>
                <w:szCs w:val="18"/>
              </w:rPr>
            </w:pPr>
            <w:r>
              <w:rPr>
                <w:sz w:val="18"/>
                <w:szCs w:val="18"/>
              </w:rPr>
              <w:t>92</w:t>
            </w:r>
          </w:p>
        </w:tc>
      </w:tr>
      <w:tr w:rsidR="00000000">
        <w:tc>
          <w:tcPr>
            <w:tcW w:w="1564" w:type="dxa"/>
            <w:tcBorders>
              <w:bottom w:val="single" w:sz="12" w:space="0" w:color="auto"/>
            </w:tcBorders>
            <w:shd w:val="clear" w:color="auto" w:fill="auto"/>
            <w:vAlign w:val="bottom"/>
          </w:tcPr>
          <w:p w:rsidR="00000000" w:rsidRDefault="00000000">
            <w:pPr>
              <w:spacing w:before="40" w:after="40" w:line="220" w:lineRule="atLeast"/>
              <w:rPr>
                <w:bCs/>
                <w:sz w:val="18"/>
                <w:szCs w:val="18"/>
              </w:rPr>
            </w:pPr>
            <w:r>
              <w:rPr>
                <w:bCs/>
                <w:sz w:val="18"/>
                <w:szCs w:val="18"/>
              </w:rPr>
              <w:t>VAR</w:t>
            </w:r>
          </w:p>
        </w:tc>
        <w:tc>
          <w:tcPr>
            <w:tcW w:w="1010" w:type="dxa"/>
            <w:tcBorders>
              <w:bottom w:val="single" w:sz="12" w:space="0" w:color="auto"/>
            </w:tcBorders>
            <w:shd w:val="clear" w:color="auto" w:fill="auto"/>
            <w:vAlign w:val="bottom"/>
          </w:tcPr>
          <w:p w:rsidR="00000000" w:rsidRDefault="00000000">
            <w:pPr>
              <w:spacing w:before="40" w:after="40" w:line="220" w:lineRule="atLeast"/>
              <w:jc w:val="right"/>
              <w:rPr>
                <w:sz w:val="18"/>
                <w:szCs w:val="18"/>
              </w:rPr>
            </w:pPr>
            <w:r>
              <w:rPr>
                <w:sz w:val="18"/>
                <w:szCs w:val="18"/>
              </w:rPr>
              <w:t>81,4</w:t>
            </w:r>
          </w:p>
        </w:tc>
        <w:tc>
          <w:tcPr>
            <w:tcW w:w="1010" w:type="dxa"/>
            <w:tcBorders>
              <w:bottom w:val="single" w:sz="12" w:space="0" w:color="auto"/>
            </w:tcBorders>
            <w:shd w:val="clear" w:color="auto" w:fill="auto"/>
            <w:vAlign w:val="bottom"/>
          </w:tcPr>
          <w:p w:rsidR="00000000" w:rsidRDefault="00000000">
            <w:pPr>
              <w:spacing w:before="40" w:after="40" w:line="220" w:lineRule="atLeast"/>
              <w:jc w:val="right"/>
              <w:rPr>
                <w:sz w:val="18"/>
                <w:szCs w:val="18"/>
              </w:rPr>
            </w:pPr>
            <w:r>
              <w:rPr>
                <w:sz w:val="18"/>
                <w:szCs w:val="18"/>
              </w:rPr>
              <w:t>61,3</w:t>
            </w:r>
          </w:p>
        </w:tc>
        <w:tc>
          <w:tcPr>
            <w:tcW w:w="919" w:type="dxa"/>
            <w:tcBorders>
              <w:bottom w:val="single" w:sz="12" w:space="0" w:color="auto"/>
            </w:tcBorders>
            <w:shd w:val="clear" w:color="auto" w:fill="auto"/>
            <w:vAlign w:val="bottom"/>
          </w:tcPr>
          <w:p w:rsidR="00000000" w:rsidRDefault="00000000">
            <w:pPr>
              <w:spacing w:before="40" w:after="40" w:line="220" w:lineRule="atLeast"/>
              <w:jc w:val="right"/>
              <w:rPr>
                <w:sz w:val="18"/>
                <w:szCs w:val="18"/>
              </w:rPr>
            </w:pPr>
            <w:r>
              <w:rPr>
                <w:sz w:val="18"/>
                <w:szCs w:val="18"/>
              </w:rPr>
              <w:t>86,6</w:t>
            </w:r>
          </w:p>
        </w:tc>
        <w:tc>
          <w:tcPr>
            <w:tcW w:w="1009" w:type="dxa"/>
            <w:tcBorders>
              <w:bottom w:val="single" w:sz="12" w:space="0" w:color="auto"/>
            </w:tcBorders>
            <w:shd w:val="clear" w:color="auto" w:fill="auto"/>
            <w:vAlign w:val="bottom"/>
          </w:tcPr>
          <w:p w:rsidR="00000000" w:rsidRDefault="00000000">
            <w:pPr>
              <w:spacing w:before="40" w:after="40" w:line="220" w:lineRule="atLeast"/>
              <w:jc w:val="right"/>
              <w:rPr>
                <w:sz w:val="18"/>
                <w:szCs w:val="18"/>
              </w:rPr>
            </w:pPr>
            <w:r>
              <w:rPr>
                <w:sz w:val="18"/>
                <w:szCs w:val="18"/>
              </w:rPr>
              <w:t>98</w:t>
            </w:r>
          </w:p>
        </w:tc>
        <w:tc>
          <w:tcPr>
            <w:tcW w:w="919" w:type="dxa"/>
            <w:tcBorders>
              <w:bottom w:val="single" w:sz="12" w:space="0" w:color="auto"/>
            </w:tcBorders>
            <w:shd w:val="clear" w:color="auto" w:fill="auto"/>
            <w:vAlign w:val="bottom"/>
          </w:tcPr>
          <w:p w:rsidR="00000000" w:rsidRDefault="00000000">
            <w:pPr>
              <w:spacing w:before="40" w:after="40" w:line="220" w:lineRule="atLeast"/>
              <w:jc w:val="right"/>
              <w:rPr>
                <w:sz w:val="18"/>
                <w:szCs w:val="18"/>
              </w:rPr>
            </w:pPr>
            <w:r>
              <w:rPr>
                <w:sz w:val="18"/>
                <w:szCs w:val="18"/>
              </w:rPr>
              <w:t>83,8</w:t>
            </w:r>
          </w:p>
        </w:tc>
        <w:tc>
          <w:tcPr>
            <w:tcW w:w="940" w:type="dxa"/>
            <w:tcBorders>
              <w:bottom w:val="single" w:sz="12" w:space="0" w:color="auto"/>
            </w:tcBorders>
            <w:shd w:val="clear" w:color="auto" w:fill="auto"/>
            <w:vAlign w:val="bottom"/>
          </w:tcPr>
          <w:p w:rsidR="00000000" w:rsidRDefault="00000000">
            <w:pPr>
              <w:spacing w:before="40" w:after="40" w:line="220" w:lineRule="atLeast"/>
              <w:jc w:val="right"/>
              <w:rPr>
                <w:sz w:val="18"/>
                <w:szCs w:val="18"/>
              </w:rPr>
            </w:pPr>
            <w:r>
              <w:rPr>
                <w:sz w:val="18"/>
                <w:szCs w:val="18"/>
              </w:rPr>
              <w:t>84</w:t>
            </w:r>
          </w:p>
        </w:tc>
      </w:tr>
    </w:tbl>
    <w:p w:rsidR="00000000" w:rsidRDefault="00000000">
      <w:pPr>
        <w:spacing w:before="120" w:after="240"/>
        <w:ind w:left="1134" w:firstLine="170"/>
        <w:rPr>
          <w:iCs/>
          <w:sz w:val="18"/>
          <w:szCs w:val="18"/>
          <w:lang w:val="fr-FR"/>
        </w:rPr>
      </w:pPr>
      <w:r>
        <w:rPr>
          <w:i/>
          <w:iCs/>
          <w:sz w:val="18"/>
          <w:szCs w:val="18"/>
          <w:lang w:val="fr-FR"/>
        </w:rPr>
        <w:t>Source</w:t>
      </w:r>
      <w:r>
        <w:rPr>
          <w:iCs/>
          <w:sz w:val="18"/>
          <w:szCs w:val="18"/>
          <w:lang w:val="fr-FR"/>
        </w:rPr>
        <w:t>: Analyse de la situation de l’enfant à Madagascar (Draft) 2008</w:t>
      </w:r>
    </w:p>
    <w:p w:rsidR="00000000" w:rsidRDefault="00000000">
      <w:pPr>
        <w:pStyle w:val="SingleTxtG"/>
        <w:rPr>
          <w:lang w:val="fr-FR"/>
        </w:rPr>
      </w:pPr>
      <w:r>
        <w:rPr>
          <w:lang w:val="fr-FR"/>
        </w:rPr>
        <w:t>397.</w:t>
      </w:r>
      <w:r>
        <w:rPr>
          <w:lang w:val="fr-FR"/>
        </w:rPr>
        <w:tab/>
        <w:t>Enfants complètement vaccinés: 50 %.</w:t>
      </w:r>
    </w:p>
    <w:p w:rsidR="00000000" w:rsidRDefault="00000000">
      <w:pPr>
        <w:pStyle w:val="SingleTxtG"/>
        <w:rPr>
          <w:lang w:val="fr-FR"/>
        </w:rPr>
      </w:pPr>
      <w:r>
        <w:t>3</w:t>
      </w:r>
      <w:r>
        <w:rPr>
          <w:lang w:val="fr-FR"/>
        </w:rPr>
        <w:t>98.</w:t>
      </w:r>
      <w:r>
        <w:rPr>
          <w:lang w:val="fr-FR"/>
        </w:rPr>
        <w:tab/>
        <w:t>Avec l’institutionnalisation de la célébration de la Semaine de la santé de la mère et de l’enfant, l’intégration des interventions pour la survie de l’enfant incluant la vaccination offre des occasions pour atteindre les enfants des zones enclavées.</w:t>
      </w:r>
    </w:p>
    <w:p w:rsidR="00000000" w:rsidRDefault="00000000">
      <w:pPr>
        <w:pStyle w:val="SingleTxtG"/>
        <w:rPr>
          <w:lang w:val="fr-FR"/>
        </w:rPr>
      </w:pPr>
      <w:r>
        <w:rPr>
          <w:lang w:val="fr-FR"/>
        </w:rPr>
        <w:t>399.</w:t>
      </w:r>
      <w:r>
        <w:rPr>
          <w:lang w:val="fr-FR"/>
        </w:rPr>
        <w:tab/>
        <w:t>Actuellement le Ministère chargé de la santé est en cours de réactualisation de la politique nationale de vaccination.</w:t>
      </w:r>
    </w:p>
    <w:p w:rsidR="00000000" w:rsidRDefault="00000000">
      <w:pPr>
        <w:pStyle w:val="H23G"/>
        <w:rPr>
          <w:lang w:val="fr-FR"/>
        </w:rPr>
      </w:pPr>
      <w:bookmarkStart w:id="881" w:name="_Toc206414570"/>
      <w:bookmarkStart w:id="882" w:name="_Toc206460412"/>
      <w:bookmarkStart w:id="883" w:name="_Toc206460744"/>
      <w:bookmarkStart w:id="884" w:name="_Toc206461466"/>
      <w:bookmarkStart w:id="885" w:name="_Toc206476260"/>
      <w:bookmarkStart w:id="886" w:name="_Toc207788795"/>
      <w:bookmarkStart w:id="887" w:name="_Toc211835466"/>
      <w:bookmarkStart w:id="888" w:name="_Toc211926773"/>
      <w:r>
        <w:rPr>
          <w:lang w:val="fr-FR"/>
        </w:rPr>
        <w:tab/>
        <w:t>16.</w:t>
      </w:r>
      <w:r>
        <w:rPr>
          <w:lang w:val="fr-FR"/>
        </w:rPr>
        <w:tab/>
        <w:t>Prévention et lutte contre le paludisme chez la femme enceinte et chez l’enfant</w:t>
      </w:r>
      <w:bookmarkEnd w:id="881"/>
      <w:bookmarkEnd w:id="882"/>
      <w:bookmarkEnd w:id="883"/>
      <w:bookmarkEnd w:id="884"/>
      <w:bookmarkEnd w:id="885"/>
      <w:bookmarkEnd w:id="886"/>
      <w:bookmarkEnd w:id="887"/>
      <w:bookmarkEnd w:id="888"/>
    </w:p>
    <w:p w:rsidR="00000000" w:rsidRDefault="00000000">
      <w:pPr>
        <w:pStyle w:val="SingleTxtG"/>
        <w:rPr>
          <w:lang w:val="fr-FR"/>
        </w:rPr>
      </w:pPr>
      <w:r>
        <w:rPr>
          <w:lang w:val="fr-FR"/>
        </w:rPr>
        <w:t>400.</w:t>
      </w:r>
      <w:r>
        <w:rPr>
          <w:lang w:val="fr-FR"/>
        </w:rPr>
        <w:tab/>
        <w:t>La lutte contre le paludisme chez les femmes enceintes est basée sur l’équité, l’accès effectif à la prévention et au traitement; elle rentre dans le principe des soins prénatals focalisés. Deux types de traitements sont dispensés:</w:t>
      </w:r>
    </w:p>
    <w:p w:rsidR="00000000" w:rsidRDefault="00000000">
      <w:pPr>
        <w:pStyle w:val="Bullet1G"/>
        <w:rPr>
          <w:lang w:val="fr-FR"/>
        </w:rPr>
      </w:pPr>
      <w:r>
        <w:rPr>
          <w:lang w:val="fr-FR"/>
        </w:rPr>
        <w:t>Le traitement préventif intermittent (TPI) par le sulfadoxine pyriméthamine;</w:t>
      </w:r>
    </w:p>
    <w:p w:rsidR="00000000" w:rsidRDefault="00000000">
      <w:pPr>
        <w:pStyle w:val="Bullet1G"/>
        <w:rPr>
          <w:lang w:val="fr-FR"/>
        </w:rPr>
      </w:pPr>
      <w:r>
        <w:rPr>
          <w:lang w:val="fr-FR"/>
        </w:rPr>
        <w:t>Les moustiquaires imprégnées durables pour les femmes enceintes et les enfants de moins de cinq ans.</w:t>
      </w:r>
    </w:p>
    <w:p w:rsidR="00000000" w:rsidRDefault="00000000">
      <w:pPr>
        <w:pStyle w:val="H23G"/>
        <w:rPr>
          <w:lang w:val="fr-FR"/>
        </w:rPr>
      </w:pPr>
      <w:bookmarkStart w:id="889" w:name="_Toc206414571"/>
      <w:bookmarkStart w:id="890" w:name="_Toc206460413"/>
      <w:bookmarkStart w:id="891" w:name="_Toc206460745"/>
      <w:bookmarkStart w:id="892" w:name="_Toc206461467"/>
      <w:bookmarkStart w:id="893" w:name="_Toc206476261"/>
      <w:bookmarkStart w:id="894" w:name="_Toc207788796"/>
      <w:bookmarkStart w:id="895" w:name="_Toc211835467"/>
      <w:bookmarkStart w:id="896" w:name="_Toc211926774"/>
      <w:r>
        <w:rPr>
          <w:lang w:val="fr-FR"/>
        </w:rPr>
        <w:tab/>
        <w:t>17.</w:t>
      </w:r>
      <w:r>
        <w:rPr>
          <w:lang w:val="fr-FR"/>
        </w:rPr>
        <w:tab/>
        <w:t>Mesures prises pour améliorer la santé des enfants et des adolescents</w:t>
      </w:r>
      <w:bookmarkEnd w:id="889"/>
      <w:bookmarkEnd w:id="890"/>
      <w:bookmarkEnd w:id="891"/>
      <w:bookmarkEnd w:id="892"/>
      <w:bookmarkEnd w:id="893"/>
      <w:bookmarkEnd w:id="894"/>
      <w:bookmarkEnd w:id="895"/>
      <w:bookmarkEnd w:id="896"/>
    </w:p>
    <w:p w:rsidR="00000000" w:rsidRDefault="00000000">
      <w:pPr>
        <w:pStyle w:val="SingleTxtG"/>
        <w:rPr>
          <w:lang w:val="fr-FR"/>
        </w:rPr>
      </w:pPr>
      <w:r>
        <w:rPr>
          <w:lang w:val="fr-FR"/>
        </w:rPr>
        <w:t>401.</w:t>
      </w:r>
      <w:r>
        <w:rPr>
          <w:lang w:val="fr-FR"/>
        </w:rPr>
        <w:tab/>
      </w:r>
      <w:r>
        <w:rPr>
          <w:b/>
          <w:lang w:val="fr-FR"/>
        </w:rPr>
        <w:t>Lutte contre le tabagisme</w:t>
      </w:r>
      <w:r>
        <w:rPr>
          <w:lang w:val="fr-FR"/>
        </w:rPr>
        <w:t>. Madagascar a manifesté son engagement à lutter contre le tabagisme en ratifiant la Convention</w:t>
      </w:r>
      <w:r>
        <w:rPr>
          <w:lang w:val="fr-FR"/>
        </w:rPr>
        <w:noBreakHyphen/>
        <w:t xml:space="preserve">cadre pour la lutte antitabac de l’OMS en février 2005. L’Office national de lutte antitabac (OFNALAT) a été créé en 2005 par décret </w:t>
      </w:r>
      <w:r>
        <w:rPr>
          <w:rFonts w:eastAsia="MS Mincho"/>
          <w:lang w:val="fr-FR"/>
        </w:rPr>
        <w:t>n</w:t>
      </w:r>
      <w:r>
        <w:rPr>
          <w:rFonts w:eastAsia="MS Mincho"/>
          <w:vertAlign w:val="superscript"/>
          <w:lang w:val="fr-FR"/>
        </w:rPr>
        <w:t>o </w:t>
      </w:r>
      <w:r>
        <w:rPr>
          <w:lang w:val="fr-FR"/>
        </w:rPr>
        <w:t xml:space="preserve">2005-554. L’arrêté interministériel </w:t>
      </w:r>
      <w:r>
        <w:rPr>
          <w:rFonts w:eastAsia="MS Mincho"/>
          <w:lang w:val="fr-FR"/>
        </w:rPr>
        <w:t>n</w:t>
      </w:r>
      <w:r>
        <w:rPr>
          <w:rFonts w:eastAsia="MS Mincho"/>
          <w:vertAlign w:val="superscript"/>
          <w:lang w:val="fr-FR"/>
        </w:rPr>
        <w:t>o</w:t>
      </w:r>
      <w:r>
        <w:rPr>
          <w:lang w:val="fr-FR"/>
        </w:rPr>
        <w:t xml:space="preserve"> 18 171/2003 du 22 octobre 2003 interdit la vente des produits du tabac aux et par les mineurs de moins de 18 ans (art. 9).</w:t>
      </w:r>
    </w:p>
    <w:p w:rsidR="00000000" w:rsidRDefault="00000000">
      <w:pPr>
        <w:pStyle w:val="SingleTxtG"/>
        <w:rPr>
          <w:lang w:val="fr-FR"/>
        </w:rPr>
      </w:pPr>
      <w:r>
        <w:rPr>
          <w:lang w:val="fr-FR"/>
        </w:rPr>
        <w:t>402.</w:t>
      </w:r>
      <w:r>
        <w:rPr>
          <w:lang w:val="fr-FR"/>
        </w:rPr>
        <w:tab/>
      </w:r>
      <w:r>
        <w:rPr>
          <w:b/>
          <w:lang w:val="fr-FR"/>
        </w:rPr>
        <w:t>Santé mentale</w:t>
      </w:r>
      <w:r>
        <w:rPr>
          <w:lang w:val="fr-FR"/>
        </w:rPr>
        <w:t>. La législation en matière de santé mentale date de 1938 en matière de santé mentale. Actuellement, un projet de loi relatif aux droits et à la protection des personnes atteintes de troubles mentaux et psychiques est en étude. Ce projet de loi prévoit notamment pour tout enfant et adolescent atteints de troubles mentaux l’accès à l’éduction adéquate et à des activités récréatives et préconise à leur intention la mise en exécution de programmes psychopédagogiques et éducatifs.</w:t>
      </w:r>
    </w:p>
    <w:p w:rsidR="00000000" w:rsidRDefault="00000000">
      <w:pPr>
        <w:pStyle w:val="SingleTxtG"/>
        <w:rPr>
          <w:lang w:val="fr-FR"/>
        </w:rPr>
      </w:pPr>
      <w:r>
        <w:rPr>
          <w:lang w:val="fr-FR"/>
        </w:rPr>
        <w:t>403.</w:t>
      </w:r>
      <w:r>
        <w:rPr>
          <w:lang w:val="fr-FR"/>
        </w:rPr>
        <w:tab/>
      </w:r>
      <w:r>
        <w:rPr>
          <w:b/>
          <w:lang w:val="fr-FR"/>
        </w:rPr>
        <w:t>Santé buccodentaire</w:t>
      </w:r>
      <w:r>
        <w:rPr>
          <w:lang w:val="fr-FR"/>
        </w:rPr>
        <w:t>. Les enfants de 2830 écoles primaires réparties sur les différentes régions sont sensibilisés sur les différents thèmes de l’hygiène buccodentaire et 27 cabinets dentaires sont installés en milieu scolaire.</w:t>
      </w:r>
    </w:p>
    <w:p w:rsidR="00000000" w:rsidRDefault="00000000">
      <w:pPr>
        <w:pStyle w:val="SingleTxtG"/>
        <w:rPr>
          <w:lang w:val="fr-FR"/>
        </w:rPr>
      </w:pPr>
      <w:r>
        <w:rPr>
          <w:lang w:val="fr-FR"/>
        </w:rPr>
        <w:t>404.</w:t>
      </w:r>
      <w:r>
        <w:rPr>
          <w:lang w:val="fr-FR"/>
        </w:rPr>
        <w:tab/>
      </w:r>
      <w:r>
        <w:rPr>
          <w:b/>
          <w:lang w:val="fr-FR"/>
        </w:rPr>
        <w:t>Lutte contre les cancers</w:t>
      </w:r>
      <w:r>
        <w:rPr>
          <w:lang w:val="fr-FR"/>
        </w:rPr>
        <w:t>. Sensibilisation de la population sur les méfaits du tabagisme. Célébration en 2008 de la Journée mondiale de contrôle des cancers ciblé sur les méfaits du tabac chez l’enfant et aménagement d’une unité d’oncopédiatrie à l’hôpital Ravoahangy Andrianavalona.</w:t>
      </w:r>
    </w:p>
    <w:p w:rsidR="00000000" w:rsidRDefault="00000000">
      <w:pPr>
        <w:pStyle w:val="H23G"/>
        <w:rPr>
          <w:lang w:val="fr-FR"/>
        </w:rPr>
      </w:pPr>
      <w:bookmarkStart w:id="897" w:name="_Toc206414572"/>
      <w:bookmarkStart w:id="898" w:name="_Toc206460414"/>
      <w:bookmarkStart w:id="899" w:name="_Toc206460746"/>
      <w:bookmarkStart w:id="900" w:name="_Toc206461468"/>
      <w:bookmarkStart w:id="901" w:name="_Toc206476262"/>
      <w:bookmarkStart w:id="902" w:name="_Toc207788797"/>
      <w:bookmarkStart w:id="903" w:name="_Toc211835468"/>
      <w:bookmarkStart w:id="904" w:name="_Toc211926775"/>
      <w:r>
        <w:rPr>
          <w:lang w:val="fr-FR"/>
        </w:rPr>
        <w:tab/>
        <w:t>18.</w:t>
      </w:r>
      <w:r>
        <w:rPr>
          <w:lang w:val="fr-FR"/>
        </w:rPr>
        <w:tab/>
        <w:t>Le système d’études et de formation à l’intention des personnels de santé</w:t>
      </w:r>
      <w:bookmarkEnd w:id="897"/>
      <w:bookmarkEnd w:id="898"/>
      <w:bookmarkEnd w:id="899"/>
      <w:bookmarkEnd w:id="900"/>
      <w:bookmarkEnd w:id="901"/>
      <w:bookmarkEnd w:id="902"/>
      <w:bookmarkEnd w:id="903"/>
      <w:bookmarkEnd w:id="904"/>
    </w:p>
    <w:p w:rsidR="00000000" w:rsidRDefault="00000000">
      <w:pPr>
        <w:pStyle w:val="SingleTxtG"/>
        <w:rPr>
          <w:lang w:val="fr-FR"/>
        </w:rPr>
      </w:pPr>
      <w:r>
        <w:rPr>
          <w:lang w:val="fr-FR"/>
        </w:rPr>
        <w:t>405.</w:t>
      </w:r>
      <w:r>
        <w:rPr>
          <w:lang w:val="fr-FR"/>
        </w:rPr>
        <w:tab/>
        <w:t>Le ratio ressources humaines/population reste nettement inférieur aux normes de l’OMS, surtout en ce qui concerne les infirmiers.</w:t>
      </w:r>
    </w:p>
    <w:p w:rsidR="00000000" w:rsidRDefault="00000000">
      <w:pPr>
        <w:pStyle w:val="SingleTxtG"/>
        <w:spacing w:after="0"/>
      </w:pPr>
      <w:bookmarkStart w:id="905" w:name="_Toc260298266"/>
      <w:r>
        <w:t>Tableau 27</w:t>
      </w:r>
    </w:p>
    <w:p w:rsidR="00000000" w:rsidRDefault="00000000">
      <w:pPr>
        <w:pStyle w:val="SingleTxtG"/>
        <w:rPr>
          <w:b/>
        </w:rPr>
      </w:pPr>
      <w:r>
        <w:rPr>
          <w:b/>
        </w:rPr>
        <w:t>La couverture médicale et par-médicale à Madagascar et les normes de l’OMS</w:t>
      </w:r>
      <w:bookmarkEnd w:id="905"/>
    </w:p>
    <w:tbl>
      <w:tblPr>
        <w:tblW w:w="7371" w:type="dxa"/>
        <w:tblInd w:w="1134" w:type="dxa"/>
        <w:tblCellMar>
          <w:left w:w="0" w:type="dxa"/>
          <w:right w:w="0" w:type="dxa"/>
        </w:tblCellMar>
        <w:tblLook w:val="04A0" w:firstRow="1" w:lastRow="0" w:firstColumn="1" w:lastColumn="0" w:noHBand="0" w:noVBand="1"/>
      </w:tblPr>
      <w:tblGrid>
        <w:gridCol w:w="2473"/>
        <w:gridCol w:w="2693"/>
        <w:gridCol w:w="2205"/>
      </w:tblGrid>
      <w:tr w:rsidR="00000000">
        <w:tc>
          <w:tcPr>
            <w:tcW w:w="2473" w:type="dxa"/>
            <w:vMerge w:val="restart"/>
            <w:tcBorders>
              <w:top w:val="single" w:sz="4" w:space="0" w:color="auto"/>
              <w:bottom w:val="single" w:sz="12" w:space="0" w:color="auto"/>
            </w:tcBorders>
            <w:shd w:val="clear" w:color="auto" w:fill="auto"/>
            <w:vAlign w:val="center"/>
          </w:tcPr>
          <w:p w:rsidR="00000000" w:rsidRDefault="00000000">
            <w:pPr>
              <w:spacing w:before="80" w:after="80" w:line="200" w:lineRule="exact"/>
              <w:rPr>
                <w:bCs/>
                <w:i/>
                <w:sz w:val="16"/>
                <w:szCs w:val="16"/>
              </w:rPr>
            </w:pPr>
            <w:r>
              <w:rPr>
                <w:bCs/>
                <w:i/>
                <w:sz w:val="16"/>
                <w:szCs w:val="16"/>
              </w:rPr>
              <w:t>Catégories</w:t>
            </w:r>
          </w:p>
        </w:tc>
        <w:tc>
          <w:tcPr>
            <w:tcW w:w="4898" w:type="dxa"/>
            <w:gridSpan w:val="2"/>
            <w:tcBorders>
              <w:top w:val="single" w:sz="4" w:space="0" w:color="auto"/>
              <w:bottom w:val="single" w:sz="4" w:space="0" w:color="auto"/>
            </w:tcBorders>
            <w:shd w:val="clear" w:color="auto" w:fill="auto"/>
            <w:vAlign w:val="center"/>
          </w:tcPr>
          <w:p w:rsidR="00000000" w:rsidRDefault="00000000">
            <w:pPr>
              <w:spacing w:before="80" w:after="80" w:line="200" w:lineRule="exact"/>
              <w:jc w:val="center"/>
              <w:rPr>
                <w:bCs/>
                <w:i/>
                <w:sz w:val="16"/>
                <w:szCs w:val="16"/>
              </w:rPr>
            </w:pPr>
            <w:r>
              <w:rPr>
                <w:bCs/>
                <w:i/>
                <w:sz w:val="16"/>
                <w:szCs w:val="16"/>
              </w:rPr>
              <w:t>Couverture sanitaire</w:t>
            </w:r>
          </w:p>
        </w:tc>
      </w:tr>
      <w:tr w:rsidR="00000000">
        <w:tc>
          <w:tcPr>
            <w:tcW w:w="2473" w:type="dxa"/>
            <w:vMerge/>
            <w:tcBorders>
              <w:top w:val="single" w:sz="4" w:space="0" w:color="auto"/>
              <w:bottom w:val="single" w:sz="12" w:space="0" w:color="auto"/>
            </w:tcBorders>
            <w:shd w:val="clear" w:color="auto" w:fill="auto"/>
            <w:vAlign w:val="center"/>
          </w:tcPr>
          <w:p w:rsidR="00000000" w:rsidRDefault="00000000">
            <w:pPr>
              <w:spacing w:before="80" w:after="80" w:line="200" w:lineRule="exact"/>
              <w:rPr>
                <w:bCs/>
                <w:i/>
                <w:sz w:val="16"/>
                <w:szCs w:val="16"/>
              </w:rPr>
            </w:pPr>
          </w:p>
        </w:tc>
        <w:tc>
          <w:tcPr>
            <w:tcW w:w="2693"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bCs/>
                <w:i/>
                <w:sz w:val="16"/>
                <w:szCs w:val="16"/>
              </w:rPr>
            </w:pPr>
            <w:r>
              <w:rPr>
                <w:bCs/>
                <w:i/>
                <w:sz w:val="16"/>
                <w:szCs w:val="16"/>
              </w:rPr>
              <w:t>Normes OMS pour pays à bas revenus</w:t>
            </w:r>
          </w:p>
        </w:tc>
        <w:tc>
          <w:tcPr>
            <w:tcW w:w="2205"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bCs/>
                <w:i/>
                <w:sz w:val="16"/>
                <w:szCs w:val="16"/>
              </w:rPr>
            </w:pPr>
            <w:r>
              <w:rPr>
                <w:bCs/>
                <w:i/>
                <w:sz w:val="16"/>
                <w:szCs w:val="16"/>
              </w:rPr>
              <w:t>Situation actuelle</w:t>
            </w:r>
          </w:p>
        </w:tc>
      </w:tr>
      <w:tr w:rsidR="00000000">
        <w:tc>
          <w:tcPr>
            <w:tcW w:w="2473" w:type="dxa"/>
            <w:tcBorders>
              <w:top w:val="single" w:sz="12" w:space="0" w:color="auto"/>
            </w:tcBorders>
            <w:shd w:val="clear" w:color="auto" w:fill="auto"/>
          </w:tcPr>
          <w:p w:rsidR="00000000" w:rsidRDefault="00000000">
            <w:pPr>
              <w:spacing w:before="40" w:after="40" w:line="220" w:lineRule="exact"/>
              <w:rPr>
                <w:bCs/>
                <w:sz w:val="18"/>
                <w:szCs w:val="18"/>
              </w:rPr>
            </w:pPr>
            <w:r>
              <w:rPr>
                <w:bCs/>
                <w:sz w:val="18"/>
                <w:szCs w:val="18"/>
              </w:rPr>
              <w:t>Médecin</w:t>
            </w:r>
          </w:p>
        </w:tc>
        <w:tc>
          <w:tcPr>
            <w:tcW w:w="2693" w:type="dxa"/>
            <w:tcBorders>
              <w:top w:val="single" w:sz="12" w:space="0" w:color="auto"/>
            </w:tcBorders>
            <w:shd w:val="clear" w:color="auto" w:fill="auto"/>
            <w:vAlign w:val="bottom"/>
          </w:tcPr>
          <w:p w:rsidR="00000000" w:rsidRDefault="00000000">
            <w:pPr>
              <w:spacing w:before="40" w:after="40" w:line="220" w:lineRule="exact"/>
              <w:jc w:val="right"/>
              <w:rPr>
                <w:sz w:val="18"/>
                <w:szCs w:val="18"/>
              </w:rPr>
            </w:pPr>
            <w:r>
              <w:rPr>
                <w:sz w:val="18"/>
                <w:szCs w:val="18"/>
              </w:rPr>
              <w:t>1 pour 5000 habitants</w:t>
            </w:r>
          </w:p>
        </w:tc>
        <w:tc>
          <w:tcPr>
            <w:tcW w:w="2205" w:type="dxa"/>
            <w:tcBorders>
              <w:top w:val="single" w:sz="12" w:space="0" w:color="auto"/>
            </w:tcBorders>
            <w:shd w:val="clear" w:color="auto" w:fill="auto"/>
            <w:vAlign w:val="bottom"/>
          </w:tcPr>
          <w:p w:rsidR="00000000" w:rsidRDefault="00000000">
            <w:pPr>
              <w:spacing w:before="40" w:after="40" w:line="220" w:lineRule="exact"/>
              <w:jc w:val="right"/>
              <w:rPr>
                <w:sz w:val="18"/>
                <w:szCs w:val="18"/>
              </w:rPr>
            </w:pPr>
            <w:r>
              <w:rPr>
                <w:sz w:val="18"/>
                <w:szCs w:val="18"/>
              </w:rPr>
              <w:t>0,72 pour 5000 habitants</w:t>
            </w:r>
          </w:p>
        </w:tc>
      </w:tr>
      <w:tr w:rsidR="00000000">
        <w:tc>
          <w:tcPr>
            <w:tcW w:w="2473" w:type="dxa"/>
            <w:shd w:val="clear" w:color="auto" w:fill="auto"/>
          </w:tcPr>
          <w:p w:rsidR="00000000" w:rsidRDefault="00000000">
            <w:pPr>
              <w:spacing w:before="40" w:after="40" w:line="220" w:lineRule="exact"/>
              <w:rPr>
                <w:bCs/>
                <w:sz w:val="18"/>
                <w:szCs w:val="18"/>
              </w:rPr>
            </w:pPr>
            <w:r>
              <w:rPr>
                <w:bCs/>
                <w:sz w:val="18"/>
                <w:szCs w:val="18"/>
              </w:rPr>
              <w:t>Infirmier</w:t>
            </w:r>
          </w:p>
        </w:tc>
        <w:tc>
          <w:tcPr>
            <w:tcW w:w="2693" w:type="dxa"/>
            <w:shd w:val="clear" w:color="auto" w:fill="auto"/>
            <w:vAlign w:val="bottom"/>
          </w:tcPr>
          <w:p w:rsidR="00000000" w:rsidRDefault="00000000">
            <w:pPr>
              <w:spacing w:before="40" w:after="40" w:line="220" w:lineRule="exact"/>
              <w:jc w:val="right"/>
              <w:rPr>
                <w:sz w:val="18"/>
                <w:szCs w:val="18"/>
              </w:rPr>
            </w:pPr>
            <w:r>
              <w:rPr>
                <w:sz w:val="18"/>
                <w:szCs w:val="18"/>
              </w:rPr>
              <w:t>1 pour 2000 habitants</w:t>
            </w:r>
          </w:p>
        </w:tc>
        <w:tc>
          <w:tcPr>
            <w:tcW w:w="2205" w:type="dxa"/>
            <w:shd w:val="clear" w:color="auto" w:fill="auto"/>
            <w:vAlign w:val="bottom"/>
          </w:tcPr>
          <w:p w:rsidR="00000000" w:rsidRDefault="00000000">
            <w:pPr>
              <w:spacing w:before="40" w:after="40" w:line="220" w:lineRule="exact"/>
              <w:jc w:val="right"/>
              <w:rPr>
                <w:sz w:val="18"/>
                <w:szCs w:val="18"/>
              </w:rPr>
            </w:pPr>
            <w:r>
              <w:rPr>
                <w:sz w:val="18"/>
                <w:szCs w:val="18"/>
              </w:rPr>
              <w:t>0,44 pour 5000 habitants</w:t>
            </w:r>
          </w:p>
        </w:tc>
      </w:tr>
      <w:tr w:rsidR="00000000">
        <w:tc>
          <w:tcPr>
            <w:tcW w:w="2473" w:type="dxa"/>
            <w:tcBorders>
              <w:bottom w:val="single" w:sz="12" w:space="0" w:color="auto"/>
            </w:tcBorders>
            <w:shd w:val="clear" w:color="auto" w:fill="auto"/>
          </w:tcPr>
          <w:p w:rsidR="00000000" w:rsidRDefault="00000000">
            <w:pPr>
              <w:spacing w:before="40" w:after="40" w:line="220" w:lineRule="exact"/>
              <w:rPr>
                <w:bCs/>
                <w:sz w:val="18"/>
                <w:szCs w:val="18"/>
              </w:rPr>
            </w:pPr>
            <w:r>
              <w:rPr>
                <w:bCs/>
                <w:sz w:val="18"/>
                <w:szCs w:val="18"/>
              </w:rPr>
              <w:t>Sage-femme</w:t>
            </w:r>
          </w:p>
        </w:tc>
        <w:tc>
          <w:tcPr>
            <w:tcW w:w="2693" w:type="dxa"/>
            <w:tcBorders>
              <w:bottom w:val="single" w:sz="12" w:space="0" w:color="auto"/>
            </w:tcBorders>
            <w:shd w:val="clear" w:color="auto" w:fill="auto"/>
            <w:vAlign w:val="bottom"/>
          </w:tcPr>
          <w:p w:rsidR="00000000" w:rsidRDefault="00000000">
            <w:pPr>
              <w:spacing w:before="40" w:after="40" w:line="220" w:lineRule="exact"/>
              <w:jc w:val="right"/>
              <w:rPr>
                <w:sz w:val="18"/>
                <w:szCs w:val="18"/>
              </w:rPr>
            </w:pPr>
            <w:r>
              <w:rPr>
                <w:sz w:val="18"/>
                <w:szCs w:val="18"/>
              </w:rPr>
              <w:t>1 pour 5000 habitants</w:t>
            </w:r>
          </w:p>
        </w:tc>
        <w:tc>
          <w:tcPr>
            <w:tcW w:w="2205" w:type="dxa"/>
            <w:tcBorders>
              <w:bottom w:val="single" w:sz="12" w:space="0" w:color="auto"/>
            </w:tcBorders>
            <w:shd w:val="clear" w:color="auto" w:fill="auto"/>
            <w:vAlign w:val="bottom"/>
          </w:tcPr>
          <w:p w:rsidR="00000000" w:rsidRDefault="00000000">
            <w:pPr>
              <w:spacing w:before="40" w:after="40" w:line="220" w:lineRule="exact"/>
              <w:jc w:val="right"/>
              <w:rPr>
                <w:sz w:val="18"/>
                <w:szCs w:val="18"/>
              </w:rPr>
            </w:pPr>
            <w:r>
              <w:rPr>
                <w:sz w:val="18"/>
                <w:szCs w:val="18"/>
              </w:rPr>
              <w:t>0,87 pour 5000 habitants</w:t>
            </w:r>
          </w:p>
        </w:tc>
      </w:tr>
    </w:tbl>
    <w:p w:rsidR="00000000" w:rsidRDefault="00000000">
      <w:pPr>
        <w:spacing w:before="120" w:after="240"/>
        <w:ind w:left="1134" w:firstLine="170"/>
        <w:rPr>
          <w:lang w:val="fr-FR"/>
        </w:rPr>
      </w:pPr>
      <w:r>
        <w:rPr>
          <w:i/>
          <w:iCs/>
          <w:sz w:val="18"/>
          <w:szCs w:val="18"/>
          <w:lang w:val="fr-FR"/>
        </w:rPr>
        <w:t>Source</w:t>
      </w:r>
      <w:r>
        <w:rPr>
          <w:iCs/>
          <w:sz w:val="18"/>
          <w:szCs w:val="18"/>
          <w:lang w:val="fr-FR"/>
        </w:rPr>
        <w:t>: Étude sur le système d’études et de formation à l’intention des personnels de santé</w:t>
      </w:r>
      <w:r>
        <w:rPr>
          <w:lang w:val="fr-FR"/>
        </w:rPr>
        <w:t xml:space="preserve">. </w:t>
      </w:r>
    </w:p>
    <w:p w:rsidR="00000000" w:rsidRDefault="00000000">
      <w:pPr>
        <w:pStyle w:val="SingleTxtG"/>
        <w:rPr>
          <w:lang w:val="fr-FR"/>
        </w:rPr>
      </w:pPr>
      <w:r>
        <w:rPr>
          <w:lang w:val="fr-FR"/>
        </w:rPr>
        <w:t>406.</w:t>
      </w:r>
      <w:r>
        <w:rPr>
          <w:lang w:val="fr-FR"/>
        </w:rPr>
        <w:tab/>
        <w:t>Les structures existantes pour la formation initiale actuellement sont:</w:t>
      </w:r>
    </w:p>
    <w:p w:rsidR="00000000" w:rsidRDefault="00000000">
      <w:pPr>
        <w:pStyle w:val="Bullet1G"/>
        <w:rPr>
          <w:lang w:val="fr-FR"/>
        </w:rPr>
      </w:pPr>
      <w:r>
        <w:rPr>
          <w:lang w:val="fr-FR"/>
        </w:rPr>
        <w:t>Les facultés de médecine d’Antananarivo et de Mahajanga;</w:t>
      </w:r>
    </w:p>
    <w:p w:rsidR="00000000" w:rsidRDefault="00000000">
      <w:pPr>
        <w:pStyle w:val="Bullet1G"/>
        <w:rPr>
          <w:lang w:val="fr-FR"/>
        </w:rPr>
      </w:pPr>
      <w:r>
        <w:rPr>
          <w:lang w:val="fr-FR"/>
        </w:rPr>
        <w:t>L’Institut d’odontostomatologie tropicale de Mahajanga (IOSTM);</w:t>
      </w:r>
    </w:p>
    <w:p w:rsidR="00000000" w:rsidRDefault="00000000">
      <w:pPr>
        <w:pStyle w:val="Bullet1G"/>
        <w:rPr>
          <w:lang w:val="fr-FR"/>
        </w:rPr>
      </w:pPr>
      <w:r>
        <w:rPr>
          <w:lang w:val="fr-FR"/>
        </w:rPr>
        <w:t>Six (06) instituts de formation interrégionaux des paramédicaux (IFIRP);</w:t>
      </w:r>
    </w:p>
    <w:p w:rsidR="00000000" w:rsidRDefault="00000000">
      <w:pPr>
        <w:pStyle w:val="Bullet1G"/>
        <w:rPr>
          <w:lang w:val="fr-FR"/>
        </w:rPr>
      </w:pPr>
      <w:r>
        <w:rPr>
          <w:lang w:val="fr-FR"/>
        </w:rPr>
        <w:t>L’Institut national de santé publique et communautaire (INSPC);</w:t>
      </w:r>
    </w:p>
    <w:p w:rsidR="00000000" w:rsidRDefault="00000000">
      <w:pPr>
        <w:pStyle w:val="Bullet1G"/>
        <w:rPr>
          <w:lang w:val="fr-FR"/>
        </w:rPr>
      </w:pPr>
      <w:r>
        <w:rPr>
          <w:lang w:val="fr-FR"/>
        </w:rPr>
        <w:t>Les institutions de formation initiales privées en santé.</w:t>
      </w:r>
    </w:p>
    <w:p w:rsidR="00000000" w:rsidRDefault="00000000">
      <w:pPr>
        <w:pStyle w:val="SingleTxtG"/>
        <w:rPr>
          <w:lang w:val="fr-FR"/>
        </w:rPr>
      </w:pPr>
      <w:r>
        <w:rPr>
          <w:lang w:val="fr-FR"/>
        </w:rPr>
        <w:t>407.</w:t>
      </w:r>
      <w:r>
        <w:rPr>
          <w:lang w:val="fr-FR"/>
        </w:rPr>
        <w:tab/>
        <w:t>Les formations continues sont organisées selon les besoins inscrits dans la politique nationale de santé et par plusieurs entités prestataires.</w:t>
      </w:r>
    </w:p>
    <w:p w:rsidR="00000000" w:rsidRDefault="00000000">
      <w:pPr>
        <w:pStyle w:val="SingleTxtG"/>
        <w:rPr>
          <w:lang w:val="fr-FR"/>
        </w:rPr>
      </w:pPr>
      <w:r>
        <w:rPr>
          <w:lang w:val="fr-FR"/>
        </w:rPr>
        <w:t>408.</w:t>
      </w:r>
      <w:r>
        <w:rPr>
          <w:lang w:val="fr-FR"/>
        </w:rPr>
        <w:tab/>
        <w:t>Les établissements et centres de formation existants mettent à la disposition du secteur santé les ressources humaines pour répondre en partie à ses besoins. De 1997 à 2005, près de 1661 médecins généralistes et spécialistes ont été recrutés par le secteur public. De 2003 à 2005, ont été recrutés 819 infirmiers et sages-femmes. (Source: PDSS 2007)</w:t>
      </w:r>
    </w:p>
    <w:p w:rsidR="00000000" w:rsidRDefault="00000000">
      <w:pPr>
        <w:pStyle w:val="SingleTxtG"/>
        <w:rPr>
          <w:lang w:val="fr-FR"/>
        </w:rPr>
      </w:pPr>
      <w:r>
        <w:rPr>
          <w:lang w:val="fr-FR"/>
        </w:rPr>
        <w:t>409.</w:t>
      </w:r>
      <w:r>
        <w:rPr>
          <w:lang w:val="fr-FR"/>
        </w:rPr>
        <w:tab/>
        <w:t>Les mesures prises pour améliorer le système d’études et de formation comprennent:</w:t>
      </w:r>
    </w:p>
    <w:p w:rsidR="00000000" w:rsidRDefault="00000000">
      <w:pPr>
        <w:pStyle w:val="Bullet1G"/>
        <w:rPr>
          <w:lang w:val="fr-FR"/>
        </w:rPr>
      </w:pPr>
      <w:r>
        <w:rPr>
          <w:lang w:val="fr-FR"/>
        </w:rPr>
        <w:t xml:space="preserve">La réforme de la formation initiale pour une meilleure adéquation à la politique nationale de santé; </w:t>
      </w:r>
    </w:p>
    <w:p w:rsidR="00000000" w:rsidRDefault="00000000">
      <w:pPr>
        <w:pStyle w:val="Bullet1G"/>
        <w:rPr>
          <w:lang w:val="fr-FR"/>
        </w:rPr>
      </w:pPr>
      <w:r>
        <w:rPr>
          <w:lang w:val="fr-FR"/>
        </w:rPr>
        <w:t>La définition des profils de la compétence des personnels médicaux et paramédicaux;</w:t>
      </w:r>
    </w:p>
    <w:p w:rsidR="00000000" w:rsidRDefault="00000000">
      <w:pPr>
        <w:pStyle w:val="Bullet1G"/>
        <w:rPr>
          <w:lang w:val="fr-FR"/>
        </w:rPr>
      </w:pPr>
      <w:r>
        <w:rPr>
          <w:lang w:val="fr-FR"/>
        </w:rPr>
        <w:t>La formation des spécialistes;</w:t>
      </w:r>
    </w:p>
    <w:p w:rsidR="00000000" w:rsidRDefault="00000000">
      <w:pPr>
        <w:pStyle w:val="Bullet1G"/>
        <w:rPr>
          <w:lang w:val="fr-FR"/>
        </w:rPr>
      </w:pPr>
      <w:r>
        <w:rPr>
          <w:lang w:val="fr-FR"/>
        </w:rPr>
        <w:t>L’établissement d’un plan de carrière.</w:t>
      </w:r>
    </w:p>
    <w:p w:rsidR="00000000" w:rsidRDefault="00000000">
      <w:pPr>
        <w:pStyle w:val="H23G"/>
        <w:rPr>
          <w:lang w:val="fr-FR"/>
        </w:rPr>
      </w:pPr>
      <w:bookmarkStart w:id="906" w:name="_Toc206414573"/>
      <w:bookmarkStart w:id="907" w:name="_Toc206460415"/>
      <w:bookmarkStart w:id="908" w:name="_Toc206460747"/>
      <w:bookmarkStart w:id="909" w:name="_Toc206461469"/>
      <w:bookmarkStart w:id="910" w:name="_Toc206476263"/>
      <w:bookmarkStart w:id="911" w:name="_Toc207788798"/>
      <w:bookmarkStart w:id="912" w:name="_Toc211835469"/>
      <w:bookmarkStart w:id="913" w:name="_Toc211926776"/>
      <w:r>
        <w:rPr>
          <w:lang w:val="fr-FR"/>
        </w:rPr>
        <w:tab/>
        <w:t>19.</w:t>
      </w:r>
      <w:r>
        <w:rPr>
          <w:lang w:val="fr-FR"/>
        </w:rPr>
        <w:tab/>
        <w:t>La planification familiale</w:t>
      </w:r>
      <w:bookmarkEnd w:id="906"/>
      <w:bookmarkEnd w:id="907"/>
      <w:bookmarkEnd w:id="908"/>
      <w:bookmarkEnd w:id="909"/>
      <w:bookmarkEnd w:id="910"/>
      <w:bookmarkEnd w:id="911"/>
      <w:bookmarkEnd w:id="912"/>
      <w:bookmarkEnd w:id="913"/>
    </w:p>
    <w:p w:rsidR="00000000" w:rsidRDefault="00000000">
      <w:pPr>
        <w:pStyle w:val="SingleTxtG"/>
        <w:rPr>
          <w:lang w:val="fr-FR"/>
        </w:rPr>
      </w:pPr>
      <w:r>
        <w:rPr>
          <w:lang w:val="fr-FR"/>
        </w:rPr>
        <w:t>410.</w:t>
      </w:r>
      <w:r>
        <w:rPr>
          <w:lang w:val="fr-FR"/>
        </w:rPr>
        <w:tab/>
        <w:t>En ce qui concerne la santé reproductive des adolescents on peut noter que les jeunes femmes de 15 à 19 ans représentent 22,7 % de l’effectif des femmes en âge de procréer.</w:t>
      </w:r>
    </w:p>
    <w:p w:rsidR="00000000" w:rsidRDefault="00000000">
      <w:pPr>
        <w:pStyle w:val="SingleTxtG"/>
        <w:rPr>
          <w:lang w:val="fr-FR"/>
        </w:rPr>
      </w:pPr>
      <w:r>
        <w:rPr>
          <w:lang w:val="fr-FR"/>
        </w:rPr>
        <w:t>411.</w:t>
      </w:r>
      <w:r>
        <w:rPr>
          <w:lang w:val="fr-FR"/>
        </w:rPr>
        <w:tab/>
        <w:t>L’âge médian au premier rapport sexuel est de 17,5 ans chez les femmes et 18 ans chez les hommes, avec une proportion importante de jeunes filles qui entrent en vie sexuelle avant 15 ans (13,8 % chez les femmes âgées de 20 à 24 ans).</w:t>
      </w:r>
    </w:p>
    <w:p w:rsidR="00000000" w:rsidRDefault="00000000">
      <w:pPr>
        <w:pStyle w:val="SingleTxtG"/>
        <w:rPr>
          <w:lang w:val="fr-FR"/>
        </w:rPr>
      </w:pPr>
      <w:r>
        <w:rPr>
          <w:lang w:val="fr-FR"/>
        </w:rPr>
        <w:t>412.</w:t>
      </w:r>
      <w:r>
        <w:rPr>
          <w:lang w:val="fr-FR"/>
        </w:rPr>
        <w:tab/>
        <w:t>La prévalence nationale contraceptive s’est améliorée, passant de 10 % d’utilisation de méthodes modernes chez les femmes en union en 1997 à 18 % 2003-2004, toutefois moins de 8 % de femmes de 15 à 19 ans sexuellement actives déclarent utiliser une méthode contraceptive.</w:t>
      </w:r>
    </w:p>
    <w:p w:rsidR="00000000" w:rsidRDefault="00000000">
      <w:pPr>
        <w:pStyle w:val="SingleTxtG"/>
        <w:rPr>
          <w:lang w:val="fr-FR"/>
        </w:rPr>
      </w:pPr>
      <w:r>
        <w:rPr>
          <w:lang w:val="fr-FR"/>
        </w:rPr>
        <w:t>413.</w:t>
      </w:r>
      <w:r>
        <w:rPr>
          <w:lang w:val="fr-FR"/>
        </w:rPr>
        <w:tab/>
        <w:t>Le taux de grossesse chez les adolescentes est de 19 %.</w:t>
      </w:r>
    </w:p>
    <w:p w:rsidR="00000000" w:rsidRDefault="00000000">
      <w:pPr>
        <w:pStyle w:val="SingleTxtG"/>
        <w:rPr>
          <w:lang w:val="fr-FR"/>
        </w:rPr>
      </w:pPr>
      <w:r>
        <w:rPr>
          <w:lang w:val="fr-FR"/>
        </w:rPr>
        <w:t>414.</w:t>
      </w:r>
      <w:r>
        <w:rPr>
          <w:lang w:val="fr-FR"/>
        </w:rPr>
        <w:tab/>
        <w:t>En 2005 un programme de planification familiale 2005-2009 a été lancé pour la mise en œuvre de la nouvelle politique nationale en santé de la reproduction.</w:t>
      </w:r>
    </w:p>
    <w:p w:rsidR="00000000" w:rsidRDefault="00000000">
      <w:pPr>
        <w:pStyle w:val="SingleTxtG"/>
        <w:rPr>
          <w:lang w:val="fr-FR"/>
        </w:rPr>
      </w:pPr>
      <w:r>
        <w:rPr>
          <w:lang w:val="fr-FR"/>
        </w:rPr>
        <w:t>415.</w:t>
      </w:r>
      <w:r>
        <w:rPr>
          <w:lang w:val="fr-FR"/>
        </w:rPr>
        <w:tab/>
        <w:t>Les mesures adoptées pour prévenir les grossesses précoces concernent l’information et l’éducation sur la santé sexuelle et la santé de la reproduction, la création des centres de jeunesse pour dispenser des conseils à tous les adolescents et une approche plus efficace de l’éducation sexuelle et de la contraception dans les écoles et par le biais de la radio et télévision.</w:t>
      </w:r>
    </w:p>
    <w:p w:rsidR="00000000" w:rsidRDefault="00000000">
      <w:pPr>
        <w:pStyle w:val="SingleTxtG"/>
        <w:rPr>
          <w:lang w:val="fr-FR"/>
        </w:rPr>
      </w:pPr>
      <w:r>
        <w:rPr>
          <w:lang w:val="fr-FR"/>
        </w:rPr>
        <w:t>416.</w:t>
      </w:r>
      <w:r>
        <w:rPr>
          <w:lang w:val="fr-FR"/>
        </w:rPr>
        <w:tab/>
        <w:t>On estime qu’entre 1992 et 2004, chaque année 22 850 décès d’enfants et 2 500 décès maternels ont été évités grâce au Planning familial.</w:t>
      </w:r>
    </w:p>
    <w:p w:rsidR="00000000" w:rsidRDefault="00000000">
      <w:pPr>
        <w:pStyle w:val="SingleTxtG"/>
        <w:rPr>
          <w:lang w:val="fr-FR"/>
        </w:rPr>
      </w:pPr>
      <w:r>
        <w:rPr>
          <w:lang w:val="fr-FR"/>
        </w:rPr>
        <w:t>417.</w:t>
      </w:r>
      <w:r>
        <w:rPr>
          <w:lang w:val="fr-FR"/>
        </w:rPr>
        <w:tab/>
        <w:t>Depuis le mois de juillet 2007, les services de planification familiale sont disponibles au niveau de tous les centres de santé et leurs prestations sont gratuites (contraceptifs).</w:t>
      </w:r>
    </w:p>
    <w:p w:rsidR="00000000" w:rsidRDefault="00000000">
      <w:pPr>
        <w:pStyle w:val="SingleTxtG"/>
        <w:rPr>
          <w:lang w:val="fr-FR"/>
        </w:rPr>
      </w:pPr>
      <w:r>
        <w:rPr>
          <w:lang w:val="fr-FR"/>
        </w:rPr>
        <w:t>418.</w:t>
      </w:r>
      <w:r>
        <w:rPr>
          <w:lang w:val="fr-FR"/>
        </w:rPr>
        <w:tab/>
        <w:t>Le financement est estimé à $ 52 937 000. L’ensemble de la stratégie est financé par l’État, les partenaires nationaux et internationaux.</w:t>
      </w:r>
    </w:p>
    <w:p w:rsidR="00000000" w:rsidRDefault="00000000">
      <w:pPr>
        <w:pStyle w:val="H1G"/>
        <w:rPr>
          <w:lang w:val="fr-FR"/>
        </w:rPr>
      </w:pPr>
      <w:bookmarkStart w:id="914" w:name="_Toc206414574"/>
      <w:bookmarkStart w:id="915" w:name="_Toc206460416"/>
      <w:bookmarkStart w:id="916" w:name="_Toc206460748"/>
      <w:bookmarkStart w:id="917" w:name="_Toc206461470"/>
      <w:bookmarkStart w:id="918" w:name="_Toc206476264"/>
      <w:bookmarkStart w:id="919" w:name="_Toc207788799"/>
      <w:bookmarkStart w:id="920" w:name="_Toc211835470"/>
      <w:bookmarkStart w:id="921" w:name="_Toc211926777"/>
      <w:r>
        <w:rPr>
          <w:lang w:val="fr-FR"/>
        </w:rPr>
        <w:tab/>
      </w:r>
      <w:bookmarkStart w:id="922" w:name="_Toc260298267"/>
      <w:r>
        <w:rPr>
          <w:lang w:val="fr-FR"/>
        </w:rPr>
        <w:t>C.</w:t>
      </w:r>
      <w:r>
        <w:rPr>
          <w:lang w:val="fr-FR"/>
        </w:rPr>
        <w:tab/>
        <w:t>La lutte contre le VIH et le sida</w:t>
      </w:r>
      <w:bookmarkEnd w:id="914"/>
      <w:bookmarkEnd w:id="915"/>
      <w:bookmarkEnd w:id="916"/>
      <w:bookmarkEnd w:id="917"/>
      <w:bookmarkEnd w:id="918"/>
      <w:bookmarkEnd w:id="919"/>
      <w:bookmarkEnd w:id="920"/>
      <w:bookmarkEnd w:id="921"/>
      <w:bookmarkEnd w:id="922"/>
    </w:p>
    <w:p w:rsidR="00000000" w:rsidRDefault="00000000">
      <w:pPr>
        <w:pStyle w:val="H23G"/>
        <w:rPr>
          <w:lang w:val="fr-FR"/>
        </w:rPr>
      </w:pPr>
      <w:bookmarkStart w:id="923" w:name="_Toc206414575"/>
      <w:bookmarkStart w:id="924" w:name="_Toc206460417"/>
      <w:bookmarkStart w:id="925" w:name="_Toc206460749"/>
      <w:bookmarkStart w:id="926" w:name="_Toc206461471"/>
      <w:bookmarkStart w:id="927" w:name="_Toc206476265"/>
      <w:bookmarkStart w:id="928" w:name="_Toc207788800"/>
      <w:bookmarkStart w:id="929" w:name="_Toc211835471"/>
      <w:bookmarkStart w:id="930" w:name="_Toc211926778"/>
      <w:r>
        <w:rPr>
          <w:lang w:val="fr-FR"/>
        </w:rPr>
        <w:tab/>
        <w:t>1.</w:t>
      </w:r>
      <w:r>
        <w:rPr>
          <w:lang w:val="fr-FR"/>
        </w:rPr>
        <w:tab/>
        <w:t>Cadre institutionnel</w:t>
      </w:r>
      <w:bookmarkEnd w:id="923"/>
      <w:bookmarkEnd w:id="924"/>
      <w:bookmarkEnd w:id="925"/>
      <w:bookmarkEnd w:id="926"/>
      <w:bookmarkEnd w:id="927"/>
      <w:bookmarkEnd w:id="928"/>
      <w:bookmarkEnd w:id="929"/>
      <w:bookmarkEnd w:id="930"/>
    </w:p>
    <w:p w:rsidR="00000000" w:rsidRDefault="00000000">
      <w:pPr>
        <w:pStyle w:val="SingleTxtG"/>
        <w:rPr>
          <w:lang w:val="fr-FR"/>
        </w:rPr>
      </w:pPr>
      <w:r>
        <w:rPr>
          <w:lang w:val="fr-FR"/>
        </w:rPr>
        <w:t>419.</w:t>
      </w:r>
      <w:r>
        <w:rPr>
          <w:lang w:val="fr-FR"/>
        </w:rPr>
        <w:tab/>
        <w:t xml:space="preserve">Stipulé dans l’engagement </w:t>
      </w:r>
      <w:r>
        <w:rPr>
          <w:rFonts w:eastAsia="MS Mincho"/>
          <w:lang w:val="fr-FR"/>
        </w:rPr>
        <w:t>n</w:t>
      </w:r>
      <w:r>
        <w:rPr>
          <w:rFonts w:eastAsia="MS Mincho"/>
          <w:vertAlign w:val="superscript"/>
          <w:lang w:val="fr-FR"/>
        </w:rPr>
        <w:t>o</w:t>
      </w:r>
      <w:r>
        <w:rPr>
          <w:lang w:val="fr-FR"/>
        </w:rPr>
        <w:t xml:space="preserve"> 5, défi </w:t>
      </w:r>
      <w:r>
        <w:rPr>
          <w:rFonts w:eastAsia="MS Mincho"/>
          <w:lang w:val="fr-FR"/>
        </w:rPr>
        <w:t>n</w:t>
      </w:r>
      <w:r>
        <w:rPr>
          <w:rFonts w:eastAsia="MS Mincho"/>
          <w:vertAlign w:val="superscript"/>
          <w:lang w:val="fr-FR"/>
        </w:rPr>
        <w:t>o</w:t>
      </w:r>
      <w:r>
        <w:rPr>
          <w:lang w:val="fr-FR"/>
        </w:rPr>
        <w:t xml:space="preserve"> 3 du MAP, la lutte contre le VIH et le sida constitue l’une des priorités du pays en vue d’assurer la réduction de la pauvreté et l’amélioration de la qualité de la vie des Malgaches. Le secrétariat exécutif du Comité national de la lutte contre le sida constitue l’organe institutionnel, nommé par décret en 2002, pour assurer la coordination de la réponse face à cette pandémie et veiller à l’exécution du Plan stratégique national (PSN).</w:t>
      </w:r>
    </w:p>
    <w:p w:rsidR="00000000" w:rsidRDefault="00000000">
      <w:pPr>
        <w:pStyle w:val="H23G"/>
        <w:rPr>
          <w:lang w:val="fr-FR"/>
        </w:rPr>
      </w:pPr>
      <w:bookmarkStart w:id="931" w:name="_Toc206414576"/>
      <w:bookmarkStart w:id="932" w:name="_Toc206460418"/>
      <w:bookmarkStart w:id="933" w:name="_Toc206460750"/>
      <w:bookmarkStart w:id="934" w:name="_Toc206461472"/>
      <w:bookmarkStart w:id="935" w:name="_Toc206476266"/>
      <w:bookmarkStart w:id="936" w:name="_Toc207788801"/>
      <w:bookmarkStart w:id="937" w:name="_Toc211835472"/>
      <w:bookmarkStart w:id="938" w:name="_Toc211926779"/>
      <w:r>
        <w:rPr>
          <w:lang w:val="fr-FR"/>
        </w:rPr>
        <w:tab/>
        <w:t>2.</w:t>
      </w:r>
      <w:r>
        <w:rPr>
          <w:lang w:val="fr-FR"/>
        </w:rPr>
        <w:tab/>
        <w:t>Cadre programmatique: le Plan stratégique national (PSN)</w:t>
      </w:r>
      <w:bookmarkEnd w:id="931"/>
      <w:bookmarkEnd w:id="932"/>
      <w:bookmarkEnd w:id="933"/>
      <w:bookmarkEnd w:id="934"/>
      <w:bookmarkEnd w:id="935"/>
      <w:bookmarkEnd w:id="936"/>
      <w:bookmarkEnd w:id="937"/>
      <w:bookmarkEnd w:id="938"/>
    </w:p>
    <w:p w:rsidR="00000000" w:rsidRDefault="00000000">
      <w:pPr>
        <w:pStyle w:val="SingleTxtG"/>
        <w:rPr>
          <w:lang w:val="fr-FR"/>
        </w:rPr>
      </w:pPr>
      <w:r>
        <w:rPr>
          <w:lang w:val="fr-FR"/>
        </w:rPr>
        <w:t>420.</w:t>
      </w:r>
      <w:r>
        <w:rPr>
          <w:lang w:val="fr-FR"/>
        </w:rPr>
        <w:tab/>
        <w:t xml:space="preserve">Pour prévenir le risque de contamination du VIH/sida à l’endroit des deux millions d’enfants en situation difficile et des 30 % des jeunes de moins de 15 ans ayant commencé leur vie sexuelle, le PSN a programmé des actions importantes en leur faveur </w:t>
      </w:r>
    </w:p>
    <w:p w:rsidR="00000000" w:rsidRDefault="00000000">
      <w:pPr>
        <w:pStyle w:val="SingleTxtG"/>
        <w:rPr>
          <w:lang w:val="fr-FR"/>
        </w:rPr>
      </w:pPr>
      <w:r>
        <w:rPr>
          <w:lang w:val="fr-FR"/>
        </w:rPr>
        <w:t>421.</w:t>
      </w:r>
      <w:r>
        <w:rPr>
          <w:lang w:val="fr-FR"/>
        </w:rPr>
        <w:tab/>
        <w:t>Ce plan national multisectoriel intègre les secteurs du domaine de la santé, de l’éducation, du développement rural, du travail, du transport, du tourisme, de la sécurité, de la population, de la jeunesse et sport, de la communication, de l’éducation. Le Ministère de la communication est fortement mobilisé pour initier les enfants et les jeunes sur ce que doit être le comportement adopté face au VIH/sida «life skills».</w:t>
      </w:r>
    </w:p>
    <w:p w:rsidR="00000000" w:rsidRDefault="00000000">
      <w:pPr>
        <w:pStyle w:val="SingleTxtG"/>
        <w:rPr>
          <w:lang w:val="fr-FR"/>
        </w:rPr>
      </w:pPr>
      <w:r>
        <w:rPr>
          <w:lang w:val="fr-FR"/>
        </w:rPr>
        <w:t>422.</w:t>
      </w:r>
      <w:r>
        <w:rPr>
          <w:lang w:val="fr-FR"/>
        </w:rPr>
        <w:tab/>
        <w:t>Les enfants sont en outre pris en considération dans l’intégration du service de prévention de la transmission mère-enfant du VIH au niveau des 576 formations sanitaires de base (rapport 2006). Le résultat a été encourageant puisque 71 % (rapport 2006) des femmes vues en consultation prénatale (CPN) ont accepté d’être dépisté.</w:t>
      </w:r>
    </w:p>
    <w:p w:rsidR="00000000" w:rsidRDefault="00000000">
      <w:pPr>
        <w:pStyle w:val="SingleTxtG"/>
        <w:rPr>
          <w:lang w:val="fr-FR"/>
        </w:rPr>
      </w:pPr>
      <w:r>
        <w:rPr>
          <w:lang w:val="fr-FR"/>
        </w:rPr>
        <w:t>423.</w:t>
      </w:r>
      <w:r>
        <w:rPr>
          <w:lang w:val="fr-FR"/>
        </w:rPr>
        <w:tab/>
        <w:t>Les orphelins et enfants vulnérables (OEV) n’étaient pas en reste, une présentation du projet de loi pour leur prise en charge a été réalisée en 2006. Des familles d’accueil de 1404 OEV se trouvant dans 12 sites ont bénéficié des appuis économiques.</w:t>
      </w:r>
    </w:p>
    <w:p w:rsidR="00000000" w:rsidRDefault="00000000">
      <w:pPr>
        <w:pStyle w:val="SingleTxtG"/>
        <w:rPr>
          <w:lang w:val="fr-FR"/>
        </w:rPr>
      </w:pPr>
      <w:r>
        <w:rPr>
          <w:lang w:val="fr-FR"/>
        </w:rPr>
        <w:t>424.</w:t>
      </w:r>
      <w:r>
        <w:rPr>
          <w:lang w:val="fr-FR"/>
        </w:rPr>
        <w:tab/>
        <w:t>Madagascar est actuellement à la deuxième phase de mise en œuvre de son Plan stratégique national (PSN), défini pour la période 2007-2012. Le plan a pour but de matérialiser la vision du pays «Madagascar, un pays où tous les Malagasy et en particulier les jeunes sont conscients des risques personnels, s’impliquent activement avec l’engagement des leaders dans la lutte contre le VIH/sida; Chaque individu accèdera facilement aux méthodes de prévention appropriée et les utilisera de façon responsable. Individu, famille et communauté apporteront soins et soutien aux personnes infectées et affectées par le VIH». Les interventions décrites dans le PSN sont axées entre autres sur le développement d’un cadre juridique, politique et opérationnel pour une réponse multisectorielle et intégrée protégeant les droits de personnes, l’amélioration de l’accès de la population aux informations, aux moyens de prévention et aux soins et soutiens.</w:t>
      </w:r>
    </w:p>
    <w:p w:rsidR="00000000" w:rsidRDefault="00000000">
      <w:pPr>
        <w:pStyle w:val="SingleTxtG"/>
        <w:rPr>
          <w:lang w:val="fr-FR"/>
        </w:rPr>
      </w:pPr>
      <w:r>
        <w:rPr>
          <w:lang w:val="fr-FR"/>
        </w:rPr>
        <w:t>425.</w:t>
      </w:r>
      <w:r>
        <w:rPr>
          <w:lang w:val="fr-FR"/>
        </w:rPr>
        <w:tab/>
        <w:t>Il se fixe comme cibles prioritaires des interventions, les groupes de population les plus susceptibles de contracter et diffuser l’infection par voie sexuelle tels que les travailleuses du sexe (TDS) et leurs clients et met également davantage l’accent sur la couverture des groupes vulnérables, y compris les femmes, les jeunes, les orphelins et les enfants vulnérables (OEV).</w:t>
      </w:r>
    </w:p>
    <w:p w:rsidR="00000000" w:rsidRDefault="00000000">
      <w:pPr>
        <w:pStyle w:val="SingleTxtG"/>
        <w:rPr>
          <w:lang w:val="fr-FR"/>
        </w:rPr>
      </w:pPr>
      <w:r>
        <w:rPr>
          <w:lang w:val="fr-FR"/>
        </w:rPr>
        <w:t>426.</w:t>
      </w:r>
      <w:r>
        <w:rPr>
          <w:lang w:val="fr-FR"/>
        </w:rPr>
        <w:tab/>
        <w:t>Les résultats des enquêtes réalisées montrent en effet, une prévalence au VIH relativement élevée chez les jeunes par rapport aux autres groupes et à la moyenne nationale: 0,5 %. Chez les femmes enceintes, le groupe d’âge le plus touché par le VIH est celui de 15 à 19 ans selon la dernière enquête de surveillance biologique (ESB) réalisée en 2007. En raison du sentiment d’invulnérabilité aux infections qui les caractérisent, cette tranche d’âge ont une vie sexuelle active avec des multiples partenaires et ne se protègent pas. 59,3 % des hommes et 56,9 % des femmes sont entrés dans la vie sexuelle avant leur 18</w:t>
      </w:r>
      <w:r>
        <w:rPr>
          <w:vertAlign w:val="superscript"/>
          <w:lang w:val="fr-FR"/>
        </w:rPr>
        <w:t>e</w:t>
      </w:r>
      <w:r>
        <w:rPr>
          <w:lang w:val="fr-FR"/>
        </w:rPr>
        <w:t xml:space="preserve"> année et 42,2 % des hommes et 22,5 % des femmes ont déclaré avoir des partenaires multiples, d’après l’enquête de surveillance comportementale (ESC 2006). De même, les enfants de moins de 15 ans dont 6,4 % d’entre eux, soit environ 600 000 enfants considérés comme orphelins (INSTAT, 2001) se trouvent dans une situation de grande vulnérabilité, en se livrant parfois dans des actes de prostitution et/ou contraints à des travaux domestiques. L’exploitation sexuelle des enfants à des fins commerciales commence en outre à prendre une ampleur face au développement du tourisme.</w:t>
      </w:r>
    </w:p>
    <w:p w:rsidR="00000000" w:rsidRDefault="00000000">
      <w:pPr>
        <w:pStyle w:val="H23G"/>
        <w:rPr>
          <w:lang w:val="fr-FR"/>
        </w:rPr>
      </w:pPr>
      <w:bookmarkStart w:id="939" w:name="_Toc206414577"/>
      <w:bookmarkStart w:id="940" w:name="_Toc206460419"/>
      <w:bookmarkStart w:id="941" w:name="_Toc206460751"/>
      <w:bookmarkStart w:id="942" w:name="_Toc206461473"/>
      <w:bookmarkStart w:id="943" w:name="_Toc206476267"/>
      <w:bookmarkStart w:id="944" w:name="_Toc207788802"/>
      <w:bookmarkStart w:id="945" w:name="_Toc211835473"/>
      <w:bookmarkStart w:id="946" w:name="_Toc211926780"/>
      <w:r>
        <w:rPr>
          <w:lang w:val="fr-FR"/>
        </w:rPr>
        <w:tab/>
        <w:t>3.</w:t>
      </w:r>
      <w:r>
        <w:rPr>
          <w:lang w:val="fr-FR"/>
        </w:rPr>
        <w:tab/>
        <w:t>Programmes mis en œuvre en faveur de la protection des enfants contre la propagation du VIH/sida</w:t>
      </w:r>
      <w:bookmarkEnd w:id="939"/>
      <w:bookmarkEnd w:id="940"/>
      <w:bookmarkEnd w:id="941"/>
      <w:bookmarkEnd w:id="942"/>
      <w:bookmarkEnd w:id="943"/>
      <w:bookmarkEnd w:id="944"/>
      <w:bookmarkEnd w:id="945"/>
      <w:bookmarkEnd w:id="946"/>
    </w:p>
    <w:p w:rsidR="00000000" w:rsidRDefault="00000000">
      <w:pPr>
        <w:pStyle w:val="H4G"/>
        <w:rPr>
          <w:lang w:val="fr-FR"/>
        </w:rPr>
      </w:pPr>
      <w:r>
        <w:tab/>
      </w:r>
      <w:r>
        <w:tab/>
        <w:t>Le Mainstreaming</w:t>
      </w:r>
    </w:p>
    <w:p w:rsidR="00000000" w:rsidRDefault="00000000">
      <w:pPr>
        <w:pStyle w:val="SingleTxtG"/>
        <w:rPr>
          <w:lang w:val="fr-FR"/>
        </w:rPr>
      </w:pPr>
      <w:r>
        <w:rPr>
          <w:lang w:val="fr-FR"/>
        </w:rPr>
        <w:t>427.</w:t>
      </w:r>
      <w:r>
        <w:rPr>
          <w:lang w:val="fr-FR"/>
        </w:rPr>
        <w:tab/>
        <w:t xml:space="preserve">Le SE/CNLS et ses partenaires, conscients de ces menaces, ont mis en œuvre bon nombre de projets préventifs au VIH et sida ciblant les tranches d’âges de 15 à 24 ans et moins de 15 ans. Le projet «Ankoay», ciblant les jeunes de 12 à 24 ans œuvre pour la promotion du </w:t>
      </w:r>
      <w:r>
        <w:rPr>
          <w:i/>
          <w:lang w:val="fr-FR"/>
        </w:rPr>
        <w:t xml:space="preserve">life skill </w:t>
      </w:r>
      <w:r>
        <w:rPr>
          <w:lang w:val="fr-FR"/>
        </w:rPr>
        <w:t>par le pair. Les scouts, les collégiens, les sportifs sont formés pour véhiculer des messages de sensibilisation et montrer le modèle d’attitude à moindre risque auprès de leurs pairs et dans la société où ils vivent. Les interventions de 212 groupes de scouts, 313 collèges et 640 équipes sportives à travers cette approche avaient permis de toucher 400 000 jeunes (données enregistrées en 2006)</w:t>
      </w:r>
    </w:p>
    <w:p w:rsidR="00000000" w:rsidRDefault="00000000">
      <w:pPr>
        <w:pStyle w:val="SingleTxtG"/>
        <w:rPr>
          <w:lang w:val="fr-FR"/>
        </w:rPr>
      </w:pPr>
      <w:r>
        <w:rPr>
          <w:lang w:val="fr-FR"/>
        </w:rPr>
        <w:t>428.</w:t>
      </w:r>
      <w:r>
        <w:rPr>
          <w:lang w:val="fr-FR"/>
        </w:rPr>
        <w:tab/>
        <w:t>L’initiative «carton rouge» donne aux jeunes, surtout les filles, l’occasion d’apprendre le meilleur choix de se protéger contre l’infection à VIH, en sortant le carton où il est inscrit «Aok’aloha» (attend d’abord) afin d’éviter le rapport sexuel précoce. Environ 1 million de cartons rouges sont jusqu’ici distribués auprès des écoles et auprès des associations des jeunes.</w:t>
      </w:r>
    </w:p>
    <w:p w:rsidR="00000000" w:rsidRDefault="00000000">
      <w:pPr>
        <w:pStyle w:val="SingleTxtG"/>
        <w:rPr>
          <w:lang w:val="fr-FR"/>
        </w:rPr>
      </w:pPr>
      <w:r>
        <w:rPr>
          <w:lang w:val="fr-FR"/>
        </w:rPr>
        <w:t>429.</w:t>
      </w:r>
      <w:r>
        <w:rPr>
          <w:lang w:val="fr-FR"/>
        </w:rPr>
        <w:tab/>
        <w:t>En ce qui concerne les groupes à risque spécifiquement les détenus, des associations entre autres l’APRAM, SAHI, Solido ont mené des activités d’IEC/CCC. Elles sont intervenues auprès des mineurs détenus afin de leur apprendre des comportements responsables vis-à-vis des facteurs occasionnant des risques de transmission de VIH. Les centres de rééducation du pays font également partie de leurs sites d’intervention et 222 mineurs ont été touchés en 2006.</w:t>
      </w:r>
    </w:p>
    <w:p w:rsidR="00000000" w:rsidRDefault="00000000">
      <w:pPr>
        <w:pStyle w:val="H23G"/>
        <w:rPr>
          <w:i/>
          <w:lang w:val="fr-FR"/>
        </w:rPr>
      </w:pPr>
      <w:bookmarkStart w:id="947" w:name="_Toc206414578"/>
      <w:bookmarkStart w:id="948" w:name="_Toc206460420"/>
      <w:bookmarkStart w:id="949" w:name="_Toc206460752"/>
      <w:bookmarkStart w:id="950" w:name="_Toc206461474"/>
      <w:bookmarkStart w:id="951" w:name="_Toc206476268"/>
      <w:bookmarkStart w:id="952" w:name="_Toc207788803"/>
      <w:bookmarkStart w:id="953" w:name="_Toc211835474"/>
      <w:bookmarkStart w:id="954" w:name="_Toc211926781"/>
      <w:r>
        <w:rPr>
          <w:lang w:val="fr-FR"/>
        </w:rPr>
        <w:tab/>
        <w:t>4.</w:t>
      </w:r>
      <w:r>
        <w:rPr>
          <w:lang w:val="fr-FR"/>
        </w:rPr>
        <w:tab/>
        <w:t>Cadre</w:t>
      </w:r>
      <w:r>
        <w:rPr>
          <w:i/>
          <w:lang w:val="fr-FR"/>
        </w:rPr>
        <w:t xml:space="preserve"> </w:t>
      </w:r>
      <w:r>
        <w:rPr>
          <w:lang w:val="fr-FR"/>
        </w:rPr>
        <w:t>juridique</w:t>
      </w:r>
      <w:bookmarkEnd w:id="947"/>
      <w:bookmarkEnd w:id="948"/>
      <w:bookmarkEnd w:id="949"/>
      <w:bookmarkEnd w:id="950"/>
      <w:bookmarkEnd w:id="951"/>
      <w:bookmarkEnd w:id="952"/>
      <w:bookmarkEnd w:id="953"/>
      <w:bookmarkEnd w:id="954"/>
    </w:p>
    <w:p w:rsidR="00000000" w:rsidRDefault="00000000">
      <w:pPr>
        <w:pStyle w:val="SingleTxtG"/>
        <w:rPr>
          <w:lang w:val="fr-FR"/>
        </w:rPr>
      </w:pPr>
      <w:r>
        <w:rPr>
          <w:lang w:val="fr-FR"/>
        </w:rPr>
        <w:t>430.</w:t>
      </w:r>
      <w:r>
        <w:rPr>
          <w:lang w:val="fr-FR"/>
        </w:rPr>
        <w:tab/>
        <w:t xml:space="preserve">Les droits des enfants affectés et infectés par le VIH/sida y compris les orphelins sont reconnus et stipulés dans la loi </w:t>
      </w:r>
      <w:r>
        <w:rPr>
          <w:rFonts w:eastAsia="MS Mincho"/>
          <w:lang w:val="fr-FR"/>
        </w:rPr>
        <w:t>n</w:t>
      </w:r>
      <w:r>
        <w:rPr>
          <w:rFonts w:eastAsia="MS Mincho"/>
          <w:vertAlign w:val="superscript"/>
          <w:lang w:val="fr-FR"/>
        </w:rPr>
        <w:t>o</w:t>
      </w:r>
      <w:r>
        <w:rPr>
          <w:lang w:val="fr-FR"/>
        </w:rPr>
        <w:t xml:space="preserve"> 2005-040 du 20 février 2006 sur la lutte contre le VIH et le sida</w:t>
      </w:r>
    </w:p>
    <w:p w:rsidR="00000000" w:rsidRDefault="00000000">
      <w:pPr>
        <w:pStyle w:val="SingleTxtG"/>
        <w:rPr>
          <w:lang w:val="fr-FR"/>
        </w:rPr>
      </w:pPr>
      <w:r>
        <w:rPr>
          <w:lang w:val="fr-FR"/>
        </w:rPr>
        <w:t>431.</w:t>
      </w:r>
      <w:r>
        <w:rPr>
          <w:lang w:val="fr-FR"/>
        </w:rPr>
        <w:tab/>
        <w:t>Madagascar dispose depuis 2006, d’une loi protégeant les droits des personnes vivant avec le VIH. Cette loi est accompagnée d’un décret d’application et fait actuellement l’objet d’une large diffusion.</w:t>
      </w:r>
    </w:p>
    <w:p w:rsidR="00000000" w:rsidRDefault="00000000">
      <w:pPr>
        <w:pStyle w:val="SingleTxtG"/>
        <w:rPr>
          <w:lang w:val="fr-FR"/>
        </w:rPr>
      </w:pPr>
      <w:r>
        <w:rPr>
          <w:lang w:val="fr-FR"/>
        </w:rPr>
        <w:t>432.</w:t>
      </w:r>
      <w:r>
        <w:rPr>
          <w:lang w:val="fr-FR"/>
        </w:rPr>
        <w:tab/>
        <w:t>Dans les articles consacrés spécifiquement aux droits des enfants affectés et infectés par le VIH et le sida, l’enfant ne peut faire l’objet d’aucune discrimination ou stigmatisation du fait de son statut avéré (art. 367 al. 2), de son ou de ses parents ou de la ou des personnes qui en ont eu la garde de sa famille proche. Nul enfant ne peut se voir refuser l’accès ni être exclu, discriminé, stigmatisé dans l’exercice de son droit à l’éducation ou de tout programme et toute institution visant les enfants à cause de son statut sérologique avéré ou présumé ou du fait de celui avéré ou présumé de son ou ses partenaire(s), d’un ou de ses parents, de celui ou ceux qui en ont la charge ou d’un membre de sa famille proche, sous peine de demande en réparation civile</w:t>
      </w:r>
    </w:p>
    <w:p w:rsidR="00000000" w:rsidRDefault="00000000">
      <w:pPr>
        <w:pStyle w:val="SingleTxtG"/>
        <w:keepNext/>
        <w:keepLines/>
        <w:rPr>
          <w:lang w:val="fr-FR"/>
        </w:rPr>
      </w:pPr>
      <w:r>
        <w:rPr>
          <w:lang w:val="fr-FR"/>
        </w:rPr>
        <w:t>433.</w:t>
      </w:r>
      <w:r>
        <w:rPr>
          <w:lang w:val="fr-FR"/>
        </w:rPr>
        <w:tab/>
        <w:t>Les actions entreprises par le biais des organisations de la société civile, visant la réduction de cette discrimination, ont déjà porté de fruits. Les personnes vivant avec le VIH sont de plus en plus nombreuses à faire des témoignages. Entre 2004 et 2006, la proportion des personnes ayant des attitudes positives vis-à-vis des PVVIH a augmenté de façon significative, quel que soit le groupe considéré. Elle est passée de 8 % à 13 % chez les jeunes de 15 à 24 ans, de 8 % à 12 % chez les TDS, de 22 % à 26 % chez les militaires.</w:t>
      </w:r>
    </w:p>
    <w:p w:rsidR="00000000" w:rsidRDefault="00000000">
      <w:pPr>
        <w:pStyle w:val="SingleTxtG"/>
        <w:rPr>
          <w:lang w:val="fr-FR"/>
        </w:rPr>
      </w:pPr>
      <w:r>
        <w:rPr>
          <w:lang w:val="fr-FR"/>
        </w:rPr>
        <w:t>434.</w:t>
      </w:r>
      <w:r>
        <w:rPr>
          <w:lang w:val="fr-FR"/>
        </w:rPr>
        <w:tab/>
        <w:t>Cent quatre enfants nés de parents séropositifs ou décédés du sida sont pris en charge par leur famille ou par la communauté d’origine y compris les familles d’accueil.</w:t>
      </w:r>
    </w:p>
    <w:p w:rsidR="00000000" w:rsidRDefault="00000000">
      <w:pPr>
        <w:pStyle w:val="H23G"/>
        <w:rPr>
          <w:lang w:val="fr-FR"/>
        </w:rPr>
      </w:pPr>
      <w:bookmarkStart w:id="955" w:name="_Toc206414579"/>
      <w:bookmarkStart w:id="956" w:name="_Toc206460421"/>
      <w:bookmarkStart w:id="957" w:name="_Toc206460753"/>
      <w:bookmarkStart w:id="958" w:name="_Toc206461475"/>
      <w:bookmarkStart w:id="959" w:name="_Toc206476269"/>
      <w:bookmarkStart w:id="960" w:name="_Toc207788804"/>
      <w:bookmarkStart w:id="961" w:name="_Toc211835475"/>
      <w:bookmarkStart w:id="962" w:name="_Toc211926782"/>
      <w:r>
        <w:rPr>
          <w:lang w:val="fr-FR"/>
        </w:rPr>
        <w:tab/>
        <w:t>5.</w:t>
      </w:r>
      <w:r>
        <w:rPr>
          <w:lang w:val="fr-FR"/>
        </w:rPr>
        <w:tab/>
        <w:t>Prévention et prise en charge</w:t>
      </w:r>
      <w:bookmarkEnd w:id="955"/>
      <w:bookmarkEnd w:id="956"/>
      <w:bookmarkEnd w:id="957"/>
      <w:bookmarkEnd w:id="958"/>
      <w:bookmarkEnd w:id="959"/>
      <w:bookmarkEnd w:id="960"/>
      <w:bookmarkEnd w:id="961"/>
      <w:bookmarkEnd w:id="962"/>
    </w:p>
    <w:p w:rsidR="00000000" w:rsidRDefault="00000000">
      <w:pPr>
        <w:pStyle w:val="SingleTxtG"/>
        <w:rPr>
          <w:lang w:val="fr-FR"/>
        </w:rPr>
      </w:pPr>
      <w:r>
        <w:rPr>
          <w:lang w:val="fr-FR"/>
        </w:rPr>
        <w:t>435.</w:t>
      </w:r>
      <w:r>
        <w:rPr>
          <w:lang w:val="fr-FR"/>
        </w:rPr>
        <w:tab/>
        <w:t>La survie de l’enfant est primordiale et privilégiée dans la promotion de la prévention de la transmission mère enfant et la prise en charge des enfants. La réduction de la proportion de nourrissons infectés par le VIH constitue l’objectif ultime de ce programme. Le pays dispose d’une politique de référence des normes et guide sur le PTME et a développé plusieurs actions visant à améliorer l’accès et la qualité des services de prévention de la transmission mère enfant. Actuellement, environ 600 formations sanitaires offrent de tels services afin de permettre aux femmes enceintes de connaître leur statut sérologique pour la prévention primaire et pour protéger l’enfant contre la transmission du VIH. L’administration du traitement ARV prophylactique aux femmes enceintes séropositives et/ou la référence des mères et des enfants séropositifs pour une prise en charge médicale et psychosociale ont été les mesures prises. Au cours de l’année 2007, 27 femmes enceintes sont sous prophylaxie ARVs et 21 nourrissons (moins de 30 mois) sont nés de mères séropositives dont deux infectés.</w:t>
      </w:r>
    </w:p>
    <w:p w:rsidR="00000000" w:rsidRDefault="00000000">
      <w:pPr>
        <w:pStyle w:val="SingleTxtG"/>
        <w:rPr>
          <w:lang w:val="fr-FR"/>
        </w:rPr>
      </w:pPr>
      <w:r>
        <w:rPr>
          <w:lang w:val="fr-FR"/>
        </w:rPr>
        <w:t>436.</w:t>
      </w:r>
      <w:r>
        <w:rPr>
          <w:lang w:val="fr-FR"/>
        </w:rPr>
        <w:tab/>
        <w:t>Le pays assure depuis 2004 les soins et les traitements des personnes vivant avec le VIH, sans distinction de sexe ni d’âge. Il privilégie, dans tous les cas, l’intérêt et la survie de l’enfant. Aussi, si le consentement d’au moins l’un des parents ou de la tutelle est généralement nécessaire pour les soins et traitements pratiqués aux enfants, il n’en est pas le cas lorsque l’intérêt supérieur de l’enfant l’exige autrement. Dans une même optique, étant donné la situation économique du pays, la politique de l’alimentation de l’enfant nés de mères séropositives à Madagascar préconise aux mères séropositives de choisir l’allaitement maternel exclusif de l’enfant, afin d’éviter la recrudescence des maladies infectieuses ou de la malnutrition et de préserver la survie de l’enfant. Pour une amélioration de la qualité de prise en charge des PVVIH notamment chez les enfants, le pays prévoit un renforcement des capacités des prestataires sanitaires concernés sur la politique nationale de la prise en charge pédiatrique. Par ailleurs 23 associations assurent la prise en charge psychosociale des PVVIH dans 17 régions, soit environ 80 % de l’ensemble des régions que compte le pays.</w:t>
      </w:r>
    </w:p>
    <w:p w:rsidR="00000000" w:rsidRDefault="00000000">
      <w:pPr>
        <w:pStyle w:val="SingleTxtG"/>
        <w:rPr>
          <w:lang w:val="fr-FR"/>
        </w:rPr>
      </w:pPr>
      <w:r>
        <w:rPr>
          <w:lang w:val="fr-FR"/>
        </w:rPr>
        <w:t>437.</w:t>
      </w:r>
      <w:r>
        <w:rPr>
          <w:lang w:val="fr-FR"/>
        </w:rPr>
        <w:tab/>
        <w:t>Il convient également de mentionner que le SE/CNLS collabore avec la Direction de la famille et des enfants, rattachée au Ministère de la santé, du Planning familial et de la protection sociale, pour assurer la prise en charge psychosociale des orphelins et enfants vulnérables à travers le financement du Global Fund (2005-2007). Il apporte soutiens à ces enfants à travers l’appui des actions des associations qui fournissent des aides scolaires, des aides nutritionnelles et des appuis économiques à leurs familles. Jusqu’à la fin de 2007, environ 1 500 orphelins et enfants vulnérables (dont 104 OEV du sida) 300 familles ont pu bénéficier de ces soutiens.</w:t>
      </w:r>
    </w:p>
    <w:p w:rsidR="00000000" w:rsidRDefault="00000000">
      <w:pPr>
        <w:pStyle w:val="SingleTxtG"/>
        <w:rPr>
          <w:lang w:val="fr-FR"/>
        </w:rPr>
      </w:pPr>
      <w:r>
        <w:rPr>
          <w:lang w:val="fr-FR"/>
        </w:rPr>
        <w:t>438.</w:t>
      </w:r>
      <w:r>
        <w:rPr>
          <w:lang w:val="fr-FR"/>
        </w:rPr>
        <w:tab/>
        <w:t>Néanmoins, dans un pays à faible prévalence comme Madagascar, il reste encore difficile et inapproprié, de restreindre les apports au niveau des orphelins du sida, d’autant plus que cela peut engendrer des problèmes de discrimination des enfants.</w:t>
      </w:r>
    </w:p>
    <w:p w:rsidR="00000000" w:rsidRDefault="00000000">
      <w:pPr>
        <w:pStyle w:val="H1G"/>
        <w:rPr>
          <w:lang w:val="fr-FR"/>
        </w:rPr>
      </w:pPr>
      <w:bookmarkStart w:id="963" w:name="_Toc206414580"/>
      <w:bookmarkStart w:id="964" w:name="_Toc206460422"/>
      <w:bookmarkStart w:id="965" w:name="_Toc206460754"/>
      <w:bookmarkStart w:id="966" w:name="_Toc206461476"/>
      <w:bookmarkStart w:id="967" w:name="_Toc206476270"/>
      <w:bookmarkStart w:id="968" w:name="_Toc207788805"/>
      <w:bookmarkStart w:id="969" w:name="_Toc211835476"/>
      <w:bookmarkStart w:id="970" w:name="_Toc211926783"/>
      <w:r>
        <w:rPr>
          <w:lang w:val="fr-FR"/>
        </w:rPr>
        <w:tab/>
      </w:r>
      <w:bookmarkStart w:id="971" w:name="_Toc260298268"/>
      <w:r>
        <w:rPr>
          <w:lang w:val="fr-FR"/>
        </w:rPr>
        <w:t>D.</w:t>
      </w:r>
      <w:r>
        <w:rPr>
          <w:lang w:val="fr-FR"/>
        </w:rPr>
        <w:tab/>
        <w:t>Sécurité sociale</w:t>
      </w:r>
      <w:bookmarkEnd w:id="963"/>
      <w:bookmarkEnd w:id="964"/>
      <w:bookmarkEnd w:id="965"/>
      <w:bookmarkEnd w:id="966"/>
      <w:bookmarkEnd w:id="967"/>
      <w:bookmarkEnd w:id="968"/>
      <w:bookmarkEnd w:id="969"/>
      <w:bookmarkEnd w:id="970"/>
      <w:bookmarkEnd w:id="971"/>
    </w:p>
    <w:p w:rsidR="00000000" w:rsidRDefault="00000000">
      <w:pPr>
        <w:pStyle w:val="H23G"/>
        <w:rPr>
          <w:i/>
          <w:lang w:val="fr-FR"/>
        </w:rPr>
      </w:pPr>
      <w:bookmarkStart w:id="972" w:name="_Toc206414581"/>
      <w:bookmarkStart w:id="973" w:name="_Toc206460423"/>
      <w:bookmarkStart w:id="974" w:name="_Toc206460755"/>
      <w:bookmarkStart w:id="975" w:name="_Toc206461477"/>
      <w:bookmarkStart w:id="976" w:name="_Toc206476271"/>
      <w:bookmarkStart w:id="977" w:name="_Toc207788806"/>
      <w:bookmarkStart w:id="978" w:name="_Toc211835477"/>
      <w:bookmarkStart w:id="979" w:name="_Toc211926784"/>
      <w:r>
        <w:rPr>
          <w:lang w:val="fr-FR"/>
        </w:rPr>
        <w:tab/>
        <w:t>1.</w:t>
      </w:r>
      <w:r>
        <w:rPr>
          <w:lang w:val="fr-FR"/>
        </w:rPr>
        <w:tab/>
        <w:t>Cadre</w:t>
      </w:r>
      <w:r>
        <w:rPr>
          <w:i/>
          <w:lang w:val="fr-FR"/>
        </w:rPr>
        <w:t xml:space="preserve"> </w:t>
      </w:r>
      <w:r>
        <w:rPr>
          <w:lang w:val="fr-FR"/>
        </w:rPr>
        <w:t>juridique</w:t>
      </w:r>
      <w:bookmarkEnd w:id="972"/>
      <w:bookmarkEnd w:id="973"/>
      <w:bookmarkEnd w:id="974"/>
      <w:bookmarkEnd w:id="975"/>
      <w:bookmarkEnd w:id="976"/>
      <w:bookmarkEnd w:id="977"/>
      <w:bookmarkEnd w:id="978"/>
      <w:bookmarkEnd w:id="979"/>
    </w:p>
    <w:p w:rsidR="00000000" w:rsidRDefault="00000000">
      <w:pPr>
        <w:pStyle w:val="SingleTxtG"/>
        <w:rPr>
          <w:lang w:val="fr-FR"/>
        </w:rPr>
      </w:pPr>
      <w:r>
        <w:rPr>
          <w:lang w:val="fr-FR"/>
        </w:rPr>
        <w:t>439.</w:t>
      </w:r>
      <w:r>
        <w:rPr>
          <w:lang w:val="fr-FR"/>
        </w:rPr>
        <w:tab/>
        <w:t>La législation existante en matière de sécurité sociale comprend:</w:t>
      </w:r>
    </w:p>
    <w:p w:rsidR="00000000" w:rsidRDefault="00000000">
      <w:pPr>
        <w:pStyle w:val="Bullet1G"/>
        <w:rPr>
          <w:lang w:val="fr-FR"/>
        </w:rPr>
      </w:pPr>
      <w:r>
        <w:rPr>
          <w:lang w:val="fr-FR"/>
        </w:rPr>
        <w:t xml:space="preserve">La loi </w:t>
      </w:r>
      <w:r>
        <w:rPr>
          <w:rFonts w:eastAsia="MS Mincho"/>
          <w:lang w:val="fr-FR"/>
        </w:rPr>
        <w:t>n</w:t>
      </w:r>
      <w:r>
        <w:rPr>
          <w:rFonts w:eastAsia="MS Mincho"/>
          <w:vertAlign w:val="superscript"/>
          <w:lang w:val="fr-FR"/>
        </w:rPr>
        <w:t>o</w:t>
      </w:r>
      <w:r>
        <w:rPr>
          <w:lang w:val="fr-FR"/>
        </w:rPr>
        <w:t xml:space="preserve"> 68-023 du 17 décembre 1968 portant Code de prévoyance sociale. Elle s’applique aux salariés du secteur formel privé mais n’a pas instauré de système de couverture maladie pour les tous travailleurs salariés;</w:t>
      </w:r>
    </w:p>
    <w:p w:rsidR="00000000" w:rsidRDefault="00000000">
      <w:pPr>
        <w:pStyle w:val="Bullet1G"/>
        <w:rPr>
          <w:lang w:val="fr-FR"/>
        </w:rPr>
      </w:pPr>
      <w:r>
        <w:rPr>
          <w:lang w:val="fr-FR"/>
        </w:rPr>
        <w:t xml:space="preserve">La loi </w:t>
      </w:r>
      <w:r>
        <w:rPr>
          <w:rFonts w:eastAsia="MS Mincho"/>
          <w:lang w:val="fr-FR"/>
        </w:rPr>
        <w:t>n</w:t>
      </w:r>
      <w:r>
        <w:rPr>
          <w:rFonts w:eastAsia="MS Mincho"/>
          <w:vertAlign w:val="superscript"/>
          <w:lang w:val="fr-FR"/>
        </w:rPr>
        <w:t>o</w:t>
      </w:r>
      <w:r>
        <w:rPr>
          <w:lang w:val="fr-FR"/>
        </w:rPr>
        <w:t xml:space="preserve"> 94-026 portant Code de protection sociale. Elle prend en compte toutes les catégories de travailleurs quel que soit leur statut. Cette loi n’est pas appliquée;</w:t>
      </w:r>
    </w:p>
    <w:p w:rsidR="00000000" w:rsidRDefault="00000000">
      <w:pPr>
        <w:pStyle w:val="Bullet1G"/>
        <w:rPr>
          <w:lang w:val="fr-FR"/>
        </w:rPr>
      </w:pPr>
      <w:r>
        <w:rPr>
          <w:lang w:val="fr-FR"/>
        </w:rPr>
        <w:t xml:space="preserve">Le décret </w:t>
      </w:r>
      <w:r>
        <w:rPr>
          <w:rFonts w:eastAsia="MS Mincho"/>
          <w:lang w:val="fr-FR"/>
        </w:rPr>
        <w:t>n</w:t>
      </w:r>
      <w:r>
        <w:rPr>
          <w:rFonts w:eastAsia="MS Mincho"/>
          <w:vertAlign w:val="superscript"/>
          <w:lang w:val="fr-FR"/>
        </w:rPr>
        <w:t>o</w:t>
      </w:r>
      <w:r>
        <w:rPr>
          <w:lang w:val="fr-FR"/>
        </w:rPr>
        <w:t xml:space="preserve"> 2003-1162 organisant la médecine d’entreprise;</w:t>
      </w:r>
    </w:p>
    <w:p w:rsidR="00000000" w:rsidRDefault="00000000">
      <w:pPr>
        <w:pStyle w:val="Bullet1G"/>
        <w:rPr>
          <w:lang w:val="fr-FR"/>
        </w:rPr>
      </w:pPr>
      <w:r>
        <w:rPr>
          <w:lang w:val="fr-FR"/>
        </w:rPr>
        <w:t xml:space="preserve">La loi </w:t>
      </w:r>
      <w:r>
        <w:rPr>
          <w:rFonts w:eastAsia="MS Mincho"/>
          <w:lang w:val="fr-FR"/>
        </w:rPr>
        <w:t>n</w:t>
      </w:r>
      <w:r>
        <w:rPr>
          <w:rFonts w:eastAsia="MS Mincho"/>
          <w:vertAlign w:val="superscript"/>
          <w:lang w:val="fr-FR"/>
        </w:rPr>
        <w:t>o</w:t>
      </w:r>
      <w:r>
        <w:rPr>
          <w:lang w:val="fr-FR"/>
        </w:rPr>
        <w:t xml:space="preserve"> 2005-007 relative au fonctionnement des fonds de pension.</w:t>
      </w:r>
    </w:p>
    <w:p w:rsidR="00000000" w:rsidRDefault="00000000">
      <w:pPr>
        <w:pStyle w:val="H23G"/>
        <w:rPr>
          <w:lang w:val="fr-FR"/>
        </w:rPr>
      </w:pPr>
      <w:bookmarkStart w:id="980" w:name="_Toc206414582"/>
      <w:bookmarkStart w:id="981" w:name="_Toc206460424"/>
      <w:bookmarkStart w:id="982" w:name="_Toc206460756"/>
      <w:bookmarkStart w:id="983" w:name="_Toc206461478"/>
      <w:bookmarkStart w:id="984" w:name="_Toc206476272"/>
      <w:bookmarkStart w:id="985" w:name="_Toc207788807"/>
      <w:bookmarkStart w:id="986" w:name="_Toc211835478"/>
      <w:bookmarkStart w:id="987" w:name="_Toc211926785"/>
      <w:r>
        <w:rPr>
          <w:lang w:val="fr-FR"/>
        </w:rPr>
        <w:tab/>
        <w:t>2.</w:t>
      </w:r>
      <w:r>
        <w:rPr>
          <w:lang w:val="fr-FR"/>
        </w:rPr>
        <w:tab/>
        <w:t xml:space="preserve">Mise en </w:t>
      </w:r>
      <w:bookmarkEnd w:id="980"/>
      <w:r>
        <w:rPr>
          <w:lang w:val="fr-FR"/>
        </w:rPr>
        <w:t>œuvre</w:t>
      </w:r>
      <w:bookmarkEnd w:id="981"/>
      <w:bookmarkEnd w:id="982"/>
      <w:bookmarkEnd w:id="983"/>
      <w:bookmarkEnd w:id="984"/>
      <w:bookmarkEnd w:id="985"/>
      <w:bookmarkEnd w:id="986"/>
      <w:bookmarkEnd w:id="987"/>
    </w:p>
    <w:p w:rsidR="00000000" w:rsidRDefault="00000000">
      <w:pPr>
        <w:pStyle w:val="SingleTxtG"/>
        <w:rPr>
          <w:lang w:val="fr-FR"/>
        </w:rPr>
      </w:pPr>
      <w:r>
        <w:rPr>
          <w:lang w:val="fr-FR"/>
        </w:rPr>
        <w:t>440.</w:t>
      </w:r>
      <w:r>
        <w:rPr>
          <w:lang w:val="fr-FR"/>
        </w:rPr>
        <w:tab/>
        <w:t>À l’heure actuelle, la couverture sociale des salariés du privé est assurée par la Caisse nationale de prévoyance sociale (CNaPS) qui gère trois régimes distincts: vieillesse, accidents du travail/maladies professionnelles et allocations familiales.</w:t>
      </w:r>
    </w:p>
    <w:p w:rsidR="00000000" w:rsidRDefault="00000000">
      <w:pPr>
        <w:pStyle w:val="SingleTxtG"/>
        <w:rPr>
          <w:lang w:val="fr-FR"/>
        </w:rPr>
      </w:pPr>
      <w:r>
        <w:rPr>
          <w:lang w:val="fr-FR"/>
        </w:rPr>
        <w:t>441.</w:t>
      </w:r>
      <w:r>
        <w:rPr>
          <w:lang w:val="fr-FR"/>
        </w:rPr>
        <w:tab/>
        <w:t>La couverture maladie des fonctionnaires publics est assurée par l’État qui prend en charge les frais médicaux des agents et de leur famille. La Caisse de retraite civile et militaire (CRCM) couvre la retraite dans le secteur public.</w:t>
      </w:r>
    </w:p>
    <w:p w:rsidR="00000000" w:rsidRDefault="00000000">
      <w:pPr>
        <w:pStyle w:val="SingleTxtG"/>
        <w:rPr>
          <w:lang w:val="fr-FR"/>
        </w:rPr>
      </w:pPr>
      <w:r>
        <w:rPr>
          <w:lang w:val="fr-FR"/>
        </w:rPr>
        <w:t>442.</w:t>
      </w:r>
      <w:r>
        <w:rPr>
          <w:lang w:val="fr-FR"/>
        </w:rPr>
        <w:tab/>
        <w:t>La prise en charge médicale des travailleurs du secteur privé est assurée par les associations des entreprises (OSTIE, AMIT,…).</w:t>
      </w:r>
    </w:p>
    <w:p w:rsidR="00000000" w:rsidRDefault="00000000">
      <w:pPr>
        <w:pStyle w:val="SingleTxtG"/>
        <w:rPr>
          <w:lang w:val="fr-FR"/>
        </w:rPr>
      </w:pPr>
      <w:r>
        <w:rPr>
          <w:lang w:val="fr-FR"/>
        </w:rPr>
        <w:t>443.</w:t>
      </w:r>
      <w:r>
        <w:rPr>
          <w:lang w:val="fr-FR"/>
        </w:rPr>
        <w:tab/>
        <w:t>Ce système formel de sécurité sociale couvre une frange limitée des travailleurs, estimée à 7 % de la population active.</w:t>
      </w:r>
    </w:p>
    <w:p w:rsidR="00000000" w:rsidRDefault="00000000">
      <w:pPr>
        <w:pStyle w:val="SingleTxtG"/>
        <w:rPr>
          <w:lang w:val="fr-FR"/>
        </w:rPr>
      </w:pPr>
      <w:r>
        <w:rPr>
          <w:lang w:val="fr-FR"/>
        </w:rPr>
        <w:t>444.</w:t>
      </w:r>
      <w:r>
        <w:rPr>
          <w:lang w:val="fr-FR"/>
        </w:rPr>
        <w:tab/>
        <w:t>Le fonds d’équité est pour sa part un fonds destiné à la prise en charge pharmaceutique des personnes indigentes. Il est prélevé sur le FANOME (Fonds d’approvisionnement non-stop des médicaments) qui est alimenté par une «taxe» appliquée sur le prix des médicaments vendus dans les formations sanitaires. 3 % des montants alloués au FANOME sont reversés au fonds d’équité.</w:t>
      </w:r>
    </w:p>
    <w:p w:rsidR="00000000" w:rsidRDefault="00000000">
      <w:pPr>
        <w:pStyle w:val="SingleTxtG"/>
        <w:rPr>
          <w:lang w:val="fr-FR"/>
        </w:rPr>
      </w:pPr>
      <w:r>
        <w:rPr>
          <w:lang w:val="fr-FR"/>
        </w:rPr>
        <w:t>445.</w:t>
      </w:r>
      <w:r>
        <w:rPr>
          <w:lang w:val="fr-FR"/>
        </w:rPr>
        <w:tab/>
        <w:t xml:space="preserve">Il existe aussi des pharmacies à gestion communautaire au niveau des formations sanitaires de base. </w:t>
      </w:r>
    </w:p>
    <w:p w:rsidR="00000000" w:rsidRDefault="00000000">
      <w:pPr>
        <w:pStyle w:val="SingleTxtG"/>
        <w:rPr>
          <w:lang w:val="fr-FR"/>
        </w:rPr>
      </w:pPr>
      <w:r>
        <w:rPr>
          <w:lang w:val="fr-FR"/>
        </w:rPr>
        <w:t>446.</w:t>
      </w:r>
      <w:r>
        <w:rPr>
          <w:lang w:val="fr-FR"/>
        </w:rPr>
        <w:tab/>
        <w:t>Quelques initiatives de sécurité sociale «informelle» sont en cours d’expérimentation. Parmi ces initiatives, trouve-ton les mutuelles de santé, basées sur des cotisations volontaires, en général très modestes, qui assurent une forme d’assurance maladie. Il existe actuellement 60 mutuelles communales sur un total de 1 600 communes.</w:t>
      </w:r>
    </w:p>
    <w:p w:rsidR="00000000" w:rsidRDefault="00000000">
      <w:pPr>
        <w:pStyle w:val="H1G"/>
        <w:rPr>
          <w:lang w:val="fr-FR"/>
        </w:rPr>
      </w:pPr>
      <w:bookmarkStart w:id="988" w:name="_Toc206414583"/>
      <w:bookmarkStart w:id="989" w:name="_Toc206460425"/>
      <w:bookmarkStart w:id="990" w:name="_Toc206460757"/>
      <w:bookmarkStart w:id="991" w:name="_Toc206461479"/>
      <w:bookmarkStart w:id="992" w:name="_Toc206476273"/>
      <w:bookmarkStart w:id="993" w:name="_Toc207788808"/>
      <w:bookmarkStart w:id="994" w:name="_Toc211835479"/>
      <w:bookmarkStart w:id="995" w:name="_Toc211926786"/>
      <w:r>
        <w:rPr>
          <w:lang w:val="fr-FR"/>
        </w:rPr>
        <w:tab/>
      </w:r>
      <w:bookmarkStart w:id="996" w:name="_Toc260298269"/>
      <w:r>
        <w:rPr>
          <w:lang w:val="fr-FR"/>
        </w:rPr>
        <w:t>E.</w:t>
      </w:r>
      <w:r>
        <w:rPr>
          <w:lang w:val="fr-FR"/>
        </w:rPr>
        <w:tab/>
        <w:t>Niveau de vie</w:t>
      </w:r>
      <w:bookmarkEnd w:id="988"/>
      <w:bookmarkEnd w:id="989"/>
      <w:bookmarkEnd w:id="990"/>
      <w:bookmarkEnd w:id="991"/>
      <w:bookmarkEnd w:id="992"/>
      <w:bookmarkEnd w:id="993"/>
      <w:bookmarkEnd w:id="994"/>
      <w:bookmarkEnd w:id="995"/>
      <w:bookmarkEnd w:id="996"/>
    </w:p>
    <w:p w:rsidR="00000000" w:rsidRDefault="00000000">
      <w:pPr>
        <w:pStyle w:val="H23G"/>
        <w:rPr>
          <w:i/>
          <w:lang w:val="fr-FR"/>
        </w:rPr>
      </w:pPr>
      <w:bookmarkStart w:id="997" w:name="_Toc206414584"/>
      <w:bookmarkStart w:id="998" w:name="_Toc206460426"/>
      <w:bookmarkStart w:id="999" w:name="_Toc206460758"/>
      <w:bookmarkStart w:id="1000" w:name="_Toc206461480"/>
      <w:bookmarkStart w:id="1001" w:name="_Toc206476274"/>
      <w:bookmarkStart w:id="1002" w:name="_Toc207788809"/>
      <w:bookmarkStart w:id="1003" w:name="_Toc211835480"/>
      <w:bookmarkStart w:id="1004" w:name="_Toc211926787"/>
      <w:r>
        <w:rPr>
          <w:lang w:val="fr-FR"/>
        </w:rPr>
        <w:tab/>
        <w:t>1.</w:t>
      </w:r>
      <w:r>
        <w:rPr>
          <w:lang w:val="fr-FR"/>
        </w:rPr>
        <w:tab/>
        <w:t>Cadre</w:t>
      </w:r>
      <w:r>
        <w:rPr>
          <w:i/>
          <w:lang w:val="fr-FR"/>
        </w:rPr>
        <w:t xml:space="preserve"> </w:t>
      </w:r>
      <w:r>
        <w:rPr>
          <w:lang w:val="fr-FR"/>
        </w:rPr>
        <w:t>juridique</w:t>
      </w:r>
      <w:bookmarkEnd w:id="997"/>
      <w:bookmarkEnd w:id="998"/>
      <w:bookmarkEnd w:id="999"/>
      <w:bookmarkEnd w:id="1000"/>
      <w:bookmarkEnd w:id="1001"/>
      <w:bookmarkEnd w:id="1002"/>
      <w:bookmarkEnd w:id="1003"/>
      <w:bookmarkEnd w:id="1004"/>
    </w:p>
    <w:p w:rsidR="00000000" w:rsidRDefault="00000000">
      <w:pPr>
        <w:pStyle w:val="SingleTxtG"/>
        <w:rPr>
          <w:lang w:val="fr-FR"/>
        </w:rPr>
      </w:pPr>
      <w:r>
        <w:rPr>
          <w:lang w:val="fr-FR"/>
        </w:rPr>
        <w:t>447.</w:t>
      </w:r>
      <w:r>
        <w:rPr>
          <w:lang w:val="fr-FR"/>
        </w:rPr>
        <w:tab/>
        <w:t>La Constitution malgache, dans son chapitre sur les droits et devoirs économiques, sociaux et culturels, prévoit l’assistance de l’État pour le citoyen qui n’est pas en mesure de pourvoir à ses besoins par le travail (art. 30).</w:t>
      </w:r>
    </w:p>
    <w:p w:rsidR="00000000" w:rsidRDefault="00000000">
      <w:pPr>
        <w:pStyle w:val="SingleTxtG"/>
        <w:rPr>
          <w:lang w:val="fr-FR"/>
        </w:rPr>
      </w:pPr>
      <w:r>
        <w:rPr>
          <w:lang w:val="fr-FR"/>
        </w:rPr>
        <w:t>448.</w:t>
      </w:r>
      <w:r>
        <w:rPr>
          <w:lang w:val="fr-FR"/>
        </w:rPr>
        <w:tab/>
        <w:t>En ce qui concerne spécifiquement la famille et l’enfant, la loi sur l’adoption prévoit l’appui de l’État aux familles qui ne seraient pas en mesure d’«assurer son rôle d’éducateur naturel de l’enfant» (art. 7).</w:t>
      </w:r>
    </w:p>
    <w:p w:rsidR="00000000" w:rsidRDefault="00000000">
      <w:pPr>
        <w:pStyle w:val="H23G"/>
        <w:rPr>
          <w:i/>
          <w:lang w:val="fr-FR"/>
        </w:rPr>
      </w:pPr>
      <w:bookmarkStart w:id="1005" w:name="_Toc206414585"/>
      <w:bookmarkStart w:id="1006" w:name="_Toc206460427"/>
      <w:bookmarkStart w:id="1007" w:name="_Toc206460759"/>
      <w:bookmarkStart w:id="1008" w:name="_Toc206461481"/>
      <w:bookmarkStart w:id="1009" w:name="_Toc206476275"/>
      <w:bookmarkStart w:id="1010" w:name="_Toc207788810"/>
      <w:bookmarkStart w:id="1011" w:name="_Toc211835481"/>
      <w:bookmarkStart w:id="1012" w:name="_Toc211926788"/>
      <w:r>
        <w:rPr>
          <w:lang w:val="fr-FR"/>
        </w:rPr>
        <w:tab/>
        <w:t>2.</w:t>
      </w:r>
      <w:r>
        <w:rPr>
          <w:lang w:val="fr-FR"/>
        </w:rPr>
        <w:tab/>
        <w:t>Analyse</w:t>
      </w:r>
      <w:r>
        <w:rPr>
          <w:i/>
          <w:lang w:val="fr-FR"/>
        </w:rPr>
        <w:t xml:space="preserve"> </w:t>
      </w:r>
      <w:r>
        <w:rPr>
          <w:lang w:val="fr-FR"/>
        </w:rPr>
        <w:t>situationnelle</w:t>
      </w:r>
      <w:bookmarkEnd w:id="1005"/>
      <w:bookmarkEnd w:id="1006"/>
      <w:bookmarkEnd w:id="1007"/>
      <w:bookmarkEnd w:id="1008"/>
      <w:bookmarkEnd w:id="1009"/>
      <w:bookmarkEnd w:id="1010"/>
      <w:bookmarkEnd w:id="1011"/>
      <w:bookmarkEnd w:id="1012"/>
    </w:p>
    <w:p w:rsidR="00000000" w:rsidRDefault="00000000">
      <w:pPr>
        <w:pStyle w:val="SingleTxtG"/>
        <w:rPr>
          <w:lang w:val="fr-FR"/>
        </w:rPr>
      </w:pPr>
      <w:r>
        <w:rPr>
          <w:lang w:val="fr-FR"/>
        </w:rPr>
        <w:t>449.</w:t>
      </w:r>
      <w:r>
        <w:rPr>
          <w:lang w:val="fr-FR"/>
        </w:rPr>
        <w:tab/>
        <w:t>En 2005, l’incidence de la pauvreté à Madagascar se situe à 68,7%. Le taux de pauvreté en milieu rural (73,5 %) est plus élevé qu’en milieu urbain (52,0 %). Les régions Est d’Atsimo Atsinanana et Vatovavy Fitovinany et la région Sud de l’Androy montrent des taux de pauvreté supérieurs à 80 %.</w:t>
      </w:r>
    </w:p>
    <w:p w:rsidR="00000000" w:rsidRDefault="00000000">
      <w:pPr>
        <w:pStyle w:val="SingleTxtG"/>
        <w:rPr>
          <w:lang w:val="fr-FR"/>
        </w:rPr>
      </w:pPr>
      <w:r>
        <w:rPr>
          <w:lang w:val="fr-FR"/>
        </w:rPr>
        <w:t>450.</w:t>
      </w:r>
      <w:r>
        <w:rPr>
          <w:lang w:val="fr-FR"/>
        </w:rPr>
        <w:tab/>
        <w:t>Après la crise économique de 2002, la reprise s’est amorcée dès l’année 2003. La croissance économique en 2004 et 2005 a profité aussi bien aux ruraux qu’aux individus vivant en milieu urbain. L’incidence de la pauvreté dans l’ensemble a reculé de 72,1 % à 68,7 % entre 2004 et 2005. Toutefois, la réduction de la pauvreté est plus significative en milieu rural qu’en milieu urbain: 1,7 point seulement en milieu urbain contre 3,8 points en milieu rural.</w:t>
      </w:r>
    </w:p>
    <w:p w:rsidR="00000000" w:rsidRDefault="00000000">
      <w:pPr>
        <w:pStyle w:val="SingleTxtG"/>
        <w:rPr>
          <w:lang w:val="fr-FR"/>
        </w:rPr>
      </w:pPr>
      <w:r>
        <w:rPr>
          <w:lang w:val="fr-FR"/>
        </w:rPr>
        <w:t>451.</w:t>
      </w:r>
      <w:r>
        <w:rPr>
          <w:lang w:val="fr-FR"/>
        </w:rPr>
        <w:tab/>
        <w:t>Parmi les indicateurs de la pauvreté, la part de l’alimentation dans la consommation totale montre qu’en moyenne 70,1 % de la consommation est consacrée à l’alimentation depuis 2004. Dans le milieu rural la proportion de l’alimentation dans la consommation est plus élevée (76,1 % contre 56,6 % en milieu urbain).</w:t>
      </w:r>
    </w:p>
    <w:p w:rsidR="00000000" w:rsidRDefault="00000000">
      <w:pPr>
        <w:pStyle w:val="SingleTxtG"/>
        <w:rPr>
          <w:lang w:val="fr-FR"/>
        </w:rPr>
      </w:pPr>
      <w:r>
        <w:rPr>
          <w:lang w:val="fr-FR"/>
        </w:rPr>
        <w:t>452.</w:t>
      </w:r>
      <w:r>
        <w:rPr>
          <w:lang w:val="fr-FR"/>
        </w:rPr>
        <w:tab/>
        <w:t xml:space="preserve">Le niveau d’instruction du chef de ménage est parmi les déterminants du niveau de vie des ménages. </w:t>
      </w:r>
    </w:p>
    <w:p w:rsidR="00000000" w:rsidRDefault="00000000">
      <w:pPr>
        <w:pStyle w:val="SingleTxtG"/>
        <w:rPr>
          <w:lang w:val="fr-FR"/>
        </w:rPr>
      </w:pPr>
      <w:r>
        <w:rPr>
          <w:lang w:val="fr-FR"/>
        </w:rPr>
        <w:t>453.</w:t>
      </w:r>
      <w:r>
        <w:rPr>
          <w:lang w:val="fr-FR"/>
        </w:rPr>
        <w:tab/>
        <w:t>Pour les enfants, les taux de pauvreté économique sont plus élevés. Si le taux de pauvreté pour les adultes est de 68,7 %, pour les enfants ce taux est de 74,6 % et est notablement plus élevé dans les régions plus défavorisées autour de Fianarantsoa (81,1 %) et Toliara (80,4 %).</w:t>
      </w:r>
    </w:p>
    <w:p w:rsidR="00000000" w:rsidRDefault="00000000">
      <w:pPr>
        <w:pStyle w:val="SingleTxtG"/>
        <w:rPr>
          <w:lang w:val="fr-FR"/>
        </w:rPr>
      </w:pPr>
      <w:r>
        <w:rPr>
          <w:lang w:val="fr-FR"/>
        </w:rPr>
        <w:t>454.</w:t>
      </w:r>
      <w:r>
        <w:rPr>
          <w:lang w:val="fr-FR"/>
        </w:rPr>
        <w:tab/>
        <w:t>Les plus graves privations qui affectent les enfants sont celles qui concernent la disponibilité d’eau potable (81 %) et le logement (57,4 %). Ici aussi existent de grandes variations parmi les régions du pays: si la privation en termes d’eau potable est généralisée, les privations concernant l’habitation et l’assainissement sont particulièrement graves dans les régions autour de Mahajanga et Toliara.</w:t>
      </w:r>
    </w:p>
    <w:p w:rsidR="00000000" w:rsidRDefault="00000000">
      <w:pPr>
        <w:pStyle w:val="SingleTxtG"/>
        <w:rPr>
          <w:lang w:val="fr-FR"/>
        </w:rPr>
      </w:pPr>
      <w:r>
        <w:rPr>
          <w:lang w:val="fr-FR"/>
        </w:rPr>
        <w:t>455.</w:t>
      </w:r>
      <w:r>
        <w:rPr>
          <w:lang w:val="fr-FR"/>
        </w:rPr>
        <w:tab/>
        <w:t xml:space="preserve">En ce qui concerne les opinions des ménages sur les conditions de vie en 2005, 47,7 % de la population ont déclaré être en difficulté. 0,3 % ont répondu qu’ils vivent aisément. En milieu rural la moitié des individus se sont classés parmi ceux qui sont en difficulté. </w:t>
      </w:r>
    </w:p>
    <w:p w:rsidR="00000000" w:rsidRDefault="00000000">
      <w:pPr>
        <w:pStyle w:val="H23G"/>
        <w:rPr>
          <w:lang w:val="fr-FR"/>
        </w:rPr>
      </w:pPr>
      <w:bookmarkStart w:id="1013" w:name="_Toc206414586"/>
      <w:bookmarkStart w:id="1014" w:name="_Toc206460428"/>
      <w:bookmarkStart w:id="1015" w:name="_Toc206460760"/>
      <w:bookmarkStart w:id="1016" w:name="_Toc206461482"/>
      <w:bookmarkStart w:id="1017" w:name="_Toc206476276"/>
      <w:bookmarkStart w:id="1018" w:name="_Toc207788811"/>
      <w:bookmarkStart w:id="1019" w:name="_Toc211835482"/>
      <w:bookmarkStart w:id="1020" w:name="_Toc211926789"/>
      <w:r>
        <w:rPr>
          <w:lang w:val="fr-FR"/>
        </w:rPr>
        <w:tab/>
        <w:t>3.</w:t>
      </w:r>
      <w:r>
        <w:rPr>
          <w:lang w:val="fr-FR"/>
        </w:rPr>
        <w:tab/>
        <w:t>Mesures prises</w:t>
      </w:r>
      <w:bookmarkEnd w:id="1013"/>
      <w:bookmarkEnd w:id="1014"/>
      <w:bookmarkEnd w:id="1015"/>
      <w:bookmarkEnd w:id="1016"/>
      <w:bookmarkEnd w:id="1017"/>
      <w:bookmarkEnd w:id="1018"/>
      <w:bookmarkEnd w:id="1019"/>
      <w:bookmarkEnd w:id="1020"/>
    </w:p>
    <w:p w:rsidR="00000000" w:rsidRDefault="00000000">
      <w:pPr>
        <w:pStyle w:val="SingleTxtG"/>
        <w:rPr>
          <w:lang w:val="fr-FR"/>
        </w:rPr>
      </w:pPr>
      <w:r>
        <w:rPr>
          <w:lang w:val="fr-FR"/>
        </w:rPr>
        <w:t>456.</w:t>
      </w:r>
      <w:r>
        <w:rPr>
          <w:lang w:val="fr-FR"/>
        </w:rPr>
        <w:tab/>
        <w:t>La protection sociale est une priorité clairement exprimée dans le MAP, engagement 8: solidarité nationale. Elle est entendue comme l’ensemble des programmes destinés à assurer un niveau de vie suffisant aux personnes, et spécialement aux enfants et à les prémunir contre les risques économiques et sociaux, y compris les catastrophes naturelles.</w:t>
      </w:r>
    </w:p>
    <w:p w:rsidR="00000000" w:rsidRDefault="00000000">
      <w:pPr>
        <w:pStyle w:val="SingleTxtG"/>
        <w:rPr>
          <w:lang w:val="fr-FR"/>
        </w:rPr>
      </w:pPr>
      <w:r>
        <w:rPr>
          <w:lang w:val="fr-FR"/>
        </w:rPr>
        <w:t>457.</w:t>
      </w:r>
      <w:r>
        <w:rPr>
          <w:lang w:val="fr-FR"/>
        </w:rPr>
        <w:tab/>
        <w:t>Satisfaire les besoins vitaux pour l’ensemble de la population représente un défi majeur, une fois que la population cumulant plusieurs critères de vulnérabilité constitue entre 70 et 80 % de la population.</w:t>
      </w:r>
    </w:p>
    <w:p w:rsidR="00000000" w:rsidRDefault="00000000">
      <w:pPr>
        <w:pStyle w:val="SingleTxtG"/>
        <w:rPr>
          <w:lang w:val="fr-FR"/>
        </w:rPr>
      </w:pPr>
      <w:r>
        <w:rPr>
          <w:lang w:val="fr-FR"/>
        </w:rPr>
        <w:t>458.</w:t>
      </w:r>
      <w:r>
        <w:rPr>
          <w:lang w:val="fr-FR"/>
        </w:rPr>
        <w:tab/>
        <w:t>Pour y parvenir, la stratégie du gouvernement repose sur l’amélioration de la gestion de la protection sociale, l’accès des groupes vulnérables aux services sociaux de base, l’amélioration du ciblage et le suivi des dépenses et de leur impact sur le bien-être de la population.</w:t>
      </w:r>
    </w:p>
    <w:p w:rsidR="00000000" w:rsidRDefault="00000000">
      <w:pPr>
        <w:pStyle w:val="SingleTxtG"/>
        <w:rPr>
          <w:lang w:val="fr-FR"/>
        </w:rPr>
      </w:pPr>
      <w:r>
        <w:rPr>
          <w:lang w:val="fr-FR"/>
        </w:rPr>
        <w:t>459.</w:t>
      </w:r>
      <w:r>
        <w:rPr>
          <w:lang w:val="fr-FR"/>
        </w:rPr>
        <w:tab/>
        <w:t>Une stratégie de gestion des risques et de protection sociale (SGRPS) a été élaborée par le Gouvernement avec l’appui de la Banque mondiale, à partir de 2004, à travers les travaux d’un comité technique multisectoriel. La stratégie définit clairement le caractère pluridisciplinaire et multisectoriel de la protection sociale et l’enfant est une des cibles privilégiées dans le contexte de sa famille. Cette SGRPS a été validée fin 2007 et en 2008 le Gouvernement a en projet d’élaborer le programme</w:t>
      </w:r>
      <w:r>
        <w:rPr>
          <w:lang w:val="fr-FR"/>
        </w:rPr>
        <w:noBreakHyphen/>
        <w:t>cadre y afférant.</w:t>
      </w:r>
    </w:p>
    <w:p w:rsidR="00000000" w:rsidRDefault="00000000">
      <w:pPr>
        <w:pStyle w:val="SingleTxtG"/>
        <w:rPr>
          <w:lang w:val="fr-FR"/>
        </w:rPr>
      </w:pPr>
      <w:r>
        <w:rPr>
          <w:lang w:val="fr-FR"/>
        </w:rPr>
        <w:t>460.</w:t>
      </w:r>
      <w:r>
        <w:rPr>
          <w:lang w:val="fr-FR"/>
        </w:rPr>
        <w:tab/>
        <w:t>La Stratégie nationale de protection sociale complète la politique de bonne gestion macroéconomique et de réduction de la pauvreté à travers des programmes ciblés de lutte contre l’abandon scolaire, d’accès aux soins de santé pour les couches les plus pauvres et vulnérables de la population, la généralisation des activités de nutrition au bénéfice des enfants des moins de 5 ans et la réponse rapide et systématique aux situations de catastrophe naturel par les moyens de travaux à haute intensité de main d’œuvre .</w:t>
      </w:r>
    </w:p>
    <w:p w:rsidR="00000000" w:rsidRDefault="00000000">
      <w:pPr>
        <w:pStyle w:val="SingleTxtG"/>
        <w:rPr>
          <w:lang w:val="fr-FR"/>
        </w:rPr>
      </w:pPr>
      <w:r>
        <w:rPr>
          <w:lang w:val="fr-FR"/>
        </w:rPr>
        <w:t>461.</w:t>
      </w:r>
      <w:r>
        <w:rPr>
          <w:lang w:val="fr-FR"/>
        </w:rPr>
        <w:tab/>
        <w:t>Au cours des dernières années, les dépenses de protection sociale ont constitué en moyenne 7 % des dépenses publiques. 60 % du financement de la protection sociale provient du budget d’investissement public financé par des sources externes et seulement 1 % provient du budget récurrent. En 2003, 18 partenaires internationaux soutenaient activement les programmes de protection sociale. Les dépenses pour combattre la malnutrition constituaient la plus grande part des dépenses de protection sociale entre 2000 et 2003.</w:t>
      </w:r>
    </w:p>
    <w:p w:rsidR="00000000" w:rsidRDefault="00000000">
      <w:pPr>
        <w:pStyle w:val="SingleTxtG"/>
        <w:rPr>
          <w:lang w:val="fr-FR"/>
        </w:rPr>
      </w:pPr>
      <w:r>
        <w:rPr>
          <w:lang w:val="fr-FR"/>
        </w:rPr>
        <w:t>462.</w:t>
      </w:r>
      <w:r>
        <w:rPr>
          <w:lang w:val="fr-FR"/>
        </w:rPr>
        <w:tab/>
        <w:t>Les programmes mis en œuvre ciblant les plus pauvres et les plus vulnérables en vue de réduire leur exclusion sociale et favoriser leur accès aux services de base sont:</w:t>
      </w:r>
    </w:p>
    <w:p w:rsidR="00000000" w:rsidRDefault="00000000">
      <w:pPr>
        <w:pStyle w:val="Bullet1G"/>
        <w:rPr>
          <w:lang w:val="fr-FR"/>
        </w:rPr>
      </w:pPr>
      <w:r>
        <w:rPr>
          <w:i/>
          <w:iCs/>
          <w:lang w:val="fr-FR"/>
        </w:rPr>
        <w:t>En matière d’éducation</w:t>
      </w:r>
      <w:r>
        <w:rPr>
          <w:lang w:val="fr-FR"/>
        </w:rPr>
        <w:t>: filet de sécurité pour aider les élèves d’écoles primaires et leurs familles (subvention pour les droits d’inscription, subvention pour les kits scolaires pour les familles pauvres, cantines scolaires);</w:t>
      </w:r>
    </w:p>
    <w:p w:rsidR="00000000" w:rsidRDefault="00000000">
      <w:pPr>
        <w:pStyle w:val="Bullet1G"/>
        <w:rPr>
          <w:lang w:val="fr-FR"/>
        </w:rPr>
      </w:pPr>
      <w:r>
        <w:rPr>
          <w:i/>
          <w:iCs/>
          <w:lang w:val="fr-FR"/>
        </w:rPr>
        <w:t>Dans le domaine de la santé:</w:t>
      </w:r>
      <w:r>
        <w:rPr>
          <w:lang w:val="fr-FR"/>
        </w:rPr>
        <w:t xml:space="preserve"> fonds d’équité social opérant au niveau des centres de santé de base (exemption de recouvrement des coûts pour les plus démunis), traitement gratuit ou subventionné de certaines maladies (tuberculose, lèpre, peste, bilharziose, paludisme dans les zones endémiques, VIH/sida), programme de vaccination des enfants, subvention des moustiquaires traités;</w:t>
      </w:r>
    </w:p>
    <w:p w:rsidR="00000000" w:rsidRDefault="00000000">
      <w:pPr>
        <w:pStyle w:val="Bullet1G"/>
        <w:rPr>
          <w:lang w:val="fr-FR"/>
        </w:rPr>
      </w:pPr>
      <w:r>
        <w:rPr>
          <w:i/>
          <w:iCs/>
          <w:lang w:val="fr-FR"/>
        </w:rPr>
        <w:t>En matière de nutrition</w:t>
      </w:r>
      <w:r>
        <w:rPr>
          <w:lang w:val="fr-FR"/>
        </w:rPr>
        <w:t>: nutrition scolaire, nutrition communautaire, récupération nutritionnelle intensive;</w:t>
      </w:r>
    </w:p>
    <w:p w:rsidR="00000000" w:rsidRDefault="00000000">
      <w:pPr>
        <w:pStyle w:val="Bullet1G"/>
        <w:rPr>
          <w:lang w:val="fr-FR"/>
        </w:rPr>
      </w:pPr>
      <w:r>
        <w:rPr>
          <w:i/>
          <w:iCs/>
          <w:lang w:val="fr-FR"/>
        </w:rPr>
        <w:t>En matière de travaux publics</w:t>
      </w:r>
      <w:r>
        <w:rPr>
          <w:lang w:val="fr-FR"/>
        </w:rPr>
        <w:t xml:space="preserve"> à haute intensité de main d’œuvre (amélioration de l’infrastructure urbaine, assainissement et adduction d’eau): emploi procurant un salaire minimum et des avantages en nature.</w:t>
      </w:r>
    </w:p>
    <w:p w:rsidR="00000000" w:rsidRDefault="00000000">
      <w:pPr>
        <w:pStyle w:val="SingleTxtG"/>
        <w:rPr>
          <w:lang w:val="fr-FR"/>
        </w:rPr>
      </w:pPr>
      <w:r>
        <w:rPr>
          <w:lang w:val="fr-FR"/>
        </w:rPr>
        <w:t>463.</w:t>
      </w:r>
      <w:r>
        <w:rPr>
          <w:lang w:val="fr-FR"/>
        </w:rPr>
        <w:tab/>
        <w:t>D’autres programmes combattant l’exclusion sociale des enfants et jeunes non scolarisés ou précocement déscolarisés sont déployés. Un programme d’accompagnement psychosocial des orphelins et enfants vulnérables (OEV) appuyé essentiellement par le Fonds mondial pour la lutte contre le VIH/sida a démarré en 2004. Il a pour objectif d’appuyer la prise en charge des OEV en apportant un soutien psychosocial, un appui à la scolarisation, un appui socioéconomique aux familles par le montage d’AGR, la régularisation des situations juridiques des enfants et familles.</w:t>
      </w:r>
    </w:p>
    <w:p w:rsidR="00000000" w:rsidRDefault="00000000">
      <w:pPr>
        <w:pStyle w:val="SingleTxtG"/>
        <w:rPr>
          <w:lang w:val="fr-FR"/>
        </w:rPr>
      </w:pPr>
      <w:r>
        <w:rPr>
          <w:lang w:val="fr-FR"/>
        </w:rPr>
        <w:t>464.</w:t>
      </w:r>
      <w:r>
        <w:rPr>
          <w:lang w:val="fr-FR"/>
        </w:rPr>
        <w:tab/>
        <w:t>L’initiative «LEMIZO» ou la réinsertion sociale des sans-abri est mise en œuvre par le MSPFPS. C’est une activité qui consiste à établir des familles et des personnes sans abris et sans emploi de la ville dans des villages communautaires (tels que ceux d’Andranofeno, d’Andranovelona, de Mandazaka…) dans un but d’intégration et de réinsertion sociale.</w:t>
      </w:r>
    </w:p>
    <w:p w:rsidR="00000000" w:rsidRDefault="00000000">
      <w:pPr>
        <w:pStyle w:val="SingleTxtG"/>
        <w:rPr>
          <w:lang w:val="fr-FR"/>
        </w:rPr>
      </w:pPr>
      <w:r>
        <w:rPr>
          <w:lang w:val="fr-FR"/>
        </w:rPr>
        <w:t>465.</w:t>
      </w:r>
      <w:r>
        <w:rPr>
          <w:lang w:val="fr-FR"/>
        </w:rPr>
        <w:tab/>
        <w:t>Une liste de programmes de protection sociale pour les enfants se trouve à l’annexe V.</w:t>
      </w:r>
    </w:p>
    <w:p w:rsidR="00000000" w:rsidRDefault="00000000">
      <w:pPr>
        <w:pStyle w:val="HChG"/>
        <w:rPr>
          <w:lang w:val="fr-FR"/>
        </w:rPr>
      </w:pPr>
      <w:bookmarkStart w:id="1021" w:name="_Toc206414587"/>
      <w:bookmarkStart w:id="1022" w:name="_Toc206460429"/>
      <w:bookmarkStart w:id="1023" w:name="_Toc206460761"/>
      <w:bookmarkStart w:id="1024" w:name="_Toc206461483"/>
      <w:bookmarkStart w:id="1025" w:name="_Toc206476277"/>
      <w:bookmarkStart w:id="1026" w:name="_Toc207788812"/>
      <w:bookmarkStart w:id="1027" w:name="_Toc211835483"/>
      <w:bookmarkStart w:id="1028" w:name="_Toc211926790"/>
      <w:r>
        <w:rPr>
          <w:lang w:val="fr-FR"/>
        </w:rPr>
        <w:tab/>
      </w:r>
      <w:bookmarkStart w:id="1029" w:name="_Toc260298270"/>
      <w:r>
        <w:rPr>
          <w:lang w:val="fr-FR"/>
        </w:rPr>
        <w:t>VII.</w:t>
      </w:r>
      <w:r>
        <w:rPr>
          <w:lang w:val="fr-FR"/>
        </w:rPr>
        <w:tab/>
        <w:t>Éducation loisirs et activités culturelles</w:t>
      </w:r>
      <w:bookmarkEnd w:id="1021"/>
      <w:bookmarkEnd w:id="1022"/>
      <w:bookmarkEnd w:id="1023"/>
      <w:bookmarkEnd w:id="1024"/>
      <w:bookmarkEnd w:id="1025"/>
      <w:bookmarkEnd w:id="1026"/>
      <w:bookmarkEnd w:id="1027"/>
      <w:bookmarkEnd w:id="1028"/>
      <w:bookmarkEnd w:id="1029"/>
    </w:p>
    <w:p w:rsidR="00000000" w:rsidRDefault="00000000">
      <w:pPr>
        <w:pStyle w:val="H1G"/>
        <w:rPr>
          <w:lang w:val="fr-FR"/>
        </w:rPr>
      </w:pPr>
      <w:bookmarkStart w:id="1030" w:name="_Toc206414588"/>
      <w:bookmarkStart w:id="1031" w:name="_Toc206460430"/>
      <w:bookmarkStart w:id="1032" w:name="_Toc206460762"/>
      <w:bookmarkStart w:id="1033" w:name="_Toc206461484"/>
      <w:bookmarkStart w:id="1034" w:name="_Toc206476278"/>
      <w:bookmarkStart w:id="1035" w:name="_Toc207788813"/>
      <w:bookmarkStart w:id="1036" w:name="_Toc211835484"/>
      <w:bookmarkStart w:id="1037" w:name="_Toc211926791"/>
      <w:r>
        <w:rPr>
          <w:lang w:val="fr-FR"/>
        </w:rPr>
        <w:tab/>
      </w:r>
      <w:bookmarkStart w:id="1038" w:name="_Toc260298271"/>
      <w:r>
        <w:rPr>
          <w:lang w:val="fr-FR"/>
        </w:rPr>
        <w:t>A.</w:t>
      </w:r>
      <w:r>
        <w:rPr>
          <w:lang w:val="fr-FR"/>
        </w:rPr>
        <w:tab/>
        <w:t>L’éducation, y compris la formation et l’orientation professionnelle</w:t>
      </w:r>
      <w:bookmarkEnd w:id="1030"/>
      <w:bookmarkEnd w:id="1031"/>
      <w:bookmarkEnd w:id="1032"/>
      <w:bookmarkEnd w:id="1033"/>
      <w:bookmarkEnd w:id="1034"/>
      <w:bookmarkEnd w:id="1035"/>
      <w:bookmarkEnd w:id="1036"/>
      <w:bookmarkEnd w:id="1037"/>
      <w:bookmarkEnd w:id="1038"/>
      <w:r>
        <w:rPr>
          <w:lang w:val="fr-FR"/>
        </w:rPr>
        <w:t xml:space="preserve"> </w:t>
      </w:r>
    </w:p>
    <w:p w:rsidR="00000000" w:rsidRDefault="00000000">
      <w:pPr>
        <w:pStyle w:val="SingleTxtG"/>
        <w:rPr>
          <w:lang w:val="fr-FR"/>
        </w:rPr>
      </w:pPr>
      <w:r>
        <w:rPr>
          <w:lang w:val="fr-FR"/>
        </w:rPr>
        <w:t>466.</w:t>
      </w:r>
      <w:r>
        <w:rPr>
          <w:lang w:val="fr-FR"/>
        </w:rPr>
        <w:tab/>
        <w:t>L’Engagement 3 du MAP intitulé Transformation de l’éducation décrit les objectifs prioritaires en matière d’éducation: l’instauration d’un «système éducatif de normes internationales en terme de qualité et d’efficacité, qui stimule la créativité et aide nos apprenants à transformer leurs rêves en réalité, et qui fournit à Madagascar les ressources humaines nécessaires pour devenir une nation compétitive et un acteur performant de l’économie mondiale.»</w:t>
      </w:r>
    </w:p>
    <w:p w:rsidR="00000000" w:rsidRDefault="00000000">
      <w:pPr>
        <w:pStyle w:val="SingleTxtG"/>
        <w:rPr>
          <w:lang w:val="fr-FR"/>
        </w:rPr>
      </w:pPr>
      <w:r>
        <w:rPr>
          <w:lang w:val="fr-FR"/>
        </w:rPr>
        <w:t>467.</w:t>
      </w:r>
      <w:r>
        <w:rPr>
          <w:lang w:val="fr-FR"/>
        </w:rPr>
        <w:tab/>
        <w:t>Pour atteindre ce résultat, Madagascar doit relever les défis éducatifs suivants:</w:t>
      </w:r>
    </w:p>
    <w:p w:rsidR="00000000" w:rsidRDefault="00000000">
      <w:pPr>
        <w:pStyle w:val="Bullet1G"/>
        <w:rPr>
          <w:lang w:val="fr-FR"/>
        </w:rPr>
      </w:pPr>
      <w:r>
        <w:rPr>
          <w:lang w:val="fr-FR"/>
        </w:rPr>
        <w:t>Développement de l’éducation préscolaire et parentale;</w:t>
      </w:r>
    </w:p>
    <w:p w:rsidR="00000000" w:rsidRDefault="00000000">
      <w:pPr>
        <w:pStyle w:val="Bullet1G"/>
        <w:rPr>
          <w:lang w:val="fr-FR"/>
        </w:rPr>
      </w:pPr>
      <w:r>
        <w:rPr>
          <w:lang w:val="fr-FR"/>
        </w:rPr>
        <w:t>Mise en place d’un système d’éducation primaire performant;</w:t>
      </w:r>
    </w:p>
    <w:p w:rsidR="00000000" w:rsidRDefault="00000000">
      <w:pPr>
        <w:pStyle w:val="Bullet1G"/>
        <w:rPr>
          <w:lang w:val="fr-FR"/>
        </w:rPr>
      </w:pPr>
      <w:r>
        <w:rPr>
          <w:lang w:val="fr-FR"/>
        </w:rPr>
        <w:t>Intensification du système d’éducation fondamentale de second cycle;</w:t>
      </w:r>
    </w:p>
    <w:p w:rsidR="00000000" w:rsidRDefault="00000000">
      <w:pPr>
        <w:pStyle w:val="Bullet1G"/>
        <w:rPr>
          <w:lang w:val="fr-FR"/>
        </w:rPr>
      </w:pPr>
      <w:r>
        <w:rPr>
          <w:lang w:val="fr-FR"/>
        </w:rPr>
        <w:t>Amélioration du système d’enseignement secondaire ou lycée;</w:t>
      </w:r>
    </w:p>
    <w:p w:rsidR="00000000" w:rsidRDefault="00000000">
      <w:pPr>
        <w:pStyle w:val="Bullet1G"/>
        <w:rPr>
          <w:lang w:val="fr-FR"/>
        </w:rPr>
      </w:pPr>
      <w:r>
        <w:rPr>
          <w:lang w:val="fr-FR"/>
        </w:rPr>
        <w:t>Développement de la formation professionnelle;</w:t>
      </w:r>
    </w:p>
    <w:p w:rsidR="00000000" w:rsidRDefault="00000000">
      <w:pPr>
        <w:pStyle w:val="Bullet1G"/>
        <w:rPr>
          <w:lang w:val="fr-FR"/>
        </w:rPr>
      </w:pPr>
      <w:r>
        <w:rPr>
          <w:lang w:val="fr-FR"/>
        </w:rPr>
        <w:t>Transformation de l’enseignement supérieur;</w:t>
      </w:r>
    </w:p>
    <w:p w:rsidR="00000000" w:rsidRDefault="00000000">
      <w:pPr>
        <w:pStyle w:val="Bullet1G"/>
        <w:rPr>
          <w:lang w:val="fr-FR"/>
        </w:rPr>
      </w:pPr>
      <w:r>
        <w:rPr>
          <w:lang w:val="fr-FR"/>
        </w:rPr>
        <w:t>Éradication de l’analphabétisme développement;</w:t>
      </w:r>
    </w:p>
    <w:p w:rsidR="00000000" w:rsidRDefault="00000000">
      <w:pPr>
        <w:pStyle w:val="Bullet1G"/>
        <w:rPr>
          <w:lang w:val="fr-FR"/>
        </w:rPr>
      </w:pPr>
      <w:r>
        <w:rPr>
          <w:lang w:val="fr-FR"/>
        </w:rPr>
        <w:t>Des jeunes par le sport et la participation civique.</w:t>
      </w:r>
    </w:p>
    <w:p w:rsidR="00000000" w:rsidRDefault="00000000">
      <w:pPr>
        <w:pStyle w:val="SingleTxtG"/>
        <w:rPr>
          <w:lang w:val="fr-FR"/>
        </w:rPr>
      </w:pPr>
      <w:r>
        <w:rPr>
          <w:lang w:val="fr-FR"/>
        </w:rPr>
        <w:t>468.</w:t>
      </w:r>
      <w:r>
        <w:rPr>
          <w:lang w:val="fr-FR"/>
        </w:rPr>
        <w:tab/>
        <w:t xml:space="preserve">Depuis le dernier rapport, des changements sont intervenus dans le système éducatif malgache. Le Parlement a voté une nouvelle loi définissant la politique de l’État en matière d’éducation, d’enseignement et de formation. Les objectifs prioritaires de l’éducation pour la période 2007-2012 sont détaillés dans le MAP. Le Plan national de l’éducation pour tous a reçu un appui de la part de la coopération internationale. </w:t>
      </w:r>
    </w:p>
    <w:p w:rsidR="00000000" w:rsidRDefault="00000000">
      <w:pPr>
        <w:pStyle w:val="H23G"/>
        <w:rPr>
          <w:lang w:val="fr-FR"/>
        </w:rPr>
      </w:pPr>
      <w:bookmarkStart w:id="1039" w:name="_Toc206414589"/>
      <w:bookmarkStart w:id="1040" w:name="_Toc206460431"/>
      <w:bookmarkStart w:id="1041" w:name="_Toc206460763"/>
      <w:bookmarkStart w:id="1042" w:name="_Toc206461485"/>
      <w:bookmarkStart w:id="1043" w:name="_Toc206476279"/>
      <w:bookmarkStart w:id="1044" w:name="_Toc207788814"/>
      <w:bookmarkStart w:id="1045" w:name="_Toc211835485"/>
      <w:bookmarkStart w:id="1046" w:name="_Toc211926792"/>
      <w:r>
        <w:rPr>
          <w:lang w:val="fr-FR"/>
        </w:rPr>
        <w:tab/>
        <w:t>1.</w:t>
      </w:r>
      <w:r>
        <w:rPr>
          <w:lang w:val="fr-FR"/>
        </w:rPr>
        <w:tab/>
        <w:t>Mesures d’ordre législatif</w:t>
      </w:r>
      <w:bookmarkEnd w:id="1039"/>
      <w:bookmarkEnd w:id="1040"/>
      <w:bookmarkEnd w:id="1041"/>
      <w:bookmarkEnd w:id="1042"/>
      <w:bookmarkEnd w:id="1043"/>
      <w:bookmarkEnd w:id="1044"/>
      <w:bookmarkEnd w:id="1045"/>
      <w:bookmarkEnd w:id="1046"/>
    </w:p>
    <w:p w:rsidR="00000000" w:rsidRDefault="00000000">
      <w:pPr>
        <w:pStyle w:val="SingleTxtG"/>
        <w:rPr>
          <w:lang w:val="fr-FR"/>
        </w:rPr>
      </w:pPr>
      <w:r>
        <w:rPr>
          <w:lang w:val="fr-FR"/>
        </w:rPr>
        <w:t>469.</w:t>
      </w:r>
      <w:r>
        <w:rPr>
          <w:lang w:val="fr-FR"/>
        </w:rPr>
        <w:tab/>
        <w:t>La Constitution en son article 24 énonce que «l’État organise un enseignement public, gratuit et accessible à tous. L’enseignement est obligatoire pour tous.»</w:t>
      </w:r>
    </w:p>
    <w:p w:rsidR="00000000" w:rsidRDefault="00000000">
      <w:pPr>
        <w:pStyle w:val="SingleTxtG"/>
        <w:rPr>
          <w:lang w:val="fr-FR"/>
        </w:rPr>
      </w:pPr>
      <w:r>
        <w:rPr>
          <w:lang w:val="fr-FR"/>
        </w:rPr>
        <w:t>470.</w:t>
      </w:r>
      <w:r>
        <w:rPr>
          <w:lang w:val="fr-FR"/>
        </w:rPr>
        <w:tab/>
        <w:t xml:space="preserve">La loi </w:t>
      </w:r>
      <w:r>
        <w:rPr>
          <w:rFonts w:eastAsia="MS Mincho"/>
          <w:lang w:val="fr-FR"/>
        </w:rPr>
        <w:t>n</w:t>
      </w:r>
      <w:r>
        <w:rPr>
          <w:rFonts w:eastAsia="MS Mincho"/>
          <w:vertAlign w:val="superscript"/>
          <w:lang w:val="fr-FR"/>
        </w:rPr>
        <w:t>o</w:t>
      </w:r>
      <w:r>
        <w:rPr>
          <w:lang w:val="fr-FR"/>
        </w:rPr>
        <w:t xml:space="preserve"> 2004-004 du 26 juillet 2004 portant orientation générale du système d’éducation, d’enseignement et de formation à Madagascar remplace la loi </w:t>
      </w:r>
      <w:r>
        <w:rPr>
          <w:rFonts w:eastAsia="MS Mincho"/>
          <w:lang w:val="fr-FR"/>
        </w:rPr>
        <w:t>n</w:t>
      </w:r>
      <w:r>
        <w:rPr>
          <w:rFonts w:eastAsia="MS Mincho"/>
          <w:vertAlign w:val="superscript"/>
          <w:lang w:val="fr-FR"/>
        </w:rPr>
        <w:t>o</w:t>
      </w:r>
      <w:r>
        <w:rPr>
          <w:lang w:val="fr-FR"/>
        </w:rPr>
        <w:t xml:space="preserve"> 94-033. Elle stipule en son article premier: «L’éducation est une priorité absolue et l’enseignement est obligatoire à partir de l’âge de 6 ans.».</w:t>
      </w:r>
    </w:p>
    <w:p w:rsidR="00000000" w:rsidRDefault="00000000">
      <w:pPr>
        <w:pStyle w:val="H23G"/>
        <w:rPr>
          <w:lang w:val="fr-FR"/>
        </w:rPr>
      </w:pPr>
      <w:bookmarkStart w:id="1047" w:name="_Toc206414590"/>
      <w:bookmarkStart w:id="1048" w:name="_Toc206460432"/>
      <w:bookmarkStart w:id="1049" w:name="_Toc206460764"/>
      <w:bookmarkStart w:id="1050" w:name="_Toc206461486"/>
      <w:bookmarkStart w:id="1051" w:name="_Toc206476280"/>
      <w:bookmarkStart w:id="1052" w:name="_Toc207788815"/>
      <w:bookmarkStart w:id="1053" w:name="_Toc211835486"/>
      <w:bookmarkStart w:id="1054" w:name="_Toc211926793"/>
      <w:r>
        <w:rPr>
          <w:lang w:val="fr-FR"/>
        </w:rPr>
        <w:tab/>
        <w:t>2.</w:t>
      </w:r>
      <w:r>
        <w:rPr>
          <w:lang w:val="fr-FR"/>
        </w:rPr>
        <w:tab/>
        <w:t>Mesures budgétaires</w:t>
      </w:r>
      <w:bookmarkEnd w:id="1047"/>
      <w:bookmarkEnd w:id="1048"/>
      <w:bookmarkEnd w:id="1049"/>
      <w:bookmarkEnd w:id="1050"/>
      <w:bookmarkEnd w:id="1051"/>
      <w:bookmarkEnd w:id="1052"/>
      <w:bookmarkEnd w:id="1053"/>
      <w:bookmarkEnd w:id="1054"/>
    </w:p>
    <w:p w:rsidR="00000000" w:rsidRDefault="00000000">
      <w:pPr>
        <w:pStyle w:val="SingleTxtG"/>
        <w:rPr>
          <w:lang w:val="fr-FR"/>
        </w:rPr>
      </w:pPr>
      <w:r>
        <w:rPr>
          <w:lang w:val="fr-FR"/>
        </w:rPr>
        <w:t>471.</w:t>
      </w:r>
      <w:r>
        <w:rPr>
          <w:lang w:val="fr-FR"/>
        </w:rPr>
        <w:tab/>
        <w:t>La réalisation de la réforme du système éducatif et du Plan EPT nécessite la mobilisation d’importantes ressources financières. À ce titre, le gouvernement a bénéficié de l’Initiative Fast Track, un appui d’un montant de 10 millions de USD en 2005, de 25 millions USD pour 2006 et 2007 à de 100 millions USD pour la période 2009-2011.</w:t>
      </w:r>
    </w:p>
    <w:p w:rsidR="00000000" w:rsidRDefault="00000000">
      <w:pPr>
        <w:pStyle w:val="H23G"/>
        <w:rPr>
          <w:lang w:val="fr-FR"/>
        </w:rPr>
      </w:pPr>
      <w:bookmarkStart w:id="1055" w:name="_Toc206414591"/>
      <w:bookmarkStart w:id="1056" w:name="_Toc206460433"/>
      <w:bookmarkStart w:id="1057" w:name="_Toc206460765"/>
      <w:bookmarkStart w:id="1058" w:name="_Toc206461487"/>
      <w:bookmarkStart w:id="1059" w:name="_Toc206476281"/>
      <w:bookmarkStart w:id="1060" w:name="_Toc207788816"/>
      <w:bookmarkStart w:id="1061" w:name="_Toc211835487"/>
      <w:bookmarkStart w:id="1062" w:name="_Toc211926794"/>
      <w:r>
        <w:rPr>
          <w:lang w:val="fr-FR"/>
        </w:rPr>
        <w:tab/>
        <w:t>3.</w:t>
      </w:r>
      <w:r>
        <w:rPr>
          <w:lang w:val="fr-FR"/>
        </w:rPr>
        <w:tab/>
        <w:t>Appui aux familles</w:t>
      </w:r>
      <w:bookmarkEnd w:id="1055"/>
      <w:bookmarkEnd w:id="1056"/>
      <w:bookmarkEnd w:id="1057"/>
      <w:bookmarkEnd w:id="1058"/>
      <w:bookmarkEnd w:id="1059"/>
      <w:bookmarkEnd w:id="1060"/>
      <w:bookmarkEnd w:id="1061"/>
      <w:bookmarkEnd w:id="1062"/>
    </w:p>
    <w:p w:rsidR="00000000" w:rsidRDefault="00000000">
      <w:pPr>
        <w:pStyle w:val="SingleTxtG"/>
        <w:rPr>
          <w:lang w:val="fr-FR"/>
        </w:rPr>
      </w:pPr>
      <w:r>
        <w:rPr>
          <w:lang w:val="fr-FR"/>
        </w:rPr>
        <w:t>472.</w:t>
      </w:r>
      <w:r>
        <w:rPr>
          <w:lang w:val="fr-FR"/>
        </w:rPr>
        <w:tab/>
        <w:t>En moyenne, chaque famille malgache consacre 2,3 % de son budget à l’éducation. Conscient des difficultés financières des familles, outre les campagnes de sensibilisation pour soutenir la scolarisation, le gouvernement a pris diverses mesures incitatives:</w:t>
      </w:r>
    </w:p>
    <w:p w:rsidR="00000000" w:rsidRDefault="00000000">
      <w:pPr>
        <w:pStyle w:val="Bullet1G"/>
        <w:rPr>
          <w:lang w:val="fr-FR"/>
        </w:rPr>
      </w:pPr>
      <w:r>
        <w:rPr>
          <w:lang w:val="fr-FR"/>
        </w:rPr>
        <w:t>Distribution de kits scolaires à tous les élèves du primaire public et privé et de blouse aux élèves des écoles publiques;</w:t>
      </w:r>
    </w:p>
    <w:p w:rsidR="00000000" w:rsidRDefault="00000000">
      <w:pPr>
        <w:pStyle w:val="Bullet1G"/>
        <w:rPr>
          <w:lang w:val="fr-FR"/>
        </w:rPr>
      </w:pPr>
      <w:r>
        <w:rPr>
          <w:lang w:val="fr-FR"/>
        </w:rPr>
        <w:t>Instauration d’une caisse école à raison de 2 000 ariary par enfant à partir de 2003;</w:t>
      </w:r>
    </w:p>
    <w:p w:rsidR="00000000" w:rsidRDefault="00000000">
      <w:pPr>
        <w:pStyle w:val="Bullet1G"/>
        <w:rPr>
          <w:lang w:val="fr-FR"/>
        </w:rPr>
      </w:pPr>
      <w:r>
        <w:rPr>
          <w:lang w:val="fr-FR"/>
        </w:rPr>
        <w:t>Subventions aux écoles privées;</w:t>
      </w:r>
    </w:p>
    <w:p w:rsidR="00000000" w:rsidRDefault="00000000">
      <w:pPr>
        <w:pStyle w:val="Bullet1G"/>
        <w:rPr>
          <w:lang w:val="fr-FR"/>
        </w:rPr>
      </w:pPr>
      <w:r>
        <w:rPr>
          <w:lang w:val="fr-FR"/>
        </w:rPr>
        <w:t>Subventions aux enseignants FRAM;</w:t>
      </w:r>
    </w:p>
    <w:p w:rsidR="00000000" w:rsidRDefault="00000000">
      <w:pPr>
        <w:pStyle w:val="Bullet1G"/>
        <w:rPr>
          <w:lang w:val="fr-FR"/>
        </w:rPr>
      </w:pPr>
      <w:r>
        <w:rPr>
          <w:lang w:val="fr-FR"/>
        </w:rPr>
        <w:t>Financement de Contrats-programmes pour l’enseignement privé;</w:t>
      </w:r>
    </w:p>
    <w:p w:rsidR="00000000" w:rsidRDefault="00000000">
      <w:pPr>
        <w:pStyle w:val="Bullet1G"/>
        <w:rPr>
          <w:lang w:val="fr-FR"/>
        </w:rPr>
      </w:pPr>
      <w:r>
        <w:rPr>
          <w:lang w:val="fr-FR"/>
        </w:rPr>
        <w:t>Mise en place de cantines scolaires dans les zones défavorisées;</w:t>
      </w:r>
    </w:p>
    <w:p w:rsidR="00000000" w:rsidRDefault="00000000">
      <w:pPr>
        <w:pStyle w:val="Bullet1G"/>
        <w:rPr>
          <w:lang w:val="fr-FR"/>
        </w:rPr>
      </w:pPr>
      <w:r>
        <w:rPr>
          <w:lang w:val="fr-FR"/>
        </w:rPr>
        <w:t>Dotation de manuels scolaires et matériels didactiques.</w:t>
      </w:r>
    </w:p>
    <w:p w:rsidR="00000000" w:rsidRDefault="00000000">
      <w:pPr>
        <w:pStyle w:val="H23G"/>
        <w:rPr>
          <w:i/>
          <w:lang w:val="fr-FR"/>
        </w:rPr>
      </w:pPr>
      <w:bookmarkStart w:id="1063" w:name="_Toc206414592"/>
      <w:bookmarkStart w:id="1064" w:name="_Toc206460434"/>
      <w:bookmarkStart w:id="1065" w:name="_Toc206460766"/>
      <w:bookmarkStart w:id="1066" w:name="_Toc206461488"/>
      <w:bookmarkStart w:id="1067" w:name="_Toc206476282"/>
      <w:bookmarkStart w:id="1068" w:name="_Toc207788817"/>
      <w:bookmarkStart w:id="1069" w:name="_Toc211835488"/>
      <w:bookmarkStart w:id="1070" w:name="_Toc211926795"/>
      <w:r>
        <w:rPr>
          <w:lang w:val="fr-FR"/>
        </w:rPr>
        <w:tab/>
        <w:t>4.</w:t>
      </w:r>
      <w:r>
        <w:rPr>
          <w:lang w:val="fr-FR"/>
        </w:rPr>
        <w:tab/>
        <w:t>Politique</w:t>
      </w:r>
      <w:r>
        <w:rPr>
          <w:i/>
          <w:lang w:val="fr-FR"/>
        </w:rPr>
        <w:t xml:space="preserve"> </w:t>
      </w:r>
      <w:r>
        <w:rPr>
          <w:lang w:val="fr-FR"/>
        </w:rPr>
        <w:t>linguistique</w:t>
      </w:r>
      <w:bookmarkEnd w:id="1063"/>
      <w:bookmarkEnd w:id="1064"/>
      <w:bookmarkEnd w:id="1065"/>
      <w:bookmarkEnd w:id="1066"/>
      <w:bookmarkEnd w:id="1067"/>
      <w:bookmarkEnd w:id="1068"/>
      <w:bookmarkEnd w:id="1069"/>
      <w:bookmarkEnd w:id="1070"/>
    </w:p>
    <w:p w:rsidR="00000000" w:rsidRDefault="00000000">
      <w:pPr>
        <w:pStyle w:val="SingleTxtG"/>
        <w:rPr>
          <w:lang w:val="fr-FR"/>
        </w:rPr>
      </w:pPr>
      <w:r>
        <w:rPr>
          <w:lang w:val="fr-FR"/>
        </w:rPr>
        <w:t>473.</w:t>
      </w:r>
      <w:r>
        <w:rPr>
          <w:lang w:val="fr-FR"/>
        </w:rPr>
        <w:tab/>
        <w:t>La Constitution énonce que le malgache est la langue nationale, le malgache, le français et l’anglais sont les langues officielles.</w:t>
      </w:r>
    </w:p>
    <w:p w:rsidR="00000000" w:rsidRDefault="00000000">
      <w:pPr>
        <w:pStyle w:val="H23G"/>
        <w:rPr>
          <w:i/>
          <w:lang w:val="fr-FR"/>
        </w:rPr>
      </w:pPr>
      <w:bookmarkStart w:id="1071" w:name="_Toc206414593"/>
      <w:bookmarkStart w:id="1072" w:name="_Toc206460435"/>
      <w:bookmarkStart w:id="1073" w:name="_Toc206460767"/>
      <w:bookmarkStart w:id="1074" w:name="_Toc206461489"/>
      <w:bookmarkStart w:id="1075" w:name="_Toc206476283"/>
      <w:bookmarkStart w:id="1076" w:name="_Toc207788818"/>
      <w:bookmarkStart w:id="1077" w:name="_Toc211835489"/>
      <w:bookmarkStart w:id="1078" w:name="_Toc211926796"/>
      <w:r>
        <w:rPr>
          <w:lang w:val="fr-FR"/>
        </w:rPr>
        <w:tab/>
        <w:t>5.</w:t>
      </w:r>
      <w:r>
        <w:rPr>
          <w:lang w:val="fr-FR"/>
        </w:rPr>
        <w:tab/>
        <w:t>Accès</w:t>
      </w:r>
      <w:r>
        <w:rPr>
          <w:i/>
          <w:lang w:val="fr-FR"/>
        </w:rPr>
        <w:t xml:space="preserve"> </w:t>
      </w:r>
      <w:r>
        <w:rPr>
          <w:lang w:val="fr-FR"/>
        </w:rPr>
        <w:t>à</w:t>
      </w:r>
      <w:r>
        <w:rPr>
          <w:i/>
          <w:lang w:val="fr-FR"/>
        </w:rPr>
        <w:t xml:space="preserve"> </w:t>
      </w:r>
      <w:r>
        <w:rPr>
          <w:lang w:val="fr-FR"/>
        </w:rPr>
        <w:t>l’éducation</w:t>
      </w:r>
      <w:bookmarkEnd w:id="1071"/>
      <w:bookmarkEnd w:id="1072"/>
      <w:bookmarkEnd w:id="1073"/>
      <w:bookmarkEnd w:id="1074"/>
      <w:bookmarkEnd w:id="1075"/>
      <w:bookmarkEnd w:id="1076"/>
      <w:bookmarkEnd w:id="1077"/>
      <w:bookmarkEnd w:id="1078"/>
    </w:p>
    <w:p w:rsidR="00000000" w:rsidRDefault="00000000">
      <w:pPr>
        <w:pStyle w:val="SingleTxtG"/>
        <w:rPr>
          <w:lang w:val="fr-FR"/>
        </w:rPr>
      </w:pPr>
      <w:r>
        <w:rPr>
          <w:lang w:val="fr-FR"/>
        </w:rPr>
        <w:t>474.</w:t>
      </w:r>
      <w:r>
        <w:rPr>
          <w:lang w:val="fr-FR"/>
        </w:rPr>
        <w:tab/>
      </w:r>
      <w:r>
        <w:rPr>
          <w:b/>
          <w:lang w:val="fr-FR"/>
        </w:rPr>
        <w:t xml:space="preserve">Garantie de l’accès. </w:t>
      </w:r>
      <w:r>
        <w:rPr>
          <w:lang w:val="fr-FR"/>
        </w:rPr>
        <w:t>Depuis 2003 le plan EPT prévoit des mesures visant à faciliter l’accès à l’éducation par:</w:t>
      </w:r>
    </w:p>
    <w:p w:rsidR="00000000" w:rsidRDefault="00000000">
      <w:pPr>
        <w:pStyle w:val="Bullet1G"/>
        <w:rPr>
          <w:lang w:val="fr-FR"/>
        </w:rPr>
      </w:pPr>
      <w:r>
        <w:rPr>
          <w:lang w:val="fr-FR"/>
        </w:rPr>
        <w:t>La poursuite de la politique d’allègement des charges parentales;</w:t>
      </w:r>
    </w:p>
    <w:p w:rsidR="00000000" w:rsidRDefault="00000000">
      <w:pPr>
        <w:pStyle w:val="Bullet1G"/>
        <w:rPr>
          <w:lang w:val="fr-FR"/>
        </w:rPr>
      </w:pPr>
      <w:r>
        <w:rPr>
          <w:lang w:val="fr-FR"/>
        </w:rPr>
        <w:t>L’appui aux élèves en difficulté;</w:t>
      </w:r>
    </w:p>
    <w:p w:rsidR="00000000" w:rsidRDefault="00000000">
      <w:pPr>
        <w:pStyle w:val="Bullet1G"/>
        <w:rPr>
          <w:lang w:val="fr-FR"/>
        </w:rPr>
      </w:pPr>
      <w:r>
        <w:rPr>
          <w:lang w:val="fr-FR"/>
        </w:rPr>
        <w:t>La révision des curricula;</w:t>
      </w:r>
    </w:p>
    <w:p w:rsidR="00000000" w:rsidRDefault="00000000">
      <w:pPr>
        <w:pStyle w:val="Bullet1G"/>
        <w:rPr>
          <w:lang w:val="fr-FR"/>
        </w:rPr>
      </w:pPr>
      <w:r>
        <w:rPr>
          <w:lang w:val="fr-FR"/>
        </w:rPr>
        <w:t>La réinsertion des enfants analphabètes dans le cycle formel;</w:t>
      </w:r>
    </w:p>
    <w:p w:rsidR="00000000" w:rsidRDefault="00000000">
      <w:pPr>
        <w:pStyle w:val="Bullet1G"/>
        <w:rPr>
          <w:lang w:val="fr-FR"/>
        </w:rPr>
      </w:pPr>
      <w:r>
        <w:rPr>
          <w:lang w:val="fr-FR"/>
        </w:rPr>
        <w:t>Le recrutement annuel d’enseignants;</w:t>
      </w:r>
    </w:p>
    <w:p w:rsidR="00000000" w:rsidRDefault="00000000">
      <w:pPr>
        <w:pStyle w:val="Bullet1G"/>
        <w:rPr>
          <w:lang w:val="fr-FR"/>
        </w:rPr>
      </w:pPr>
      <w:r>
        <w:rPr>
          <w:lang w:val="fr-FR"/>
        </w:rPr>
        <w:t>L’octroi de subventions aux écoles et aux enseignants.</w:t>
      </w:r>
    </w:p>
    <w:p w:rsidR="00000000" w:rsidRDefault="00000000">
      <w:pPr>
        <w:pStyle w:val="SingleTxtG"/>
        <w:rPr>
          <w:lang w:val="fr-FR"/>
        </w:rPr>
      </w:pPr>
      <w:r>
        <w:rPr>
          <w:lang w:val="fr-FR"/>
        </w:rPr>
        <w:t>475.</w:t>
      </w:r>
      <w:r>
        <w:rPr>
          <w:lang w:val="fr-FR"/>
        </w:rPr>
        <w:tab/>
      </w:r>
      <w:r>
        <w:rPr>
          <w:b/>
          <w:lang w:val="fr-FR"/>
        </w:rPr>
        <w:t xml:space="preserve">Accès des filles à l’éducation. </w:t>
      </w:r>
      <w:r>
        <w:rPr>
          <w:lang w:val="fr-FR"/>
        </w:rPr>
        <w:t>Dans l’enseignement primaire la proportion garçon/fille est de 50,15/49,85. Cependant, au niveau des collèges, les statistiques font apparaître des disparités importantes en faveur des garçons surtout dans les régions du sud</w:t>
      </w:r>
      <w:r>
        <w:rPr>
          <w:lang w:val="fr-FR"/>
        </w:rPr>
        <w:noBreakHyphen/>
        <w:t>est (62/38), en partie à cause de la pratique du mariage précoce et du rôle traditionnel de la femme au foyer.</w:t>
      </w:r>
    </w:p>
    <w:p w:rsidR="00000000" w:rsidRDefault="00000000">
      <w:pPr>
        <w:pStyle w:val="SingleTxtG"/>
        <w:rPr>
          <w:lang w:val="fr-FR"/>
        </w:rPr>
      </w:pPr>
      <w:r>
        <w:rPr>
          <w:lang w:val="fr-FR"/>
        </w:rPr>
        <w:t>476.</w:t>
      </w:r>
      <w:r>
        <w:rPr>
          <w:lang w:val="fr-FR"/>
        </w:rPr>
        <w:tab/>
        <w:t>Pour maintenir les filles plus longtemps dans le système éducatif, différents programmes incitatifs ont été mis en œuvre:</w:t>
      </w:r>
    </w:p>
    <w:p w:rsidR="00000000" w:rsidRDefault="00000000">
      <w:pPr>
        <w:pStyle w:val="Bullet1G"/>
        <w:rPr>
          <w:lang w:val="fr-FR"/>
        </w:rPr>
      </w:pPr>
      <w:r>
        <w:rPr>
          <w:lang w:val="fr-FR"/>
        </w:rPr>
        <w:t>Campagnes de sensibilisation en faveur de la scolarisation des filles;</w:t>
      </w:r>
    </w:p>
    <w:p w:rsidR="00000000" w:rsidRDefault="00000000">
      <w:pPr>
        <w:pStyle w:val="Bullet1G"/>
        <w:rPr>
          <w:lang w:val="fr-FR"/>
        </w:rPr>
      </w:pPr>
      <w:r>
        <w:rPr>
          <w:lang w:val="fr-FR"/>
        </w:rPr>
        <w:t>Intégration du volet scolarisation des filles dans la formation en leadership des 17 433 chefs fokontany et de 3 000 femmes en 2007;</w:t>
      </w:r>
    </w:p>
    <w:p w:rsidR="00000000" w:rsidRDefault="00000000">
      <w:pPr>
        <w:pStyle w:val="Bullet1G"/>
        <w:rPr>
          <w:lang w:val="fr-FR"/>
        </w:rPr>
      </w:pPr>
      <w:r>
        <w:rPr>
          <w:lang w:val="fr-FR"/>
        </w:rPr>
        <w:t>Bourses d’études PACT/USAID à des écolières de la région d’Analamanga et de la région Atsinanana;</w:t>
      </w:r>
    </w:p>
    <w:p w:rsidR="00000000" w:rsidRDefault="00000000">
      <w:pPr>
        <w:pStyle w:val="Bullet1G"/>
        <w:rPr>
          <w:lang w:val="fr-FR"/>
        </w:rPr>
      </w:pPr>
      <w:r>
        <w:rPr>
          <w:lang w:val="fr-FR"/>
        </w:rPr>
        <w:t>Appui financier pour les jeunes filles des collèges de la région du Boeny;</w:t>
      </w:r>
    </w:p>
    <w:p w:rsidR="00000000" w:rsidRDefault="00000000">
      <w:pPr>
        <w:pStyle w:val="Bullet1G"/>
        <w:rPr>
          <w:lang w:val="fr-FR"/>
        </w:rPr>
      </w:pPr>
      <w:r>
        <w:rPr>
          <w:lang w:val="fr-FR"/>
        </w:rPr>
        <w:t>Stratégie fille pour fille développée par l’UNICEF pour encourager la scolarisation des filles et pour lutter contre l’abandon scolaire;</w:t>
      </w:r>
    </w:p>
    <w:p w:rsidR="00000000" w:rsidRDefault="00000000">
      <w:pPr>
        <w:pStyle w:val="Bullet1G"/>
        <w:rPr>
          <w:lang w:val="fr-FR"/>
        </w:rPr>
      </w:pPr>
      <w:r>
        <w:rPr>
          <w:lang w:val="fr-FR"/>
        </w:rPr>
        <w:t>Forum for African Women Education (FAWE): prise en charge en régime d’internat des meilleures élèves des collèges et des lycées;</w:t>
      </w:r>
    </w:p>
    <w:p w:rsidR="00000000" w:rsidRDefault="00000000">
      <w:pPr>
        <w:pStyle w:val="Bullet1G"/>
        <w:rPr>
          <w:lang w:val="fr-FR"/>
        </w:rPr>
      </w:pPr>
      <w:r>
        <w:rPr>
          <w:lang w:val="fr-FR"/>
        </w:rPr>
        <w:t>Alphabétisation des jeunes femmes et création de Centre d’éveil des jeunes enfants avec l’appui du PNUD à Antananarivo et dans la région Atsimo Atsinanana en 2006.</w:t>
      </w:r>
    </w:p>
    <w:p w:rsidR="00000000" w:rsidRDefault="00000000">
      <w:pPr>
        <w:pStyle w:val="H23G"/>
        <w:rPr>
          <w:i/>
          <w:lang w:val="fr-FR"/>
        </w:rPr>
      </w:pPr>
      <w:bookmarkStart w:id="1079" w:name="_Toc206414594"/>
      <w:bookmarkStart w:id="1080" w:name="_Toc206460436"/>
      <w:bookmarkStart w:id="1081" w:name="_Toc206460768"/>
      <w:bookmarkStart w:id="1082" w:name="_Toc206461490"/>
      <w:bookmarkStart w:id="1083" w:name="_Toc206476284"/>
      <w:bookmarkStart w:id="1084" w:name="_Toc207788819"/>
      <w:bookmarkStart w:id="1085" w:name="_Toc211835490"/>
      <w:bookmarkStart w:id="1086" w:name="_Toc211926797"/>
      <w:r>
        <w:rPr>
          <w:lang w:val="fr-FR"/>
        </w:rPr>
        <w:tab/>
        <w:t>6.</w:t>
      </w:r>
      <w:r>
        <w:rPr>
          <w:lang w:val="fr-FR"/>
        </w:rPr>
        <w:tab/>
        <w:t>Alphabétisation</w:t>
      </w:r>
      <w:bookmarkEnd w:id="1079"/>
      <w:bookmarkEnd w:id="1080"/>
      <w:bookmarkEnd w:id="1081"/>
      <w:bookmarkEnd w:id="1082"/>
      <w:bookmarkEnd w:id="1083"/>
      <w:bookmarkEnd w:id="1084"/>
      <w:bookmarkEnd w:id="1085"/>
      <w:bookmarkEnd w:id="1086"/>
    </w:p>
    <w:p w:rsidR="00000000" w:rsidRDefault="00000000">
      <w:pPr>
        <w:pStyle w:val="SingleTxtG"/>
        <w:rPr>
          <w:lang w:val="fr-FR"/>
        </w:rPr>
      </w:pPr>
      <w:r>
        <w:rPr>
          <w:lang w:val="fr-FR"/>
        </w:rPr>
        <w:t>477.</w:t>
      </w:r>
      <w:r>
        <w:rPr>
          <w:lang w:val="fr-FR"/>
        </w:rPr>
        <w:tab/>
        <w:t>En 2006 environ 48 % de la population âgée de plus de 15 ans était analphabète. Plus d’un million de jeunes de 11 à 17 ans sont illettrés. L’objectif du MAP consiste à réduire ce taux d’analphabétisme de 20 % d’ici à 2012.</w:t>
      </w:r>
    </w:p>
    <w:p w:rsidR="00000000" w:rsidRDefault="00000000">
      <w:pPr>
        <w:pStyle w:val="SingleTxtG"/>
        <w:rPr>
          <w:lang w:val="fr-FR"/>
        </w:rPr>
      </w:pPr>
      <w:r>
        <w:rPr>
          <w:lang w:val="fr-FR"/>
        </w:rPr>
        <w:t>478.</w:t>
      </w:r>
      <w:r>
        <w:rPr>
          <w:lang w:val="fr-FR"/>
        </w:rPr>
        <w:tab/>
        <w:t xml:space="preserve">La loi </w:t>
      </w:r>
      <w:r>
        <w:rPr>
          <w:rFonts w:eastAsia="MS Mincho"/>
          <w:lang w:val="fr-FR"/>
        </w:rPr>
        <w:t>n</w:t>
      </w:r>
      <w:r>
        <w:rPr>
          <w:rFonts w:eastAsia="MS Mincho"/>
          <w:vertAlign w:val="superscript"/>
          <w:lang w:val="fr-FR"/>
        </w:rPr>
        <w:t>o</w:t>
      </w:r>
      <w:r>
        <w:rPr>
          <w:lang w:val="fr-FR"/>
        </w:rPr>
        <w:t xml:space="preserve"> 2004-004 dispose que l’alphabétisation fait partie intégrante du système éducatif non formel. Le décret </w:t>
      </w:r>
      <w:r>
        <w:rPr>
          <w:rFonts w:eastAsia="MS Mincho"/>
          <w:lang w:val="fr-FR"/>
        </w:rPr>
        <w:t>n</w:t>
      </w:r>
      <w:r>
        <w:rPr>
          <w:rFonts w:eastAsia="MS Mincho"/>
          <w:vertAlign w:val="superscript"/>
          <w:lang w:val="fr-FR"/>
        </w:rPr>
        <w:t>o</w:t>
      </w:r>
      <w:r>
        <w:rPr>
          <w:lang w:val="fr-FR"/>
        </w:rPr>
        <w:t xml:space="preserve"> 2003- 834 du 5 août 2003 consacre la Politique nationale de l’alphabétisation et de l’éducation des adultes.</w:t>
      </w:r>
    </w:p>
    <w:p w:rsidR="00000000" w:rsidRDefault="00000000">
      <w:pPr>
        <w:pStyle w:val="SingleTxtG"/>
        <w:rPr>
          <w:lang w:val="fr-FR"/>
        </w:rPr>
      </w:pPr>
      <w:r>
        <w:rPr>
          <w:lang w:val="fr-FR"/>
        </w:rPr>
        <w:t>479.</w:t>
      </w:r>
      <w:r>
        <w:rPr>
          <w:lang w:val="fr-FR"/>
        </w:rPr>
        <w:tab/>
        <w:t>Des programmes d’alphabétisation avec leurs méthodologies respectives ont été développés à l’intention des enfants non scolarisés:</w:t>
      </w:r>
    </w:p>
    <w:p w:rsidR="00000000" w:rsidRDefault="00000000">
      <w:pPr>
        <w:pStyle w:val="Bullet1G"/>
        <w:rPr>
          <w:lang w:val="fr-FR"/>
        </w:rPr>
      </w:pPr>
      <w:r>
        <w:rPr>
          <w:lang w:val="fr-FR"/>
        </w:rPr>
        <w:t>Ambohitsoratra, apprentissage de la lecture et d’écriture en malgache;</w:t>
      </w:r>
    </w:p>
    <w:p w:rsidR="00000000" w:rsidRDefault="00000000">
      <w:pPr>
        <w:pStyle w:val="Bullet1G"/>
        <w:rPr>
          <w:lang w:val="fr-FR"/>
        </w:rPr>
      </w:pPr>
      <w:r>
        <w:rPr>
          <w:lang w:val="fr-FR"/>
        </w:rPr>
        <w:t>ASAMA, préparation en dix mois à l’examen de fin d’étude du primaire;</w:t>
      </w:r>
    </w:p>
    <w:p w:rsidR="00000000" w:rsidRDefault="00000000">
      <w:pPr>
        <w:pStyle w:val="Bullet1G"/>
        <w:rPr>
          <w:lang w:val="fr-FR"/>
        </w:rPr>
      </w:pPr>
      <w:r>
        <w:rPr>
          <w:lang w:val="fr-FR"/>
        </w:rPr>
        <w:t>Ambatomikajy pour l’apprentissage du calcul;</w:t>
      </w:r>
    </w:p>
    <w:p w:rsidR="00000000" w:rsidRDefault="00000000">
      <w:pPr>
        <w:pStyle w:val="Bullet1G"/>
        <w:rPr>
          <w:lang w:val="fr-FR"/>
        </w:rPr>
      </w:pPr>
      <w:r>
        <w:rPr>
          <w:lang w:val="fr-FR"/>
        </w:rPr>
        <w:t>ASAMA nouvelle forme, pour les apprenants de 9-10 ans.</w:t>
      </w:r>
    </w:p>
    <w:p w:rsidR="00000000" w:rsidRDefault="00000000">
      <w:pPr>
        <w:pStyle w:val="SingleTxtG"/>
        <w:rPr>
          <w:lang w:val="fr-FR"/>
        </w:rPr>
      </w:pPr>
      <w:r>
        <w:rPr>
          <w:lang w:val="fr-FR"/>
        </w:rPr>
        <w:t>480.</w:t>
      </w:r>
      <w:r>
        <w:rPr>
          <w:lang w:val="fr-FR"/>
        </w:rPr>
        <w:tab/>
        <w:t>Un total de 7,415 bénéficiaires depuis 2002 (tableaux 33 et 34).</w:t>
      </w:r>
    </w:p>
    <w:p w:rsidR="00000000" w:rsidRDefault="00000000">
      <w:pPr>
        <w:pStyle w:val="SingleTxtG"/>
        <w:rPr>
          <w:lang w:val="fr-FR"/>
        </w:rPr>
      </w:pPr>
      <w:r>
        <w:rPr>
          <w:lang w:val="fr-FR"/>
        </w:rPr>
        <w:t>481.</w:t>
      </w:r>
      <w:r>
        <w:rPr>
          <w:lang w:val="fr-FR"/>
        </w:rPr>
        <w:tab/>
        <w:t>D’autres programmes développés par des ONG s’occupent de la scolarisation des enfants de rues et de leur réintégration dans le système formel après leur mise à niveau.</w:t>
      </w:r>
    </w:p>
    <w:p w:rsidR="00000000" w:rsidRDefault="00000000">
      <w:pPr>
        <w:pStyle w:val="SingleTxtG"/>
        <w:rPr>
          <w:lang w:val="fr-FR"/>
        </w:rPr>
      </w:pPr>
      <w:r>
        <w:rPr>
          <w:lang w:val="fr-FR"/>
        </w:rPr>
        <w:t>482.</w:t>
      </w:r>
      <w:r>
        <w:rPr>
          <w:lang w:val="fr-FR"/>
        </w:rPr>
        <w:tab/>
        <w:t>Les perspectives de l’État en matière d’alphabétisation concernent la formation d’agents d’alphabétisation, la production de matériels, la construction de salles de classe et centres d’alphabétisation.</w:t>
      </w:r>
    </w:p>
    <w:p w:rsidR="00000000" w:rsidRDefault="00000000">
      <w:pPr>
        <w:pStyle w:val="H23G"/>
        <w:rPr>
          <w:lang w:val="fr-FR"/>
        </w:rPr>
      </w:pPr>
      <w:bookmarkStart w:id="1087" w:name="_Toc206414595"/>
      <w:bookmarkStart w:id="1088" w:name="_Toc206460437"/>
      <w:bookmarkStart w:id="1089" w:name="_Toc206460769"/>
      <w:bookmarkStart w:id="1090" w:name="_Toc206461491"/>
      <w:bookmarkStart w:id="1091" w:name="_Toc206476285"/>
      <w:bookmarkStart w:id="1092" w:name="_Toc207788820"/>
      <w:bookmarkStart w:id="1093" w:name="_Toc211835491"/>
      <w:bookmarkStart w:id="1094" w:name="_Toc211926798"/>
      <w:r>
        <w:rPr>
          <w:lang w:val="fr-FR"/>
        </w:rPr>
        <w:tab/>
        <w:t>7.</w:t>
      </w:r>
      <w:r>
        <w:rPr>
          <w:lang w:val="fr-FR"/>
        </w:rPr>
        <w:tab/>
        <w:t>Maintien, fréquentation, assiduité</w:t>
      </w:r>
      <w:bookmarkEnd w:id="1087"/>
      <w:bookmarkEnd w:id="1088"/>
      <w:bookmarkEnd w:id="1089"/>
      <w:bookmarkEnd w:id="1090"/>
      <w:bookmarkEnd w:id="1091"/>
      <w:bookmarkEnd w:id="1092"/>
      <w:bookmarkEnd w:id="1093"/>
      <w:bookmarkEnd w:id="1094"/>
    </w:p>
    <w:p w:rsidR="00000000" w:rsidRDefault="00000000">
      <w:pPr>
        <w:pStyle w:val="SingleTxtG"/>
        <w:rPr>
          <w:lang w:val="fr-FR"/>
        </w:rPr>
      </w:pPr>
      <w:r>
        <w:rPr>
          <w:lang w:val="fr-FR"/>
        </w:rPr>
        <w:t>483.</w:t>
      </w:r>
      <w:r>
        <w:rPr>
          <w:lang w:val="fr-FR"/>
        </w:rPr>
        <w:tab/>
        <w:t>Diverses mesures et programmes sont mis en œuvre afin de maintenir les enfants le plus longtemps possible à l’école et pour parvenir au taux d’achèvement du cycle primaire de 100 % à l’horizon 2015.</w:t>
      </w:r>
    </w:p>
    <w:p w:rsidR="00000000" w:rsidRDefault="00000000">
      <w:pPr>
        <w:pStyle w:val="SingleTxtG"/>
        <w:rPr>
          <w:lang w:val="fr-FR"/>
        </w:rPr>
      </w:pPr>
      <w:r>
        <w:rPr>
          <w:lang w:val="fr-FR"/>
        </w:rPr>
        <w:t>484.</w:t>
      </w:r>
      <w:r>
        <w:rPr>
          <w:lang w:val="fr-FR"/>
        </w:rPr>
        <w:tab/>
        <w:t>Les mesures envisagées pour réduire l’abandon scolaire comprennent:</w:t>
      </w:r>
    </w:p>
    <w:p w:rsidR="00000000" w:rsidRDefault="00000000">
      <w:pPr>
        <w:pStyle w:val="Bullet1G"/>
        <w:rPr>
          <w:lang w:val="fr-FR"/>
        </w:rPr>
      </w:pPr>
      <w:r>
        <w:rPr>
          <w:lang w:val="fr-FR"/>
        </w:rPr>
        <w:t>L’amélioration des conditions d’apprentissage (cantine scolaire, ramassage, infrastructures et équipements, rapprochement de l’école, centres de documentation et bibliothèque, santé scolaire, Centres de ressources pédagogiques);</w:t>
      </w:r>
    </w:p>
    <w:p w:rsidR="00000000" w:rsidRDefault="00000000">
      <w:pPr>
        <w:pStyle w:val="Bullet1G"/>
        <w:rPr>
          <w:lang w:val="fr-FR"/>
        </w:rPr>
      </w:pPr>
      <w:r>
        <w:rPr>
          <w:lang w:val="fr-FR"/>
        </w:rPr>
        <w:t>L’augmentation de la motivation des élèves (voyages d’études, prix, bourses d’études, activités para et périscolaires);</w:t>
      </w:r>
    </w:p>
    <w:p w:rsidR="00000000" w:rsidRDefault="00000000">
      <w:pPr>
        <w:pStyle w:val="Bullet1G"/>
        <w:rPr>
          <w:lang w:val="fr-FR"/>
        </w:rPr>
      </w:pPr>
      <w:r>
        <w:rPr>
          <w:lang w:val="fr-FR"/>
        </w:rPr>
        <w:t>L’augmentation de la motivation des enseignants (indemnités, subventions, primes, distinctions honorifique);</w:t>
      </w:r>
    </w:p>
    <w:p w:rsidR="00000000" w:rsidRDefault="00000000">
      <w:pPr>
        <w:pStyle w:val="Bullet1G"/>
        <w:rPr>
          <w:lang w:val="fr-FR"/>
        </w:rPr>
      </w:pPr>
      <w:r>
        <w:rPr>
          <w:lang w:val="fr-FR"/>
        </w:rPr>
        <w:t>L’amélioration de la qualité de l’enseignement (curricula, formation des enseignants, approche par les compétences);</w:t>
      </w:r>
    </w:p>
    <w:p w:rsidR="00000000" w:rsidRDefault="00000000">
      <w:pPr>
        <w:pStyle w:val="Bullet1G"/>
        <w:rPr>
          <w:lang w:val="fr-FR"/>
        </w:rPr>
      </w:pPr>
      <w:r>
        <w:rPr>
          <w:lang w:val="fr-FR"/>
        </w:rPr>
        <w:t>Implication des parents, autorités locales et opérateurs économiques dans la gestion des établissements scolaires;</w:t>
      </w:r>
    </w:p>
    <w:p w:rsidR="00000000" w:rsidRDefault="00000000">
      <w:pPr>
        <w:pStyle w:val="Bullet1G"/>
        <w:rPr>
          <w:lang w:val="fr-FR"/>
        </w:rPr>
      </w:pPr>
      <w:r>
        <w:rPr>
          <w:lang w:val="fr-FR"/>
        </w:rPr>
        <w:t>Implication des élèves dans les conseils d’établissement et les conseils de discipline;</w:t>
      </w:r>
    </w:p>
    <w:p w:rsidR="00000000" w:rsidRDefault="00000000">
      <w:pPr>
        <w:pStyle w:val="Bullet1G"/>
        <w:rPr>
          <w:lang w:val="fr-FR"/>
        </w:rPr>
      </w:pPr>
      <w:r>
        <w:rPr>
          <w:lang w:val="fr-FR"/>
        </w:rPr>
        <w:t>Création de clubs et associations;</w:t>
      </w:r>
    </w:p>
    <w:p w:rsidR="00000000" w:rsidRDefault="00000000">
      <w:pPr>
        <w:pStyle w:val="Bullet1G"/>
        <w:rPr>
          <w:lang w:val="fr-FR"/>
        </w:rPr>
      </w:pPr>
      <w:r>
        <w:rPr>
          <w:lang w:val="fr-FR"/>
        </w:rPr>
        <w:t>Incitations à la scolarisation (allègement des charges, Open schools, classes intégrées, conseil et assistance en milieu scolaire, désignation de professeurs responsables par classe).</w:t>
      </w:r>
    </w:p>
    <w:p w:rsidR="00000000" w:rsidRDefault="00000000">
      <w:pPr>
        <w:pStyle w:val="SingleTxtG"/>
        <w:rPr>
          <w:lang w:val="fr-FR"/>
        </w:rPr>
      </w:pPr>
      <w:r>
        <w:rPr>
          <w:lang w:val="fr-FR"/>
        </w:rPr>
        <w:t>485.</w:t>
      </w:r>
      <w:r>
        <w:rPr>
          <w:lang w:val="fr-FR"/>
        </w:rPr>
        <w:tab/>
        <w:t xml:space="preserve">Depuis 2002, l’État et les parents d’élèves ont recruté plusieurs milliers d’enseignants chaque année pour combler l’insuffisance de personnel enseignant surtout en milieu rural. </w:t>
      </w:r>
    </w:p>
    <w:p w:rsidR="00000000" w:rsidRDefault="00000000">
      <w:pPr>
        <w:pStyle w:val="SingleTxtG"/>
        <w:rPr>
          <w:b/>
          <w:lang w:val="fr-FR"/>
        </w:rPr>
      </w:pPr>
      <w:r>
        <w:rPr>
          <w:lang w:val="fr-FR"/>
        </w:rPr>
        <w:t>486.</w:t>
      </w:r>
      <w:r>
        <w:rPr>
          <w:lang w:val="fr-FR"/>
        </w:rPr>
        <w:tab/>
        <w:t>Le MENRS met en œuvre le redéploiement du personnel en vue d’une répartition équitable du personnel enseignant en plus d’un recrutement par voie contractuelle</w:t>
      </w:r>
      <w:r>
        <w:rPr>
          <w:b/>
          <w:lang w:val="fr-FR"/>
        </w:rPr>
        <w:t>.</w:t>
      </w:r>
    </w:p>
    <w:p w:rsidR="00000000" w:rsidRDefault="00000000">
      <w:pPr>
        <w:pStyle w:val="SingleTxtG"/>
        <w:rPr>
          <w:lang w:val="fr-FR"/>
        </w:rPr>
      </w:pPr>
      <w:r>
        <w:rPr>
          <w:lang w:val="fr-FR"/>
        </w:rPr>
        <w:t>487.</w:t>
      </w:r>
      <w:r>
        <w:rPr>
          <w:lang w:val="fr-FR"/>
        </w:rPr>
        <w:tab/>
      </w:r>
      <w:r>
        <w:rPr>
          <w:b/>
          <w:lang w:val="fr-FR"/>
        </w:rPr>
        <w:t xml:space="preserve">Recrutement par l’État. </w:t>
      </w:r>
      <w:r>
        <w:rPr>
          <w:lang w:val="fr-FR"/>
        </w:rPr>
        <w:t>Le recrutement massif d’enseignants a atteint le maximum en 2006 (28 840 en 2006 contre 19 309 en 2005, soit une augmentation de près de 50 %), a permis d’augmenter significativement le nombre d’enseignants et de réduire le ratio élèves par enseignant.</w:t>
      </w:r>
    </w:p>
    <w:p w:rsidR="00000000" w:rsidRDefault="00000000">
      <w:pPr>
        <w:pStyle w:val="SingleTxtG"/>
        <w:rPr>
          <w:lang w:val="fr-FR"/>
        </w:rPr>
      </w:pPr>
      <w:r>
        <w:rPr>
          <w:lang w:val="fr-FR"/>
        </w:rPr>
        <w:t>488.</w:t>
      </w:r>
      <w:r>
        <w:rPr>
          <w:lang w:val="fr-FR"/>
        </w:rPr>
        <w:tab/>
        <w:t>Pour l’enseignement primaire, public et privé confondus, l’effectif des enseignants est passé de 49 410 en 2000-2001 à 76 830 en 2005-2006, soit un accroissement annuel moyen de 9,2 % contre 9,7 % pour l’effectif des élèves. Ce qui a eu comme conséquence une diminution du ratio élèves/enseignant à 52 pour les écoles publiques pour l’année 2005/06.</w:t>
      </w:r>
    </w:p>
    <w:p w:rsidR="00000000" w:rsidRDefault="00000000">
      <w:pPr>
        <w:pStyle w:val="SingleTxtG"/>
        <w:spacing w:after="0"/>
      </w:pPr>
      <w:bookmarkStart w:id="1095" w:name="_Toc260298272"/>
      <w:r>
        <w:t>Figure 5</w:t>
      </w:r>
    </w:p>
    <w:p w:rsidR="00000000" w:rsidRDefault="00000000">
      <w:pPr>
        <w:pStyle w:val="SingleTxtG"/>
        <w:rPr>
          <w:b/>
        </w:rPr>
      </w:pPr>
      <w:r>
        <w:rPr>
          <w:b/>
        </w:rPr>
        <w:t>Tableau comparatif des ratios élèves-maîtres du secteur public et du secteur privé</w:t>
      </w:r>
      <w:bookmarkEnd w:id="1095"/>
    </w:p>
    <w:p w:rsidR="00000000" w:rsidRDefault="00000000">
      <w:pPr>
        <w:ind w:left="1134"/>
        <w:rPr>
          <w:lang w:val="fr-FR"/>
        </w:rPr>
      </w:pPr>
      <w:r>
        <w:rPr>
          <w:lang w:val="en-US"/>
        </w:rPr>
        <w:pict>
          <v:shape id="_x0000_i1028" type="#_x0000_t75" style="width:358.5pt;height:276pt" o:allowoverlap="f">
            <v:imagedata r:id="rId11" o:title=""/>
          </v:shape>
        </w:pict>
      </w:r>
    </w:p>
    <w:p w:rsidR="00000000" w:rsidRDefault="00000000">
      <w:pPr>
        <w:pStyle w:val="SingleTxtG"/>
        <w:spacing w:before="240"/>
        <w:rPr>
          <w:lang w:val="fr-FR"/>
        </w:rPr>
      </w:pPr>
      <w:r>
        <w:rPr>
          <w:lang w:val="fr-FR"/>
        </w:rPr>
        <w:t>489.</w:t>
      </w:r>
      <w:r>
        <w:rPr>
          <w:lang w:val="fr-FR"/>
        </w:rPr>
        <w:tab/>
        <w:t>La majorité des nouveaux enseignants recrutés sont des enseignants non fonctionnaires. À la fin de l’année scolaire 2005-2006, sur les 57 017 enseignants recensés dans les 16 797 écoles primaires publiques et communautaires, 28 840 sont des enseignants non fonctionnaires (soit 51 % contre 17,9 % en 2000-2001).</w:t>
      </w:r>
    </w:p>
    <w:p w:rsidR="00000000" w:rsidRDefault="00000000">
      <w:pPr>
        <w:pStyle w:val="SingleTxtG"/>
        <w:rPr>
          <w:lang w:val="fr-FR"/>
        </w:rPr>
      </w:pPr>
      <w:r>
        <w:rPr>
          <w:lang w:val="fr-FR"/>
        </w:rPr>
        <w:t>490.</w:t>
      </w:r>
      <w:r>
        <w:rPr>
          <w:lang w:val="fr-FR"/>
        </w:rPr>
        <w:tab/>
        <w:t>En 2005-2006, 92 %, de ces enseignants non fonctionnaires (25 803) sont subventionnés par le MENRS. En effet, pour alléger la charge des parents qui avaient pris au départ l’initiative de les recruter, le gouvernement a décidé de leur allouer une subvention qui reste cependant très faible comparée au salaire des enseignants fonctionnaires (0,9 x PIB/tête contre 4,7 x PIB/tête pour les fonctionnaires en 2005/2006). De 30 000 ariary en 2003, cette subvention est passée à 60 000 ariary.</w:t>
      </w:r>
    </w:p>
    <w:p w:rsidR="00000000" w:rsidRDefault="00000000">
      <w:pPr>
        <w:pStyle w:val="SingleTxtG"/>
        <w:rPr>
          <w:lang w:val="fr-FR"/>
        </w:rPr>
      </w:pPr>
      <w:r>
        <w:rPr>
          <w:lang w:val="fr-FR"/>
        </w:rPr>
        <w:t>491.</w:t>
      </w:r>
      <w:r>
        <w:rPr>
          <w:lang w:val="fr-FR"/>
        </w:rPr>
        <w:tab/>
      </w:r>
      <w:r>
        <w:rPr>
          <w:b/>
          <w:lang w:val="fr-FR"/>
        </w:rPr>
        <w:t xml:space="preserve">Recrutement par le FRAM. </w:t>
      </w:r>
      <w:r>
        <w:rPr>
          <w:lang w:val="fr-FR"/>
        </w:rPr>
        <w:t>Le recrutement d’enseignants opéré par l’État ne suffisant pas, les parents d’élèves affiliés aux FRAM ont apporté leur appui par le recrutement d’enseignants qu’ils payent eux-mêmes en nature ou en numéraire. A partir de 2003, à titre de contribution, l’État octroie à ces enseignants une subvention mensuelle.</w:t>
      </w:r>
    </w:p>
    <w:p w:rsidR="00000000" w:rsidRDefault="00000000">
      <w:pPr>
        <w:pStyle w:val="SingleTxtG"/>
        <w:rPr>
          <w:lang w:val="fr-FR"/>
        </w:rPr>
      </w:pPr>
      <w:r>
        <w:rPr>
          <w:lang w:val="fr-FR"/>
        </w:rPr>
        <w:t>492.</w:t>
      </w:r>
      <w:r>
        <w:rPr>
          <w:lang w:val="fr-FR"/>
        </w:rPr>
        <w:tab/>
      </w:r>
      <w:r>
        <w:rPr>
          <w:b/>
          <w:lang w:val="fr-FR"/>
        </w:rPr>
        <w:t xml:space="preserve">Motivation. </w:t>
      </w:r>
      <w:r>
        <w:rPr>
          <w:lang w:val="fr-FR"/>
        </w:rPr>
        <w:t xml:space="preserve">Pour motiver les enseignants, des indemnités d’éloignement sont octroyées aux fonctionnaires travaillant dans les zones enclavées et une indemnité de craie pour ceux travaillant en salle. Ces indemnités restent toutefois très faibles. </w:t>
      </w:r>
    </w:p>
    <w:p w:rsidR="00000000" w:rsidRDefault="00000000">
      <w:pPr>
        <w:pStyle w:val="SingleTxtG"/>
        <w:rPr>
          <w:lang w:val="fr-FR"/>
        </w:rPr>
      </w:pPr>
      <w:r>
        <w:rPr>
          <w:lang w:val="fr-FR"/>
        </w:rPr>
        <w:t>493.</w:t>
      </w:r>
      <w:r>
        <w:rPr>
          <w:lang w:val="fr-FR"/>
        </w:rPr>
        <w:tab/>
        <w:t>En 2004, tous les enseignants publics du primaire ont également reçu un kit pédagogique composé d’un cartable et de petits matériels didactiques. En 2007, un agenda pédagogique élaboré et produit en collaboration avec l’UNICEF leur a été distribué.</w:t>
      </w:r>
    </w:p>
    <w:p w:rsidR="00000000" w:rsidRDefault="00000000">
      <w:pPr>
        <w:pStyle w:val="SingleTxtG"/>
        <w:rPr>
          <w:lang w:val="fr-FR"/>
        </w:rPr>
      </w:pPr>
      <w:r>
        <w:rPr>
          <w:lang w:val="fr-FR"/>
        </w:rPr>
        <w:t>494.</w:t>
      </w:r>
      <w:r>
        <w:rPr>
          <w:lang w:val="fr-FR"/>
        </w:rPr>
        <w:tab/>
      </w:r>
      <w:r>
        <w:rPr>
          <w:b/>
          <w:lang w:val="fr-FR"/>
        </w:rPr>
        <w:t xml:space="preserve">Formation </w:t>
      </w:r>
      <w:r>
        <w:rPr>
          <w:b/>
          <w:bCs/>
          <w:lang w:val="fr-FR"/>
        </w:rPr>
        <w:t>des</w:t>
      </w:r>
      <w:r>
        <w:rPr>
          <w:b/>
          <w:lang w:val="fr-FR"/>
        </w:rPr>
        <w:t xml:space="preserve"> enseignants. </w:t>
      </w:r>
      <w:r>
        <w:rPr>
          <w:lang w:val="fr-FR"/>
        </w:rPr>
        <w:t xml:space="preserve">Le système éducatif malgache dispose de différents types d’enseignant selon le genre et le niveau de formation </w:t>
      </w:r>
    </w:p>
    <w:p w:rsidR="00000000" w:rsidRDefault="00000000">
      <w:pPr>
        <w:pStyle w:val="SingleTxtG"/>
        <w:rPr>
          <w:lang w:val="fr-FR"/>
        </w:rPr>
      </w:pPr>
      <w:r>
        <w:rPr>
          <w:lang w:val="fr-FR"/>
        </w:rPr>
        <w:t>495.</w:t>
      </w:r>
      <w:r>
        <w:rPr>
          <w:lang w:val="fr-FR"/>
        </w:rPr>
        <w:tab/>
        <w:t>L’Institut national de formation pédagogique (INFP) et ses démembrements régionaux (CRINFP), les Écoles normales supérieures et certaines facultés sont les institutions de formation initiale des enseignants malgaches. Ceux qui sont en exercice reçoivent aussi des formations continues à l’INFP ou dans les CRINFP.</w:t>
      </w:r>
    </w:p>
    <w:p w:rsidR="00000000" w:rsidRDefault="00000000">
      <w:pPr>
        <w:pStyle w:val="SingleTxtG"/>
        <w:rPr>
          <w:lang w:val="fr-FR"/>
        </w:rPr>
      </w:pPr>
      <w:r>
        <w:rPr>
          <w:lang w:val="fr-FR"/>
        </w:rPr>
        <w:t>496.</w:t>
      </w:r>
      <w:r>
        <w:rPr>
          <w:lang w:val="fr-FR"/>
        </w:rPr>
        <w:tab/>
        <w:t>Les étudiants de l’École normale supérieure et des CRINFP bénéficient de stages au sein des établissements d’enseignement publics.</w:t>
      </w:r>
    </w:p>
    <w:p w:rsidR="00000000" w:rsidRDefault="00000000">
      <w:pPr>
        <w:pStyle w:val="SingleTxtG"/>
        <w:rPr>
          <w:lang w:val="fr-FR"/>
        </w:rPr>
      </w:pPr>
      <w:r>
        <w:rPr>
          <w:lang w:val="fr-FR"/>
        </w:rPr>
        <w:t>497.</w:t>
      </w:r>
      <w:r>
        <w:rPr>
          <w:lang w:val="fr-FR"/>
        </w:rPr>
        <w:tab/>
        <w:t>Les enseignants FRAM bénéficient durant les périodes de vacances scolaires de courtes formations pédagogiques au sein de l’INFP et des CRINFP.</w:t>
      </w:r>
    </w:p>
    <w:p w:rsidR="00000000" w:rsidRDefault="00000000">
      <w:pPr>
        <w:pStyle w:val="H23G"/>
        <w:rPr>
          <w:lang w:val="fr-FR"/>
        </w:rPr>
      </w:pPr>
      <w:bookmarkStart w:id="1096" w:name="_Toc206414596"/>
      <w:bookmarkStart w:id="1097" w:name="_Toc206460438"/>
      <w:bookmarkStart w:id="1098" w:name="_Toc206460770"/>
      <w:bookmarkStart w:id="1099" w:name="_Toc206461492"/>
      <w:bookmarkStart w:id="1100" w:name="_Toc206476286"/>
      <w:bookmarkStart w:id="1101" w:name="_Toc207788821"/>
      <w:bookmarkStart w:id="1102" w:name="_Toc211835492"/>
      <w:bookmarkStart w:id="1103" w:name="_Toc211926799"/>
      <w:r>
        <w:rPr>
          <w:lang w:val="fr-FR"/>
        </w:rPr>
        <w:tab/>
        <w:t>8.</w:t>
      </w:r>
      <w:r>
        <w:rPr>
          <w:lang w:val="fr-FR"/>
        </w:rPr>
        <w:tab/>
        <w:t>Initiatives de promotion de l’enseignement</w:t>
      </w:r>
      <w:bookmarkEnd w:id="1096"/>
      <w:bookmarkEnd w:id="1097"/>
      <w:bookmarkEnd w:id="1098"/>
      <w:bookmarkEnd w:id="1099"/>
      <w:bookmarkEnd w:id="1100"/>
      <w:bookmarkEnd w:id="1101"/>
      <w:bookmarkEnd w:id="1102"/>
      <w:bookmarkEnd w:id="1103"/>
    </w:p>
    <w:p w:rsidR="00000000" w:rsidRDefault="00000000">
      <w:pPr>
        <w:pStyle w:val="SingleTxtG"/>
        <w:rPr>
          <w:lang w:val="fr-FR"/>
        </w:rPr>
      </w:pPr>
      <w:r>
        <w:rPr>
          <w:lang w:val="fr-FR"/>
        </w:rPr>
        <w:t>498.</w:t>
      </w:r>
      <w:r>
        <w:rPr>
          <w:lang w:val="fr-FR"/>
        </w:rPr>
        <w:tab/>
        <w:t xml:space="preserve">Pour promouvoir l’enseignement, plusieurs initiatives ont été prises: </w:t>
      </w:r>
    </w:p>
    <w:p w:rsidR="00000000" w:rsidRDefault="00000000">
      <w:pPr>
        <w:pStyle w:val="Bullet1G"/>
        <w:rPr>
          <w:lang w:val="fr-FR"/>
        </w:rPr>
      </w:pPr>
      <w:r>
        <w:rPr>
          <w:lang w:val="fr-FR"/>
        </w:rPr>
        <w:t>Implication des parents: Mise en place des FAF (Fiombonan’Antoka amin’ny Fampandrosoana ny Sekoly Partenariat pour le développement de l’école), association regroupant les parents d’élèves et les représentants d’enseignants;</w:t>
      </w:r>
    </w:p>
    <w:p w:rsidR="00000000" w:rsidRDefault="00000000">
      <w:pPr>
        <w:pStyle w:val="Bullet1G"/>
        <w:rPr>
          <w:lang w:val="fr-FR"/>
        </w:rPr>
      </w:pPr>
      <w:r>
        <w:rPr>
          <w:lang w:val="fr-FR"/>
        </w:rPr>
        <w:t>Les caisses écoles: Depuis l’année 2003, le gouvernement transfère directement à toutes les écoles primaires (publiques et privées) une petite caisse d’un montant de 2 000 Ar/élève pour assurer leur fonctionnement;</w:t>
      </w:r>
    </w:p>
    <w:p w:rsidR="00000000" w:rsidRDefault="00000000">
      <w:pPr>
        <w:pStyle w:val="Bullet1G"/>
        <w:rPr>
          <w:lang w:val="fr-FR"/>
        </w:rPr>
      </w:pPr>
      <w:r>
        <w:rPr>
          <w:lang w:val="fr-FR"/>
        </w:rPr>
        <w:t>Création de l’UAT: l’unité technique pour soutenir les initiatives du ministère en faveur de l’EPT;</w:t>
      </w:r>
    </w:p>
    <w:p w:rsidR="00000000" w:rsidRDefault="00000000">
      <w:pPr>
        <w:pStyle w:val="Bullet1G"/>
        <w:rPr>
          <w:lang w:val="fr-FR"/>
        </w:rPr>
      </w:pPr>
      <w:r>
        <w:rPr>
          <w:lang w:val="fr-FR"/>
        </w:rPr>
        <w:t>Les caisses compétitives locales sur fonds catalytiques renflouent les caisses écoles et soutiennent l’émergence d’initiatives locales visant l’atteinte des objectifs de l’EPT (16 projets ont bénéficié de la CCL);</w:t>
      </w:r>
    </w:p>
    <w:p w:rsidR="00000000" w:rsidRDefault="00000000">
      <w:pPr>
        <w:pStyle w:val="Bullet1G"/>
        <w:rPr>
          <w:lang w:val="fr-FR"/>
        </w:rPr>
      </w:pPr>
      <w:r>
        <w:rPr>
          <w:lang w:val="fr-FR"/>
        </w:rPr>
        <w:t>Réhabilitation, réouverture et équipement des centres régionaux de formation pédagogique (CRINFP);</w:t>
      </w:r>
    </w:p>
    <w:p w:rsidR="00000000" w:rsidRDefault="00000000">
      <w:pPr>
        <w:pStyle w:val="Bullet1G"/>
        <w:rPr>
          <w:lang w:val="fr-FR"/>
        </w:rPr>
      </w:pPr>
      <w:r>
        <w:rPr>
          <w:lang w:val="fr-FR"/>
        </w:rPr>
        <w:t>Collaboration multisectorielle renforcée pour l’atteinte des objectifs de l’éducation;</w:t>
      </w:r>
    </w:p>
    <w:p w:rsidR="00000000" w:rsidRDefault="00000000">
      <w:pPr>
        <w:pStyle w:val="Bullet1G"/>
        <w:rPr>
          <w:lang w:val="fr-FR"/>
        </w:rPr>
      </w:pPr>
      <w:r>
        <w:rPr>
          <w:lang w:val="fr-FR"/>
        </w:rPr>
        <w:t>Programme de création de matériels didactiques spécifiques pour CRINFP;</w:t>
      </w:r>
    </w:p>
    <w:p w:rsidR="00000000" w:rsidRDefault="00000000">
      <w:pPr>
        <w:pStyle w:val="Bullet1G"/>
        <w:rPr>
          <w:lang w:val="fr-FR"/>
        </w:rPr>
      </w:pPr>
      <w:r>
        <w:rPr>
          <w:lang w:val="fr-FR"/>
        </w:rPr>
        <w:t>Dialogue présidentiel: Organisation du dialogue présidentiel sur l’engagement 3 du MAP lié à l’éducation.</w:t>
      </w:r>
    </w:p>
    <w:p w:rsidR="00000000" w:rsidRDefault="00000000">
      <w:pPr>
        <w:pStyle w:val="H23G"/>
        <w:rPr>
          <w:lang w:val="fr-FR"/>
        </w:rPr>
      </w:pPr>
      <w:bookmarkStart w:id="1104" w:name="_Toc206414597"/>
      <w:bookmarkStart w:id="1105" w:name="_Toc206460439"/>
      <w:bookmarkStart w:id="1106" w:name="_Toc206460771"/>
      <w:bookmarkStart w:id="1107" w:name="_Toc206461493"/>
      <w:bookmarkStart w:id="1108" w:name="_Toc206476287"/>
      <w:bookmarkStart w:id="1109" w:name="_Toc207788822"/>
      <w:bookmarkStart w:id="1110" w:name="_Toc211835493"/>
      <w:bookmarkStart w:id="1111" w:name="_Toc211926800"/>
      <w:r>
        <w:rPr>
          <w:lang w:val="fr-FR"/>
        </w:rPr>
        <w:tab/>
        <w:t>9.</w:t>
      </w:r>
      <w:r>
        <w:rPr>
          <w:lang w:val="fr-FR"/>
        </w:rPr>
        <w:tab/>
        <w:t>Modifications du système éducatif</w:t>
      </w:r>
      <w:bookmarkEnd w:id="1104"/>
      <w:bookmarkEnd w:id="1105"/>
      <w:bookmarkEnd w:id="1106"/>
      <w:bookmarkEnd w:id="1107"/>
      <w:bookmarkEnd w:id="1108"/>
      <w:bookmarkEnd w:id="1109"/>
      <w:bookmarkEnd w:id="1110"/>
      <w:bookmarkEnd w:id="1111"/>
    </w:p>
    <w:p w:rsidR="00000000" w:rsidRDefault="00000000">
      <w:pPr>
        <w:pStyle w:val="SingleTxtG"/>
        <w:rPr>
          <w:lang w:val="fr-FR"/>
        </w:rPr>
      </w:pPr>
      <w:r>
        <w:rPr>
          <w:lang w:val="fr-FR"/>
        </w:rPr>
        <w:t>499.</w:t>
      </w:r>
      <w:r>
        <w:rPr>
          <w:lang w:val="fr-FR"/>
        </w:rPr>
        <w:tab/>
        <w:t xml:space="preserve">La nouvelle loi </w:t>
      </w:r>
      <w:r>
        <w:rPr>
          <w:rFonts w:eastAsia="MS Mincho"/>
          <w:lang w:val="fr-FR"/>
        </w:rPr>
        <w:t>n</w:t>
      </w:r>
      <w:r>
        <w:rPr>
          <w:rFonts w:eastAsia="MS Mincho"/>
          <w:vertAlign w:val="superscript"/>
          <w:lang w:val="fr-FR"/>
        </w:rPr>
        <w:t>o</w:t>
      </w:r>
      <w:r>
        <w:rPr>
          <w:lang w:val="fr-FR"/>
        </w:rPr>
        <w:t xml:space="preserve"> 2004-004 du 26 juillet 2004 portant orientation générale du système d’éducation, d’enseignement et de formation à Madagascar remplace la loi </w:t>
      </w:r>
      <w:r>
        <w:rPr>
          <w:rFonts w:eastAsia="MS Mincho"/>
          <w:lang w:val="fr-FR"/>
        </w:rPr>
        <w:t>n</w:t>
      </w:r>
      <w:r>
        <w:rPr>
          <w:rFonts w:eastAsia="MS Mincho"/>
          <w:vertAlign w:val="superscript"/>
          <w:lang w:val="fr-FR"/>
        </w:rPr>
        <w:t>o </w:t>
      </w:r>
      <w:r>
        <w:rPr>
          <w:lang w:val="fr-FR"/>
        </w:rPr>
        <w:t>94</w:t>
      </w:r>
      <w:r>
        <w:rPr>
          <w:lang w:val="fr-FR"/>
        </w:rPr>
        <w:noBreakHyphen/>
        <w:t>033. Les innovations principales concernent la valorisation de l’éducation non formelle, le renforcement de l’éducation à la citoyenneté et au civisme et la consécration du partenariat public-privé.</w:t>
      </w:r>
    </w:p>
    <w:p w:rsidR="00000000" w:rsidRDefault="00000000">
      <w:pPr>
        <w:pStyle w:val="SingleTxtG"/>
        <w:rPr>
          <w:lang w:val="fr-FR"/>
        </w:rPr>
      </w:pPr>
      <w:r>
        <w:rPr>
          <w:lang w:val="fr-FR"/>
        </w:rPr>
        <w:t>500.</w:t>
      </w:r>
      <w:r>
        <w:rPr>
          <w:lang w:val="fr-FR"/>
        </w:rPr>
        <w:tab/>
        <w:t>L’Office de l’éducation de masse et du civisme est créé au sein du ministère de l’éducation nationale pour être le fer de lance de l’éducation à la citoyenneté et au civisme, qui fait partie de l’éducation non formelle.</w:t>
      </w:r>
    </w:p>
    <w:p w:rsidR="00000000" w:rsidRDefault="00000000">
      <w:pPr>
        <w:pStyle w:val="SingleTxtG"/>
        <w:rPr>
          <w:lang w:val="fr-FR"/>
        </w:rPr>
      </w:pPr>
      <w:r>
        <w:rPr>
          <w:lang w:val="fr-FR"/>
        </w:rPr>
        <w:t>501.</w:t>
      </w:r>
      <w:r>
        <w:rPr>
          <w:lang w:val="fr-FR"/>
        </w:rPr>
        <w:tab/>
        <w:t>Des programmes de formation, de sensibilisation et de diffusion d’outils de communication pour le changement de comportement sont mis en œuvre à cet effet, comme par exemple le projet «promotion et défense de la culture des droits de l’homme dans les établissements scolaires», financé par l’UNDEF.</w:t>
      </w:r>
    </w:p>
    <w:p w:rsidR="00000000" w:rsidRDefault="00000000">
      <w:pPr>
        <w:pStyle w:val="SingleTxtG"/>
        <w:rPr>
          <w:lang w:val="fr-FR"/>
        </w:rPr>
      </w:pPr>
      <w:r>
        <w:rPr>
          <w:lang w:val="fr-FR"/>
        </w:rPr>
        <w:t>502.</w:t>
      </w:r>
      <w:r>
        <w:rPr>
          <w:lang w:val="fr-FR"/>
        </w:rPr>
        <w:tab/>
        <w:t>Création de la Direction des technologies de l’information et de la communication (DTIC) avec le mandat de mener des campagnes d’information, de sensibilisation et de communication afin d’obtenir l’adhésion de la population à la réforme éducative. Cette direction est aussi chargée de la dotation en matériels informatiques des établissements scolaires et des structures déconcentrées du MENRS.</w:t>
      </w:r>
    </w:p>
    <w:p w:rsidR="00000000" w:rsidRDefault="00000000">
      <w:pPr>
        <w:pStyle w:val="SingleTxtG"/>
        <w:rPr>
          <w:lang w:val="fr-FR"/>
        </w:rPr>
      </w:pPr>
      <w:r>
        <w:rPr>
          <w:lang w:val="fr-FR"/>
        </w:rPr>
        <w:t>503.</w:t>
      </w:r>
      <w:r>
        <w:rPr>
          <w:lang w:val="fr-FR"/>
        </w:rPr>
        <w:tab/>
        <w:t>Une nouvelle direction du développement des curricula est instituée au niveau du Ministère</w:t>
      </w:r>
    </w:p>
    <w:p w:rsidR="00000000" w:rsidRDefault="00000000">
      <w:pPr>
        <w:pStyle w:val="H23G"/>
        <w:rPr>
          <w:i/>
          <w:lang w:val="fr-FR"/>
        </w:rPr>
      </w:pPr>
      <w:bookmarkStart w:id="1112" w:name="_Toc206414598"/>
      <w:bookmarkStart w:id="1113" w:name="_Toc206460440"/>
      <w:bookmarkStart w:id="1114" w:name="_Toc206460772"/>
      <w:bookmarkStart w:id="1115" w:name="_Toc206461494"/>
      <w:bookmarkStart w:id="1116" w:name="_Toc206476288"/>
      <w:bookmarkStart w:id="1117" w:name="_Toc207788823"/>
      <w:bookmarkStart w:id="1118" w:name="_Toc211835494"/>
      <w:bookmarkStart w:id="1119" w:name="_Toc211926801"/>
      <w:r>
        <w:rPr>
          <w:lang w:val="fr-FR"/>
        </w:rPr>
        <w:tab/>
        <w:t>10.</w:t>
      </w:r>
      <w:r>
        <w:rPr>
          <w:lang w:val="fr-FR"/>
        </w:rPr>
        <w:tab/>
        <w:t>Mécanisme de</w:t>
      </w:r>
      <w:r>
        <w:rPr>
          <w:i/>
          <w:lang w:val="fr-FR"/>
        </w:rPr>
        <w:t xml:space="preserve"> </w:t>
      </w:r>
      <w:r>
        <w:rPr>
          <w:lang w:val="fr-FR"/>
        </w:rPr>
        <w:t>surveillance</w:t>
      </w:r>
      <w:bookmarkEnd w:id="1112"/>
      <w:bookmarkEnd w:id="1113"/>
      <w:bookmarkEnd w:id="1114"/>
      <w:bookmarkEnd w:id="1115"/>
      <w:bookmarkEnd w:id="1116"/>
      <w:bookmarkEnd w:id="1117"/>
      <w:bookmarkEnd w:id="1118"/>
      <w:bookmarkEnd w:id="1119"/>
    </w:p>
    <w:p w:rsidR="00000000" w:rsidRDefault="00000000">
      <w:pPr>
        <w:pStyle w:val="SingleTxtG"/>
        <w:rPr>
          <w:lang w:val="fr-FR"/>
        </w:rPr>
      </w:pPr>
      <w:r>
        <w:rPr>
          <w:lang w:val="fr-FR"/>
        </w:rPr>
        <w:t>504.</w:t>
      </w:r>
      <w:r>
        <w:rPr>
          <w:lang w:val="fr-FR"/>
        </w:rPr>
        <w:tab/>
        <w:t>La Revue semestrielle conjointe regroupant le Ministère, les partenaires techniques et financiers, les représentants de l’enseignement privé, la société civile et les représentants du Ministère des finances et de la décentralisation, a permis d’évaluer la mise en œuvre de l’Éducation pour tous (EPT) et d’identifier les difficultés rencontrées en vue de dégager les solutions appropriées.</w:t>
      </w:r>
    </w:p>
    <w:p w:rsidR="00000000" w:rsidRDefault="00000000">
      <w:pPr>
        <w:pStyle w:val="SingleTxtG"/>
        <w:rPr>
          <w:lang w:val="fr-FR"/>
        </w:rPr>
      </w:pPr>
      <w:r>
        <w:rPr>
          <w:lang w:val="fr-FR"/>
        </w:rPr>
        <w:t>505.</w:t>
      </w:r>
      <w:r>
        <w:rPr>
          <w:lang w:val="fr-FR"/>
        </w:rPr>
        <w:tab/>
        <w:t xml:space="preserve">Le décret </w:t>
      </w:r>
      <w:r>
        <w:rPr>
          <w:rFonts w:eastAsia="MS Mincho"/>
          <w:lang w:val="fr-FR"/>
        </w:rPr>
        <w:t>n</w:t>
      </w:r>
      <w:r>
        <w:rPr>
          <w:rFonts w:eastAsia="MS Mincho"/>
          <w:vertAlign w:val="superscript"/>
          <w:lang w:val="fr-FR"/>
        </w:rPr>
        <w:t>o</w:t>
      </w:r>
      <w:r>
        <w:rPr>
          <w:lang w:val="fr-FR"/>
        </w:rPr>
        <w:t xml:space="preserve"> 2008-028 fixant les attributions du MENRS ainsi que l’organisation de son Ministère a mis en place plusieurs structures et dispositifs internes de suivi-évaluation:</w:t>
      </w:r>
    </w:p>
    <w:p w:rsidR="00000000" w:rsidRDefault="00000000">
      <w:pPr>
        <w:pStyle w:val="Bullet1G"/>
        <w:rPr>
          <w:lang w:val="fr-FR"/>
        </w:rPr>
      </w:pPr>
      <w:r>
        <w:rPr>
          <w:lang w:val="fr-FR"/>
        </w:rPr>
        <w:t>La Coordination d’Appui au Secrétaire Général (CAGS), chargée de la supervision de la mise en œuvre des réformes;</w:t>
      </w:r>
    </w:p>
    <w:p w:rsidR="00000000" w:rsidRDefault="00000000">
      <w:pPr>
        <w:pStyle w:val="Bullet1G"/>
        <w:rPr>
          <w:lang w:val="fr-FR"/>
        </w:rPr>
      </w:pPr>
      <w:r>
        <w:rPr>
          <w:lang w:val="fr-FR"/>
        </w:rPr>
        <w:t>La Direction de la Coordination Générale et du Suivi, pour le suivi des plans d’action et la mise en place d’un suivi des priorités;</w:t>
      </w:r>
    </w:p>
    <w:p w:rsidR="00000000" w:rsidRDefault="00000000">
      <w:pPr>
        <w:pStyle w:val="Bullet1G"/>
        <w:rPr>
          <w:lang w:val="fr-FR"/>
        </w:rPr>
      </w:pPr>
      <w:r>
        <w:rPr>
          <w:lang w:val="fr-FR"/>
        </w:rPr>
        <w:t>Le Service de suivi-évaluation de La Direction de l’éducation fondamentale et préscolaire.</w:t>
      </w:r>
    </w:p>
    <w:p w:rsidR="00000000" w:rsidRDefault="00000000">
      <w:pPr>
        <w:pStyle w:val="SingleTxtG"/>
        <w:rPr>
          <w:lang w:val="fr-FR"/>
        </w:rPr>
      </w:pPr>
      <w:r>
        <w:rPr>
          <w:lang w:val="fr-FR"/>
        </w:rPr>
        <w:t>506.</w:t>
      </w:r>
      <w:r>
        <w:rPr>
          <w:lang w:val="fr-FR"/>
        </w:rPr>
        <w:tab/>
        <w:t>Depuis le dernier rapport de Madagascar, des progrès ont été réalisés. Cependant des problèmes subsistent en matière d’accès à cause de l’enclavement l’éloignement et de la persistance de l’esprit réfractaire à l’école dans certaines zones dont celles des régions du sud- est et du nord- ouest.</w:t>
      </w:r>
    </w:p>
    <w:p w:rsidR="00000000" w:rsidRDefault="00000000">
      <w:pPr>
        <w:pStyle w:val="SingleTxtG"/>
        <w:rPr>
          <w:lang w:val="fr-FR"/>
        </w:rPr>
      </w:pPr>
      <w:r>
        <w:rPr>
          <w:lang w:val="fr-FR"/>
        </w:rPr>
        <w:t>507.</w:t>
      </w:r>
      <w:r>
        <w:rPr>
          <w:lang w:val="fr-FR"/>
        </w:rPr>
        <w:tab/>
        <w:t>En matière d’accès, la faible densité et l’enclavement de la population scolarisable, l’esprit réfractaire à l’école (régions du sud-est ou du nord-ouest), la grande pauvreté de la population, ou encore la lenteur des constructions scolaires constituent les principaux problèmes.</w:t>
      </w:r>
    </w:p>
    <w:p w:rsidR="00000000" w:rsidRDefault="00000000">
      <w:pPr>
        <w:pStyle w:val="SingleTxtG"/>
        <w:rPr>
          <w:lang w:val="fr-FR"/>
        </w:rPr>
      </w:pPr>
      <w:r>
        <w:rPr>
          <w:lang w:val="fr-FR"/>
        </w:rPr>
        <w:t>508.</w:t>
      </w:r>
      <w:r>
        <w:rPr>
          <w:lang w:val="fr-FR"/>
        </w:rPr>
        <w:tab/>
        <w:t>En matière de qualité, les problèmes se situent au niveau de la formation des éducateurs, surtout des enseignants FRAM qui n’ont pas reçu de formation pédagogique initiale.</w:t>
      </w:r>
    </w:p>
    <w:p w:rsidR="00000000" w:rsidRDefault="00000000">
      <w:pPr>
        <w:pStyle w:val="SingleTxtG"/>
        <w:rPr>
          <w:lang w:val="fr-FR"/>
        </w:rPr>
      </w:pPr>
      <w:r>
        <w:rPr>
          <w:lang w:val="fr-FR"/>
        </w:rPr>
        <w:t>509.</w:t>
      </w:r>
      <w:r>
        <w:rPr>
          <w:lang w:val="fr-FR"/>
        </w:rPr>
        <w:tab/>
        <w:t>Pour le moment, aucune disposition coercitive n’a été prise pour obliger les parents à scolariser leurs enfants. Des activités de sensibilisation intensive sont entreprises afin de prouver à la communauté notamment rurale, les avantages de la scolarisation en général et des filles en particulier.</w:t>
      </w:r>
    </w:p>
    <w:p w:rsidR="00000000" w:rsidRDefault="00000000">
      <w:pPr>
        <w:pStyle w:val="H23G"/>
        <w:rPr>
          <w:i/>
          <w:lang w:val="fr-FR"/>
        </w:rPr>
      </w:pPr>
      <w:bookmarkStart w:id="1120" w:name="_Toc206414599"/>
      <w:bookmarkStart w:id="1121" w:name="_Toc206460441"/>
      <w:bookmarkStart w:id="1122" w:name="_Toc206460773"/>
      <w:bookmarkStart w:id="1123" w:name="_Toc206461495"/>
      <w:bookmarkStart w:id="1124" w:name="_Toc206476289"/>
      <w:bookmarkStart w:id="1125" w:name="_Toc207788824"/>
      <w:bookmarkStart w:id="1126" w:name="_Toc211835495"/>
      <w:bookmarkStart w:id="1127" w:name="_Toc211926802"/>
      <w:r>
        <w:rPr>
          <w:lang w:val="fr-FR"/>
        </w:rPr>
        <w:tab/>
        <w:t>11.</w:t>
      </w:r>
      <w:r>
        <w:rPr>
          <w:lang w:val="fr-FR"/>
        </w:rPr>
        <w:tab/>
        <w:t>Résultats</w:t>
      </w:r>
      <w:r>
        <w:rPr>
          <w:i/>
          <w:lang w:val="fr-FR"/>
        </w:rPr>
        <w:t xml:space="preserve"> </w:t>
      </w:r>
      <w:r>
        <w:rPr>
          <w:lang w:val="fr-FR"/>
        </w:rPr>
        <w:t>scolaires</w:t>
      </w:r>
      <w:bookmarkEnd w:id="1120"/>
      <w:bookmarkEnd w:id="1121"/>
      <w:bookmarkEnd w:id="1122"/>
      <w:bookmarkEnd w:id="1123"/>
      <w:bookmarkEnd w:id="1124"/>
      <w:bookmarkEnd w:id="1125"/>
      <w:bookmarkEnd w:id="1126"/>
      <w:bookmarkEnd w:id="1127"/>
    </w:p>
    <w:p w:rsidR="00000000" w:rsidRDefault="00000000">
      <w:pPr>
        <w:pStyle w:val="SingleTxtG"/>
        <w:rPr>
          <w:lang w:val="fr-FR"/>
        </w:rPr>
      </w:pPr>
      <w:r>
        <w:rPr>
          <w:lang w:val="fr-FR"/>
        </w:rPr>
        <w:t>510.</w:t>
      </w:r>
      <w:r>
        <w:rPr>
          <w:lang w:val="fr-FR"/>
        </w:rPr>
        <w:tab/>
        <w:t>Les résultats scolaires des élèves et étudiants malgaches ne sont pas encore satisfaisants, qu’il s’agisse du CEPE, du BEPC et du baccalauréat dont le taux de réussite moyen de 2001 à 2005 est toujours situé au dessous de 50 %.</w:t>
      </w:r>
    </w:p>
    <w:p w:rsidR="00000000" w:rsidRDefault="00000000">
      <w:pPr>
        <w:pStyle w:val="SingleTxtG"/>
        <w:rPr>
          <w:lang w:val="fr-FR"/>
        </w:rPr>
      </w:pPr>
      <w:r>
        <w:rPr>
          <w:lang w:val="fr-FR"/>
        </w:rPr>
        <w:t>511.</w:t>
      </w:r>
      <w:r>
        <w:rPr>
          <w:lang w:val="fr-FR"/>
        </w:rPr>
        <w:tab/>
      </w:r>
      <w:r>
        <w:rPr>
          <w:b/>
          <w:bCs/>
          <w:lang w:val="fr-FR"/>
        </w:rPr>
        <w:t>CEPE</w:t>
      </w:r>
      <w:r>
        <w:rPr>
          <w:lang w:val="fr-FR"/>
        </w:rPr>
        <w:t xml:space="preserve"> L’emploi de la langue française pour enseigner les mathématiques, la géographie et les connaissances usuelles à partir de la classe de 9</w:t>
      </w:r>
      <w:r>
        <w:rPr>
          <w:vertAlign w:val="superscript"/>
          <w:lang w:val="fr-FR"/>
        </w:rPr>
        <w:t>e</w:t>
      </w:r>
      <w:r>
        <w:rPr>
          <w:lang w:val="fr-FR"/>
        </w:rPr>
        <w:t xml:space="preserve">, la réduction du temps effectif d’apprentissage due aux absentéismes de certains enseignants et des élèves, un curriculum surchargé et les problèmes liés à l’alimentation dans les zones rurales pauvres constituent les principales causes des faibles résultats </w:t>
      </w:r>
    </w:p>
    <w:p w:rsidR="00000000" w:rsidRDefault="00000000">
      <w:pPr>
        <w:pStyle w:val="SingleTxtG"/>
        <w:rPr>
          <w:lang w:val="fr-FR"/>
        </w:rPr>
      </w:pPr>
      <w:r>
        <w:rPr>
          <w:lang w:val="fr-FR"/>
        </w:rPr>
        <w:t>512.</w:t>
      </w:r>
      <w:r>
        <w:rPr>
          <w:lang w:val="fr-FR"/>
        </w:rPr>
        <w:tab/>
      </w:r>
      <w:r>
        <w:rPr>
          <w:b/>
          <w:bCs/>
          <w:lang w:val="fr-FR"/>
        </w:rPr>
        <w:t>BEPC</w:t>
      </w:r>
      <w:r>
        <w:rPr>
          <w:lang w:val="fr-FR"/>
        </w:rPr>
        <w:t xml:space="preserve"> Les taux de réussite au BEPC se situent entre 33 % et 50 %. </w:t>
      </w:r>
    </w:p>
    <w:p w:rsidR="00000000" w:rsidRDefault="00000000">
      <w:pPr>
        <w:pStyle w:val="SingleTxtG"/>
        <w:rPr>
          <w:lang w:val="fr-FR"/>
        </w:rPr>
      </w:pPr>
      <w:r>
        <w:rPr>
          <w:lang w:val="fr-FR"/>
        </w:rPr>
        <w:t>513.</w:t>
      </w:r>
      <w:r>
        <w:rPr>
          <w:lang w:val="fr-FR"/>
        </w:rPr>
        <w:tab/>
      </w:r>
      <w:r>
        <w:rPr>
          <w:b/>
          <w:bCs/>
          <w:lang w:val="fr-FR"/>
        </w:rPr>
        <w:t>BEP CAP-CFA</w:t>
      </w:r>
      <w:r>
        <w:rPr>
          <w:lang w:val="fr-FR"/>
        </w:rPr>
        <w:t xml:space="preserve"> Les résultats de l’enseignement technique et professionnel sont d’habitude meilleurs que ceux de l’enseignement général </w:t>
      </w:r>
    </w:p>
    <w:p w:rsidR="00000000" w:rsidRDefault="00000000">
      <w:pPr>
        <w:pStyle w:val="SingleTxtG"/>
        <w:rPr>
          <w:lang w:val="fr-FR"/>
        </w:rPr>
      </w:pPr>
      <w:r>
        <w:rPr>
          <w:lang w:val="fr-FR"/>
        </w:rPr>
        <w:t>514.</w:t>
      </w:r>
      <w:r>
        <w:rPr>
          <w:lang w:val="fr-FR"/>
        </w:rPr>
        <w:tab/>
      </w:r>
      <w:r>
        <w:rPr>
          <w:b/>
          <w:bCs/>
          <w:lang w:val="fr-FR"/>
        </w:rPr>
        <w:t>BAC</w:t>
      </w:r>
      <w:r>
        <w:rPr>
          <w:lang w:val="fr-FR"/>
        </w:rPr>
        <w:t xml:space="preserve"> Les taux de réussite au baccalauréat est à améliorer </w:t>
      </w:r>
    </w:p>
    <w:p w:rsidR="00000000" w:rsidRDefault="00000000">
      <w:pPr>
        <w:pStyle w:val="H23G"/>
        <w:rPr>
          <w:i/>
          <w:lang w:val="fr-FR"/>
        </w:rPr>
      </w:pPr>
      <w:bookmarkStart w:id="1128" w:name="_Toc206414600"/>
      <w:bookmarkStart w:id="1129" w:name="_Toc206460442"/>
      <w:bookmarkStart w:id="1130" w:name="_Toc206460774"/>
      <w:bookmarkStart w:id="1131" w:name="_Toc206461496"/>
      <w:bookmarkStart w:id="1132" w:name="_Toc206476290"/>
      <w:bookmarkStart w:id="1133" w:name="_Toc207788825"/>
      <w:bookmarkStart w:id="1134" w:name="_Toc211835496"/>
      <w:bookmarkStart w:id="1135" w:name="_Toc211926803"/>
      <w:r>
        <w:rPr>
          <w:lang w:val="fr-FR"/>
        </w:rPr>
        <w:tab/>
        <w:t>12.</w:t>
      </w:r>
      <w:r>
        <w:rPr>
          <w:lang w:val="fr-FR"/>
        </w:rPr>
        <w:tab/>
        <w:t>Scolarisation</w:t>
      </w:r>
      <w:bookmarkEnd w:id="1128"/>
      <w:bookmarkEnd w:id="1129"/>
      <w:bookmarkEnd w:id="1130"/>
      <w:bookmarkEnd w:id="1131"/>
      <w:bookmarkEnd w:id="1132"/>
      <w:bookmarkEnd w:id="1133"/>
      <w:bookmarkEnd w:id="1134"/>
      <w:bookmarkEnd w:id="1135"/>
    </w:p>
    <w:p w:rsidR="00000000" w:rsidRDefault="00000000">
      <w:pPr>
        <w:pStyle w:val="SingleTxtG"/>
        <w:rPr>
          <w:lang w:val="fr-FR"/>
        </w:rPr>
      </w:pPr>
      <w:r>
        <w:rPr>
          <w:lang w:val="fr-FR"/>
        </w:rPr>
        <w:t>515.</w:t>
      </w:r>
      <w:r>
        <w:rPr>
          <w:lang w:val="fr-FR"/>
        </w:rPr>
        <w:tab/>
      </w:r>
      <w:r>
        <w:rPr>
          <w:b/>
          <w:lang w:val="fr-FR"/>
        </w:rPr>
        <w:t xml:space="preserve">Effectifs. </w:t>
      </w:r>
      <w:r>
        <w:rPr>
          <w:lang w:val="fr-FR"/>
        </w:rPr>
        <w:t xml:space="preserve">Les effectifs des établissements scolaires publics et privés ont tous enregistré une augmentation durant la période de 2002 à 2007. Si l’enseignement primaire a vu son effectif accroître d’un million en cinq ans, celui des collèges et des lycées ont chacun doublé pendant la même période </w:t>
      </w:r>
    </w:p>
    <w:p w:rsidR="00000000" w:rsidRDefault="00000000">
      <w:pPr>
        <w:pStyle w:val="SingleTxtG"/>
        <w:rPr>
          <w:lang w:val="fr-FR"/>
        </w:rPr>
      </w:pPr>
      <w:r>
        <w:rPr>
          <w:lang w:val="fr-FR"/>
        </w:rPr>
        <w:t>516.</w:t>
      </w:r>
      <w:r>
        <w:rPr>
          <w:lang w:val="fr-FR"/>
        </w:rPr>
        <w:tab/>
        <w:t xml:space="preserve">Tout comme les effectifs des élèves, le nombre d’établissements scolaires a également augmenté. Si le secteur public domine l’enseignement primaire, celui privé dépasse le public dans l’enseignement secondaire </w:t>
      </w:r>
    </w:p>
    <w:p w:rsidR="00000000" w:rsidRDefault="00000000">
      <w:pPr>
        <w:pStyle w:val="SingleTxtG"/>
        <w:rPr>
          <w:lang w:val="fr-FR"/>
        </w:rPr>
      </w:pPr>
      <w:r>
        <w:rPr>
          <w:lang w:val="fr-FR"/>
        </w:rPr>
        <w:t>517.</w:t>
      </w:r>
      <w:r>
        <w:rPr>
          <w:lang w:val="fr-FR"/>
        </w:rPr>
        <w:tab/>
      </w:r>
      <w:r>
        <w:rPr>
          <w:b/>
          <w:lang w:val="fr-FR"/>
        </w:rPr>
        <w:t xml:space="preserve">Budget. </w:t>
      </w:r>
      <w:r>
        <w:rPr>
          <w:lang w:val="fr-FR"/>
        </w:rPr>
        <w:t xml:space="preserve">Le budget alloué à l’éducation est en constante augmentation de 2001 à 2006 à part un léger fléchissement entre 2002/2003. Compte tenu de la priorité accordée à l’enseignement primaire, le budget de ce secteur a plus que doublé tandis que celui réservé aux investissements a presque triplé de 2001 à 2006 </w:t>
      </w:r>
    </w:p>
    <w:p w:rsidR="00000000" w:rsidRDefault="00000000">
      <w:pPr>
        <w:pStyle w:val="SingleTxtG"/>
        <w:rPr>
          <w:lang w:val="fr-FR"/>
        </w:rPr>
      </w:pPr>
      <w:r>
        <w:rPr>
          <w:lang w:val="fr-FR"/>
        </w:rPr>
        <w:t>518.</w:t>
      </w:r>
      <w:r>
        <w:rPr>
          <w:lang w:val="fr-FR"/>
        </w:rPr>
        <w:tab/>
      </w:r>
      <w:r>
        <w:rPr>
          <w:b/>
          <w:lang w:val="fr-FR"/>
        </w:rPr>
        <w:t xml:space="preserve">Éducation préscolaire. </w:t>
      </w:r>
      <w:r>
        <w:rPr>
          <w:lang w:val="fr-FR"/>
        </w:rPr>
        <w:t xml:space="preserve">Selon la loi </w:t>
      </w:r>
      <w:r>
        <w:rPr>
          <w:rFonts w:eastAsia="MS Mincho"/>
          <w:lang w:val="fr-FR"/>
        </w:rPr>
        <w:t>n</w:t>
      </w:r>
      <w:r>
        <w:rPr>
          <w:rFonts w:eastAsia="MS Mincho"/>
          <w:vertAlign w:val="superscript"/>
          <w:lang w:val="fr-FR"/>
        </w:rPr>
        <w:t>o</w:t>
      </w:r>
      <w:r>
        <w:rPr>
          <w:lang w:val="fr-FR"/>
        </w:rPr>
        <w:t xml:space="preserve"> 2004-004, l’école infantile comprend:</w:t>
      </w:r>
    </w:p>
    <w:p w:rsidR="00000000" w:rsidRDefault="00000000">
      <w:pPr>
        <w:pStyle w:val="Bullet1G"/>
        <w:rPr>
          <w:lang w:val="fr-FR"/>
        </w:rPr>
      </w:pPr>
      <w:r>
        <w:rPr>
          <w:lang w:val="fr-FR"/>
        </w:rPr>
        <w:t>Les nurseries qui prennent en charge les bébés de 0 à 2 ans;</w:t>
      </w:r>
    </w:p>
    <w:p w:rsidR="00000000" w:rsidRDefault="00000000">
      <w:pPr>
        <w:pStyle w:val="Bullet1G"/>
        <w:rPr>
          <w:lang w:val="fr-FR"/>
        </w:rPr>
      </w:pPr>
      <w:r>
        <w:rPr>
          <w:lang w:val="fr-FR"/>
        </w:rPr>
        <w:t>Les jardins d’enfants qui s’occupent de la garde des enfants de 2 à 3 ans;</w:t>
      </w:r>
    </w:p>
    <w:p w:rsidR="00000000" w:rsidRDefault="00000000">
      <w:pPr>
        <w:pStyle w:val="Bullet1G"/>
        <w:rPr>
          <w:lang w:val="fr-FR"/>
        </w:rPr>
      </w:pPr>
      <w:r>
        <w:rPr>
          <w:lang w:val="fr-FR"/>
        </w:rPr>
        <w:t>Les écoles maternelles assurant l’éducation des enfants de 3 à 5 ans. (art. 28);</w:t>
      </w:r>
    </w:p>
    <w:p w:rsidR="00000000" w:rsidRDefault="00000000">
      <w:pPr>
        <w:pStyle w:val="Bullet1G"/>
        <w:rPr>
          <w:lang w:val="fr-FR"/>
        </w:rPr>
      </w:pPr>
      <w:r>
        <w:rPr>
          <w:lang w:val="fr-FR"/>
        </w:rPr>
        <w:t xml:space="preserve">Le secteur de l’éducation préscolaire est peu développé. Cependant on enregistre une tendance à l’augmentation de 5 a 20 % des enfants âgés de 3 à 5 ans fréquentant un centre préscolaire. Cette tendance est également constatée au niveau des communes ayant un programme d’éducation parentale; </w:t>
      </w:r>
    </w:p>
    <w:p w:rsidR="00000000" w:rsidRDefault="00000000">
      <w:pPr>
        <w:pStyle w:val="Bullet1G"/>
        <w:rPr>
          <w:lang w:val="fr-FR"/>
        </w:rPr>
      </w:pPr>
      <w:r>
        <w:rPr>
          <w:lang w:val="fr-FR"/>
        </w:rPr>
        <w:t>La prise en charge de l’éducation préscolaire relève du Ministère chargé de l’éducation.</w:t>
      </w:r>
    </w:p>
    <w:p w:rsidR="00000000" w:rsidRDefault="00000000">
      <w:pPr>
        <w:pStyle w:val="SingleTxtG"/>
        <w:rPr>
          <w:lang w:val="fr-FR"/>
        </w:rPr>
      </w:pPr>
      <w:r>
        <w:rPr>
          <w:lang w:val="fr-FR"/>
        </w:rPr>
        <w:t>519.</w:t>
      </w:r>
      <w:r>
        <w:rPr>
          <w:lang w:val="fr-FR"/>
        </w:rPr>
        <w:tab/>
        <w:t xml:space="preserve">Dans le </w:t>
      </w:r>
      <w:r>
        <w:rPr>
          <w:bCs/>
          <w:lang w:val="fr-FR"/>
        </w:rPr>
        <w:t>domaine</w:t>
      </w:r>
      <w:r>
        <w:rPr>
          <w:lang w:val="fr-FR"/>
        </w:rPr>
        <w:t xml:space="preserve"> de l’éducation de la petite enfance, en 2006/2007, le Ministère dispose de 254 éducateurs préscolaires dont 190 fonctionnaires contre 4695 du côté privé.</w:t>
      </w:r>
    </w:p>
    <w:p w:rsidR="00000000" w:rsidRDefault="00000000">
      <w:pPr>
        <w:pStyle w:val="SingleTxtG"/>
        <w:rPr>
          <w:lang w:val="fr-FR"/>
        </w:rPr>
      </w:pPr>
      <w:r>
        <w:rPr>
          <w:lang w:val="fr-FR"/>
        </w:rPr>
        <w:t>520.</w:t>
      </w:r>
      <w:r>
        <w:rPr>
          <w:lang w:val="fr-FR"/>
        </w:rPr>
        <w:tab/>
        <w:t>Afin d’améliorer l’éducation préscolaire, des mesures réglementaires inter -ministérielles sont en cours d’élaboration pour déterminer les conditions d’ouverture de centres ou d’établissements d’éducation préscolaire ainsi que la qualification exigée du personnel pour pouvoir y exercer.</w:t>
      </w:r>
    </w:p>
    <w:p w:rsidR="00000000" w:rsidRDefault="00000000">
      <w:pPr>
        <w:pStyle w:val="SingleTxtG"/>
        <w:rPr>
          <w:lang w:val="fr-FR"/>
        </w:rPr>
      </w:pPr>
      <w:r>
        <w:rPr>
          <w:lang w:val="fr-FR"/>
        </w:rPr>
        <w:t>521.</w:t>
      </w:r>
      <w:r>
        <w:rPr>
          <w:lang w:val="fr-FR"/>
        </w:rPr>
        <w:tab/>
      </w:r>
      <w:r>
        <w:rPr>
          <w:b/>
          <w:lang w:val="fr-FR"/>
        </w:rPr>
        <w:t xml:space="preserve">Enseignement primaire. </w:t>
      </w:r>
      <w:r>
        <w:rPr>
          <w:lang w:val="fr-FR"/>
        </w:rPr>
        <w:t xml:space="preserve">Si la loi </w:t>
      </w:r>
      <w:r>
        <w:rPr>
          <w:rFonts w:eastAsia="MS Mincho"/>
          <w:lang w:val="fr-FR"/>
        </w:rPr>
        <w:t>n</w:t>
      </w:r>
      <w:r>
        <w:rPr>
          <w:rFonts w:eastAsia="MS Mincho"/>
          <w:vertAlign w:val="superscript"/>
          <w:lang w:val="fr-FR"/>
        </w:rPr>
        <w:t>o</w:t>
      </w:r>
      <w:r>
        <w:rPr>
          <w:lang w:val="fr-FR"/>
        </w:rPr>
        <w:t xml:space="preserve"> 2004-004 fixe à 6 ans l’âge minimum pour l’enseignement primaire obligatoire, plus de 50 % des nouveaux entrants ont 7 ans ou plus, et plus de 15 % 8 ans et plus. </w:t>
      </w:r>
    </w:p>
    <w:p w:rsidR="00000000" w:rsidRDefault="00000000">
      <w:pPr>
        <w:pStyle w:val="SingleTxtG"/>
        <w:spacing w:after="0"/>
      </w:pPr>
      <w:bookmarkStart w:id="1136" w:name="_Toc260298273"/>
      <w:r>
        <w:t>Figure 6</w:t>
      </w:r>
    </w:p>
    <w:p w:rsidR="00000000" w:rsidRDefault="00000000">
      <w:pPr>
        <w:pStyle w:val="SingleTxtG"/>
        <w:spacing w:after="240"/>
        <w:rPr>
          <w:b/>
        </w:rPr>
      </w:pPr>
      <w:r>
        <w:rPr>
          <w:b/>
        </w:rPr>
        <w:t>Âge d’entrée à l’école pour la première fois pour la tranche d’âge 2-19 ans</w:t>
      </w:r>
      <w:bookmarkEnd w:id="1136"/>
    </w:p>
    <w:p w:rsidR="00000000" w:rsidRDefault="00000000">
      <w:pPr>
        <w:ind w:left="1134"/>
        <w:rPr>
          <w:lang w:val="fr-FR"/>
        </w:rPr>
      </w:pPr>
      <w:r>
        <w:rPr>
          <w:lang w:val="fr-FR"/>
        </w:rPr>
        <w:pict>
          <v:shape id="_x0000_i1029" type="#_x0000_t75" style="width:425.25pt;height:246.75pt" o:allowoverlap="f">
            <v:imagedata r:id="rId12" o:title="" blacklevel="-5898f"/>
          </v:shape>
        </w:pict>
      </w:r>
    </w:p>
    <w:p w:rsidR="00000000" w:rsidRDefault="00000000">
      <w:pPr>
        <w:pStyle w:val="SingleTxtG"/>
        <w:spacing w:before="240"/>
        <w:rPr>
          <w:lang w:val="fr-FR"/>
        </w:rPr>
      </w:pPr>
      <w:r>
        <w:rPr>
          <w:lang w:val="fr-FR"/>
        </w:rPr>
        <w:t xml:space="preserve">90 % des enfants malgaches ont été inscrits pour fréquenter l’école primaire. </w:t>
      </w:r>
    </w:p>
    <w:p w:rsidR="00000000" w:rsidRDefault="00000000">
      <w:pPr>
        <w:pStyle w:val="SingleTxtG"/>
        <w:rPr>
          <w:lang w:val="fr-FR"/>
        </w:rPr>
      </w:pPr>
      <w:r>
        <w:rPr>
          <w:lang w:val="fr-FR"/>
        </w:rPr>
        <w:t>522.</w:t>
      </w:r>
      <w:r>
        <w:rPr>
          <w:lang w:val="fr-FR"/>
        </w:rPr>
        <w:tab/>
      </w:r>
      <w:r>
        <w:rPr>
          <w:b/>
          <w:lang w:val="fr-FR"/>
        </w:rPr>
        <w:t xml:space="preserve">Taux brut de scolarisation. </w:t>
      </w:r>
      <w:r>
        <w:rPr>
          <w:lang w:val="fr-FR"/>
        </w:rPr>
        <w:t>Depuis l’année 2000 à 2006, on a enregistré une augmentation du taux brut de scolarisation du primaire passant de 94,1 % en 2000 à 123 % en 2006 (voir tableau 62).</w:t>
      </w:r>
    </w:p>
    <w:p w:rsidR="00000000" w:rsidRDefault="00000000">
      <w:pPr>
        <w:pStyle w:val="SingleTxtG"/>
        <w:rPr>
          <w:lang w:val="fr-FR"/>
        </w:rPr>
      </w:pPr>
      <w:r>
        <w:rPr>
          <w:lang w:val="fr-FR"/>
        </w:rPr>
        <w:t>523.</w:t>
      </w:r>
      <w:r>
        <w:rPr>
          <w:lang w:val="fr-FR"/>
        </w:rPr>
        <w:tab/>
      </w:r>
      <w:r>
        <w:rPr>
          <w:b/>
          <w:lang w:val="fr-FR"/>
        </w:rPr>
        <w:t xml:space="preserve">Effectifs du primaire. </w:t>
      </w:r>
      <w:r>
        <w:rPr>
          <w:lang w:val="fr-FR"/>
        </w:rPr>
        <w:t>Le système éducatif malgache a vu ses effectifs doubler en 10 ans. Un grand bond en avant est même enregistré en 2003/2004, année de l’abolition des frais d’inscription dans le cycle primaire public.</w:t>
      </w:r>
    </w:p>
    <w:p w:rsidR="00000000" w:rsidRDefault="00000000">
      <w:pPr>
        <w:pStyle w:val="SingleTxtG"/>
        <w:spacing w:after="0"/>
      </w:pPr>
      <w:bookmarkStart w:id="1137" w:name="_Toc260298274"/>
      <w:r>
        <w:t>Tableau 28</w:t>
      </w:r>
    </w:p>
    <w:p w:rsidR="00000000" w:rsidRDefault="00000000">
      <w:pPr>
        <w:pStyle w:val="SingleTxtG"/>
        <w:rPr>
          <w:b/>
        </w:rPr>
      </w:pPr>
      <w:r>
        <w:rPr>
          <w:b/>
        </w:rPr>
        <w:t>Effectif des élèves du primaire par sexe de 2002 à 2007</w:t>
      </w:r>
      <w:bookmarkEnd w:id="1137"/>
    </w:p>
    <w:tbl>
      <w:tblPr>
        <w:tblW w:w="7371" w:type="dxa"/>
        <w:tblInd w:w="1134" w:type="dxa"/>
        <w:tblCellMar>
          <w:left w:w="0" w:type="dxa"/>
          <w:right w:w="0" w:type="dxa"/>
        </w:tblCellMar>
        <w:tblLook w:val="01E0" w:firstRow="1" w:lastRow="1" w:firstColumn="1" w:lastColumn="1" w:noHBand="0" w:noVBand="0"/>
      </w:tblPr>
      <w:tblGrid>
        <w:gridCol w:w="1306"/>
        <w:gridCol w:w="1213"/>
        <w:gridCol w:w="1213"/>
        <w:gridCol w:w="1213"/>
        <w:gridCol w:w="1213"/>
        <w:gridCol w:w="1213"/>
      </w:tblGrid>
      <w:tr w:rsidR="00000000">
        <w:tc>
          <w:tcPr>
            <w:tcW w:w="1306" w:type="dxa"/>
            <w:tcBorders>
              <w:top w:val="single" w:sz="4" w:space="0" w:color="auto"/>
              <w:bottom w:val="single" w:sz="12" w:space="0" w:color="auto"/>
            </w:tcBorders>
            <w:shd w:val="clear" w:color="auto" w:fill="auto"/>
          </w:tcPr>
          <w:p w:rsidR="00000000" w:rsidRDefault="00000000">
            <w:pPr>
              <w:spacing w:before="80" w:after="80" w:line="200" w:lineRule="exact"/>
              <w:rPr>
                <w:bCs/>
                <w:i/>
                <w:sz w:val="16"/>
                <w:szCs w:val="16"/>
              </w:rPr>
            </w:pPr>
            <w:r>
              <w:rPr>
                <w:bCs/>
                <w:i/>
                <w:sz w:val="16"/>
                <w:szCs w:val="16"/>
              </w:rPr>
              <w:t>Années</w:t>
            </w:r>
          </w:p>
        </w:tc>
        <w:tc>
          <w:tcPr>
            <w:tcW w:w="1213"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bCs/>
                <w:i/>
                <w:sz w:val="16"/>
                <w:szCs w:val="16"/>
              </w:rPr>
            </w:pPr>
            <w:r>
              <w:rPr>
                <w:bCs/>
                <w:i/>
                <w:sz w:val="16"/>
                <w:szCs w:val="16"/>
              </w:rPr>
              <w:t>2002-2003</w:t>
            </w:r>
          </w:p>
        </w:tc>
        <w:tc>
          <w:tcPr>
            <w:tcW w:w="1213"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bCs/>
                <w:i/>
                <w:sz w:val="16"/>
                <w:szCs w:val="16"/>
              </w:rPr>
            </w:pPr>
            <w:r>
              <w:rPr>
                <w:bCs/>
                <w:i/>
                <w:sz w:val="16"/>
                <w:szCs w:val="16"/>
              </w:rPr>
              <w:t>2003-2004</w:t>
            </w:r>
          </w:p>
        </w:tc>
        <w:tc>
          <w:tcPr>
            <w:tcW w:w="1213"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bCs/>
                <w:i/>
                <w:sz w:val="16"/>
                <w:szCs w:val="16"/>
              </w:rPr>
            </w:pPr>
            <w:r>
              <w:rPr>
                <w:bCs/>
                <w:i/>
                <w:sz w:val="16"/>
                <w:szCs w:val="16"/>
              </w:rPr>
              <w:t>2004-2005</w:t>
            </w:r>
          </w:p>
        </w:tc>
        <w:tc>
          <w:tcPr>
            <w:tcW w:w="1213"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bCs/>
                <w:i/>
                <w:sz w:val="16"/>
                <w:szCs w:val="16"/>
              </w:rPr>
            </w:pPr>
            <w:r>
              <w:rPr>
                <w:bCs/>
                <w:i/>
                <w:sz w:val="16"/>
                <w:szCs w:val="16"/>
              </w:rPr>
              <w:t>2005-2006</w:t>
            </w:r>
          </w:p>
        </w:tc>
        <w:tc>
          <w:tcPr>
            <w:tcW w:w="1213"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bCs/>
                <w:i/>
                <w:sz w:val="16"/>
                <w:szCs w:val="16"/>
              </w:rPr>
            </w:pPr>
            <w:r>
              <w:rPr>
                <w:bCs/>
                <w:i/>
                <w:sz w:val="16"/>
                <w:szCs w:val="16"/>
              </w:rPr>
              <w:t>2006-2007</w:t>
            </w:r>
          </w:p>
        </w:tc>
      </w:tr>
      <w:tr w:rsidR="00000000">
        <w:tc>
          <w:tcPr>
            <w:tcW w:w="1306" w:type="dxa"/>
            <w:tcBorders>
              <w:top w:val="single" w:sz="12" w:space="0" w:color="auto"/>
            </w:tcBorders>
            <w:shd w:val="clear" w:color="auto" w:fill="auto"/>
          </w:tcPr>
          <w:p w:rsidR="00000000" w:rsidRDefault="00000000">
            <w:pPr>
              <w:spacing w:before="40" w:after="40" w:line="220" w:lineRule="exact"/>
              <w:rPr>
                <w:bCs/>
                <w:sz w:val="18"/>
                <w:szCs w:val="18"/>
              </w:rPr>
            </w:pPr>
            <w:r>
              <w:rPr>
                <w:bCs/>
                <w:sz w:val="18"/>
                <w:szCs w:val="18"/>
              </w:rPr>
              <w:t>Ensemble</w:t>
            </w:r>
          </w:p>
        </w:tc>
        <w:tc>
          <w:tcPr>
            <w:tcW w:w="1213" w:type="dxa"/>
            <w:tcBorders>
              <w:top w:val="single" w:sz="12" w:space="0" w:color="auto"/>
            </w:tcBorders>
            <w:shd w:val="clear" w:color="auto" w:fill="auto"/>
            <w:vAlign w:val="bottom"/>
          </w:tcPr>
          <w:p w:rsidR="00000000" w:rsidRDefault="00000000">
            <w:pPr>
              <w:spacing w:before="40" w:after="40" w:line="220" w:lineRule="exact"/>
              <w:jc w:val="right"/>
              <w:rPr>
                <w:bCs/>
                <w:sz w:val="18"/>
                <w:szCs w:val="18"/>
              </w:rPr>
            </w:pPr>
            <w:r>
              <w:rPr>
                <w:bCs/>
                <w:sz w:val="18"/>
                <w:szCs w:val="18"/>
              </w:rPr>
              <w:t>2 856 480</w:t>
            </w:r>
          </w:p>
        </w:tc>
        <w:tc>
          <w:tcPr>
            <w:tcW w:w="1213" w:type="dxa"/>
            <w:tcBorders>
              <w:top w:val="single" w:sz="12" w:space="0" w:color="auto"/>
            </w:tcBorders>
            <w:shd w:val="clear" w:color="auto" w:fill="auto"/>
            <w:vAlign w:val="bottom"/>
          </w:tcPr>
          <w:p w:rsidR="00000000" w:rsidRDefault="00000000">
            <w:pPr>
              <w:spacing w:before="40" w:after="40" w:line="220" w:lineRule="exact"/>
              <w:jc w:val="right"/>
              <w:rPr>
                <w:bCs/>
                <w:sz w:val="18"/>
                <w:szCs w:val="18"/>
              </w:rPr>
            </w:pPr>
            <w:r>
              <w:rPr>
                <w:bCs/>
                <w:sz w:val="18"/>
                <w:szCs w:val="18"/>
              </w:rPr>
              <w:t>3 366 462</w:t>
            </w:r>
          </w:p>
        </w:tc>
        <w:tc>
          <w:tcPr>
            <w:tcW w:w="1213" w:type="dxa"/>
            <w:tcBorders>
              <w:top w:val="single" w:sz="12" w:space="0" w:color="auto"/>
            </w:tcBorders>
            <w:shd w:val="clear" w:color="auto" w:fill="auto"/>
            <w:vAlign w:val="bottom"/>
          </w:tcPr>
          <w:p w:rsidR="00000000" w:rsidRDefault="00000000">
            <w:pPr>
              <w:spacing w:before="40" w:after="40" w:line="220" w:lineRule="exact"/>
              <w:jc w:val="right"/>
              <w:rPr>
                <w:bCs/>
                <w:sz w:val="18"/>
                <w:szCs w:val="18"/>
              </w:rPr>
            </w:pPr>
            <w:r>
              <w:rPr>
                <w:bCs/>
                <w:sz w:val="18"/>
                <w:szCs w:val="18"/>
              </w:rPr>
              <w:t>3 597 731</w:t>
            </w:r>
          </w:p>
        </w:tc>
        <w:tc>
          <w:tcPr>
            <w:tcW w:w="1213" w:type="dxa"/>
            <w:tcBorders>
              <w:top w:val="single" w:sz="12" w:space="0" w:color="auto"/>
            </w:tcBorders>
            <w:shd w:val="clear" w:color="auto" w:fill="auto"/>
            <w:vAlign w:val="bottom"/>
          </w:tcPr>
          <w:p w:rsidR="00000000" w:rsidRDefault="00000000">
            <w:pPr>
              <w:spacing w:before="40" w:after="40" w:line="220" w:lineRule="exact"/>
              <w:jc w:val="right"/>
              <w:rPr>
                <w:bCs/>
                <w:sz w:val="18"/>
                <w:szCs w:val="18"/>
              </w:rPr>
            </w:pPr>
            <w:r>
              <w:rPr>
                <w:bCs/>
                <w:sz w:val="18"/>
                <w:szCs w:val="18"/>
              </w:rPr>
              <w:t>3 698 906</w:t>
            </w:r>
          </w:p>
        </w:tc>
        <w:tc>
          <w:tcPr>
            <w:tcW w:w="1213" w:type="dxa"/>
            <w:tcBorders>
              <w:top w:val="single" w:sz="12" w:space="0" w:color="auto"/>
            </w:tcBorders>
            <w:shd w:val="clear" w:color="auto" w:fill="auto"/>
            <w:vAlign w:val="bottom"/>
          </w:tcPr>
          <w:p w:rsidR="00000000" w:rsidRDefault="00000000">
            <w:pPr>
              <w:spacing w:before="40" w:after="40" w:line="220" w:lineRule="exact"/>
              <w:jc w:val="right"/>
              <w:rPr>
                <w:bCs/>
                <w:sz w:val="18"/>
                <w:szCs w:val="18"/>
              </w:rPr>
            </w:pPr>
            <w:r>
              <w:rPr>
                <w:bCs/>
                <w:sz w:val="18"/>
                <w:szCs w:val="18"/>
              </w:rPr>
              <w:t>3 837 363</w:t>
            </w:r>
          </w:p>
        </w:tc>
      </w:tr>
      <w:tr w:rsidR="00000000">
        <w:tc>
          <w:tcPr>
            <w:tcW w:w="1306" w:type="dxa"/>
            <w:shd w:val="clear" w:color="auto" w:fill="auto"/>
          </w:tcPr>
          <w:p w:rsidR="00000000" w:rsidRDefault="00000000">
            <w:pPr>
              <w:spacing w:before="40" w:after="40" w:line="220" w:lineRule="exact"/>
              <w:rPr>
                <w:bCs/>
                <w:sz w:val="18"/>
                <w:szCs w:val="18"/>
              </w:rPr>
            </w:pPr>
            <w:r>
              <w:rPr>
                <w:bCs/>
                <w:sz w:val="18"/>
                <w:szCs w:val="18"/>
              </w:rPr>
              <w:t>Masc</w:t>
            </w:r>
          </w:p>
        </w:tc>
        <w:tc>
          <w:tcPr>
            <w:tcW w:w="1213" w:type="dxa"/>
            <w:shd w:val="clear" w:color="auto" w:fill="auto"/>
            <w:vAlign w:val="bottom"/>
          </w:tcPr>
          <w:p w:rsidR="00000000" w:rsidRDefault="00000000">
            <w:pPr>
              <w:spacing w:before="40" w:after="40" w:line="220" w:lineRule="exact"/>
              <w:jc w:val="right"/>
              <w:rPr>
                <w:bCs/>
                <w:sz w:val="18"/>
                <w:szCs w:val="18"/>
              </w:rPr>
            </w:pPr>
            <w:r>
              <w:rPr>
                <w:bCs/>
                <w:sz w:val="18"/>
                <w:szCs w:val="18"/>
              </w:rPr>
              <w:t>1 458 340</w:t>
            </w:r>
          </w:p>
        </w:tc>
        <w:tc>
          <w:tcPr>
            <w:tcW w:w="1213" w:type="dxa"/>
            <w:shd w:val="clear" w:color="auto" w:fill="auto"/>
            <w:vAlign w:val="bottom"/>
          </w:tcPr>
          <w:p w:rsidR="00000000" w:rsidRDefault="00000000">
            <w:pPr>
              <w:spacing w:before="40" w:after="40" w:line="220" w:lineRule="exact"/>
              <w:jc w:val="right"/>
              <w:rPr>
                <w:bCs/>
                <w:sz w:val="18"/>
                <w:szCs w:val="18"/>
              </w:rPr>
            </w:pPr>
            <w:r>
              <w:rPr>
                <w:bCs/>
                <w:sz w:val="18"/>
                <w:szCs w:val="18"/>
              </w:rPr>
              <w:t>1 718 631</w:t>
            </w:r>
          </w:p>
        </w:tc>
        <w:tc>
          <w:tcPr>
            <w:tcW w:w="1213" w:type="dxa"/>
            <w:shd w:val="clear" w:color="auto" w:fill="auto"/>
            <w:vAlign w:val="bottom"/>
          </w:tcPr>
          <w:p w:rsidR="00000000" w:rsidRDefault="00000000">
            <w:pPr>
              <w:spacing w:before="40" w:after="40" w:line="220" w:lineRule="exact"/>
              <w:jc w:val="right"/>
              <w:rPr>
                <w:bCs/>
                <w:sz w:val="18"/>
                <w:szCs w:val="18"/>
              </w:rPr>
            </w:pPr>
            <w:r>
              <w:rPr>
                <w:bCs/>
                <w:sz w:val="18"/>
                <w:szCs w:val="18"/>
              </w:rPr>
              <w:t>1 838 251</w:t>
            </w:r>
          </w:p>
        </w:tc>
        <w:tc>
          <w:tcPr>
            <w:tcW w:w="1213" w:type="dxa"/>
            <w:shd w:val="clear" w:color="auto" w:fill="auto"/>
            <w:vAlign w:val="bottom"/>
          </w:tcPr>
          <w:p w:rsidR="00000000" w:rsidRDefault="00000000">
            <w:pPr>
              <w:spacing w:before="40" w:after="40" w:line="220" w:lineRule="exact"/>
              <w:jc w:val="right"/>
              <w:rPr>
                <w:bCs/>
                <w:sz w:val="18"/>
                <w:szCs w:val="18"/>
              </w:rPr>
            </w:pPr>
            <w:r>
              <w:rPr>
                <w:bCs/>
                <w:sz w:val="18"/>
                <w:szCs w:val="18"/>
              </w:rPr>
              <w:t>1 885 778</w:t>
            </w:r>
          </w:p>
        </w:tc>
        <w:tc>
          <w:tcPr>
            <w:tcW w:w="1213" w:type="dxa"/>
            <w:shd w:val="clear" w:color="auto" w:fill="auto"/>
            <w:vAlign w:val="bottom"/>
          </w:tcPr>
          <w:p w:rsidR="00000000" w:rsidRDefault="00000000">
            <w:pPr>
              <w:spacing w:before="40" w:after="40" w:line="220" w:lineRule="exact"/>
              <w:jc w:val="right"/>
              <w:rPr>
                <w:bCs/>
                <w:sz w:val="18"/>
                <w:szCs w:val="18"/>
              </w:rPr>
            </w:pPr>
            <w:r>
              <w:rPr>
                <w:bCs/>
                <w:sz w:val="18"/>
                <w:szCs w:val="18"/>
              </w:rPr>
              <w:t>1 950 779</w:t>
            </w:r>
          </w:p>
        </w:tc>
      </w:tr>
      <w:tr w:rsidR="00000000">
        <w:tc>
          <w:tcPr>
            <w:tcW w:w="1306" w:type="dxa"/>
            <w:tcBorders>
              <w:bottom w:val="single" w:sz="12" w:space="0" w:color="auto"/>
            </w:tcBorders>
            <w:shd w:val="clear" w:color="auto" w:fill="auto"/>
          </w:tcPr>
          <w:p w:rsidR="00000000" w:rsidRDefault="00000000">
            <w:pPr>
              <w:spacing w:before="40" w:after="40" w:line="220" w:lineRule="exact"/>
              <w:rPr>
                <w:bCs/>
                <w:sz w:val="18"/>
                <w:szCs w:val="18"/>
              </w:rPr>
            </w:pPr>
            <w:r>
              <w:rPr>
                <w:bCs/>
                <w:sz w:val="18"/>
                <w:szCs w:val="18"/>
              </w:rPr>
              <w:t>Fém</w:t>
            </w:r>
          </w:p>
        </w:tc>
        <w:tc>
          <w:tcPr>
            <w:tcW w:w="1213" w:type="dxa"/>
            <w:tcBorders>
              <w:bottom w:val="single" w:sz="12" w:space="0" w:color="auto"/>
            </w:tcBorders>
            <w:shd w:val="clear" w:color="auto" w:fill="auto"/>
            <w:vAlign w:val="bottom"/>
          </w:tcPr>
          <w:p w:rsidR="00000000" w:rsidRDefault="00000000">
            <w:pPr>
              <w:spacing w:before="40" w:after="40" w:line="220" w:lineRule="exact"/>
              <w:jc w:val="right"/>
              <w:rPr>
                <w:bCs/>
                <w:sz w:val="18"/>
                <w:szCs w:val="18"/>
              </w:rPr>
            </w:pPr>
            <w:r>
              <w:rPr>
                <w:bCs/>
                <w:sz w:val="18"/>
                <w:szCs w:val="18"/>
              </w:rPr>
              <w:t>1 398 140</w:t>
            </w:r>
          </w:p>
        </w:tc>
        <w:tc>
          <w:tcPr>
            <w:tcW w:w="1213" w:type="dxa"/>
            <w:tcBorders>
              <w:bottom w:val="single" w:sz="12" w:space="0" w:color="auto"/>
            </w:tcBorders>
            <w:shd w:val="clear" w:color="auto" w:fill="auto"/>
            <w:vAlign w:val="bottom"/>
          </w:tcPr>
          <w:p w:rsidR="00000000" w:rsidRDefault="00000000">
            <w:pPr>
              <w:spacing w:before="40" w:after="40" w:line="220" w:lineRule="exact"/>
              <w:jc w:val="right"/>
              <w:rPr>
                <w:bCs/>
                <w:sz w:val="18"/>
                <w:szCs w:val="18"/>
              </w:rPr>
            </w:pPr>
            <w:r>
              <w:rPr>
                <w:bCs/>
                <w:sz w:val="18"/>
                <w:szCs w:val="18"/>
              </w:rPr>
              <w:t>1 647 831</w:t>
            </w:r>
          </w:p>
        </w:tc>
        <w:tc>
          <w:tcPr>
            <w:tcW w:w="1213" w:type="dxa"/>
            <w:tcBorders>
              <w:bottom w:val="single" w:sz="12" w:space="0" w:color="auto"/>
            </w:tcBorders>
            <w:shd w:val="clear" w:color="auto" w:fill="auto"/>
            <w:vAlign w:val="bottom"/>
          </w:tcPr>
          <w:p w:rsidR="00000000" w:rsidRDefault="00000000">
            <w:pPr>
              <w:spacing w:before="40" w:after="40" w:line="220" w:lineRule="exact"/>
              <w:jc w:val="right"/>
              <w:rPr>
                <w:bCs/>
                <w:sz w:val="18"/>
                <w:szCs w:val="18"/>
              </w:rPr>
            </w:pPr>
            <w:r>
              <w:rPr>
                <w:bCs/>
                <w:sz w:val="18"/>
                <w:szCs w:val="18"/>
              </w:rPr>
              <w:t>1 759 480</w:t>
            </w:r>
          </w:p>
        </w:tc>
        <w:tc>
          <w:tcPr>
            <w:tcW w:w="1213" w:type="dxa"/>
            <w:tcBorders>
              <w:bottom w:val="single" w:sz="12" w:space="0" w:color="auto"/>
            </w:tcBorders>
            <w:shd w:val="clear" w:color="auto" w:fill="auto"/>
            <w:vAlign w:val="bottom"/>
          </w:tcPr>
          <w:p w:rsidR="00000000" w:rsidRDefault="00000000">
            <w:pPr>
              <w:spacing w:before="40" w:after="40" w:line="220" w:lineRule="exact"/>
              <w:jc w:val="right"/>
              <w:rPr>
                <w:bCs/>
                <w:sz w:val="18"/>
                <w:szCs w:val="18"/>
              </w:rPr>
            </w:pPr>
            <w:r>
              <w:rPr>
                <w:bCs/>
                <w:sz w:val="18"/>
                <w:szCs w:val="18"/>
              </w:rPr>
              <w:t>1 813 128</w:t>
            </w:r>
          </w:p>
        </w:tc>
        <w:tc>
          <w:tcPr>
            <w:tcW w:w="1213" w:type="dxa"/>
            <w:tcBorders>
              <w:bottom w:val="single" w:sz="12" w:space="0" w:color="auto"/>
            </w:tcBorders>
            <w:shd w:val="clear" w:color="auto" w:fill="auto"/>
            <w:vAlign w:val="bottom"/>
          </w:tcPr>
          <w:p w:rsidR="00000000" w:rsidRDefault="00000000">
            <w:pPr>
              <w:spacing w:before="40" w:after="40" w:line="220" w:lineRule="exact"/>
              <w:jc w:val="right"/>
              <w:rPr>
                <w:bCs/>
                <w:sz w:val="18"/>
                <w:szCs w:val="18"/>
              </w:rPr>
            </w:pPr>
            <w:r>
              <w:rPr>
                <w:bCs/>
                <w:sz w:val="18"/>
                <w:szCs w:val="18"/>
              </w:rPr>
              <w:t>1 886 584</w:t>
            </w:r>
          </w:p>
        </w:tc>
      </w:tr>
    </w:tbl>
    <w:p w:rsidR="00000000" w:rsidRDefault="00000000">
      <w:pPr>
        <w:spacing w:before="120" w:after="240"/>
        <w:ind w:left="1134" w:firstLine="170"/>
        <w:rPr>
          <w:lang w:val="fr-FR"/>
        </w:rPr>
      </w:pPr>
      <w:r>
        <w:rPr>
          <w:i/>
          <w:lang w:val="fr-FR"/>
        </w:rPr>
        <w:t>Source</w:t>
      </w:r>
      <w:r>
        <w:rPr>
          <w:lang w:val="fr-FR"/>
        </w:rPr>
        <w:t>: MENRS</w:t>
      </w:r>
    </w:p>
    <w:p w:rsidR="00000000" w:rsidRDefault="00000000">
      <w:pPr>
        <w:pStyle w:val="SingleTxtG"/>
        <w:rPr>
          <w:lang w:val="fr-FR"/>
        </w:rPr>
      </w:pPr>
      <w:r>
        <w:rPr>
          <w:lang w:val="fr-FR"/>
        </w:rPr>
        <w:t>524.</w:t>
      </w:r>
      <w:r>
        <w:rPr>
          <w:lang w:val="fr-FR"/>
        </w:rPr>
        <w:tab/>
      </w:r>
      <w:r>
        <w:rPr>
          <w:b/>
          <w:lang w:val="fr-FR"/>
        </w:rPr>
        <w:t xml:space="preserve">Enseignement secondaire. </w:t>
      </w:r>
      <w:r>
        <w:rPr>
          <w:lang w:val="fr-FR"/>
        </w:rPr>
        <w:t>L’enseignement secondaire malgache comprend l’enseignement secondaire du premier cycle (ESPC) ou collège et l’enseignement secondaire du deuxième cycle (ESDC) ou lycée. Les collèges sont implantés au niveau des communes, tandis que les lycées sont rattachés aux districts.</w:t>
      </w:r>
    </w:p>
    <w:p w:rsidR="00000000" w:rsidRDefault="00000000">
      <w:pPr>
        <w:pStyle w:val="SingleTxtG"/>
        <w:rPr>
          <w:lang w:val="fr-FR"/>
        </w:rPr>
      </w:pPr>
      <w:r>
        <w:rPr>
          <w:lang w:val="fr-FR"/>
        </w:rPr>
        <w:t>525.</w:t>
      </w:r>
      <w:r>
        <w:rPr>
          <w:lang w:val="fr-FR"/>
        </w:rPr>
        <w:tab/>
        <w:t>L’État dispense un enseignement secondaire gratuit et octroie aux établissements privés différentes formes d’assistance dont entre autres, le contrat</w:t>
      </w:r>
      <w:r>
        <w:rPr>
          <w:lang w:val="fr-FR"/>
        </w:rPr>
        <w:noBreakHyphen/>
        <w:t>programme de construction de fournitures d’équipement scolaires, d’octroi de subventions et de formations pédagogiques à l’intention de l’établissement et du personnel enseignant.</w:t>
      </w:r>
    </w:p>
    <w:p w:rsidR="00000000" w:rsidRDefault="00000000">
      <w:pPr>
        <w:pStyle w:val="SingleTxtG"/>
        <w:rPr>
          <w:lang w:val="fr-FR"/>
        </w:rPr>
      </w:pPr>
      <w:r>
        <w:rPr>
          <w:lang w:val="fr-FR"/>
        </w:rPr>
        <w:t>526.</w:t>
      </w:r>
      <w:r>
        <w:rPr>
          <w:lang w:val="fr-FR"/>
        </w:rPr>
        <w:tab/>
      </w:r>
      <w:r>
        <w:rPr>
          <w:b/>
          <w:lang w:val="fr-FR"/>
        </w:rPr>
        <w:t xml:space="preserve">Formation professionnelle et technique (FTP). </w:t>
      </w:r>
      <w:r>
        <w:rPr>
          <w:lang w:val="fr-FR"/>
        </w:rPr>
        <w:t xml:space="preserve">Le budget du MENRS de 1999 à 2006 a augmenté de 358 %. Sur la même période, celui du FPT enregistre une diminution de 20 %.et ne représente que 2,43 % du budget total alloué à l’éducation. En 1999 le budget de la FPT représente 3,85 % du budget de l’éducation nationale et 0,86 %.en 2006. </w:t>
      </w:r>
    </w:p>
    <w:p w:rsidR="00000000" w:rsidRDefault="00000000">
      <w:pPr>
        <w:pStyle w:val="SingleTxtG"/>
        <w:rPr>
          <w:lang w:val="fr-FR"/>
        </w:rPr>
      </w:pPr>
      <w:r>
        <w:rPr>
          <w:lang w:val="fr-FR"/>
        </w:rPr>
        <w:t>527.</w:t>
      </w:r>
      <w:r>
        <w:rPr>
          <w:lang w:val="fr-FR"/>
        </w:rPr>
        <w:tab/>
        <w:t xml:space="preserve">En 2006, seuls 350 jeunes sur 100 000 habitants fréquentent les établissements de FPT. Les effectifs dans le secteur public sont de 22 442 en 2007 contre 40 242 dans les établissements privés. En 2007, Madagascar dispose de 412 établissements de FPT dont 349 privés et 63 publics. </w:t>
      </w:r>
    </w:p>
    <w:p w:rsidR="00000000" w:rsidRDefault="00000000">
      <w:pPr>
        <w:pStyle w:val="SingleTxtG"/>
        <w:rPr>
          <w:lang w:val="fr-FR"/>
        </w:rPr>
      </w:pPr>
      <w:r>
        <w:rPr>
          <w:lang w:val="fr-FR"/>
        </w:rPr>
        <w:t>528.</w:t>
      </w:r>
      <w:r>
        <w:rPr>
          <w:lang w:val="fr-FR"/>
        </w:rPr>
        <w:tab/>
        <w:t>Pour remédier à cette situation, le MAP prévoit le doublement d’effectifs d’élèves fréquentant les établissements de formation professionnelle et technique, soit de passer de 350 à 700 jeunes sur 100 000 habitants</w:t>
      </w:r>
    </w:p>
    <w:p w:rsidR="00000000" w:rsidRDefault="00000000">
      <w:pPr>
        <w:pStyle w:val="SingleTxtG"/>
        <w:rPr>
          <w:b/>
          <w:lang w:val="fr-FR"/>
        </w:rPr>
      </w:pPr>
      <w:r>
        <w:rPr>
          <w:lang w:val="fr-FR"/>
        </w:rPr>
        <w:t>529.</w:t>
      </w:r>
      <w:r>
        <w:rPr>
          <w:lang w:val="fr-FR"/>
        </w:rPr>
        <w:tab/>
      </w:r>
      <w:r>
        <w:rPr>
          <w:b/>
          <w:lang w:val="fr-FR"/>
        </w:rPr>
        <w:t xml:space="preserve">Enseignement supérieur. </w:t>
      </w:r>
      <w:r>
        <w:rPr>
          <w:lang w:val="fr-FR"/>
        </w:rPr>
        <w:t xml:space="preserve">Chaque chef-lieu de provinces possède son université qui dispose d’un mode de gestion autonome vis-à-vis de l’État. </w:t>
      </w:r>
    </w:p>
    <w:p w:rsidR="00000000" w:rsidRDefault="00000000">
      <w:pPr>
        <w:pStyle w:val="SingleTxtG"/>
        <w:spacing w:after="0"/>
      </w:pPr>
      <w:bookmarkStart w:id="1138" w:name="_Toc260298275"/>
      <w:r>
        <w:t>Tableau 29</w:t>
      </w:r>
    </w:p>
    <w:p w:rsidR="00000000" w:rsidRDefault="00000000">
      <w:pPr>
        <w:pStyle w:val="SingleTxtG"/>
        <w:rPr>
          <w:b/>
        </w:rPr>
      </w:pPr>
      <w:r>
        <w:rPr>
          <w:b/>
        </w:rPr>
        <w:t>Effectif des établissements d’enseignement supérieur par province</w:t>
      </w:r>
      <w:bookmarkEnd w:id="1138"/>
    </w:p>
    <w:tbl>
      <w:tblPr>
        <w:tblW w:w="7371" w:type="dxa"/>
        <w:tblInd w:w="1134" w:type="dxa"/>
        <w:tblCellMar>
          <w:left w:w="0" w:type="dxa"/>
          <w:right w:w="0" w:type="dxa"/>
        </w:tblCellMar>
        <w:tblLook w:val="01E0" w:firstRow="1" w:lastRow="1" w:firstColumn="1" w:lastColumn="1" w:noHBand="0" w:noVBand="0"/>
      </w:tblPr>
      <w:tblGrid>
        <w:gridCol w:w="1806"/>
        <w:gridCol w:w="1324"/>
        <w:gridCol w:w="1302"/>
        <w:gridCol w:w="995"/>
        <w:gridCol w:w="823"/>
        <w:gridCol w:w="1121"/>
      </w:tblGrid>
      <w:tr w:rsidR="00000000">
        <w:tc>
          <w:tcPr>
            <w:tcW w:w="2082" w:type="dxa"/>
            <w:vMerge w:val="restart"/>
            <w:tcBorders>
              <w:top w:val="single" w:sz="4" w:space="0" w:color="auto"/>
              <w:bottom w:val="single" w:sz="12" w:space="0" w:color="auto"/>
            </w:tcBorders>
            <w:shd w:val="clear" w:color="auto" w:fill="auto"/>
            <w:vAlign w:val="center"/>
          </w:tcPr>
          <w:p w:rsidR="00000000" w:rsidRDefault="00000000">
            <w:pPr>
              <w:spacing w:before="80" w:after="80" w:line="200" w:lineRule="exact"/>
              <w:rPr>
                <w:bCs/>
                <w:i/>
                <w:sz w:val="16"/>
                <w:szCs w:val="16"/>
              </w:rPr>
            </w:pPr>
            <w:r>
              <w:rPr>
                <w:bCs/>
                <w:i/>
                <w:sz w:val="16"/>
                <w:szCs w:val="16"/>
              </w:rPr>
              <w:t>Universités</w:t>
            </w:r>
          </w:p>
        </w:tc>
        <w:tc>
          <w:tcPr>
            <w:tcW w:w="1600" w:type="dxa"/>
            <w:vMerge w:val="restart"/>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bCs/>
                <w:i/>
                <w:sz w:val="16"/>
                <w:szCs w:val="16"/>
              </w:rPr>
            </w:pPr>
            <w:r>
              <w:rPr>
                <w:bCs/>
                <w:i/>
                <w:sz w:val="16"/>
                <w:szCs w:val="16"/>
              </w:rPr>
              <w:t>Filières</w:t>
            </w:r>
          </w:p>
        </w:tc>
        <w:tc>
          <w:tcPr>
            <w:tcW w:w="1553" w:type="dxa"/>
            <w:vMerge w:val="restart"/>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bCs/>
                <w:i/>
                <w:sz w:val="16"/>
                <w:szCs w:val="16"/>
              </w:rPr>
            </w:pPr>
            <w:r>
              <w:rPr>
                <w:bCs/>
                <w:i/>
                <w:sz w:val="16"/>
                <w:szCs w:val="16"/>
              </w:rPr>
              <w:t>Grandes écoles</w:t>
            </w:r>
          </w:p>
        </w:tc>
        <w:tc>
          <w:tcPr>
            <w:tcW w:w="2128" w:type="dxa"/>
            <w:gridSpan w:val="2"/>
            <w:tcBorders>
              <w:top w:val="single" w:sz="4" w:space="0" w:color="auto"/>
              <w:bottom w:val="single" w:sz="4" w:space="0" w:color="auto"/>
            </w:tcBorders>
            <w:shd w:val="clear" w:color="auto" w:fill="auto"/>
            <w:vAlign w:val="bottom"/>
          </w:tcPr>
          <w:p w:rsidR="00000000" w:rsidRDefault="00000000">
            <w:pPr>
              <w:spacing w:before="80" w:after="80" w:line="200" w:lineRule="exact"/>
              <w:jc w:val="center"/>
              <w:rPr>
                <w:bCs/>
                <w:i/>
                <w:sz w:val="16"/>
                <w:szCs w:val="16"/>
              </w:rPr>
            </w:pPr>
            <w:r>
              <w:rPr>
                <w:bCs/>
                <w:i/>
                <w:sz w:val="16"/>
                <w:szCs w:val="16"/>
              </w:rPr>
              <w:t>Instituts</w:t>
            </w:r>
          </w:p>
        </w:tc>
        <w:tc>
          <w:tcPr>
            <w:tcW w:w="1379" w:type="dxa"/>
            <w:vMerge w:val="restart"/>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bCs/>
                <w:i/>
                <w:sz w:val="16"/>
                <w:szCs w:val="16"/>
              </w:rPr>
            </w:pPr>
            <w:r>
              <w:rPr>
                <w:bCs/>
                <w:i/>
                <w:sz w:val="16"/>
                <w:szCs w:val="16"/>
              </w:rPr>
              <w:t>Total</w:t>
            </w:r>
          </w:p>
        </w:tc>
      </w:tr>
      <w:tr w:rsidR="00000000">
        <w:tc>
          <w:tcPr>
            <w:tcW w:w="2082" w:type="dxa"/>
            <w:vMerge/>
            <w:tcBorders>
              <w:bottom w:val="single" w:sz="12" w:space="0" w:color="auto"/>
            </w:tcBorders>
            <w:shd w:val="clear" w:color="auto" w:fill="auto"/>
            <w:vAlign w:val="center"/>
          </w:tcPr>
          <w:p w:rsidR="00000000" w:rsidRDefault="00000000">
            <w:pPr>
              <w:spacing w:before="80" w:after="80" w:line="200" w:lineRule="exact"/>
              <w:rPr>
                <w:bCs/>
                <w:i/>
                <w:sz w:val="16"/>
                <w:szCs w:val="16"/>
              </w:rPr>
            </w:pPr>
          </w:p>
        </w:tc>
        <w:tc>
          <w:tcPr>
            <w:tcW w:w="1600" w:type="dxa"/>
            <w:vMerge/>
            <w:tcBorders>
              <w:bottom w:val="single" w:sz="12" w:space="0" w:color="auto"/>
            </w:tcBorders>
            <w:shd w:val="clear" w:color="auto" w:fill="auto"/>
            <w:vAlign w:val="bottom"/>
          </w:tcPr>
          <w:p w:rsidR="00000000" w:rsidRDefault="00000000">
            <w:pPr>
              <w:spacing w:before="80" w:after="80" w:line="200" w:lineRule="exact"/>
              <w:jc w:val="right"/>
              <w:rPr>
                <w:bCs/>
                <w:i/>
                <w:sz w:val="16"/>
                <w:szCs w:val="16"/>
              </w:rPr>
            </w:pPr>
          </w:p>
        </w:tc>
        <w:tc>
          <w:tcPr>
            <w:tcW w:w="1553" w:type="dxa"/>
            <w:vMerge/>
            <w:tcBorders>
              <w:bottom w:val="single" w:sz="12" w:space="0" w:color="auto"/>
            </w:tcBorders>
            <w:shd w:val="clear" w:color="auto" w:fill="auto"/>
            <w:vAlign w:val="bottom"/>
          </w:tcPr>
          <w:p w:rsidR="00000000" w:rsidRDefault="00000000">
            <w:pPr>
              <w:spacing w:before="80" w:after="80" w:line="200" w:lineRule="exact"/>
              <w:jc w:val="right"/>
              <w:rPr>
                <w:bCs/>
                <w:i/>
                <w:sz w:val="16"/>
                <w:szCs w:val="16"/>
              </w:rPr>
            </w:pPr>
          </w:p>
        </w:tc>
        <w:tc>
          <w:tcPr>
            <w:tcW w:w="1167"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bCs/>
                <w:i/>
                <w:sz w:val="16"/>
                <w:szCs w:val="16"/>
              </w:rPr>
            </w:pPr>
            <w:r>
              <w:rPr>
                <w:bCs/>
                <w:i/>
                <w:sz w:val="16"/>
                <w:szCs w:val="16"/>
              </w:rPr>
              <w:t>Publics</w:t>
            </w:r>
          </w:p>
        </w:tc>
        <w:tc>
          <w:tcPr>
            <w:tcW w:w="961"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bCs/>
                <w:i/>
                <w:sz w:val="16"/>
                <w:szCs w:val="16"/>
              </w:rPr>
            </w:pPr>
            <w:r>
              <w:rPr>
                <w:bCs/>
                <w:i/>
                <w:sz w:val="16"/>
                <w:szCs w:val="16"/>
              </w:rPr>
              <w:t>Privés</w:t>
            </w:r>
          </w:p>
        </w:tc>
        <w:tc>
          <w:tcPr>
            <w:tcW w:w="1379" w:type="dxa"/>
            <w:vMerge/>
            <w:tcBorders>
              <w:bottom w:val="single" w:sz="12" w:space="0" w:color="auto"/>
            </w:tcBorders>
            <w:shd w:val="clear" w:color="auto" w:fill="auto"/>
            <w:vAlign w:val="bottom"/>
          </w:tcPr>
          <w:p w:rsidR="00000000" w:rsidRDefault="00000000">
            <w:pPr>
              <w:spacing w:before="80" w:after="80" w:line="200" w:lineRule="exact"/>
              <w:jc w:val="right"/>
              <w:rPr>
                <w:bCs/>
                <w:i/>
                <w:sz w:val="16"/>
                <w:szCs w:val="16"/>
              </w:rPr>
            </w:pPr>
          </w:p>
        </w:tc>
      </w:tr>
      <w:tr w:rsidR="00000000">
        <w:tc>
          <w:tcPr>
            <w:tcW w:w="2082" w:type="dxa"/>
            <w:tcBorders>
              <w:top w:val="single" w:sz="12" w:space="0" w:color="auto"/>
            </w:tcBorders>
            <w:shd w:val="clear" w:color="auto" w:fill="auto"/>
            <w:vAlign w:val="center"/>
          </w:tcPr>
          <w:p w:rsidR="00000000" w:rsidRDefault="00000000">
            <w:pPr>
              <w:spacing w:before="40" w:after="40" w:line="220" w:lineRule="exact"/>
              <w:rPr>
                <w:bCs/>
                <w:sz w:val="18"/>
                <w:szCs w:val="18"/>
              </w:rPr>
            </w:pPr>
            <w:r>
              <w:rPr>
                <w:bCs/>
                <w:sz w:val="18"/>
                <w:szCs w:val="18"/>
              </w:rPr>
              <w:t>Antananarivo</w:t>
            </w:r>
          </w:p>
        </w:tc>
        <w:tc>
          <w:tcPr>
            <w:tcW w:w="1600" w:type="dxa"/>
            <w:tcBorders>
              <w:top w:val="single" w:sz="12" w:space="0" w:color="auto"/>
            </w:tcBorders>
            <w:shd w:val="clear" w:color="auto" w:fill="auto"/>
            <w:vAlign w:val="bottom"/>
          </w:tcPr>
          <w:p w:rsidR="00000000" w:rsidRDefault="00000000">
            <w:pPr>
              <w:spacing w:before="40" w:after="40" w:line="220" w:lineRule="exact"/>
              <w:jc w:val="right"/>
              <w:rPr>
                <w:sz w:val="18"/>
                <w:szCs w:val="18"/>
              </w:rPr>
            </w:pPr>
            <w:r>
              <w:rPr>
                <w:sz w:val="18"/>
                <w:szCs w:val="18"/>
              </w:rPr>
              <w:t>20</w:t>
            </w:r>
          </w:p>
        </w:tc>
        <w:tc>
          <w:tcPr>
            <w:tcW w:w="1553" w:type="dxa"/>
            <w:tcBorders>
              <w:top w:val="single" w:sz="12" w:space="0" w:color="auto"/>
            </w:tcBorders>
            <w:shd w:val="clear" w:color="auto" w:fill="auto"/>
            <w:vAlign w:val="bottom"/>
          </w:tcPr>
          <w:p w:rsidR="00000000" w:rsidRDefault="00000000">
            <w:pPr>
              <w:spacing w:before="40" w:after="40" w:line="220" w:lineRule="exact"/>
              <w:jc w:val="right"/>
              <w:rPr>
                <w:sz w:val="18"/>
                <w:szCs w:val="18"/>
              </w:rPr>
            </w:pPr>
            <w:r>
              <w:rPr>
                <w:sz w:val="18"/>
                <w:szCs w:val="18"/>
              </w:rPr>
              <w:t>9</w:t>
            </w:r>
          </w:p>
        </w:tc>
        <w:tc>
          <w:tcPr>
            <w:tcW w:w="1167" w:type="dxa"/>
            <w:tcBorders>
              <w:top w:val="single" w:sz="12" w:space="0" w:color="auto"/>
            </w:tcBorders>
            <w:shd w:val="clear" w:color="auto" w:fill="auto"/>
            <w:vAlign w:val="bottom"/>
          </w:tcPr>
          <w:p w:rsidR="00000000" w:rsidRDefault="00000000">
            <w:pPr>
              <w:spacing w:before="40" w:after="40" w:line="220" w:lineRule="exact"/>
              <w:jc w:val="right"/>
              <w:rPr>
                <w:sz w:val="18"/>
                <w:szCs w:val="18"/>
              </w:rPr>
            </w:pPr>
            <w:r>
              <w:rPr>
                <w:sz w:val="18"/>
                <w:szCs w:val="18"/>
              </w:rPr>
              <w:t>1</w:t>
            </w:r>
          </w:p>
        </w:tc>
        <w:tc>
          <w:tcPr>
            <w:tcW w:w="961" w:type="dxa"/>
            <w:tcBorders>
              <w:top w:val="single" w:sz="12" w:space="0" w:color="auto"/>
            </w:tcBorders>
            <w:shd w:val="clear" w:color="auto" w:fill="auto"/>
            <w:vAlign w:val="bottom"/>
          </w:tcPr>
          <w:p w:rsidR="00000000" w:rsidRDefault="00000000">
            <w:pPr>
              <w:spacing w:before="40" w:after="40" w:line="220" w:lineRule="exact"/>
              <w:jc w:val="right"/>
              <w:rPr>
                <w:sz w:val="18"/>
                <w:szCs w:val="18"/>
              </w:rPr>
            </w:pPr>
            <w:r>
              <w:rPr>
                <w:sz w:val="18"/>
                <w:szCs w:val="18"/>
              </w:rPr>
              <w:t>9</w:t>
            </w:r>
          </w:p>
        </w:tc>
        <w:tc>
          <w:tcPr>
            <w:tcW w:w="1379" w:type="dxa"/>
            <w:tcBorders>
              <w:top w:val="single" w:sz="12" w:space="0" w:color="auto"/>
            </w:tcBorders>
            <w:shd w:val="clear" w:color="auto" w:fill="auto"/>
            <w:vAlign w:val="bottom"/>
          </w:tcPr>
          <w:p w:rsidR="00000000" w:rsidRDefault="00000000">
            <w:pPr>
              <w:spacing w:before="40" w:after="40" w:line="220" w:lineRule="exact"/>
              <w:jc w:val="right"/>
              <w:rPr>
                <w:sz w:val="18"/>
                <w:szCs w:val="18"/>
              </w:rPr>
            </w:pPr>
            <w:r>
              <w:rPr>
                <w:sz w:val="18"/>
                <w:szCs w:val="18"/>
              </w:rPr>
              <w:t>39</w:t>
            </w:r>
          </w:p>
        </w:tc>
      </w:tr>
      <w:tr w:rsidR="00000000">
        <w:tc>
          <w:tcPr>
            <w:tcW w:w="2082" w:type="dxa"/>
            <w:shd w:val="clear" w:color="auto" w:fill="auto"/>
            <w:vAlign w:val="center"/>
          </w:tcPr>
          <w:p w:rsidR="00000000" w:rsidRDefault="00000000">
            <w:pPr>
              <w:spacing w:before="40" w:after="40" w:line="220" w:lineRule="exact"/>
              <w:rPr>
                <w:bCs/>
                <w:sz w:val="18"/>
                <w:szCs w:val="18"/>
              </w:rPr>
            </w:pPr>
            <w:r>
              <w:rPr>
                <w:bCs/>
                <w:sz w:val="18"/>
                <w:szCs w:val="18"/>
              </w:rPr>
              <w:t>Mahajanga</w:t>
            </w:r>
          </w:p>
        </w:tc>
        <w:tc>
          <w:tcPr>
            <w:tcW w:w="1600" w:type="dxa"/>
            <w:shd w:val="clear" w:color="auto" w:fill="auto"/>
            <w:vAlign w:val="bottom"/>
          </w:tcPr>
          <w:p w:rsidR="00000000" w:rsidRDefault="00000000">
            <w:pPr>
              <w:spacing w:before="40" w:after="40" w:line="220" w:lineRule="exact"/>
              <w:jc w:val="right"/>
              <w:rPr>
                <w:sz w:val="18"/>
                <w:szCs w:val="18"/>
              </w:rPr>
            </w:pPr>
            <w:r>
              <w:rPr>
                <w:sz w:val="18"/>
                <w:szCs w:val="18"/>
              </w:rPr>
              <w:t>4</w:t>
            </w:r>
          </w:p>
        </w:tc>
        <w:tc>
          <w:tcPr>
            <w:tcW w:w="1553" w:type="dxa"/>
            <w:shd w:val="clear" w:color="auto" w:fill="auto"/>
            <w:vAlign w:val="bottom"/>
          </w:tcPr>
          <w:p w:rsidR="00000000" w:rsidRDefault="00000000">
            <w:pPr>
              <w:spacing w:before="40" w:after="40" w:line="220" w:lineRule="exact"/>
              <w:jc w:val="right"/>
              <w:rPr>
                <w:sz w:val="18"/>
                <w:szCs w:val="18"/>
              </w:rPr>
            </w:pPr>
            <w:r>
              <w:rPr>
                <w:sz w:val="18"/>
                <w:szCs w:val="18"/>
              </w:rPr>
              <w:t>-</w:t>
            </w:r>
          </w:p>
        </w:tc>
        <w:tc>
          <w:tcPr>
            <w:tcW w:w="1167" w:type="dxa"/>
            <w:shd w:val="clear" w:color="auto" w:fill="auto"/>
            <w:vAlign w:val="bottom"/>
          </w:tcPr>
          <w:p w:rsidR="00000000" w:rsidRDefault="00000000">
            <w:pPr>
              <w:spacing w:before="40" w:after="40" w:line="220" w:lineRule="exact"/>
              <w:jc w:val="right"/>
              <w:rPr>
                <w:sz w:val="18"/>
                <w:szCs w:val="18"/>
              </w:rPr>
            </w:pPr>
            <w:r>
              <w:rPr>
                <w:sz w:val="18"/>
                <w:szCs w:val="18"/>
              </w:rPr>
              <w:t>1</w:t>
            </w:r>
          </w:p>
        </w:tc>
        <w:tc>
          <w:tcPr>
            <w:tcW w:w="961" w:type="dxa"/>
            <w:shd w:val="clear" w:color="auto" w:fill="auto"/>
            <w:vAlign w:val="bottom"/>
          </w:tcPr>
          <w:p w:rsidR="00000000" w:rsidRDefault="00000000">
            <w:pPr>
              <w:spacing w:before="40" w:after="40" w:line="220" w:lineRule="exact"/>
              <w:jc w:val="right"/>
              <w:rPr>
                <w:sz w:val="18"/>
                <w:szCs w:val="18"/>
              </w:rPr>
            </w:pPr>
          </w:p>
        </w:tc>
        <w:tc>
          <w:tcPr>
            <w:tcW w:w="1379" w:type="dxa"/>
            <w:shd w:val="clear" w:color="auto" w:fill="auto"/>
            <w:vAlign w:val="bottom"/>
          </w:tcPr>
          <w:p w:rsidR="00000000" w:rsidRDefault="00000000">
            <w:pPr>
              <w:spacing w:before="40" w:after="40" w:line="220" w:lineRule="exact"/>
              <w:jc w:val="right"/>
              <w:rPr>
                <w:sz w:val="18"/>
                <w:szCs w:val="18"/>
              </w:rPr>
            </w:pPr>
            <w:r>
              <w:rPr>
                <w:sz w:val="18"/>
                <w:szCs w:val="18"/>
              </w:rPr>
              <w:t>5</w:t>
            </w:r>
          </w:p>
        </w:tc>
      </w:tr>
      <w:tr w:rsidR="00000000">
        <w:tc>
          <w:tcPr>
            <w:tcW w:w="2082" w:type="dxa"/>
            <w:shd w:val="clear" w:color="auto" w:fill="auto"/>
            <w:vAlign w:val="center"/>
          </w:tcPr>
          <w:p w:rsidR="00000000" w:rsidRDefault="00000000">
            <w:pPr>
              <w:spacing w:before="40" w:after="40" w:line="220" w:lineRule="exact"/>
              <w:rPr>
                <w:bCs/>
                <w:sz w:val="18"/>
                <w:szCs w:val="18"/>
              </w:rPr>
            </w:pPr>
            <w:r>
              <w:rPr>
                <w:bCs/>
                <w:sz w:val="18"/>
                <w:szCs w:val="18"/>
              </w:rPr>
              <w:t>Toliara</w:t>
            </w:r>
          </w:p>
        </w:tc>
        <w:tc>
          <w:tcPr>
            <w:tcW w:w="1600" w:type="dxa"/>
            <w:shd w:val="clear" w:color="auto" w:fill="auto"/>
            <w:vAlign w:val="bottom"/>
          </w:tcPr>
          <w:p w:rsidR="00000000" w:rsidRDefault="00000000">
            <w:pPr>
              <w:spacing w:before="40" w:after="40" w:line="220" w:lineRule="exact"/>
              <w:jc w:val="right"/>
              <w:rPr>
                <w:sz w:val="18"/>
                <w:szCs w:val="18"/>
              </w:rPr>
            </w:pPr>
            <w:r>
              <w:rPr>
                <w:sz w:val="18"/>
                <w:szCs w:val="18"/>
              </w:rPr>
              <w:t>9</w:t>
            </w:r>
          </w:p>
        </w:tc>
        <w:tc>
          <w:tcPr>
            <w:tcW w:w="1553" w:type="dxa"/>
            <w:shd w:val="clear" w:color="auto" w:fill="auto"/>
            <w:vAlign w:val="bottom"/>
          </w:tcPr>
          <w:p w:rsidR="00000000" w:rsidRDefault="00000000">
            <w:pPr>
              <w:spacing w:before="40" w:after="40" w:line="220" w:lineRule="exact"/>
              <w:jc w:val="right"/>
              <w:rPr>
                <w:sz w:val="18"/>
                <w:szCs w:val="18"/>
              </w:rPr>
            </w:pPr>
            <w:r>
              <w:rPr>
                <w:sz w:val="18"/>
                <w:szCs w:val="18"/>
              </w:rPr>
              <w:t>1</w:t>
            </w:r>
          </w:p>
        </w:tc>
        <w:tc>
          <w:tcPr>
            <w:tcW w:w="1167" w:type="dxa"/>
            <w:shd w:val="clear" w:color="auto" w:fill="auto"/>
            <w:vAlign w:val="bottom"/>
          </w:tcPr>
          <w:p w:rsidR="00000000" w:rsidRDefault="00000000">
            <w:pPr>
              <w:spacing w:before="40" w:after="40" w:line="220" w:lineRule="exact"/>
              <w:jc w:val="right"/>
              <w:rPr>
                <w:sz w:val="18"/>
                <w:szCs w:val="18"/>
              </w:rPr>
            </w:pPr>
            <w:r>
              <w:rPr>
                <w:sz w:val="18"/>
                <w:szCs w:val="18"/>
              </w:rPr>
              <w:t>1</w:t>
            </w:r>
          </w:p>
        </w:tc>
        <w:tc>
          <w:tcPr>
            <w:tcW w:w="961" w:type="dxa"/>
            <w:shd w:val="clear" w:color="auto" w:fill="auto"/>
            <w:vAlign w:val="bottom"/>
          </w:tcPr>
          <w:p w:rsidR="00000000" w:rsidRDefault="00000000">
            <w:pPr>
              <w:spacing w:before="40" w:after="40" w:line="220" w:lineRule="exact"/>
              <w:jc w:val="right"/>
              <w:rPr>
                <w:sz w:val="18"/>
                <w:szCs w:val="18"/>
              </w:rPr>
            </w:pPr>
          </w:p>
        </w:tc>
        <w:tc>
          <w:tcPr>
            <w:tcW w:w="1379" w:type="dxa"/>
            <w:shd w:val="clear" w:color="auto" w:fill="auto"/>
            <w:vAlign w:val="bottom"/>
          </w:tcPr>
          <w:p w:rsidR="00000000" w:rsidRDefault="00000000">
            <w:pPr>
              <w:spacing w:before="40" w:after="40" w:line="220" w:lineRule="exact"/>
              <w:jc w:val="right"/>
              <w:rPr>
                <w:sz w:val="18"/>
                <w:szCs w:val="18"/>
              </w:rPr>
            </w:pPr>
            <w:r>
              <w:rPr>
                <w:sz w:val="18"/>
                <w:szCs w:val="18"/>
              </w:rPr>
              <w:t>11</w:t>
            </w:r>
          </w:p>
        </w:tc>
      </w:tr>
      <w:tr w:rsidR="00000000">
        <w:tc>
          <w:tcPr>
            <w:tcW w:w="2082" w:type="dxa"/>
            <w:shd w:val="clear" w:color="auto" w:fill="auto"/>
            <w:vAlign w:val="center"/>
          </w:tcPr>
          <w:p w:rsidR="00000000" w:rsidRDefault="00000000">
            <w:pPr>
              <w:spacing w:before="40" w:after="40" w:line="220" w:lineRule="exact"/>
              <w:rPr>
                <w:bCs/>
                <w:sz w:val="18"/>
                <w:szCs w:val="18"/>
              </w:rPr>
            </w:pPr>
            <w:r>
              <w:rPr>
                <w:bCs/>
                <w:sz w:val="18"/>
                <w:szCs w:val="18"/>
              </w:rPr>
              <w:t>Toamasina</w:t>
            </w:r>
          </w:p>
        </w:tc>
        <w:tc>
          <w:tcPr>
            <w:tcW w:w="1600" w:type="dxa"/>
            <w:shd w:val="clear" w:color="auto" w:fill="auto"/>
            <w:vAlign w:val="bottom"/>
          </w:tcPr>
          <w:p w:rsidR="00000000" w:rsidRDefault="00000000">
            <w:pPr>
              <w:spacing w:before="40" w:after="40" w:line="220" w:lineRule="exact"/>
              <w:jc w:val="right"/>
              <w:rPr>
                <w:sz w:val="18"/>
                <w:szCs w:val="18"/>
              </w:rPr>
            </w:pPr>
            <w:r>
              <w:rPr>
                <w:sz w:val="18"/>
                <w:szCs w:val="18"/>
              </w:rPr>
              <w:t>7</w:t>
            </w:r>
          </w:p>
        </w:tc>
        <w:tc>
          <w:tcPr>
            <w:tcW w:w="1553" w:type="dxa"/>
            <w:shd w:val="clear" w:color="auto" w:fill="auto"/>
            <w:vAlign w:val="bottom"/>
          </w:tcPr>
          <w:p w:rsidR="00000000" w:rsidRDefault="00000000">
            <w:pPr>
              <w:spacing w:before="40" w:after="40" w:line="220" w:lineRule="exact"/>
              <w:jc w:val="right"/>
              <w:rPr>
                <w:sz w:val="18"/>
                <w:szCs w:val="18"/>
              </w:rPr>
            </w:pPr>
            <w:r>
              <w:rPr>
                <w:sz w:val="18"/>
                <w:szCs w:val="18"/>
              </w:rPr>
              <w:t>1</w:t>
            </w:r>
          </w:p>
        </w:tc>
        <w:tc>
          <w:tcPr>
            <w:tcW w:w="1167" w:type="dxa"/>
            <w:shd w:val="clear" w:color="auto" w:fill="auto"/>
            <w:vAlign w:val="bottom"/>
          </w:tcPr>
          <w:p w:rsidR="00000000" w:rsidRDefault="00000000">
            <w:pPr>
              <w:spacing w:before="40" w:after="40" w:line="220" w:lineRule="exact"/>
              <w:jc w:val="right"/>
              <w:rPr>
                <w:sz w:val="18"/>
                <w:szCs w:val="18"/>
              </w:rPr>
            </w:pPr>
            <w:r>
              <w:rPr>
                <w:sz w:val="18"/>
                <w:szCs w:val="18"/>
              </w:rPr>
              <w:t>-</w:t>
            </w:r>
          </w:p>
        </w:tc>
        <w:tc>
          <w:tcPr>
            <w:tcW w:w="961" w:type="dxa"/>
            <w:shd w:val="clear" w:color="auto" w:fill="auto"/>
            <w:vAlign w:val="bottom"/>
          </w:tcPr>
          <w:p w:rsidR="00000000" w:rsidRDefault="00000000">
            <w:pPr>
              <w:spacing w:before="40" w:after="40" w:line="220" w:lineRule="exact"/>
              <w:jc w:val="right"/>
              <w:rPr>
                <w:sz w:val="18"/>
                <w:szCs w:val="18"/>
              </w:rPr>
            </w:pPr>
          </w:p>
        </w:tc>
        <w:tc>
          <w:tcPr>
            <w:tcW w:w="1379" w:type="dxa"/>
            <w:shd w:val="clear" w:color="auto" w:fill="auto"/>
            <w:vAlign w:val="bottom"/>
          </w:tcPr>
          <w:p w:rsidR="00000000" w:rsidRDefault="00000000">
            <w:pPr>
              <w:spacing w:before="40" w:after="40" w:line="220" w:lineRule="exact"/>
              <w:jc w:val="right"/>
              <w:rPr>
                <w:sz w:val="18"/>
                <w:szCs w:val="18"/>
              </w:rPr>
            </w:pPr>
            <w:r>
              <w:rPr>
                <w:sz w:val="18"/>
                <w:szCs w:val="18"/>
              </w:rPr>
              <w:t>8</w:t>
            </w:r>
          </w:p>
        </w:tc>
      </w:tr>
      <w:tr w:rsidR="00000000">
        <w:tc>
          <w:tcPr>
            <w:tcW w:w="2082" w:type="dxa"/>
            <w:shd w:val="clear" w:color="auto" w:fill="auto"/>
            <w:vAlign w:val="center"/>
          </w:tcPr>
          <w:p w:rsidR="00000000" w:rsidRDefault="00000000">
            <w:pPr>
              <w:spacing w:before="40" w:after="40" w:line="220" w:lineRule="exact"/>
              <w:rPr>
                <w:bCs/>
                <w:sz w:val="18"/>
                <w:szCs w:val="18"/>
              </w:rPr>
            </w:pPr>
            <w:r>
              <w:rPr>
                <w:bCs/>
                <w:sz w:val="18"/>
                <w:szCs w:val="18"/>
              </w:rPr>
              <w:t>Fianarantsoa</w:t>
            </w:r>
          </w:p>
        </w:tc>
        <w:tc>
          <w:tcPr>
            <w:tcW w:w="1600" w:type="dxa"/>
            <w:shd w:val="clear" w:color="auto" w:fill="auto"/>
            <w:vAlign w:val="bottom"/>
          </w:tcPr>
          <w:p w:rsidR="00000000" w:rsidRDefault="00000000">
            <w:pPr>
              <w:spacing w:before="40" w:after="40" w:line="220" w:lineRule="exact"/>
              <w:jc w:val="right"/>
              <w:rPr>
                <w:sz w:val="18"/>
                <w:szCs w:val="18"/>
              </w:rPr>
            </w:pPr>
            <w:r>
              <w:rPr>
                <w:sz w:val="18"/>
                <w:szCs w:val="18"/>
              </w:rPr>
              <w:t>4</w:t>
            </w:r>
          </w:p>
        </w:tc>
        <w:tc>
          <w:tcPr>
            <w:tcW w:w="1553" w:type="dxa"/>
            <w:shd w:val="clear" w:color="auto" w:fill="auto"/>
            <w:vAlign w:val="bottom"/>
          </w:tcPr>
          <w:p w:rsidR="00000000" w:rsidRDefault="00000000">
            <w:pPr>
              <w:spacing w:before="40" w:after="40" w:line="220" w:lineRule="exact"/>
              <w:jc w:val="right"/>
              <w:rPr>
                <w:sz w:val="18"/>
                <w:szCs w:val="18"/>
              </w:rPr>
            </w:pPr>
            <w:r>
              <w:rPr>
                <w:sz w:val="18"/>
                <w:szCs w:val="18"/>
              </w:rPr>
              <w:t>2</w:t>
            </w:r>
          </w:p>
        </w:tc>
        <w:tc>
          <w:tcPr>
            <w:tcW w:w="1167" w:type="dxa"/>
            <w:shd w:val="clear" w:color="auto" w:fill="auto"/>
            <w:vAlign w:val="bottom"/>
          </w:tcPr>
          <w:p w:rsidR="00000000" w:rsidRDefault="00000000">
            <w:pPr>
              <w:spacing w:before="40" w:after="40" w:line="220" w:lineRule="exact"/>
              <w:jc w:val="right"/>
              <w:rPr>
                <w:sz w:val="18"/>
                <w:szCs w:val="18"/>
              </w:rPr>
            </w:pPr>
            <w:r>
              <w:rPr>
                <w:sz w:val="18"/>
                <w:szCs w:val="18"/>
              </w:rPr>
              <w:t>-</w:t>
            </w:r>
          </w:p>
        </w:tc>
        <w:tc>
          <w:tcPr>
            <w:tcW w:w="961" w:type="dxa"/>
            <w:shd w:val="clear" w:color="auto" w:fill="auto"/>
            <w:vAlign w:val="bottom"/>
          </w:tcPr>
          <w:p w:rsidR="00000000" w:rsidRDefault="00000000">
            <w:pPr>
              <w:spacing w:before="40" w:after="40" w:line="220" w:lineRule="exact"/>
              <w:jc w:val="right"/>
              <w:rPr>
                <w:sz w:val="18"/>
                <w:szCs w:val="18"/>
              </w:rPr>
            </w:pPr>
          </w:p>
        </w:tc>
        <w:tc>
          <w:tcPr>
            <w:tcW w:w="1379" w:type="dxa"/>
            <w:shd w:val="clear" w:color="auto" w:fill="auto"/>
            <w:vAlign w:val="bottom"/>
          </w:tcPr>
          <w:p w:rsidR="00000000" w:rsidRDefault="00000000">
            <w:pPr>
              <w:spacing w:before="40" w:after="40" w:line="220" w:lineRule="exact"/>
              <w:jc w:val="right"/>
              <w:rPr>
                <w:sz w:val="18"/>
                <w:szCs w:val="18"/>
              </w:rPr>
            </w:pPr>
            <w:r>
              <w:rPr>
                <w:sz w:val="18"/>
                <w:szCs w:val="18"/>
              </w:rPr>
              <w:t>6</w:t>
            </w:r>
          </w:p>
        </w:tc>
      </w:tr>
      <w:tr w:rsidR="00000000">
        <w:tc>
          <w:tcPr>
            <w:tcW w:w="2082" w:type="dxa"/>
            <w:tcBorders>
              <w:bottom w:val="single" w:sz="4" w:space="0" w:color="auto"/>
            </w:tcBorders>
            <w:shd w:val="clear" w:color="auto" w:fill="auto"/>
            <w:vAlign w:val="center"/>
          </w:tcPr>
          <w:p w:rsidR="00000000" w:rsidRDefault="00000000">
            <w:pPr>
              <w:spacing w:before="40" w:after="40" w:line="220" w:lineRule="exact"/>
              <w:rPr>
                <w:bCs/>
                <w:sz w:val="18"/>
                <w:szCs w:val="18"/>
              </w:rPr>
            </w:pPr>
            <w:r>
              <w:rPr>
                <w:bCs/>
                <w:sz w:val="18"/>
                <w:szCs w:val="18"/>
              </w:rPr>
              <w:t>Antsiranana</w:t>
            </w:r>
          </w:p>
        </w:tc>
        <w:tc>
          <w:tcPr>
            <w:tcW w:w="1600" w:type="dxa"/>
            <w:tcBorders>
              <w:bottom w:val="single" w:sz="4" w:space="0" w:color="auto"/>
            </w:tcBorders>
            <w:shd w:val="clear" w:color="auto" w:fill="auto"/>
            <w:vAlign w:val="bottom"/>
          </w:tcPr>
          <w:p w:rsidR="00000000" w:rsidRDefault="00000000">
            <w:pPr>
              <w:spacing w:before="40" w:after="40" w:line="220" w:lineRule="exact"/>
              <w:jc w:val="right"/>
              <w:rPr>
                <w:sz w:val="18"/>
                <w:szCs w:val="18"/>
              </w:rPr>
            </w:pPr>
            <w:r>
              <w:rPr>
                <w:sz w:val="18"/>
                <w:szCs w:val="18"/>
              </w:rPr>
              <w:t>3</w:t>
            </w:r>
          </w:p>
        </w:tc>
        <w:tc>
          <w:tcPr>
            <w:tcW w:w="1553" w:type="dxa"/>
            <w:tcBorders>
              <w:bottom w:val="single" w:sz="4" w:space="0" w:color="auto"/>
            </w:tcBorders>
            <w:shd w:val="clear" w:color="auto" w:fill="auto"/>
            <w:vAlign w:val="bottom"/>
          </w:tcPr>
          <w:p w:rsidR="00000000" w:rsidRDefault="00000000">
            <w:pPr>
              <w:spacing w:before="40" w:after="40" w:line="220" w:lineRule="exact"/>
              <w:jc w:val="right"/>
              <w:rPr>
                <w:sz w:val="18"/>
                <w:szCs w:val="18"/>
              </w:rPr>
            </w:pPr>
            <w:r>
              <w:rPr>
                <w:sz w:val="18"/>
                <w:szCs w:val="18"/>
              </w:rPr>
              <w:t>1</w:t>
            </w:r>
          </w:p>
        </w:tc>
        <w:tc>
          <w:tcPr>
            <w:tcW w:w="1167" w:type="dxa"/>
            <w:tcBorders>
              <w:bottom w:val="single" w:sz="4" w:space="0" w:color="auto"/>
            </w:tcBorders>
            <w:shd w:val="clear" w:color="auto" w:fill="auto"/>
            <w:vAlign w:val="bottom"/>
          </w:tcPr>
          <w:p w:rsidR="00000000" w:rsidRDefault="00000000">
            <w:pPr>
              <w:spacing w:before="40" w:after="40" w:line="220" w:lineRule="exact"/>
              <w:jc w:val="right"/>
              <w:rPr>
                <w:sz w:val="18"/>
                <w:szCs w:val="18"/>
              </w:rPr>
            </w:pPr>
            <w:r>
              <w:rPr>
                <w:sz w:val="18"/>
                <w:szCs w:val="18"/>
              </w:rPr>
              <w:t>2</w:t>
            </w:r>
          </w:p>
        </w:tc>
        <w:tc>
          <w:tcPr>
            <w:tcW w:w="961" w:type="dxa"/>
            <w:tcBorders>
              <w:bottom w:val="single" w:sz="4" w:space="0" w:color="auto"/>
            </w:tcBorders>
            <w:shd w:val="clear" w:color="auto" w:fill="auto"/>
            <w:vAlign w:val="bottom"/>
          </w:tcPr>
          <w:p w:rsidR="00000000" w:rsidRDefault="00000000">
            <w:pPr>
              <w:spacing w:before="40" w:after="40" w:line="220" w:lineRule="exact"/>
              <w:jc w:val="right"/>
              <w:rPr>
                <w:sz w:val="18"/>
                <w:szCs w:val="18"/>
              </w:rPr>
            </w:pPr>
          </w:p>
        </w:tc>
        <w:tc>
          <w:tcPr>
            <w:tcW w:w="1379" w:type="dxa"/>
            <w:tcBorders>
              <w:bottom w:val="single" w:sz="4" w:space="0" w:color="auto"/>
            </w:tcBorders>
            <w:shd w:val="clear" w:color="auto" w:fill="auto"/>
            <w:vAlign w:val="bottom"/>
          </w:tcPr>
          <w:p w:rsidR="00000000" w:rsidRDefault="00000000">
            <w:pPr>
              <w:spacing w:before="40" w:after="40" w:line="220" w:lineRule="exact"/>
              <w:jc w:val="right"/>
              <w:rPr>
                <w:sz w:val="18"/>
                <w:szCs w:val="18"/>
              </w:rPr>
            </w:pPr>
            <w:r>
              <w:rPr>
                <w:sz w:val="18"/>
                <w:szCs w:val="18"/>
              </w:rPr>
              <w:t>6</w:t>
            </w:r>
          </w:p>
        </w:tc>
      </w:tr>
      <w:tr w:rsidR="00000000">
        <w:tc>
          <w:tcPr>
            <w:tcW w:w="2082" w:type="dxa"/>
            <w:tcBorders>
              <w:top w:val="single" w:sz="4" w:space="0" w:color="auto"/>
              <w:bottom w:val="single" w:sz="12" w:space="0" w:color="auto"/>
            </w:tcBorders>
            <w:shd w:val="clear" w:color="auto" w:fill="auto"/>
            <w:vAlign w:val="center"/>
          </w:tcPr>
          <w:p w:rsidR="00000000" w:rsidRDefault="00000000">
            <w:pPr>
              <w:spacing w:before="40" w:after="40" w:line="220" w:lineRule="exact"/>
              <w:ind w:firstLine="170"/>
              <w:rPr>
                <w:b/>
                <w:bCs/>
                <w:sz w:val="18"/>
                <w:szCs w:val="18"/>
              </w:rPr>
            </w:pPr>
            <w:r>
              <w:rPr>
                <w:b/>
                <w:bCs/>
                <w:sz w:val="18"/>
                <w:szCs w:val="18"/>
              </w:rPr>
              <w:t>Total</w:t>
            </w:r>
          </w:p>
        </w:tc>
        <w:tc>
          <w:tcPr>
            <w:tcW w:w="1600" w:type="dxa"/>
            <w:tcBorders>
              <w:top w:val="single" w:sz="4" w:space="0" w:color="auto"/>
              <w:bottom w:val="single" w:sz="12" w:space="0" w:color="auto"/>
            </w:tcBorders>
            <w:shd w:val="clear" w:color="auto" w:fill="auto"/>
            <w:vAlign w:val="bottom"/>
          </w:tcPr>
          <w:p w:rsidR="00000000" w:rsidRDefault="00000000">
            <w:pPr>
              <w:spacing w:before="40" w:after="40" w:line="220" w:lineRule="exact"/>
              <w:ind w:firstLine="170"/>
              <w:jc w:val="right"/>
              <w:rPr>
                <w:b/>
                <w:sz w:val="18"/>
                <w:szCs w:val="18"/>
              </w:rPr>
            </w:pPr>
            <w:r>
              <w:rPr>
                <w:b/>
                <w:sz w:val="18"/>
                <w:szCs w:val="18"/>
              </w:rPr>
              <w:t>47</w:t>
            </w:r>
          </w:p>
        </w:tc>
        <w:tc>
          <w:tcPr>
            <w:tcW w:w="1553" w:type="dxa"/>
            <w:tcBorders>
              <w:top w:val="single" w:sz="4" w:space="0" w:color="auto"/>
              <w:bottom w:val="single" w:sz="12" w:space="0" w:color="auto"/>
            </w:tcBorders>
            <w:shd w:val="clear" w:color="auto" w:fill="auto"/>
            <w:vAlign w:val="bottom"/>
          </w:tcPr>
          <w:p w:rsidR="00000000" w:rsidRDefault="00000000">
            <w:pPr>
              <w:spacing w:before="40" w:after="40" w:line="220" w:lineRule="exact"/>
              <w:ind w:firstLine="170"/>
              <w:jc w:val="right"/>
              <w:rPr>
                <w:b/>
                <w:sz w:val="18"/>
                <w:szCs w:val="18"/>
              </w:rPr>
            </w:pPr>
            <w:r>
              <w:rPr>
                <w:b/>
                <w:sz w:val="18"/>
                <w:szCs w:val="18"/>
              </w:rPr>
              <w:t>14</w:t>
            </w:r>
          </w:p>
        </w:tc>
        <w:tc>
          <w:tcPr>
            <w:tcW w:w="1167" w:type="dxa"/>
            <w:tcBorders>
              <w:top w:val="single" w:sz="4" w:space="0" w:color="auto"/>
              <w:bottom w:val="single" w:sz="12" w:space="0" w:color="auto"/>
            </w:tcBorders>
            <w:shd w:val="clear" w:color="auto" w:fill="auto"/>
            <w:vAlign w:val="bottom"/>
          </w:tcPr>
          <w:p w:rsidR="00000000" w:rsidRDefault="00000000">
            <w:pPr>
              <w:spacing w:before="40" w:after="40" w:line="220" w:lineRule="exact"/>
              <w:ind w:firstLine="170"/>
              <w:jc w:val="right"/>
              <w:rPr>
                <w:b/>
                <w:sz w:val="18"/>
                <w:szCs w:val="18"/>
              </w:rPr>
            </w:pPr>
            <w:r>
              <w:rPr>
                <w:b/>
                <w:sz w:val="18"/>
                <w:szCs w:val="18"/>
              </w:rPr>
              <w:t>5</w:t>
            </w:r>
          </w:p>
        </w:tc>
        <w:tc>
          <w:tcPr>
            <w:tcW w:w="961" w:type="dxa"/>
            <w:tcBorders>
              <w:top w:val="single" w:sz="4" w:space="0" w:color="auto"/>
              <w:bottom w:val="single" w:sz="12" w:space="0" w:color="auto"/>
            </w:tcBorders>
            <w:shd w:val="clear" w:color="auto" w:fill="auto"/>
            <w:vAlign w:val="bottom"/>
          </w:tcPr>
          <w:p w:rsidR="00000000" w:rsidRDefault="00000000">
            <w:pPr>
              <w:spacing w:before="40" w:after="40" w:line="220" w:lineRule="exact"/>
              <w:ind w:firstLine="170"/>
              <w:jc w:val="right"/>
              <w:rPr>
                <w:b/>
                <w:sz w:val="18"/>
                <w:szCs w:val="18"/>
              </w:rPr>
            </w:pPr>
            <w:r>
              <w:rPr>
                <w:b/>
                <w:sz w:val="18"/>
                <w:szCs w:val="18"/>
              </w:rPr>
              <w:t>9</w:t>
            </w:r>
          </w:p>
        </w:tc>
        <w:tc>
          <w:tcPr>
            <w:tcW w:w="1379" w:type="dxa"/>
            <w:tcBorders>
              <w:top w:val="single" w:sz="4" w:space="0" w:color="auto"/>
              <w:bottom w:val="single" w:sz="12" w:space="0" w:color="auto"/>
            </w:tcBorders>
            <w:shd w:val="clear" w:color="auto" w:fill="auto"/>
            <w:vAlign w:val="bottom"/>
          </w:tcPr>
          <w:p w:rsidR="00000000" w:rsidRDefault="00000000">
            <w:pPr>
              <w:spacing w:before="40" w:after="40" w:line="220" w:lineRule="exact"/>
              <w:ind w:firstLine="170"/>
              <w:jc w:val="right"/>
              <w:rPr>
                <w:b/>
                <w:sz w:val="18"/>
                <w:szCs w:val="18"/>
              </w:rPr>
            </w:pPr>
            <w:r>
              <w:rPr>
                <w:b/>
                <w:sz w:val="18"/>
                <w:szCs w:val="18"/>
              </w:rPr>
              <w:t>75</w:t>
            </w:r>
          </w:p>
        </w:tc>
      </w:tr>
    </w:tbl>
    <w:p w:rsidR="00000000" w:rsidRDefault="00000000">
      <w:pPr>
        <w:pStyle w:val="SingleTxtG"/>
        <w:spacing w:before="240" w:after="0"/>
      </w:pPr>
      <w:bookmarkStart w:id="1139" w:name="_Toc260298276"/>
      <w:r>
        <w:t>Tableau 30</w:t>
      </w:r>
    </w:p>
    <w:p w:rsidR="00000000" w:rsidRDefault="00000000">
      <w:pPr>
        <w:pStyle w:val="SingleTxtG"/>
        <w:rPr>
          <w:b/>
          <w:spacing w:val="-2"/>
        </w:rPr>
      </w:pPr>
      <w:r>
        <w:rPr>
          <w:b/>
          <w:spacing w:val="-2"/>
        </w:rPr>
        <w:t>Évolution de l’effectif des étudiants de l’enseignement supérieur par sexe de 2001 à 2005</w:t>
      </w:r>
      <w:bookmarkEnd w:id="1139"/>
    </w:p>
    <w:tbl>
      <w:tblPr>
        <w:tblW w:w="7371" w:type="dxa"/>
        <w:tblInd w:w="1308" w:type="dxa"/>
        <w:tblLook w:val="01E0" w:firstRow="1" w:lastRow="1" w:firstColumn="1" w:lastColumn="1" w:noHBand="0" w:noVBand="0"/>
      </w:tblPr>
      <w:tblGrid>
        <w:gridCol w:w="1493"/>
        <w:gridCol w:w="1186"/>
        <w:gridCol w:w="1173"/>
        <w:gridCol w:w="1173"/>
        <w:gridCol w:w="1173"/>
        <w:gridCol w:w="1173"/>
      </w:tblGrid>
      <w:tr w:rsidR="00000000">
        <w:tc>
          <w:tcPr>
            <w:tcW w:w="1493" w:type="dxa"/>
            <w:tcBorders>
              <w:top w:val="single" w:sz="4" w:space="0" w:color="auto"/>
              <w:bottom w:val="single" w:sz="12" w:space="0" w:color="auto"/>
            </w:tcBorders>
            <w:shd w:val="clear" w:color="auto" w:fill="auto"/>
            <w:vAlign w:val="bottom"/>
          </w:tcPr>
          <w:p w:rsidR="00000000" w:rsidRDefault="00000000">
            <w:pPr>
              <w:spacing w:before="80" w:after="80" w:line="200" w:lineRule="exact"/>
              <w:rPr>
                <w:bCs/>
                <w:i/>
                <w:sz w:val="16"/>
                <w:szCs w:val="16"/>
              </w:rPr>
            </w:pPr>
            <w:r>
              <w:rPr>
                <w:bCs/>
                <w:i/>
                <w:sz w:val="16"/>
                <w:szCs w:val="16"/>
              </w:rPr>
              <w:t>Années universitaires</w:t>
            </w:r>
          </w:p>
        </w:tc>
        <w:tc>
          <w:tcPr>
            <w:tcW w:w="1186"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bCs/>
                <w:i/>
                <w:sz w:val="16"/>
                <w:szCs w:val="16"/>
              </w:rPr>
            </w:pPr>
            <w:r>
              <w:rPr>
                <w:bCs/>
                <w:i/>
                <w:sz w:val="16"/>
                <w:szCs w:val="16"/>
              </w:rPr>
              <w:t>2000/2001</w:t>
            </w:r>
          </w:p>
        </w:tc>
        <w:tc>
          <w:tcPr>
            <w:tcW w:w="1173"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bCs/>
                <w:i/>
                <w:sz w:val="16"/>
                <w:szCs w:val="16"/>
              </w:rPr>
            </w:pPr>
            <w:r>
              <w:rPr>
                <w:bCs/>
                <w:i/>
                <w:sz w:val="16"/>
                <w:szCs w:val="16"/>
              </w:rPr>
              <w:t>2001/2002</w:t>
            </w:r>
          </w:p>
        </w:tc>
        <w:tc>
          <w:tcPr>
            <w:tcW w:w="1173"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bCs/>
                <w:i/>
                <w:sz w:val="16"/>
                <w:szCs w:val="16"/>
              </w:rPr>
            </w:pPr>
            <w:r>
              <w:rPr>
                <w:bCs/>
                <w:i/>
                <w:sz w:val="16"/>
                <w:szCs w:val="16"/>
              </w:rPr>
              <w:t>2002/2003</w:t>
            </w:r>
          </w:p>
        </w:tc>
        <w:tc>
          <w:tcPr>
            <w:tcW w:w="1173"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bCs/>
                <w:i/>
                <w:sz w:val="16"/>
                <w:szCs w:val="16"/>
              </w:rPr>
            </w:pPr>
            <w:r>
              <w:rPr>
                <w:bCs/>
                <w:i/>
                <w:sz w:val="16"/>
                <w:szCs w:val="16"/>
              </w:rPr>
              <w:t>2003/2004</w:t>
            </w:r>
          </w:p>
        </w:tc>
        <w:tc>
          <w:tcPr>
            <w:tcW w:w="1173"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bCs/>
                <w:i/>
                <w:sz w:val="16"/>
                <w:szCs w:val="16"/>
              </w:rPr>
            </w:pPr>
            <w:r>
              <w:rPr>
                <w:bCs/>
                <w:i/>
                <w:sz w:val="16"/>
                <w:szCs w:val="16"/>
              </w:rPr>
              <w:t>2004/2005</w:t>
            </w:r>
          </w:p>
        </w:tc>
      </w:tr>
      <w:tr w:rsidR="00000000">
        <w:tc>
          <w:tcPr>
            <w:tcW w:w="1493" w:type="dxa"/>
            <w:tcBorders>
              <w:top w:val="single" w:sz="12" w:space="0" w:color="auto"/>
            </w:tcBorders>
            <w:shd w:val="clear" w:color="auto" w:fill="auto"/>
            <w:vAlign w:val="bottom"/>
          </w:tcPr>
          <w:p w:rsidR="00000000" w:rsidRDefault="00000000">
            <w:pPr>
              <w:spacing w:before="40" w:after="40" w:line="220" w:lineRule="exact"/>
              <w:rPr>
                <w:bCs/>
                <w:sz w:val="18"/>
                <w:szCs w:val="18"/>
              </w:rPr>
            </w:pPr>
            <w:r>
              <w:rPr>
                <w:bCs/>
                <w:sz w:val="18"/>
                <w:szCs w:val="18"/>
              </w:rPr>
              <w:t>Ensemble</w:t>
            </w:r>
          </w:p>
        </w:tc>
        <w:tc>
          <w:tcPr>
            <w:tcW w:w="1186" w:type="dxa"/>
            <w:tcBorders>
              <w:top w:val="single" w:sz="12" w:space="0" w:color="auto"/>
            </w:tcBorders>
            <w:shd w:val="clear" w:color="auto" w:fill="auto"/>
            <w:vAlign w:val="bottom"/>
          </w:tcPr>
          <w:p w:rsidR="00000000" w:rsidRDefault="00000000">
            <w:pPr>
              <w:spacing w:before="40" w:after="40" w:line="220" w:lineRule="exact"/>
              <w:jc w:val="right"/>
              <w:rPr>
                <w:sz w:val="18"/>
                <w:szCs w:val="18"/>
              </w:rPr>
            </w:pPr>
            <w:r>
              <w:rPr>
                <w:sz w:val="18"/>
                <w:szCs w:val="18"/>
              </w:rPr>
              <w:t>21 599</w:t>
            </w:r>
          </w:p>
        </w:tc>
        <w:tc>
          <w:tcPr>
            <w:tcW w:w="1173" w:type="dxa"/>
            <w:tcBorders>
              <w:top w:val="single" w:sz="12" w:space="0" w:color="auto"/>
            </w:tcBorders>
            <w:shd w:val="clear" w:color="auto" w:fill="auto"/>
            <w:vAlign w:val="bottom"/>
          </w:tcPr>
          <w:p w:rsidR="00000000" w:rsidRDefault="00000000">
            <w:pPr>
              <w:spacing w:before="40" w:after="40" w:line="220" w:lineRule="exact"/>
              <w:jc w:val="right"/>
              <w:rPr>
                <w:sz w:val="18"/>
                <w:szCs w:val="18"/>
              </w:rPr>
            </w:pPr>
            <w:r>
              <w:rPr>
                <w:sz w:val="18"/>
                <w:szCs w:val="18"/>
              </w:rPr>
              <w:t>22 607</w:t>
            </w:r>
          </w:p>
        </w:tc>
        <w:tc>
          <w:tcPr>
            <w:tcW w:w="1173" w:type="dxa"/>
            <w:tcBorders>
              <w:top w:val="single" w:sz="12" w:space="0" w:color="auto"/>
            </w:tcBorders>
            <w:shd w:val="clear" w:color="auto" w:fill="auto"/>
            <w:vAlign w:val="bottom"/>
          </w:tcPr>
          <w:p w:rsidR="00000000" w:rsidRDefault="00000000">
            <w:pPr>
              <w:spacing w:before="40" w:after="40" w:line="220" w:lineRule="exact"/>
              <w:jc w:val="right"/>
              <w:rPr>
                <w:sz w:val="18"/>
                <w:szCs w:val="18"/>
              </w:rPr>
            </w:pPr>
            <w:r>
              <w:rPr>
                <w:sz w:val="18"/>
                <w:szCs w:val="18"/>
              </w:rPr>
              <w:t>26 315</w:t>
            </w:r>
          </w:p>
        </w:tc>
        <w:tc>
          <w:tcPr>
            <w:tcW w:w="1173" w:type="dxa"/>
            <w:tcBorders>
              <w:top w:val="single" w:sz="12" w:space="0" w:color="auto"/>
            </w:tcBorders>
            <w:shd w:val="clear" w:color="auto" w:fill="auto"/>
            <w:vAlign w:val="bottom"/>
          </w:tcPr>
          <w:p w:rsidR="00000000" w:rsidRDefault="00000000">
            <w:pPr>
              <w:spacing w:before="40" w:after="40" w:line="220" w:lineRule="exact"/>
              <w:jc w:val="right"/>
              <w:rPr>
                <w:sz w:val="18"/>
                <w:szCs w:val="18"/>
              </w:rPr>
            </w:pPr>
            <w:r>
              <w:rPr>
                <w:sz w:val="18"/>
                <w:szCs w:val="18"/>
              </w:rPr>
              <w:t>31 675</w:t>
            </w:r>
          </w:p>
        </w:tc>
        <w:tc>
          <w:tcPr>
            <w:tcW w:w="1173" w:type="dxa"/>
            <w:tcBorders>
              <w:top w:val="single" w:sz="12" w:space="0" w:color="auto"/>
            </w:tcBorders>
            <w:shd w:val="clear" w:color="auto" w:fill="auto"/>
            <w:vAlign w:val="bottom"/>
          </w:tcPr>
          <w:p w:rsidR="00000000" w:rsidRDefault="00000000">
            <w:pPr>
              <w:spacing w:before="40" w:after="40" w:line="220" w:lineRule="exact"/>
              <w:jc w:val="right"/>
              <w:rPr>
                <w:sz w:val="18"/>
                <w:szCs w:val="18"/>
              </w:rPr>
            </w:pPr>
            <w:r>
              <w:rPr>
                <w:sz w:val="18"/>
                <w:szCs w:val="18"/>
              </w:rPr>
              <w:t>34 746</w:t>
            </w:r>
          </w:p>
        </w:tc>
      </w:tr>
      <w:tr w:rsidR="00000000">
        <w:tc>
          <w:tcPr>
            <w:tcW w:w="1493" w:type="dxa"/>
            <w:shd w:val="clear" w:color="auto" w:fill="auto"/>
            <w:vAlign w:val="bottom"/>
          </w:tcPr>
          <w:p w:rsidR="00000000" w:rsidRDefault="00000000">
            <w:pPr>
              <w:spacing w:before="40" w:after="40" w:line="220" w:lineRule="exact"/>
              <w:rPr>
                <w:bCs/>
                <w:sz w:val="18"/>
                <w:szCs w:val="18"/>
              </w:rPr>
            </w:pPr>
            <w:r>
              <w:rPr>
                <w:bCs/>
                <w:sz w:val="18"/>
                <w:szCs w:val="18"/>
              </w:rPr>
              <w:t>Masculin</w:t>
            </w:r>
          </w:p>
        </w:tc>
        <w:tc>
          <w:tcPr>
            <w:tcW w:w="1186" w:type="dxa"/>
            <w:shd w:val="clear" w:color="auto" w:fill="auto"/>
            <w:vAlign w:val="bottom"/>
          </w:tcPr>
          <w:p w:rsidR="00000000" w:rsidRDefault="00000000">
            <w:pPr>
              <w:spacing w:before="40" w:after="40" w:line="220" w:lineRule="exact"/>
              <w:jc w:val="right"/>
              <w:rPr>
                <w:sz w:val="18"/>
                <w:szCs w:val="18"/>
              </w:rPr>
            </w:pPr>
            <w:r>
              <w:rPr>
                <w:sz w:val="18"/>
                <w:szCs w:val="18"/>
              </w:rPr>
              <w:t>11 746</w:t>
            </w:r>
          </w:p>
        </w:tc>
        <w:tc>
          <w:tcPr>
            <w:tcW w:w="1173" w:type="dxa"/>
            <w:shd w:val="clear" w:color="auto" w:fill="auto"/>
            <w:vAlign w:val="bottom"/>
          </w:tcPr>
          <w:p w:rsidR="00000000" w:rsidRDefault="00000000">
            <w:pPr>
              <w:spacing w:before="40" w:after="40" w:line="220" w:lineRule="exact"/>
              <w:jc w:val="right"/>
              <w:rPr>
                <w:sz w:val="18"/>
                <w:szCs w:val="18"/>
              </w:rPr>
            </w:pPr>
            <w:r>
              <w:rPr>
                <w:sz w:val="18"/>
                <w:szCs w:val="18"/>
              </w:rPr>
              <w:t>12 400</w:t>
            </w:r>
          </w:p>
        </w:tc>
        <w:tc>
          <w:tcPr>
            <w:tcW w:w="1173" w:type="dxa"/>
            <w:shd w:val="clear" w:color="auto" w:fill="auto"/>
            <w:vAlign w:val="bottom"/>
          </w:tcPr>
          <w:p w:rsidR="00000000" w:rsidRDefault="00000000">
            <w:pPr>
              <w:spacing w:before="40" w:after="40" w:line="220" w:lineRule="exact"/>
              <w:jc w:val="right"/>
              <w:rPr>
                <w:sz w:val="18"/>
                <w:szCs w:val="18"/>
              </w:rPr>
            </w:pPr>
            <w:r>
              <w:rPr>
                <w:sz w:val="18"/>
                <w:szCs w:val="18"/>
              </w:rPr>
              <w:t>13 964</w:t>
            </w:r>
          </w:p>
        </w:tc>
        <w:tc>
          <w:tcPr>
            <w:tcW w:w="1173" w:type="dxa"/>
            <w:shd w:val="clear" w:color="auto" w:fill="auto"/>
            <w:vAlign w:val="bottom"/>
          </w:tcPr>
          <w:p w:rsidR="00000000" w:rsidRDefault="00000000">
            <w:pPr>
              <w:spacing w:before="40" w:after="40" w:line="220" w:lineRule="exact"/>
              <w:jc w:val="right"/>
              <w:rPr>
                <w:sz w:val="18"/>
                <w:szCs w:val="18"/>
              </w:rPr>
            </w:pPr>
            <w:r>
              <w:rPr>
                <w:sz w:val="18"/>
                <w:szCs w:val="18"/>
              </w:rPr>
              <w:t>16 770</w:t>
            </w:r>
          </w:p>
        </w:tc>
        <w:tc>
          <w:tcPr>
            <w:tcW w:w="1173" w:type="dxa"/>
            <w:shd w:val="clear" w:color="auto" w:fill="auto"/>
            <w:vAlign w:val="bottom"/>
          </w:tcPr>
          <w:p w:rsidR="00000000" w:rsidRDefault="00000000">
            <w:pPr>
              <w:spacing w:before="40" w:after="40" w:line="220" w:lineRule="exact"/>
              <w:jc w:val="right"/>
              <w:rPr>
                <w:sz w:val="18"/>
                <w:szCs w:val="18"/>
              </w:rPr>
            </w:pPr>
            <w:r>
              <w:rPr>
                <w:sz w:val="18"/>
                <w:szCs w:val="18"/>
              </w:rPr>
              <w:t>18 547</w:t>
            </w:r>
          </w:p>
        </w:tc>
      </w:tr>
      <w:tr w:rsidR="00000000">
        <w:tc>
          <w:tcPr>
            <w:tcW w:w="1493" w:type="dxa"/>
            <w:shd w:val="clear" w:color="auto" w:fill="auto"/>
            <w:vAlign w:val="bottom"/>
          </w:tcPr>
          <w:p w:rsidR="00000000" w:rsidRDefault="00000000">
            <w:pPr>
              <w:spacing w:before="40" w:after="40" w:line="220" w:lineRule="exact"/>
              <w:rPr>
                <w:bCs/>
                <w:sz w:val="18"/>
                <w:szCs w:val="18"/>
              </w:rPr>
            </w:pPr>
            <w:r>
              <w:rPr>
                <w:bCs/>
                <w:sz w:val="18"/>
                <w:szCs w:val="18"/>
              </w:rPr>
              <w:t>Féminin</w:t>
            </w:r>
          </w:p>
        </w:tc>
        <w:tc>
          <w:tcPr>
            <w:tcW w:w="1186" w:type="dxa"/>
            <w:shd w:val="clear" w:color="auto" w:fill="auto"/>
            <w:vAlign w:val="bottom"/>
          </w:tcPr>
          <w:p w:rsidR="00000000" w:rsidRDefault="00000000">
            <w:pPr>
              <w:spacing w:before="40" w:after="40" w:line="220" w:lineRule="exact"/>
              <w:jc w:val="right"/>
              <w:rPr>
                <w:sz w:val="18"/>
                <w:szCs w:val="18"/>
              </w:rPr>
            </w:pPr>
            <w:r>
              <w:rPr>
                <w:sz w:val="18"/>
                <w:szCs w:val="18"/>
              </w:rPr>
              <w:t>9 853</w:t>
            </w:r>
          </w:p>
        </w:tc>
        <w:tc>
          <w:tcPr>
            <w:tcW w:w="1173" w:type="dxa"/>
            <w:shd w:val="clear" w:color="auto" w:fill="auto"/>
            <w:vAlign w:val="bottom"/>
          </w:tcPr>
          <w:p w:rsidR="00000000" w:rsidRDefault="00000000">
            <w:pPr>
              <w:spacing w:before="40" w:after="40" w:line="220" w:lineRule="exact"/>
              <w:jc w:val="right"/>
              <w:rPr>
                <w:sz w:val="18"/>
                <w:szCs w:val="18"/>
              </w:rPr>
            </w:pPr>
            <w:r>
              <w:rPr>
                <w:sz w:val="18"/>
                <w:szCs w:val="18"/>
              </w:rPr>
              <w:t>10 207</w:t>
            </w:r>
          </w:p>
        </w:tc>
        <w:tc>
          <w:tcPr>
            <w:tcW w:w="1173" w:type="dxa"/>
            <w:shd w:val="clear" w:color="auto" w:fill="auto"/>
            <w:vAlign w:val="bottom"/>
          </w:tcPr>
          <w:p w:rsidR="00000000" w:rsidRDefault="00000000">
            <w:pPr>
              <w:spacing w:before="40" w:after="40" w:line="220" w:lineRule="exact"/>
              <w:jc w:val="right"/>
              <w:rPr>
                <w:sz w:val="18"/>
                <w:szCs w:val="18"/>
              </w:rPr>
            </w:pPr>
            <w:r>
              <w:rPr>
                <w:sz w:val="18"/>
                <w:szCs w:val="18"/>
              </w:rPr>
              <w:t>12 351</w:t>
            </w:r>
          </w:p>
        </w:tc>
        <w:tc>
          <w:tcPr>
            <w:tcW w:w="1173" w:type="dxa"/>
            <w:shd w:val="clear" w:color="auto" w:fill="auto"/>
            <w:vAlign w:val="bottom"/>
          </w:tcPr>
          <w:p w:rsidR="00000000" w:rsidRDefault="00000000">
            <w:pPr>
              <w:spacing w:before="40" w:after="40" w:line="220" w:lineRule="exact"/>
              <w:jc w:val="right"/>
              <w:rPr>
                <w:sz w:val="18"/>
                <w:szCs w:val="18"/>
              </w:rPr>
            </w:pPr>
            <w:r>
              <w:rPr>
                <w:sz w:val="18"/>
                <w:szCs w:val="18"/>
              </w:rPr>
              <w:t>14 905</w:t>
            </w:r>
          </w:p>
        </w:tc>
        <w:tc>
          <w:tcPr>
            <w:tcW w:w="1173" w:type="dxa"/>
            <w:shd w:val="clear" w:color="auto" w:fill="auto"/>
            <w:vAlign w:val="bottom"/>
          </w:tcPr>
          <w:p w:rsidR="00000000" w:rsidRDefault="00000000">
            <w:pPr>
              <w:spacing w:before="40" w:after="40" w:line="220" w:lineRule="exact"/>
              <w:jc w:val="right"/>
              <w:rPr>
                <w:sz w:val="18"/>
                <w:szCs w:val="18"/>
              </w:rPr>
            </w:pPr>
            <w:r>
              <w:rPr>
                <w:sz w:val="18"/>
                <w:szCs w:val="18"/>
              </w:rPr>
              <w:t>16 199</w:t>
            </w:r>
          </w:p>
        </w:tc>
      </w:tr>
      <w:tr w:rsidR="00000000">
        <w:tc>
          <w:tcPr>
            <w:tcW w:w="1493" w:type="dxa"/>
            <w:tcBorders>
              <w:bottom w:val="single" w:sz="12" w:space="0" w:color="auto"/>
            </w:tcBorders>
            <w:shd w:val="clear" w:color="auto" w:fill="auto"/>
            <w:vAlign w:val="bottom"/>
          </w:tcPr>
          <w:p w:rsidR="00000000" w:rsidRDefault="00000000">
            <w:pPr>
              <w:spacing w:before="40" w:after="40" w:line="220" w:lineRule="exact"/>
              <w:rPr>
                <w:bCs/>
                <w:sz w:val="18"/>
                <w:szCs w:val="18"/>
              </w:rPr>
            </w:pPr>
            <w:r>
              <w:rPr>
                <w:bCs/>
                <w:sz w:val="18"/>
                <w:szCs w:val="18"/>
              </w:rPr>
              <w:t>% Filles</w:t>
            </w:r>
          </w:p>
        </w:tc>
        <w:tc>
          <w:tcPr>
            <w:tcW w:w="1186" w:type="dxa"/>
            <w:tcBorders>
              <w:bottom w:val="single" w:sz="12" w:space="0" w:color="auto"/>
            </w:tcBorders>
            <w:shd w:val="clear" w:color="auto" w:fill="auto"/>
            <w:vAlign w:val="bottom"/>
          </w:tcPr>
          <w:p w:rsidR="00000000" w:rsidRDefault="00000000">
            <w:pPr>
              <w:spacing w:before="40" w:after="40" w:line="220" w:lineRule="exact"/>
              <w:jc w:val="right"/>
              <w:rPr>
                <w:sz w:val="18"/>
                <w:szCs w:val="18"/>
              </w:rPr>
            </w:pPr>
            <w:r>
              <w:rPr>
                <w:sz w:val="18"/>
                <w:szCs w:val="18"/>
              </w:rPr>
              <w:t>45,62</w:t>
            </w:r>
          </w:p>
        </w:tc>
        <w:tc>
          <w:tcPr>
            <w:tcW w:w="1173" w:type="dxa"/>
            <w:tcBorders>
              <w:bottom w:val="single" w:sz="12" w:space="0" w:color="auto"/>
            </w:tcBorders>
            <w:shd w:val="clear" w:color="auto" w:fill="auto"/>
            <w:vAlign w:val="bottom"/>
          </w:tcPr>
          <w:p w:rsidR="00000000" w:rsidRDefault="00000000">
            <w:pPr>
              <w:spacing w:before="40" w:after="40" w:line="220" w:lineRule="exact"/>
              <w:jc w:val="right"/>
              <w:rPr>
                <w:sz w:val="18"/>
                <w:szCs w:val="18"/>
              </w:rPr>
            </w:pPr>
            <w:r>
              <w:rPr>
                <w:sz w:val="18"/>
                <w:szCs w:val="18"/>
              </w:rPr>
              <w:t>45,15</w:t>
            </w:r>
          </w:p>
        </w:tc>
        <w:tc>
          <w:tcPr>
            <w:tcW w:w="1173" w:type="dxa"/>
            <w:tcBorders>
              <w:bottom w:val="single" w:sz="12" w:space="0" w:color="auto"/>
            </w:tcBorders>
            <w:shd w:val="clear" w:color="auto" w:fill="auto"/>
            <w:vAlign w:val="bottom"/>
          </w:tcPr>
          <w:p w:rsidR="00000000" w:rsidRDefault="00000000">
            <w:pPr>
              <w:spacing w:before="40" w:after="40" w:line="220" w:lineRule="exact"/>
              <w:jc w:val="right"/>
              <w:rPr>
                <w:sz w:val="18"/>
                <w:szCs w:val="18"/>
              </w:rPr>
            </w:pPr>
            <w:r>
              <w:rPr>
                <w:sz w:val="18"/>
                <w:szCs w:val="18"/>
              </w:rPr>
              <w:t>46,94</w:t>
            </w:r>
          </w:p>
        </w:tc>
        <w:tc>
          <w:tcPr>
            <w:tcW w:w="1173" w:type="dxa"/>
            <w:tcBorders>
              <w:bottom w:val="single" w:sz="12" w:space="0" w:color="auto"/>
            </w:tcBorders>
            <w:shd w:val="clear" w:color="auto" w:fill="auto"/>
            <w:vAlign w:val="bottom"/>
          </w:tcPr>
          <w:p w:rsidR="00000000" w:rsidRDefault="00000000">
            <w:pPr>
              <w:spacing w:before="40" w:after="40" w:line="220" w:lineRule="exact"/>
              <w:jc w:val="right"/>
              <w:rPr>
                <w:sz w:val="18"/>
                <w:szCs w:val="18"/>
              </w:rPr>
            </w:pPr>
            <w:r>
              <w:rPr>
                <w:sz w:val="18"/>
                <w:szCs w:val="18"/>
              </w:rPr>
              <w:t>47,06</w:t>
            </w:r>
          </w:p>
        </w:tc>
        <w:tc>
          <w:tcPr>
            <w:tcW w:w="1173" w:type="dxa"/>
            <w:tcBorders>
              <w:bottom w:val="single" w:sz="12" w:space="0" w:color="auto"/>
            </w:tcBorders>
            <w:shd w:val="clear" w:color="auto" w:fill="auto"/>
            <w:vAlign w:val="bottom"/>
          </w:tcPr>
          <w:p w:rsidR="00000000" w:rsidRDefault="00000000">
            <w:pPr>
              <w:spacing w:before="40" w:after="40" w:line="220" w:lineRule="exact"/>
              <w:jc w:val="right"/>
              <w:rPr>
                <w:sz w:val="18"/>
                <w:szCs w:val="18"/>
              </w:rPr>
            </w:pPr>
            <w:r>
              <w:rPr>
                <w:sz w:val="18"/>
                <w:szCs w:val="18"/>
              </w:rPr>
              <w:t>46,62</w:t>
            </w:r>
          </w:p>
        </w:tc>
      </w:tr>
    </w:tbl>
    <w:p w:rsidR="00000000" w:rsidRDefault="00000000">
      <w:pPr>
        <w:pStyle w:val="SingleTxtG"/>
        <w:spacing w:before="120"/>
        <w:rPr>
          <w:lang w:val="fr-FR"/>
        </w:rPr>
      </w:pPr>
      <w:r>
        <w:rPr>
          <w:lang w:val="fr-FR"/>
        </w:rPr>
        <w:t>530.</w:t>
      </w:r>
      <w:r>
        <w:rPr>
          <w:lang w:val="fr-FR"/>
        </w:rPr>
        <w:tab/>
      </w:r>
      <w:r>
        <w:rPr>
          <w:b/>
          <w:lang w:val="fr-FR"/>
        </w:rPr>
        <w:t xml:space="preserve">Télé-enseignement. </w:t>
      </w:r>
      <w:r>
        <w:rPr>
          <w:lang w:val="fr-FR"/>
        </w:rPr>
        <w:t xml:space="preserve">Pour satisfaire la forte demande d’enseignement supérieur, l’État malgache a mis en place un centre national de téléenseignement (CNTEMAD) pour les filières gestion, économie et droit. En 2004-2005, un total de 5 978 élèves étaient inscrits a ces cours par correspondance </w:t>
      </w:r>
    </w:p>
    <w:p w:rsidR="00000000" w:rsidRDefault="00000000">
      <w:pPr>
        <w:pStyle w:val="SingleTxtG"/>
        <w:rPr>
          <w:lang w:val="fr-FR"/>
        </w:rPr>
      </w:pPr>
      <w:r>
        <w:rPr>
          <w:lang w:val="fr-FR"/>
        </w:rPr>
        <w:t>531.</w:t>
      </w:r>
      <w:r>
        <w:rPr>
          <w:lang w:val="fr-FR"/>
        </w:rPr>
        <w:tab/>
      </w:r>
      <w:r>
        <w:rPr>
          <w:b/>
          <w:lang w:val="fr-FR"/>
        </w:rPr>
        <w:t xml:space="preserve">Facilitation de l’accès aux études supérieures extérieures. </w:t>
      </w:r>
      <w:r>
        <w:rPr>
          <w:lang w:val="fr-FR"/>
        </w:rPr>
        <w:t>Les étudiants de niveau supérieur peuvent accéder à des bourses nationales et extérieures. La Commission Nationale des Bourses Extérieures ou CONABEX est l’institution chargée de l’attribution des bourses aux étudiants malgaches.</w:t>
      </w:r>
    </w:p>
    <w:p w:rsidR="00000000" w:rsidRDefault="00000000">
      <w:pPr>
        <w:pStyle w:val="SingleTxtG"/>
        <w:rPr>
          <w:lang w:val="fr-FR"/>
        </w:rPr>
      </w:pPr>
      <w:r>
        <w:rPr>
          <w:lang w:val="fr-FR"/>
        </w:rPr>
        <w:t>532.</w:t>
      </w:r>
      <w:r>
        <w:rPr>
          <w:lang w:val="fr-FR"/>
        </w:rPr>
        <w:tab/>
        <w:t>Le développement des relations bilatérales a permis le bénéfice de l’octroi de bourses pour effectuer des études aux Indes, Japon, Chine, USA, Suisse, Canada, Maroc, Iran, Algérie, Afrique du Sud, France</w:t>
      </w:r>
    </w:p>
    <w:p w:rsidR="00000000" w:rsidRDefault="00000000">
      <w:pPr>
        <w:pStyle w:val="H4G"/>
        <w:rPr>
          <w:lang w:val="fr-FR"/>
        </w:rPr>
      </w:pPr>
      <w:bookmarkStart w:id="1140" w:name="_Toc206414601"/>
      <w:bookmarkStart w:id="1141" w:name="_Toc206460443"/>
      <w:bookmarkStart w:id="1142" w:name="_Toc206460775"/>
      <w:bookmarkStart w:id="1143" w:name="_Toc206461497"/>
      <w:bookmarkStart w:id="1144" w:name="_Toc206476291"/>
      <w:bookmarkStart w:id="1145" w:name="_Toc207788826"/>
      <w:bookmarkStart w:id="1146" w:name="_Toc211835497"/>
      <w:bookmarkStart w:id="1147" w:name="_Toc211926804"/>
      <w:r>
        <w:rPr>
          <w:lang w:val="fr-FR"/>
        </w:rPr>
        <w:tab/>
      </w:r>
      <w:r>
        <w:rPr>
          <w:lang w:val="fr-FR"/>
        </w:rPr>
        <w:tab/>
        <w:t>Efficacité du système</w:t>
      </w:r>
      <w:bookmarkEnd w:id="1140"/>
      <w:bookmarkEnd w:id="1141"/>
      <w:bookmarkEnd w:id="1142"/>
      <w:bookmarkEnd w:id="1143"/>
      <w:bookmarkEnd w:id="1144"/>
      <w:bookmarkEnd w:id="1145"/>
      <w:bookmarkEnd w:id="1146"/>
      <w:bookmarkEnd w:id="1147"/>
    </w:p>
    <w:p w:rsidR="00000000" w:rsidRDefault="00000000">
      <w:pPr>
        <w:pStyle w:val="SingleTxtG"/>
        <w:rPr>
          <w:lang w:val="fr-FR"/>
        </w:rPr>
      </w:pPr>
      <w:r>
        <w:rPr>
          <w:lang w:val="fr-FR"/>
        </w:rPr>
        <w:t>533.</w:t>
      </w:r>
      <w:r>
        <w:rPr>
          <w:lang w:val="fr-FR"/>
        </w:rPr>
        <w:tab/>
        <w:t>Le taux d’achèvement dans l’enseignement primaire est relativement bas. Moins de la moitié des élèves qui entre en première année finissent la 5</w:t>
      </w:r>
      <w:r>
        <w:rPr>
          <w:vertAlign w:val="superscript"/>
          <w:lang w:val="fr-FR"/>
        </w:rPr>
        <w:t>e</w:t>
      </w:r>
      <w:r>
        <w:rPr>
          <w:lang w:val="fr-FR"/>
        </w:rPr>
        <w:t xml:space="preserve"> année soit 47 %. </w:t>
      </w:r>
    </w:p>
    <w:p w:rsidR="00000000" w:rsidRDefault="00000000">
      <w:pPr>
        <w:pStyle w:val="SingleTxtG"/>
        <w:rPr>
          <w:lang w:val="fr-FR"/>
        </w:rPr>
      </w:pPr>
      <w:r>
        <w:rPr>
          <w:lang w:val="fr-FR"/>
        </w:rPr>
        <w:t>534.</w:t>
      </w:r>
      <w:r>
        <w:rPr>
          <w:lang w:val="fr-FR"/>
        </w:rPr>
        <w:tab/>
        <w:t>Face à cette situation, des initiatives ont été prises pour améliorer l’efficacité du système éducatif, dont la mise en œuvre:</w:t>
      </w:r>
    </w:p>
    <w:p w:rsidR="00000000" w:rsidRDefault="00000000">
      <w:pPr>
        <w:pStyle w:val="Bullet1G"/>
        <w:rPr>
          <w:lang w:val="fr-FR"/>
        </w:rPr>
      </w:pPr>
      <w:r>
        <w:rPr>
          <w:lang w:val="fr-FR"/>
        </w:rPr>
        <w:t>Du programme «Amélioration de la gestion des éducations à Madagascar» (AGEMAD) qui est un programme de travaux et de réflexions pour améliorer la gestion du système éducatif en matière de distribution des ressources et de leur transformation en apprentissages de qualité;</w:t>
      </w:r>
    </w:p>
    <w:p w:rsidR="00000000" w:rsidRDefault="00000000">
      <w:pPr>
        <w:pStyle w:val="Bullet1G"/>
        <w:rPr>
          <w:lang w:val="fr-FR"/>
        </w:rPr>
      </w:pPr>
      <w:r>
        <w:rPr>
          <w:lang w:val="fr-FR"/>
        </w:rPr>
        <w:t xml:space="preserve">Du programme de formation des chefs d’établissement en matière de gestion d’établissement; </w:t>
      </w:r>
    </w:p>
    <w:p w:rsidR="00000000" w:rsidRDefault="00000000">
      <w:pPr>
        <w:pStyle w:val="Bullet1G"/>
        <w:rPr>
          <w:lang w:val="fr-FR"/>
        </w:rPr>
      </w:pPr>
      <w:r>
        <w:rPr>
          <w:lang w:val="fr-FR"/>
        </w:rPr>
        <w:t>De la restructuration de l’enseignement primaire;</w:t>
      </w:r>
    </w:p>
    <w:p w:rsidR="00000000" w:rsidRDefault="00000000">
      <w:pPr>
        <w:pStyle w:val="Bullet1G"/>
        <w:rPr>
          <w:lang w:val="fr-FR"/>
        </w:rPr>
      </w:pPr>
      <w:r>
        <w:rPr>
          <w:lang w:val="fr-FR"/>
        </w:rPr>
        <w:t>Du réaménagement du système de la continuité de l’apprentissage;</w:t>
      </w:r>
    </w:p>
    <w:p w:rsidR="00000000" w:rsidRDefault="00000000">
      <w:pPr>
        <w:pStyle w:val="Bullet1G"/>
        <w:rPr>
          <w:lang w:val="fr-FR"/>
        </w:rPr>
      </w:pPr>
      <w:r>
        <w:rPr>
          <w:lang w:val="fr-FR"/>
        </w:rPr>
        <w:t>De l’adoption de l’approche par les compétences, à généraliser progressivement pour la période 2008-2009;</w:t>
      </w:r>
    </w:p>
    <w:p w:rsidR="00000000" w:rsidRDefault="00000000">
      <w:pPr>
        <w:pStyle w:val="Bullet1G"/>
        <w:rPr>
          <w:lang w:val="fr-FR"/>
        </w:rPr>
      </w:pPr>
      <w:r>
        <w:rPr>
          <w:lang w:val="fr-FR"/>
        </w:rPr>
        <w:t>De la mise en place de 22 directions régionales de l’éducation nationale au lieu des six directions provinciales de l’enseignement secondaire et de l’éducation de base (DIRESEB);</w:t>
      </w:r>
    </w:p>
    <w:p w:rsidR="00000000" w:rsidRDefault="00000000">
      <w:pPr>
        <w:pStyle w:val="Bullet1G"/>
        <w:rPr>
          <w:lang w:val="fr-FR"/>
        </w:rPr>
      </w:pPr>
      <w:r>
        <w:rPr>
          <w:lang w:val="fr-FR"/>
        </w:rPr>
        <w:t>Des campagnes d’information et d’orientation en vue d’éclairer les élèves sur les options de formations disponibles</w:t>
      </w:r>
      <w:r>
        <w:rPr>
          <w:rStyle w:val="FootnoteReference"/>
        </w:rPr>
        <w:footnoteReference w:id="16"/>
      </w:r>
      <w:r>
        <w:rPr>
          <w:lang w:val="fr-FR"/>
        </w:rPr>
        <w:t xml:space="preserve">. </w:t>
      </w:r>
    </w:p>
    <w:p w:rsidR="00000000" w:rsidRDefault="00000000">
      <w:pPr>
        <w:pStyle w:val="H23G"/>
        <w:rPr>
          <w:lang w:val="fr-FR"/>
        </w:rPr>
      </w:pPr>
      <w:bookmarkStart w:id="1148" w:name="_Toc206414602"/>
      <w:bookmarkStart w:id="1149" w:name="_Toc206460444"/>
      <w:bookmarkStart w:id="1150" w:name="_Toc206460776"/>
      <w:bookmarkStart w:id="1151" w:name="_Toc206461498"/>
      <w:bookmarkStart w:id="1152" w:name="_Toc206476292"/>
      <w:bookmarkStart w:id="1153" w:name="_Toc207788827"/>
      <w:bookmarkStart w:id="1154" w:name="_Toc211835498"/>
      <w:bookmarkStart w:id="1155" w:name="_Toc211926805"/>
      <w:r>
        <w:rPr>
          <w:lang w:val="fr-FR"/>
        </w:rPr>
        <w:tab/>
        <w:t>13.</w:t>
      </w:r>
      <w:r>
        <w:rPr>
          <w:lang w:val="fr-FR"/>
        </w:rPr>
        <w:tab/>
        <w:t>Enfants exclus de l’école</w:t>
      </w:r>
      <w:bookmarkEnd w:id="1148"/>
      <w:bookmarkEnd w:id="1149"/>
      <w:bookmarkEnd w:id="1150"/>
      <w:bookmarkEnd w:id="1151"/>
      <w:bookmarkEnd w:id="1152"/>
      <w:bookmarkEnd w:id="1153"/>
      <w:bookmarkEnd w:id="1154"/>
      <w:bookmarkEnd w:id="1155"/>
    </w:p>
    <w:p w:rsidR="00000000" w:rsidRDefault="00000000">
      <w:pPr>
        <w:pStyle w:val="SingleTxtG"/>
        <w:rPr>
          <w:lang w:val="fr-FR"/>
        </w:rPr>
      </w:pPr>
      <w:r>
        <w:rPr>
          <w:lang w:val="fr-FR"/>
        </w:rPr>
        <w:t>535.</w:t>
      </w:r>
      <w:r>
        <w:rPr>
          <w:lang w:val="fr-FR"/>
        </w:rPr>
        <w:tab/>
        <w:t>En partenariat avec des organismes caritatifs et humanitaires, des enfants de rues sont pris en charge soit pour leur scolarisation ou leurs formations professionnelles. Citons le Centre de développement d’Andohatapenaka, le Centre Akamasoa, le Groupe Développement, l’Association Graine de Bitume, le Projet IPEC BIT. Selon les estimations du MFPTLS, il y aurait 1 400 000 enfants travailleurs. Il est à préciser que certains d’entre eux avant l’entrée dans le domaine du travail ont déjà fréquenté l’école. Le Projet IPEC BIT vise comme objectif leur réinsertion par leur réintégration dans le système éducatif.</w:t>
      </w:r>
    </w:p>
    <w:p w:rsidR="00000000" w:rsidRDefault="00000000">
      <w:pPr>
        <w:pStyle w:val="H23G"/>
        <w:rPr>
          <w:i/>
          <w:lang w:val="fr-FR"/>
        </w:rPr>
      </w:pPr>
      <w:bookmarkStart w:id="1156" w:name="_Toc206414603"/>
      <w:bookmarkStart w:id="1157" w:name="_Toc206460445"/>
      <w:bookmarkStart w:id="1158" w:name="_Toc206460777"/>
      <w:bookmarkStart w:id="1159" w:name="_Toc206461499"/>
      <w:bookmarkStart w:id="1160" w:name="_Toc206476293"/>
      <w:bookmarkStart w:id="1161" w:name="_Toc207788828"/>
      <w:bookmarkStart w:id="1162" w:name="_Toc211835499"/>
      <w:bookmarkStart w:id="1163" w:name="_Toc211926806"/>
      <w:r>
        <w:rPr>
          <w:lang w:val="fr-FR"/>
        </w:rPr>
        <w:tab/>
        <w:t>14.</w:t>
      </w:r>
      <w:r>
        <w:rPr>
          <w:lang w:val="fr-FR"/>
        </w:rPr>
        <w:tab/>
        <w:t>Discipline</w:t>
      </w:r>
      <w:r>
        <w:rPr>
          <w:i/>
          <w:lang w:val="fr-FR"/>
        </w:rPr>
        <w:t xml:space="preserve"> </w:t>
      </w:r>
      <w:r>
        <w:rPr>
          <w:lang w:val="fr-FR"/>
        </w:rPr>
        <w:t>scolaire</w:t>
      </w:r>
      <w:bookmarkEnd w:id="1156"/>
      <w:bookmarkEnd w:id="1157"/>
      <w:bookmarkEnd w:id="1158"/>
      <w:bookmarkEnd w:id="1159"/>
      <w:bookmarkEnd w:id="1160"/>
      <w:bookmarkEnd w:id="1161"/>
      <w:bookmarkEnd w:id="1162"/>
      <w:bookmarkEnd w:id="1163"/>
    </w:p>
    <w:p w:rsidR="00000000" w:rsidRDefault="00000000">
      <w:pPr>
        <w:pStyle w:val="SingleTxtG"/>
        <w:rPr>
          <w:lang w:val="fr-FR"/>
        </w:rPr>
      </w:pPr>
      <w:r>
        <w:rPr>
          <w:lang w:val="fr-FR"/>
        </w:rPr>
        <w:t>536.</w:t>
      </w:r>
      <w:r>
        <w:rPr>
          <w:lang w:val="fr-FR"/>
        </w:rPr>
        <w:tab/>
        <w:t>Les règles disciplinaires en vigueur dans les établissements scolaires sont communiquées aux élèves et à leurs parents à chaque début d’année scolaire. Les sanctions peuvent aller jusqu’à l’exclusion temporaire ou définitive.</w:t>
      </w:r>
    </w:p>
    <w:p w:rsidR="00000000" w:rsidRDefault="00000000">
      <w:pPr>
        <w:pStyle w:val="SingleTxtG"/>
        <w:rPr>
          <w:lang w:val="fr-FR"/>
        </w:rPr>
      </w:pPr>
      <w:r>
        <w:rPr>
          <w:lang w:val="fr-FR"/>
        </w:rPr>
        <w:t>537.</w:t>
      </w:r>
      <w:r>
        <w:rPr>
          <w:lang w:val="fr-FR"/>
        </w:rPr>
        <w:tab/>
        <w:t>Le Conseil de discipline est le mécanisme responsable de l’application de la discipline au niveau des établissements scolaires. Celui-ci, composé d’enseignants, de personnel administratif et de représentants des élèves, est présidé par le Chef d’établissement au niveau des collèges et des lycées. Il statue sur les cas graves de manquement à la discipline ou en cas de récidive perpétrés par les élèves.</w:t>
      </w:r>
    </w:p>
    <w:p w:rsidR="00000000" w:rsidRDefault="00000000">
      <w:pPr>
        <w:pStyle w:val="SingleTxtG"/>
        <w:rPr>
          <w:lang w:val="fr-FR"/>
        </w:rPr>
      </w:pPr>
      <w:r>
        <w:rPr>
          <w:lang w:val="fr-FR"/>
        </w:rPr>
        <w:t>538.</w:t>
      </w:r>
      <w:r>
        <w:rPr>
          <w:lang w:val="fr-FR"/>
        </w:rPr>
        <w:tab/>
        <w:t xml:space="preserve">Le châtiment corporel sous aucun prétexte est interdit, sous peine de poursuite, dans l’hypothèse où l’enfant a subi des atteintes corporelles constitutives d’infraction pénale </w:t>
      </w:r>
    </w:p>
    <w:p w:rsidR="00000000" w:rsidRDefault="00000000">
      <w:pPr>
        <w:pStyle w:val="SingleTxtG"/>
        <w:rPr>
          <w:lang w:val="fr-FR"/>
        </w:rPr>
      </w:pPr>
      <w:r>
        <w:rPr>
          <w:lang w:val="fr-FR"/>
        </w:rPr>
        <w:t>539.</w:t>
      </w:r>
      <w:r>
        <w:rPr>
          <w:lang w:val="fr-FR"/>
        </w:rPr>
        <w:tab/>
        <w:t>À Mahajanga, en septembre 2006, un manuel didactique d’initiation aux droits de l’enfant dans les écoles primaires intitulé «Zo sy andraikitry ny ankizy» (Droits et responsabilités des enfants) a été édité en partenariat avec le PNUD et distribué aux enseignants du primaire.</w:t>
      </w:r>
    </w:p>
    <w:p w:rsidR="00000000" w:rsidRDefault="00000000">
      <w:pPr>
        <w:pStyle w:val="H23G"/>
        <w:rPr>
          <w:i/>
          <w:lang w:val="fr-FR"/>
        </w:rPr>
      </w:pPr>
      <w:bookmarkStart w:id="1164" w:name="_Toc206414604"/>
      <w:bookmarkStart w:id="1165" w:name="_Toc206460446"/>
      <w:bookmarkStart w:id="1166" w:name="_Toc206460778"/>
      <w:bookmarkStart w:id="1167" w:name="_Toc206461500"/>
      <w:bookmarkStart w:id="1168" w:name="_Toc206476294"/>
      <w:bookmarkStart w:id="1169" w:name="_Toc207788829"/>
      <w:bookmarkStart w:id="1170" w:name="_Toc211835500"/>
      <w:bookmarkStart w:id="1171" w:name="_Toc211926807"/>
      <w:r>
        <w:rPr>
          <w:lang w:val="fr-FR"/>
        </w:rPr>
        <w:tab/>
        <w:t>15.</w:t>
      </w:r>
      <w:r>
        <w:rPr>
          <w:lang w:val="fr-FR"/>
        </w:rPr>
        <w:tab/>
        <w:t>Participation de l’enfant aux procédures administratives et judiciaires</w:t>
      </w:r>
      <w:bookmarkEnd w:id="1164"/>
      <w:bookmarkEnd w:id="1165"/>
      <w:bookmarkEnd w:id="1166"/>
      <w:bookmarkEnd w:id="1167"/>
      <w:bookmarkEnd w:id="1168"/>
      <w:bookmarkEnd w:id="1169"/>
      <w:bookmarkEnd w:id="1170"/>
      <w:bookmarkEnd w:id="1171"/>
    </w:p>
    <w:p w:rsidR="00000000" w:rsidRDefault="00000000">
      <w:pPr>
        <w:pStyle w:val="SingleTxtG"/>
        <w:rPr>
          <w:lang w:val="fr-FR"/>
        </w:rPr>
      </w:pPr>
      <w:r>
        <w:rPr>
          <w:lang w:val="fr-FR"/>
        </w:rPr>
        <w:t>540.</w:t>
      </w:r>
      <w:r>
        <w:rPr>
          <w:lang w:val="fr-FR"/>
        </w:rPr>
        <w:tab/>
        <w:t>Les élèves peuvent donner leur avis au sein du Conseil d’établissement pour les questions relatives à l’administration et la gestion de leur école.</w:t>
      </w:r>
    </w:p>
    <w:p w:rsidR="00000000" w:rsidRDefault="00000000">
      <w:pPr>
        <w:pStyle w:val="SingleTxtG"/>
        <w:rPr>
          <w:lang w:val="fr-FR"/>
        </w:rPr>
      </w:pPr>
      <w:r>
        <w:rPr>
          <w:lang w:val="fr-FR"/>
        </w:rPr>
        <w:t>541.</w:t>
      </w:r>
      <w:r>
        <w:rPr>
          <w:lang w:val="fr-FR"/>
        </w:rPr>
        <w:tab/>
        <w:t>En matière judiciaire, l’enfant est recevable à donner son opinion pour toutes questions les concernant.</w:t>
      </w:r>
    </w:p>
    <w:p w:rsidR="00000000" w:rsidRDefault="00000000">
      <w:pPr>
        <w:pStyle w:val="H1G"/>
        <w:rPr>
          <w:lang w:val="fr-FR"/>
        </w:rPr>
      </w:pPr>
      <w:bookmarkStart w:id="1172" w:name="_Toc206414605"/>
      <w:bookmarkStart w:id="1173" w:name="_Toc206460447"/>
      <w:bookmarkStart w:id="1174" w:name="_Toc206460779"/>
      <w:bookmarkStart w:id="1175" w:name="_Toc206461501"/>
      <w:bookmarkStart w:id="1176" w:name="_Toc206476295"/>
      <w:bookmarkStart w:id="1177" w:name="_Toc207788830"/>
      <w:bookmarkStart w:id="1178" w:name="_Toc211835501"/>
      <w:bookmarkStart w:id="1179" w:name="_Toc211926808"/>
      <w:r>
        <w:rPr>
          <w:lang w:val="fr-FR"/>
        </w:rPr>
        <w:tab/>
      </w:r>
      <w:bookmarkStart w:id="1180" w:name="_Toc260298277"/>
      <w:r>
        <w:rPr>
          <w:lang w:val="fr-FR"/>
        </w:rPr>
        <w:t>B.</w:t>
      </w:r>
      <w:r>
        <w:rPr>
          <w:lang w:val="fr-FR"/>
        </w:rPr>
        <w:tab/>
        <w:t>Objectifs de l’État en matière d’éducation</w:t>
      </w:r>
      <w:bookmarkEnd w:id="1172"/>
      <w:bookmarkEnd w:id="1173"/>
      <w:bookmarkEnd w:id="1174"/>
      <w:bookmarkEnd w:id="1175"/>
      <w:bookmarkEnd w:id="1176"/>
      <w:bookmarkEnd w:id="1177"/>
      <w:bookmarkEnd w:id="1178"/>
      <w:bookmarkEnd w:id="1179"/>
      <w:bookmarkEnd w:id="1180"/>
    </w:p>
    <w:p w:rsidR="00000000" w:rsidRDefault="00000000">
      <w:pPr>
        <w:pStyle w:val="H23G"/>
        <w:rPr>
          <w:lang w:val="fr-FR"/>
        </w:rPr>
      </w:pPr>
      <w:bookmarkStart w:id="1181" w:name="_Toc206414606"/>
      <w:bookmarkStart w:id="1182" w:name="_Toc206460448"/>
      <w:bookmarkStart w:id="1183" w:name="_Toc206460780"/>
      <w:bookmarkStart w:id="1184" w:name="_Toc206461502"/>
      <w:bookmarkStart w:id="1185" w:name="_Toc206476296"/>
      <w:bookmarkStart w:id="1186" w:name="_Toc207788831"/>
      <w:bookmarkStart w:id="1187" w:name="_Toc211835502"/>
      <w:bookmarkStart w:id="1188" w:name="_Toc211926809"/>
      <w:r>
        <w:rPr>
          <w:lang w:val="fr-FR"/>
        </w:rPr>
        <w:tab/>
        <w:t>1.</w:t>
      </w:r>
      <w:r>
        <w:rPr>
          <w:lang w:val="fr-FR"/>
        </w:rPr>
        <w:tab/>
        <w:t>Objectifs internationaux en matière d’éducation</w:t>
      </w:r>
      <w:bookmarkEnd w:id="1181"/>
      <w:bookmarkEnd w:id="1182"/>
      <w:bookmarkEnd w:id="1183"/>
      <w:bookmarkEnd w:id="1184"/>
      <w:bookmarkEnd w:id="1185"/>
      <w:bookmarkEnd w:id="1186"/>
      <w:bookmarkEnd w:id="1187"/>
      <w:bookmarkEnd w:id="1188"/>
    </w:p>
    <w:p w:rsidR="00000000" w:rsidRDefault="00000000">
      <w:pPr>
        <w:pStyle w:val="SingleTxtG"/>
        <w:rPr>
          <w:lang w:val="fr-FR"/>
        </w:rPr>
      </w:pPr>
      <w:r>
        <w:rPr>
          <w:lang w:val="fr-FR"/>
        </w:rPr>
        <w:t>542.</w:t>
      </w:r>
      <w:r>
        <w:rPr>
          <w:lang w:val="fr-FR"/>
        </w:rPr>
        <w:tab/>
        <w:t>Madagascar a entrepris différents initiatives et programmes dans le but d’assurer l’éducation primaire pour tous conformément aux objectifs du Millénaire pour le développement.</w:t>
      </w:r>
    </w:p>
    <w:p w:rsidR="00000000" w:rsidRDefault="00000000">
      <w:pPr>
        <w:pStyle w:val="H23G"/>
        <w:rPr>
          <w:i/>
          <w:lang w:val="fr-FR"/>
        </w:rPr>
      </w:pPr>
      <w:bookmarkStart w:id="1189" w:name="_Toc206414607"/>
      <w:bookmarkStart w:id="1190" w:name="_Toc206460449"/>
      <w:bookmarkStart w:id="1191" w:name="_Toc206460781"/>
      <w:bookmarkStart w:id="1192" w:name="_Toc206461503"/>
      <w:bookmarkStart w:id="1193" w:name="_Toc206476297"/>
      <w:bookmarkStart w:id="1194" w:name="_Toc207788832"/>
      <w:bookmarkStart w:id="1195" w:name="_Toc211835503"/>
      <w:bookmarkStart w:id="1196" w:name="_Toc211926810"/>
      <w:r>
        <w:rPr>
          <w:lang w:val="fr-FR"/>
        </w:rPr>
        <w:tab/>
        <w:t>2.</w:t>
      </w:r>
      <w:r>
        <w:rPr>
          <w:lang w:val="fr-FR"/>
        </w:rPr>
        <w:tab/>
        <w:t>Objectifs du</w:t>
      </w:r>
      <w:r>
        <w:rPr>
          <w:i/>
          <w:lang w:val="fr-FR"/>
        </w:rPr>
        <w:t xml:space="preserve"> </w:t>
      </w:r>
      <w:r>
        <w:rPr>
          <w:lang w:val="fr-FR"/>
        </w:rPr>
        <w:t>Ministère</w:t>
      </w:r>
      <w:bookmarkEnd w:id="1189"/>
      <w:bookmarkEnd w:id="1190"/>
      <w:bookmarkEnd w:id="1191"/>
      <w:bookmarkEnd w:id="1192"/>
      <w:bookmarkEnd w:id="1193"/>
      <w:bookmarkEnd w:id="1194"/>
      <w:bookmarkEnd w:id="1195"/>
      <w:bookmarkEnd w:id="1196"/>
    </w:p>
    <w:p w:rsidR="00000000" w:rsidRDefault="00000000">
      <w:pPr>
        <w:pStyle w:val="SingleTxtG"/>
        <w:rPr>
          <w:lang w:val="fr-FR"/>
        </w:rPr>
      </w:pPr>
      <w:r>
        <w:rPr>
          <w:lang w:val="fr-FR"/>
        </w:rPr>
        <w:t>543.</w:t>
      </w:r>
      <w:r>
        <w:rPr>
          <w:lang w:val="fr-FR"/>
        </w:rPr>
        <w:tab/>
        <w:t xml:space="preserve">Objectifs pour l’enseignement primaire pour 2015: </w:t>
      </w:r>
    </w:p>
    <w:p w:rsidR="00000000" w:rsidRDefault="00000000">
      <w:pPr>
        <w:pStyle w:val="Bullet1G"/>
        <w:rPr>
          <w:lang w:val="fr-FR"/>
        </w:rPr>
      </w:pPr>
      <w:r>
        <w:rPr>
          <w:lang w:val="fr-FR"/>
        </w:rPr>
        <w:t>Atteindre un taux d’achèvement de 100 % des 5 premières années du primaire et de 65 % des 7 premières années;</w:t>
      </w:r>
    </w:p>
    <w:p w:rsidR="00000000" w:rsidRDefault="00000000">
      <w:pPr>
        <w:pStyle w:val="Bullet1G"/>
        <w:rPr>
          <w:lang w:val="fr-FR"/>
        </w:rPr>
      </w:pPr>
      <w:r>
        <w:rPr>
          <w:lang w:val="fr-FR"/>
        </w:rPr>
        <w:t>Doubler le taux brut de scolarisation des enfants âgés de 11 à 12 ans dans les 6</w:t>
      </w:r>
      <w:r>
        <w:rPr>
          <w:vertAlign w:val="superscript"/>
          <w:lang w:val="fr-FR"/>
        </w:rPr>
        <w:t>e</w:t>
      </w:r>
      <w:r>
        <w:rPr>
          <w:lang w:val="fr-FR"/>
        </w:rPr>
        <w:t xml:space="preserve"> et 7</w:t>
      </w:r>
      <w:r>
        <w:rPr>
          <w:vertAlign w:val="superscript"/>
          <w:lang w:val="fr-FR"/>
        </w:rPr>
        <w:t>e </w:t>
      </w:r>
      <w:r>
        <w:rPr>
          <w:lang w:val="fr-FR"/>
        </w:rPr>
        <w:t>années d’études en passant de 34 % en 2006 à 69 % en 2015;</w:t>
      </w:r>
    </w:p>
    <w:p w:rsidR="00000000" w:rsidRDefault="00000000">
      <w:pPr>
        <w:pStyle w:val="Bullet1G"/>
        <w:rPr>
          <w:lang w:val="fr-FR"/>
        </w:rPr>
      </w:pPr>
      <w:r>
        <w:rPr>
          <w:lang w:val="fr-FR"/>
        </w:rPr>
        <w:t>Réduire les taux d’abandons et de redoublement et atteindre en 2015 un taux d’achèvement pour la 5</w:t>
      </w:r>
      <w:r>
        <w:rPr>
          <w:vertAlign w:val="superscript"/>
          <w:lang w:val="fr-FR"/>
        </w:rPr>
        <w:t>e</w:t>
      </w:r>
      <w:r>
        <w:rPr>
          <w:lang w:val="fr-FR"/>
        </w:rPr>
        <w:t xml:space="preserve"> année d’études de 94 % contre 50 % en 2006, et pour la 7</w:t>
      </w:r>
      <w:r>
        <w:rPr>
          <w:vertAlign w:val="superscript"/>
          <w:lang w:val="fr-FR"/>
        </w:rPr>
        <w:t>e</w:t>
      </w:r>
      <w:r>
        <w:rPr>
          <w:lang w:val="fr-FR"/>
        </w:rPr>
        <w:t> année d’étude de 65 % contre 26 % en 2006;</w:t>
      </w:r>
    </w:p>
    <w:p w:rsidR="00000000" w:rsidRDefault="00000000">
      <w:pPr>
        <w:pStyle w:val="Bullet1G"/>
        <w:rPr>
          <w:lang w:val="fr-FR"/>
        </w:rPr>
      </w:pPr>
      <w:r>
        <w:rPr>
          <w:lang w:val="fr-FR"/>
        </w:rPr>
        <w:t>Réduire le pourcentage des redoublants à 5 % pour le nouveau cycle primaire de sept ans.</w:t>
      </w:r>
    </w:p>
    <w:p w:rsidR="00000000" w:rsidRDefault="00000000">
      <w:pPr>
        <w:pStyle w:val="SingleTxtG"/>
        <w:rPr>
          <w:lang w:val="fr-FR"/>
        </w:rPr>
      </w:pPr>
      <w:r>
        <w:rPr>
          <w:lang w:val="fr-FR"/>
        </w:rPr>
        <w:t>544.</w:t>
      </w:r>
      <w:r>
        <w:rPr>
          <w:lang w:val="fr-FR"/>
        </w:rPr>
        <w:tab/>
        <w:t xml:space="preserve">Sur le plan qualitatif: </w:t>
      </w:r>
    </w:p>
    <w:p w:rsidR="00000000" w:rsidRDefault="00000000">
      <w:pPr>
        <w:pStyle w:val="Bullet1G"/>
        <w:rPr>
          <w:lang w:val="fr-FR"/>
        </w:rPr>
      </w:pPr>
      <w:r>
        <w:rPr>
          <w:lang w:val="fr-FR"/>
        </w:rPr>
        <w:t>Assurer que tous les élèves acquièrent les compétences et habilités envisagées à la fin de chaque cycle;</w:t>
      </w:r>
    </w:p>
    <w:p w:rsidR="00000000" w:rsidRDefault="00000000">
      <w:pPr>
        <w:pStyle w:val="Bullet1G"/>
        <w:rPr>
          <w:lang w:val="fr-FR"/>
        </w:rPr>
      </w:pPr>
      <w:r>
        <w:rPr>
          <w:lang w:val="fr-FR"/>
        </w:rPr>
        <w:t>Assurer que tous les enfants de 6 ans et de 7ans sont inscrits en 1</w:t>
      </w:r>
      <w:r>
        <w:rPr>
          <w:vertAlign w:val="superscript"/>
          <w:lang w:val="fr-FR"/>
        </w:rPr>
        <w:t>re</w:t>
      </w:r>
      <w:r>
        <w:rPr>
          <w:lang w:val="fr-FR"/>
        </w:rPr>
        <w:t xml:space="preserve"> année du primaire;</w:t>
      </w:r>
    </w:p>
    <w:p w:rsidR="00000000" w:rsidRDefault="00000000">
      <w:pPr>
        <w:pStyle w:val="Bullet1G"/>
        <w:rPr>
          <w:lang w:val="fr-FR"/>
        </w:rPr>
      </w:pPr>
      <w:r>
        <w:rPr>
          <w:lang w:val="fr-FR"/>
        </w:rPr>
        <w:t>Assurer qu’aucun enfant ne sera exclu de l’école primaire parce que ses parents n’ont pas la possibilité financière de contribuer aux dépenses de fonctionnement de l’école.</w:t>
      </w:r>
    </w:p>
    <w:p w:rsidR="00000000" w:rsidRDefault="00000000">
      <w:pPr>
        <w:pStyle w:val="SingleTxtG"/>
        <w:rPr>
          <w:lang w:val="fr-FR"/>
        </w:rPr>
      </w:pPr>
      <w:r>
        <w:rPr>
          <w:lang w:val="fr-FR"/>
        </w:rPr>
        <w:t>545.</w:t>
      </w:r>
      <w:r>
        <w:rPr>
          <w:lang w:val="fr-FR"/>
        </w:rPr>
        <w:tab/>
        <w:t>Objectifs pour l’enseignement secondaire du premier cycle:</w:t>
      </w:r>
    </w:p>
    <w:p w:rsidR="00000000" w:rsidRDefault="00000000">
      <w:pPr>
        <w:pStyle w:val="Bullet1G"/>
        <w:rPr>
          <w:lang w:val="fr-FR"/>
        </w:rPr>
      </w:pPr>
      <w:r>
        <w:rPr>
          <w:lang w:val="fr-FR"/>
        </w:rPr>
        <w:t>Expansion: en 2015, près de 728 000 élèves des collèges publics et privés contre 580 000 en 2006;</w:t>
      </w:r>
    </w:p>
    <w:p w:rsidR="00000000" w:rsidRDefault="00000000">
      <w:pPr>
        <w:pStyle w:val="Bullet1G"/>
        <w:rPr>
          <w:lang w:val="fr-FR"/>
        </w:rPr>
      </w:pPr>
      <w:r>
        <w:rPr>
          <w:lang w:val="fr-FR"/>
        </w:rPr>
        <w:t>Qualité: taux d’abandon actuel d’environ 30 % ramené à moins de 15 %;</w:t>
      </w:r>
    </w:p>
    <w:p w:rsidR="00000000" w:rsidRDefault="00000000">
      <w:pPr>
        <w:pStyle w:val="Bullet1G"/>
        <w:rPr>
          <w:lang w:val="fr-FR"/>
        </w:rPr>
      </w:pPr>
      <w:r>
        <w:rPr>
          <w:lang w:val="fr-FR"/>
        </w:rPr>
        <w:t>Taux de redoublement de l’ordre de 25 % dans la dernière année du premier cycle de l’enseignement secondaire ramené à 10 %.</w:t>
      </w:r>
    </w:p>
    <w:p w:rsidR="00000000" w:rsidRDefault="00000000">
      <w:pPr>
        <w:pStyle w:val="H23G"/>
        <w:rPr>
          <w:i/>
          <w:lang w:val="fr-FR"/>
        </w:rPr>
      </w:pPr>
      <w:bookmarkStart w:id="1197" w:name="_Toc206414608"/>
      <w:bookmarkStart w:id="1198" w:name="_Toc206460450"/>
      <w:bookmarkStart w:id="1199" w:name="_Toc206460782"/>
      <w:bookmarkStart w:id="1200" w:name="_Toc206461504"/>
      <w:bookmarkStart w:id="1201" w:name="_Toc206476298"/>
      <w:bookmarkStart w:id="1202" w:name="_Toc207788833"/>
      <w:bookmarkStart w:id="1203" w:name="_Toc211835504"/>
      <w:bookmarkStart w:id="1204" w:name="_Toc211926811"/>
      <w:r>
        <w:rPr>
          <w:lang w:val="fr-FR"/>
        </w:rPr>
        <w:tab/>
        <w:t>3.</w:t>
      </w:r>
      <w:r>
        <w:rPr>
          <w:lang w:val="fr-FR"/>
        </w:rPr>
        <w:tab/>
        <w:t>Les objectifs</w:t>
      </w:r>
      <w:r>
        <w:rPr>
          <w:i/>
          <w:lang w:val="fr-FR"/>
        </w:rPr>
        <w:t xml:space="preserve"> </w:t>
      </w:r>
      <w:r>
        <w:rPr>
          <w:lang w:val="fr-FR"/>
        </w:rPr>
        <w:t>éducatifs</w:t>
      </w:r>
      <w:bookmarkEnd w:id="1197"/>
      <w:bookmarkEnd w:id="1198"/>
      <w:bookmarkEnd w:id="1199"/>
      <w:bookmarkEnd w:id="1200"/>
      <w:bookmarkEnd w:id="1201"/>
      <w:bookmarkEnd w:id="1202"/>
      <w:bookmarkEnd w:id="1203"/>
      <w:bookmarkEnd w:id="1204"/>
    </w:p>
    <w:p w:rsidR="00000000" w:rsidRDefault="00000000">
      <w:pPr>
        <w:pStyle w:val="SingleTxtG"/>
        <w:rPr>
          <w:lang w:val="fr-FR"/>
        </w:rPr>
      </w:pPr>
      <w:r>
        <w:rPr>
          <w:lang w:val="fr-FR"/>
        </w:rPr>
        <w:t>546.</w:t>
      </w:r>
      <w:r>
        <w:rPr>
          <w:lang w:val="fr-FR"/>
        </w:rPr>
        <w:tab/>
        <w:t xml:space="preserve">L’épanouissement de l’enfant représente un objectif important de l’éducation de l’enfant malgache. L’article 14 alinéa 2 de la loi </w:t>
      </w:r>
      <w:r>
        <w:rPr>
          <w:rFonts w:eastAsia="MS Mincho"/>
          <w:lang w:val="fr-FR"/>
        </w:rPr>
        <w:t>n</w:t>
      </w:r>
      <w:r>
        <w:rPr>
          <w:rFonts w:eastAsia="MS Mincho"/>
          <w:vertAlign w:val="superscript"/>
          <w:lang w:val="fr-FR"/>
        </w:rPr>
        <w:t>o</w:t>
      </w:r>
      <w:r>
        <w:rPr>
          <w:lang w:val="fr-FR"/>
        </w:rPr>
        <w:t xml:space="preserve"> 2004-004 dispose que l’école est appelée à «développer la personnalité de l’individu, dans toutes ses dimensions: physique, affective, psychique, mentale et morale, en garantissant le droit à la construction de sa personne de manière à aiguiser son esprit critique et sa volonté.».</w:t>
      </w:r>
    </w:p>
    <w:p w:rsidR="00000000" w:rsidRDefault="00000000">
      <w:pPr>
        <w:pStyle w:val="SingleTxtG"/>
        <w:rPr>
          <w:lang w:val="fr-FR"/>
        </w:rPr>
      </w:pPr>
      <w:r>
        <w:rPr>
          <w:lang w:val="fr-FR"/>
        </w:rPr>
        <w:t>547.</w:t>
      </w:r>
      <w:r>
        <w:rPr>
          <w:lang w:val="fr-FR"/>
        </w:rPr>
        <w:tab/>
        <w:t xml:space="preserve">Il s’agit aussi dans le cadre de leur fonction de préparation à la vie adulte, selon l’article 16 de la même loi, de «développer des compétences et des savoir-faire, de consolider ces compétences et de les utiliser pour la résolution des problèmes auxquels ils peuvent être confrontés.». </w:t>
      </w:r>
    </w:p>
    <w:p w:rsidR="00000000" w:rsidRDefault="00000000">
      <w:pPr>
        <w:pStyle w:val="SingleTxtG"/>
        <w:rPr>
          <w:lang w:val="fr-FR"/>
        </w:rPr>
      </w:pPr>
      <w:r>
        <w:rPr>
          <w:lang w:val="fr-FR"/>
        </w:rPr>
        <w:t>548.</w:t>
      </w:r>
      <w:r>
        <w:rPr>
          <w:lang w:val="fr-FR"/>
        </w:rPr>
        <w:tab/>
        <w:t>Les principaux instruments internationaux de droits de l’homme dont ceux sur les droits de l’enfant sont intégrés dans les programmes d’éducation civique et citoyenne des écoles et des collèges. En outre, des émissions radio-éducatives et des séances de sensibilisation au niveau des écoles sont programmées, et des articles de presse publiés pour informer les enfants sur ces droits et les éduquer à leur respect.</w:t>
      </w:r>
    </w:p>
    <w:p w:rsidR="00000000" w:rsidRDefault="00000000">
      <w:pPr>
        <w:pStyle w:val="SingleTxtG"/>
        <w:rPr>
          <w:lang w:val="fr-FR"/>
        </w:rPr>
      </w:pPr>
      <w:r>
        <w:rPr>
          <w:lang w:val="fr-FR"/>
        </w:rPr>
        <w:t>549.</w:t>
      </w:r>
      <w:r>
        <w:rPr>
          <w:lang w:val="fr-FR"/>
        </w:rPr>
        <w:tab/>
        <w:t>La langue malgache, les us et coutumes ainsi que les valeurs socioculturelles traditionnelles sont enseignés à tous les niveaux d’enseignement. En plus du français et de l’anglais qui font partie de nos langues officielles, les langues étrangères espagnole, russe et allemande ainsi que les différentes civilisations anciennes et modernes figurent aussi dans les programmes scolaires malgaches.</w:t>
      </w:r>
    </w:p>
    <w:p w:rsidR="00000000" w:rsidRDefault="00000000">
      <w:pPr>
        <w:pStyle w:val="SingleTxtG"/>
        <w:rPr>
          <w:lang w:val="fr-FR"/>
        </w:rPr>
      </w:pPr>
      <w:r>
        <w:rPr>
          <w:lang w:val="fr-FR"/>
        </w:rPr>
        <w:t>550.</w:t>
      </w:r>
      <w:r>
        <w:rPr>
          <w:lang w:val="fr-FR"/>
        </w:rPr>
        <w:tab/>
        <w:t>La préservation de l’environnement naturel fait aussi partie du programme des écoles et des collèges.</w:t>
      </w:r>
    </w:p>
    <w:p w:rsidR="00000000" w:rsidRDefault="00000000">
      <w:pPr>
        <w:pStyle w:val="H23G"/>
        <w:rPr>
          <w:lang w:val="fr-FR"/>
        </w:rPr>
      </w:pPr>
      <w:bookmarkStart w:id="1205" w:name="_Toc206414609"/>
      <w:bookmarkStart w:id="1206" w:name="_Toc206460451"/>
      <w:bookmarkStart w:id="1207" w:name="_Toc206460783"/>
      <w:bookmarkStart w:id="1208" w:name="_Toc206461505"/>
      <w:bookmarkStart w:id="1209" w:name="_Toc206476299"/>
      <w:bookmarkStart w:id="1210" w:name="_Toc207788834"/>
      <w:bookmarkStart w:id="1211" w:name="_Toc211835505"/>
      <w:bookmarkStart w:id="1212" w:name="_Toc211926812"/>
      <w:r>
        <w:rPr>
          <w:lang w:val="fr-FR"/>
        </w:rPr>
        <w:tab/>
        <w:t>4.</w:t>
      </w:r>
      <w:r>
        <w:rPr>
          <w:lang w:val="fr-FR"/>
        </w:rPr>
        <w:tab/>
        <w:t>Enseignement privé</w:t>
      </w:r>
      <w:bookmarkEnd w:id="1205"/>
      <w:bookmarkEnd w:id="1206"/>
      <w:bookmarkEnd w:id="1207"/>
      <w:bookmarkEnd w:id="1208"/>
      <w:bookmarkEnd w:id="1209"/>
      <w:bookmarkEnd w:id="1210"/>
      <w:bookmarkEnd w:id="1211"/>
      <w:bookmarkEnd w:id="1212"/>
    </w:p>
    <w:p w:rsidR="00000000" w:rsidRDefault="00000000">
      <w:pPr>
        <w:pStyle w:val="SingleTxtG"/>
        <w:rPr>
          <w:lang w:val="fr-FR"/>
        </w:rPr>
      </w:pPr>
      <w:r>
        <w:rPr>
          <w:lang w:val="fr-FR"/>
        </w:rPr>
        <w:t>551.</w:t>
      </w:r>
      <w:r>
        <w:rPr>
          <w:lang w:val="fr-FR"/>
        </w:rPr>
        <w:tab/>
        <w:t>Le droit à l’enseignement privé est garanti par la Constitution: «L’État reconnaît le droit à l’enseignement privé et garantit la liberté d’enseigner sous réserve des conditions d’hygiène, de moralité et de capacités fixées par la loi. Les établissements d’enseignement privé bénéficient d’un même régime fiscal dans les conditions fixées par la loi» (art. 25).</w:t>
      </w:r>
    </w:p>
    <w:p w:rsidR="00000000" w:rsidRDefault="00000000">
      <w:pPr>
        <w:pStyle w:val="SingleTxtG"/>
        <w:rPr>
          <w:lang w:val="fr-FR"/>
        </w:rPr>
      </w:pPr>
      <w:r>
        <w:rPr>
          <w:lang w:val="fr-FR"/>
        </w:rPr>
        <w:t>552.</w:t>
      </w:r>
      <w:r>
        <w:rPr>
          <w:lang w:val="fr-FR"/>
        </w:rPr>
        <w:tab/>
        <w:t>Il existe actuellement 8 Directions nationales de l’enseignement privé dont six confessionnelles: ECAR, FJKM, anglicane, luthérienne, Rainisoalambo et adventiste.</w:t>
      </w:r>
    </w:p>
    <w:p w:rsidR="00000000" w:rsidRDefault="00000000">
      <w:pPr>
        <w:pStyle w:val="SingleTxtG"/>
        <w:rPr>
          <w:lang w:val="fr-FR"/>
        </w:rPr>
      </w:pPr>
      <w:r>
        <w:rPr>
          <w:lang w:val="fr-FR"/>
        </w:rPr>
        <w:t>553.</w:t>
      </w:r>
      <w:r>
        <w:rPr>
          <w:lang w:val="fr-FR"/>
        </w:rPr>
        <w:tab/>
        <w:t>Au niveau du MENRS, l’Office national de l’enseignement privé est chargée de la coordination des rapports entre l’enseignement privé et l’État. Entre autres, il gère les subventions allouées par l’État et délivre les autorisations d’ouverture et d’enseigner pour les écoles privées.</w:t>
      </w:r>
    </w:p>
    <w:p w:rsidR="00000000" w:rsidRDefault="00000000">
      <w:pPr>
        <w:pStyle w:val="SingleTxtG"/>
        <w:rPr>
          <w:lang w:val="fr-FR"/>
        </w:rPr>
      </w:pPr>
      <w:r>
        <w:rPr>
          <w:lang w:val="fr-FR"/>
        </w:rPr>
        <w:t>554.</w:t>
      </w:r>
      <w:r>
        <w:rPr>
          <w:lang w:val="fr-FR"/>
        </w:rPr>
        <w:tab/>
        <w:t>L’enseignement privé est fortement impliqué dans l’atteinte des objectifs de l’Éducation pour tous. Comme il a été déjà indiqué auparavant, l’État apporte un appui important aux établissements privés tant dans le domaine de la formation des enseignants, dans l’appui financier de ces établissements par l’intermédiaire de subventions annuelles, et la dotation de kits scolaires pour les élèves et enseignants.</w:t>
      </w:r>
    </w:p>
    <w:p w:rsidR="00000000" w:rsidRDefault="00000000">
      <w:pPr>
        <w:pStyle w:val="SingleTxtG"/>
        <w:rPr>
          <w:lang w:val="fr-FR"/>
        </w:rPr>
      </w:pPr>
      <w:r>
        <w:rPr>
          <w:lang w:val="fr-FR"/>
        </w:rPr>
        <w:t>555.</w:t>
      </w:r>
      <w:r>
        <w:rPr>
          <w:lang w:val="fr-FR"/>
        </w:rPr>
        <w:tab/>
      </w:r>
      <w:r>
        <w:rPr>
          <w:b/>
          <w:lang w:val="fr-FR"/>
        </w:rPr>
        <w:t xml:space="preserve">Mécanisme de contrôle. </w:t>
      </w:r>
      <w:r>
        <w:rPr>
          <w:lang w:val="fr-FR"/>
        </w:rPr>
        <w:t>Pour prévenir les abus et contrôler le respect des normes de sécurité et de santé des enfants étudiant dans les établissements scolaires privés, le ministère a mis en place l’ONEP et de l’OREP qui représentent à leur niveau respectif, central et régional, les structures de tutelle de l’enseignement privé. Les agents de ces structures sont assistés par les inspecteurs du MENRS.</w:t>
      </w:r>
    </w:p>
    <w:p w:rsidR="00000000" w:rsidRDefault="00000000">
      <w:pPr>
        <w:pStyle w:val="SingleTxtG"/>
        <w:rPr>
          <w:lang w:val="fr-FR"/>
        </w:rPr>
      </w:pPr>
      <w:r>
        <w:rPr>
          <w:lang w:val="fr-FR"/>
        </w:rPr>
        <w:t>556.</w:t>
      </w:r>
      <w:r>
        <w:rPr>
          <w:lang w:val="fr-FR"/>
        </w:rPr>
        <w:tab/>
      </w:r>
      <w:r>
        <w:rPr>
          <w:b/>
          <w:lang w:val="fr-FR"/>
        </w:rPr>
        <w:t xml:space="preserve">Partenariat public-privé. </w:t>
      </w:r>
      <w:r>
        <w:rPr>
          <w:lang w:val="fr-FR"/>
        </w:rPr>
        <w:t>Une Subvention des frais parentaux est réservée aux écoles ayant des frais de scolarité mensuels en dessous de 800 ariary. Ce programme fournit une subvention sur neuf mois de 30 000 ariary par enseignant. En 2006, plus de 4400 enseignants, soit 22 % des enseignants du primaire privé, ont reçu cette subvention. En 2007, 1 936 écoles et 4 907 enseignants ont touché 1 318 380 000 ariary.</w:t>
      </w:r>
    </w:p>
    <w:p w:rsidR="00000000" w:rsidRDefault="00000000">
      <w:pPr>
        <w:pStyle w:val="SingleTxtG"/>
        <w:rPr>
          <w:lang w:val="fr-FR"/>
        </w:rPr>
      </w:pPr>
      <w:r>
        <w:rPr>
          <w:lang w:val="fr-FR"/>
        </w:rPr>
        <w:t>557.</w:t>
      </w:r>
      <w:r>
        <w:rPr>
          <w:lang w:val="fr-FR"/>
        </w:rPr>
        <w:tab/>
        <w:t>De plus en 2007, un crédit de fonctionnement de 111 803 182 ariary est octroyé aux huit directions nationales privées. Pour le contrat programme de construction scolaire ou d’équipement de leurs infrastructures, les établissements ont reçu 1 270 908 499 ariary.</w:t>
      </w:r>
    </w:p>
    <w:p w:rsidR="00000000" w:rsidRDefault="00000000">
      <w:pPr>
        <w:pStyle w:val="SingleTxtG"/>
        <w:rPr>
          <w:b/>
          <w:lang w:val="fr-FR"/>
        </w:rPr>
      </w:pPr>
      <w:r>
        <w:rPr>
          <w:lang w:val="fr-FR"/>
        </w:rPr>
        <w:t>558.</w:t>
      </w:r>
      <w:r>
        <w:rPr>
          <w:lang w:val="fr-FR"/>
        </w:rPr>
        <w:tab/>
      </w:r>
      <w:r>
        <w:rPr>
          <w:b/>
          <w:lang w:val="fr-FR"/>
        </w:rPr>
        <w:t xml:space="preserve">Réalités du secteur privé. </w:t>
      </w:r>
      <w:r>
        <w:rPr>
          <w:lang w:val="fr-FR"/>
        </w:rPr>
        <w:t xml:space="preserve">Le tableau suivant reflète les réalités du secteur privé. </w:t>
      </w:r>
    </w:p>
    <w:p w:rsidR="00000000" w:rsidRDefault="00000000">
      <w:pPr>
        <w:pStyle w:val="SingleTxtG"/>
        <w:spacing w:after="0"/>
      </w:pPr>
      <w:bookmarkStart w:id="1213" w:name="_Toc260298278"/>
      <w:r>
        <w:t>Tableau 31</w:t>
      </w:r>
    </w:p>
    <w:p w:rsidR="00000000" w:rsidRDefault="00000000">
      <w:pPr>
        <w:pStyle w:val="SingleTxtG"/>
        <w:rPr>
          <w:b/>
        </w:rPr>
      </w:pPr>
      <w:r>
        <w:rPr>
          <w:b/>
        </w:rPr>
        <w:t>Proportion des établissements privés</w:t>
      </w:r>
      <w:bookmarkEnd w:id="1213"/>
    </w:p>
    <w:tbl>
      <w:tblPr>
        <w:tblW w:w="7371" w:type="dxa"/>
        <w:tblInd w:w="1134" w:type="dxa"/>
        <w:tblCellMar>
          <w:left w:w="0" w:type="dxa"/>
          <w:right w:w="0" w:type="dxa"/>
        </w:tblCellMar>
        <w:tblLook w:val="01E0" w:firstRow="1" w:lastRow="1" w:firstColumn="1" w:lastColumn="1" w:noHBand="0" w:noVBand="0"/>
      </w:tblPr>
      <w:tblGrid>
        <w:gridCol w:w="2045"/>
        <w:gridCol w:w="935"/>
        <w:gridCol w:w="847"/>
        <w:gridCol w:w="937"/>
        <w:gridCol w:w="828"/>
        <w:gridCol w:w="934"/>
        <w:gridCol w:w="845"/>
      </w:tblGrid>
      <w:tr w:rsidR="00000000">
        <w:tc>
          <w:tcPr>
            <w:tcW w:w="2045" w:type="dxa"/>
            <w:tcBorders>
              <w:top w:val="single" w:sz="4" w:space="0" w:color="auto"/>
              <w:bottom w:val="single" w:sz="12" w:space="0" w:color="auto"/>
            </w:tcBorders>
            <w:shd w:val="clear" w:color="auto" w:fill="auto"/>
          </w:tcPr>
          <w:p w:rsidR="00000000" w:rsidRDefault="00000000">
            <w:pPr>
              <w:spacing w:before="80" w:after="80" w:line="200" w:lineRule="exact"/>
              <w:rPr>
                <w:bCs/>
                <w:i/>
                <w:sz w:val="16"/>
                <w:szCs w:val="16"/>
              </w:rPr>
            </w:pPr>
            <w:r>
              <w:rPr>
                <w:bCs/>
                <w:i/>
                <w:sz w:val="16"/>
                <w:szCs w:val="16"/>
              </w:rPr>
              <w:t>Type d’établissement</w:t>
            </w:r>
          </w:p>
        </w:tc>
        <w:tc>
          <w:tcPr>
            <w:tcW w:w="935"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bCs/>
                <w:i/>
                <w:sz w:val="16"/>
                <w:szCs w:val="16"/>
              </w:rPr>
            </w:pPr>
            <w:r>
              <w:rPr>
                <w:bCs/>
                <w:i/>
                <w:sz w:val="16"/>
                <w:szCs w:val="16"/>
              </w:rPr>
              <w:t>2002 /03</w:t>
            </w:r>
          </w:p>
        </w:tc>
        <w:tc>
          <w:tcPr>
            <w:tcW w:w="847"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bCs/>
                <w:i/>
                <w:sz w:val="16"/>
                <w:szCs w:val="16"/>
              </w:rPr>
            </w:pPr>
            <w:r>
              <w:rPr>
                <w:bCs/>
                <w:i/>
                <w:sz w:val="16"/>
                <w:szCs w:val="16"/>
              </w:rPr>
              <w:t>%</w:t>
            </w:r>
          </w:p>
        </w:tc>
        <w:tc>
          <w:tcPr>
            <w:tcW w:w="937"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bCs/>
                <w:i/>
                <w:sz w:val="16"/>
                <w:szCs w:val="16"/>
              </w:rPr>
            </w:pPr>
            <w:r>
              <w:rPr>
                <w:bCs/>
                <w:i/>
                <w:sz w:val="16"/>
                <w:szCs w:val="16"/>
              </w:rPr>
              <w:t>2003/04</w:t>
            </w:r>
          </w:p>
        </w:tc>
        <w:tc>
          <w:tcPr>
            <w:tcW w:w="828"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bCs/>
                <w:i/>
                <w:sz w:val="16"/>
                <w:szCs w:val="16"/>
              </w:rPr>
            </w:pPr>
            <w:r>
              <w:rPr>
                <w:bCs/>
                <w:i/>
                <w:sz w:val="16"/>
                <w:szCs w:val="16"/>
              </w:rPr>
              <w:t>%</w:t>
            </w:r>
          </w:p>
        </w:tc>
        <w:tc>
          <w:tcPr>
            <w:tcW w:w="934"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bCs/>
                <w:i/>
                <w:sz w:val="16"/>
                <w:szCs w:val="16"/>
              </w:rPr>
            </w:pPr>
            <w:r>
              <w:rPr>
                <w:bCs/>
                <w:i/>
                <w:sz w:val="16"/>
                <w:szCs w:val="16"/>
              </w:rPr>
              <w:t>2004/05</w:t>
            </w:r>
          </w:p>
        </w:tc>
        <w:tc>
          <w:tcPr>
            <w:tcW w:w="845"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bCs/>
                <w:i/>
                <w:sz w:val="16"/>
                <w:szCs w:val="16"/>
              </w:rPr>
            </w:pPr>
            <w:r>
              <w:rPr>
                <w:bCs/>
                <w:i/>
                <w:sz w:val="16"/>
                <w:szCs w:val="16"/>
              </w:rPr>
              <w:t>%</w:t>
            </w:r>
          </w:p>
        </w:tc>
      </w:tr>
      <w:tr w:rsidR="00000000">
        <w:tc>
          <w:tcPr>
            <w:tcW w:w="2045" w:type="dxa"/>
            <w:tcBorders>
              <w:top w:val="single" w:sz="12" w:space="0" w:color="auto"/>
            </w:tcBorders>
            <w:shd w:val="clear" w:color="auto" w:fill="auto"/>
          </w:tcPr>
          <w:p w:rsidR="00000000" w:rsidRDefault="00000000">
            <w:pPr>
              <w:spacing w:before="40" w:after="40" w:line="220" w:lineRule="exact"/>
              <w:rPr>
                <w:bCs/>
                <w:sz w:val="18"/>
                <w:szCs w:val="18"/>
              </w:rPr>
            </w:pPr>
            <w:r>
              <w:rPr>
                <w:bCs/>
                <w:sz w:val="18"/>
                <w:szCs w:val="18"/>
              </w:rPr>
              <w:t>Primaire</w:t>
            </w:r>
          </w:p>
        </w:tc>
        <w:tc>
          <w:tcPr>
            <w:tcW w:w="935" w:type="dxa"/>
            <w:tcBorders>
              <w:top w:val="single" w:sz="12" w:space="0" w:color="auto"/>
            </w:tcBorders>
            <w:shd w:val="clear" w:color="auto" w:fill="auto"/>
            <w:vAlign w:val="bottom"/>
          </w:tcPr>
          <w:p w:rsidR="00000000" w:rsidRDefault="00000000">
            <w:pPr>
              <w:spacing w:before="40" w:after="40" w:line="220" w:lineRule="exact"/>
              <w:jc w:val="right"/>
              <w:rPr>
                <w:bCs/>
                <w:sz w:val="18"/>
                <w:szCs w:val="18"/>
              </w:rPr>
            </w:pPr>
            <w:r>
              <w:rPr>
                <w:bCs/>
                <w:sz w:val="18"/>
                <w:szCs w:val="18"/>
              </w:rPr>
              <w:t>18 977</w:t>
            </w:r>
          </w:p>
        </w:tc>
        <w:tc>
          <w:tcPr>
            <w:tcW w:w="847" w:type="dxa"/>
            <w:tcBorders>
              <w:top w:val="single" w:sz="12" w:space="0" w:color="auto"/>
            </w:tcBorders>
            <w:shd w:val="clear" w:color="auto" w:fill="auto"/>
            <w:vAlign w:val="bottom"/>
          </w:tcPr>
          <w:p w:rsidR="00000000" w:rsidRDefault="00000000">
            <w:pPr>
              <w:spacing w:before="40" w:after="40" w:line="220" w:lineRule="exact"/>
              <w:jc w:val="right"/>
              <w:rPr>
                <w:bCs/>
                <w:sz w:val="18"/>
                <w:szCs w:val="18"/>
              </w:rPr>
            </w:pPr>
            <w:r>
              <w:rPr>
                <w:bCs/>
                <w:sz w:val="18"/>
                <w:szCs w:val="18"/>
              </w:rPr>
              <w:t>100,00</w:t>
            </w:r>
          </w:p>
        </w:tc>
        <w:tc>
          <w:tcPr>
            <w:tcW w:w="937" w:type="dxa"/>
            <w:tcBorders>
              <w:top w:val="single" w:sz="12" w:space="0" w:color="auto"/>
            </w:tcBorders>
            <w:shd w:val="clear" w:color="auto" w:fill="auto"/>
            <w:vAlign w:val="bottom"/>
          </w:tcPr>
          <w:p w:rsidR="00000000" w:rsidRDefault="00000000">
            <w:pPr>
              <w:spacing w:before="40" w:after="40" w:line="220" w:lineRule="exact"/>
              <w:jc w:val="right"/>
              <w:rPr>
                <w:bCs/>
                <w:sz w:val="18"/>
                <w:szCs w:val="18"/>
              </w:rPr>
            </w:pPr>
            <w:r>
              <w:rPr>
                <w:bCs/>
                <w:sz w:val="18"/>
                <w:szCs w:val="18"/>
              </w:rPr>
              <w:t>20 160</w:t>
            </w:r>
          </w:p>
        </w:tc>
        <w:tc>
          <w:tcPr>
            <w:tcW w:w="828" w:type="dxa"/>
            <w:tcBorders>
              <w:top w:val="single" w:sz="12" w:space="0" w:color="auto"/>
            </w:tcBorders>
            <w:shd w:val="clear" w:color="auto" w:fill="auto"/>
            <w:vAlign w:val="bottom"/>
          </w:tcPr>
          <w:p w:rsidR="00000000" w:rsidRDefault="00000000">
            <w:pPr>
              <w:spacing w:before="40" w:after="40" w:line="220" w:lineRule="exact"/>
              <w:jc w:val="right"/>
              <w:rPr>
                <w:bCs/>
                <w:sz w:val="18"/>
                <w:szCs w:val="18"/>
              </w:rPr>
            </w:pPr>
            <w:r>
              <w:rPr>
                <w:bCs/>
                <w:sz w:val="18"/>
                <w:szCs w:val="18"/>
              </w:rPr>
              <w:t>100,00</w:t>
            </w:r>
          </w:p>
        </w:tc>
        <w:tc>
          <w:tcPr>
            <w:tcW w:w="934" w:type="dxa"/>
            <w:tcBorders>
              <w:top w:val="single" w:sz="12" w:space="0" w:color="auto"/>
            </w:tcBorders>
            <w:shd w:val="clear" w:color="auto" w:fill="auto"/>
            <w:vAlign w:val="bottom"/>
          </w:tcPr>
          <w:p w:rsidR="00000000" w:rsidRDefault="00000000">
            <w:pPr>
              <w:spacing w:before="40" w:after="40" w:line="220" w:lineRule="exact"/>
              <w:jc w:val="right"/>
              <w:rPr>
                <w:bCs/>
                <w:sz w:val="18"/>
                <w:szCs w:val="18"/>
              </w:rPr>
            </w:pPr>
            <w:r>
              <w:rPr>
                <w:bCs/>
                <w:sz w:val="18"/>
                <w:szCs w:val="18"/>
              </w:rPr>
              <w:t>20 636</w:t>
            </w:r>
          </w:p>
        </w:tc>
        <w:tc>
          <w:tcPr>
            <w:tcW w:w="845" w:type="dxa"/>
            <w:tcBorders>
              <w:top w:val="single" w:sz="12" w:space="0" w:color="auto"/>
            </w:tcBorders>
            <w:shd w:val="clear" w:color="auto" w:fill="auto"/>
            <w:vAlign w:val="bottom"/>
          </w:tcPr>
          <w:p w:rsidR="00000000" w:rsidRDefault="00000000">
            <w:pPr>
              <w:spacing w:before="40" w:after="40" w:line="220" w:lineRule="exact"/>
              <w:jc w:val="right"/>
              <w:rPr>
                <w:bCs/>
                <w:sz w:val="18"/>
                <w:szCs w:val="18"/>
              </w:rPr>
            </w:pPr>
            <w:r>
              <w:rPr>
                <w:bCs/>
                <w:sz w:val="18"/>
                <w:szCs w:val="18"/>
              </w:rPr>
              <w:t>100,00</w:t>
            </w:r>
          </w:p>
        </w:tc>
      </w:tr>
      <w:tr w:rsidR="00000000">
        <w:tc>
          <w:tcPr>
            <w:tcW w:w="2045" w:type="dxa"/>
            <w:shd w:val="clear" w:color="auto" w:fill="auto"/>
          </w:tcPr>
          <w:p w:rsidR="00000000" w:rsidRDefault="00000000">
            <w:pPr>
              <w:spacing w:before="40" w:after="40" w:line="220" w:lineRule="exact"/>
              <w:rPr>
                <w:bCs/>
                <w:sz w:val="18"/>
                <w:szCs w:val="18"/>
              </w:rPr>
            </w:pPr>
            <w:r>
              <w:rPr>
                <w:bCs/>
                <w:sz w:val="18"/>
                <w:szCs w:val="18"/>
              </w:rPr>
              <w:t>Public</w:t>
            </w:r>
          </w:p>
        </w:tc>
        <w:tc>
          <w:tcPr>
            <w:tcW w:w="935" w:type="dxa"/>
            <w:shd w:val="clear" w:color="auto" w:fill="auto"/>
            <w:vAlign w:val="bottom"/>
          </w:tcPr>
          <w:p w:rsidR="00000000" w:rsidRDefault="00000000">
            <w:pPr>
              <w:spacing w:before="40" w:after="40" w:line="220" w:lineRule="exact"/>
              <w:jc w:val="right"/>
              <w:rPr>
                <w:bCs/>
                <w:sz w:val="18"/>
                <w:szCs w:val="18"/>
              </w:rPr>
            </w:pPr>
            <w:r>
              <w:rPr>
                <w:bCs/>
                <w:sz w:val="18"/>
                <w:szCs w:val="18"/>
              </w:rPr>
              <w:t>14 637</w:t>
            </w:r>
          </w:p>
        </w:tc>
        <w:tc>
          <w:tcPr>
            <w:tcW w:w="847" w:type="dxa"/>
            <w:shd w:val="clear" w:color="auto" w:fill="auto"/>
            <w:vAlign w:val="bottom"/>
          </w:tcPr>
          <w:p w:rsidR="00000000" w:rsidRDefault="00000000">
            <w:pPr>
              <w:spacing w:before="40" w:after="40" w:line="220" w:lineRule="exact"/>
              <w:jc w:val="right"/>
              <w:rPr>
                <w:bCs/>
                <w:sz w:val="18"/>
                <w:szCs w:val="18"/>
              </w:rPr>
            </w:pPr>
            <w:r>
              <w:rPr>
                <w:bCs/>
                <w:sz w:val="18"/>
                <w:szCs w:val="18"/>
              </w:rPr>
              <w:t>77,13</w:t>
            </w:r>
          </w:p>
        </w:tc>
        <w:tc>
          <w:tcPr>
            <w:tcW w:w="937" w:type="dxa"/>
            <w:shd w:val="clear" w:color="auto" w:fill="auto"/>
            <w:vAlign w:val="bottom"/>
          </w:tcPr>
          <w:p w:rsidR="00000000" w:rsidRDefault="00000000">
            <w:pPr>
              <w:spacing w:before="40" w:after="40" w:line="220" w:lineRule="exact"/>
              <w:jc w:val="right"/>
              <w:rPr>
                <w:bCs/>
                <w:sz w:val="18"/>
                <w:szCs w:val="18"/>
              </w:rPr>
            </w:pPr>
            <w:r>
              <w:rPr>
                <w:bCs/>
                <w:sz w:val="18"/>
                <w:szCs w:val="18"/>
              </w:rPr>
              <w:t>15 420</w:t>
            </w:r>
          </w:p>
        </w:tc>
        <w:tc>
          <w:tcPr>
            <w:tcW w:w="828" w:type="dxa"/>
            <w:shd w:val="clear" w:color="auto" w:fill="auto"/>
            <w:vAlign w:val="bottom"/>
          </w:tcPr>
          <w:p w:rsidR="00000000" w:rsidRDefault="00000000">
            <w:pPr>
              <w:spacing w:before="40" w:after="40" w:line="220" w:lineRule="exact"/>
              <w:jc w:val="right"/>
              <w:rPr>
                <w:bCs/>
                <w:sz w:val="18"/>
                <w:szCs w:val="18"/>
              </w:rPr>
            </w:pPr>
            <w:r>
              <w:rPr>
                <w:bCs/>
                <w:sz w:val="18"/>
                <w:szCs w:val="18"/>
              </w:rPr>
              <w:t>76,49</w:t>
            </w:r>
          </w:p>
        </w:tc>
        <w:tc>
          <w:tcPr>
            <w:tcW w:w="934" w:type="dxa"/>
            <w:shd w:val="clear" w:color="auto" w:fill="auto"/>
            <w:vAlign w:val="bottom"/>
          </w:tcPr>
          <w:p w:rsidR="00000000" w:rsidRDefault="00000000">
            <w:pPr>
              <w:spacing w:before="40" w:after="40" w:line="220" w:lineRule="exact"/>
              <w:jc w:val="right"/>
              <w:rPr>
                <w:bCs/>
                <w:sz w:val="18"/>
                <w:szCs w:val="18"/>
              </w:rPr>
            </w:pPr>
            <w:r>
              <w:rPr>
                <w:bCs/>
                <w:sz w:val="18"/>
                <w:szCs w:val="18"/>
              </w:rPr>
              <w:t>15 690</w:t>
            </w:r>
          </w:p>
        </w:tc>
        <w:tc>
          <w:tcPr>
            <w:tcW w:w="845" w:type="dxa"/>
            <w:shd w:val="clear" w:color="auto" w:fill="auto"/>
            <w:vAlign w:val="bottom"/>
          </w:tcPr>
          <w:p w:rsidR="00000000" w:rsidRDefault="00000000">
            <w:pPr>
              <w:spacing w:before="40" w:after="40" w:line="220" w:lineRule="exact"/>
              <w:jc w:val="right"/>
              <w:rPr>
                <w:bCs/>
                <w:sz w:val="18"/>
                <w:szCs w:val="18"/>
              </w:rPr>
            </w:pPr>
            <w:r>
              <w:rPr>
                <w:bCs/>
                <w:sz w:val="18"/>
                <w:szCs w:val="18"/>
              </w:rPr>
              <w:t>76,03</w:t>
            </w:r>
          </w:p>
        </w:tc>
      </w:tr>
      <w:tr w:rsidR="00000000">
        <w:tc>
          <w:tcPr>
            <w:tcW w:w="2045" w:type="dxa"/>
            <w:shd w:val="clear" w:color="auto" w:fill="auto"/>
          </w:tcPr>
          <w:p w:rsidR="00000000" w:rsidRDefault="00000000">
            <w:pPr>
              <w:spacing w:before="40" w:after="40" w:line="220" w:lineRule="exact"/>
              <w:rPr>
                <w:bCs/>
                <w:sz w:val="18"/>
                <w:szCs w:val="18"/>
              </w:rPr>
            </w:pPr>
            <w:r>
              <w:rPr>
                <w:bCs/>
                <w:sz w:val="18"/>
                <w:szCs w:val="18"/>
              </w:rPr>
              <w:t>Privé</w:t>
            </w:r>
          </w:p>
        </w:tc>
        <w:tc>
          <w:tcPr>
            <w:tcW w:w="935" w:type="dxa"/>
            <w:shd w:val="clear" w:color="auto" w:fill="auto"/>
            <w:vAlign w:val="bottom"/>
          </w:tcPr>
          <w:p w:rsidR="00000000" w:rsidRDefault="00000000">
            <w:pPr>
              <w:spacing w:before="40" w:after="40" w:line="220" w:lineRule="exact"/>
              <w:jc w:val="right"/>
              <w:rPr>
                <w:bCs/>
                <w:sz w:val="18"/>
                <w:szCs w:val="18"/>
              </w:rPr>
            </w:pPr>
            <w:r>
              <w:rPr>
                <w:bCs/>
                <w:sz w:val="18"/>
                <w:szCs w:val="18"/>
              </w:rPr>
              <w:t>4 340</w:t>
            </w:r>
          </w:p>
        </w:tc>
        <w:tc>
          <w:tcPr>
            <w:tcW w:w="847" w:type="dxa"/>
            <w:shd w:val="clear" w:color="auto" w:fill="auto"/>
            <w:vAlign w:val="bottom"/>
          </w:tcPr>
          <w:p w:rsidR="00000000" w:rsidRDefault="00000000">
            <w:pPr>
              <w:spacing w:before="40" w:after="40" w:line="220" w:lineRule="exact"/>
              <w:jc w:val="right"/>
              <w:rPr>
                <w:bCs/>
                <w:sz w:val="18"/>
                <w:szCs w:val="18"/>
              </w:rPr>
            </w:pPr>
            <w:r>
              <w:rPr>
                <w:bCs/>
                <w:sz w:val="18"/>
                <w:szCs w:val="18"/>
              </w:rPr>
              <w:t>22,87</w:t>
            </w:r>
          </w:p>
        </w:tc>
        <w:tc>
          <w:tcPr>
            <w:tcW w:w="937" w:type="dxa"/>
            <w:shd w:val="clear" w:color="auto" w:fill="auto"/>
            <w:vAlign w:val="bottom"/>
          </w:tcPr>
          <w:p w:rsidR="00000000" w:rsidRDefault="00000000">
            <w:pPr>
              <w:spacing w:before="40" w:after="40" w:line="220" w:lineRule="exact"/>
              <w:jc w:val="right"/>
              <w:rPr>
                <w:bCs/>
                <w:sz w:val="18"/>
                <w:szCs w:val="18"/>
              </w:rPr>
            </w:pPr>
            <w:r>
              <w:rPr>
                <w:bCs/>
                <w:sz w:val="18"/>
                <w:szCs w:val="18"/>
              </w:rPr>
              <w:t>4 740</w:t>
            </w:r>
          </w:p>
        </w:tc>
        <w:tc>
          <w:tcPr>
            <w:tcW w:w="828" w:type="dxa"/>
            <w:shd w:val="clear" w:color="auto" w:fill="auto"/>
            <w:vAlign w:val="bottom"/>
          </w:tcPr>
          <w:p w:rsidR="00000000" w:rsidRDefault="00000000">
            <w:pPr>
              <w:spacing w:before="40" w:after="40" w:line="220" w:lineRule="exact"/>
              <w:jc w:val="right"/>
              <w:rPr>
                <w:bCs/>
                <w:sz w:val="18"/>
                <w:szCs w:val="18"/>
              </w:rPr>
            </w:pPr>
            <w:r>
              <w:rPr>
                <w:bCs/>
                <w:sz w:val="18"/>
                <w:szCs w:val="18"/>
              </w:rPr>
              <w:t>23,51</w:t>
            </w:r>
          </w:p>
        </w:tc>
        <w:tc>
          <w:tcPr>
            <w:tcW w:w="934" w:type="dxa"/>
            <w:shd w:val="clear" w:color="auto" w:fill="auto"/>
            <w:vAlign w:val="bottom"/>
          </w:tcPr>
          <w:p w:rsidR="00000000" w:rsidRDefault="00000000">
            <w:pPr>
              <w:spacing w:before="40" w:after="40" w:line="220" w:lineRule="exact"/>
              <w:jc w:val="right"/>
              <w:rPr>
                <w:bCs/>
                <w:sz w:val="18"/>
                <w:szCs w:val="18"/>
              </w:rPr>
            </w:pPr>
            <w:r>
              <w:rPr>
                <w:bCs/>
                <w:sz w:val="18"/>
                <w:szCs w:val="18"/>
              </w:rPr>
              <w:t>4 946</w:t>
            </w:r>
          </w:p>
        </w:tc>
        <w:tc>
          <w:tcPr>
            <w:tcW w:w="845" w:type="dxa"/>
            <w:shd w:val="clear" w:color="auto" w:fill="auto"/>
            <w:vAlign w:val="bottom"/>
          </w:tcPr>
          <w:p w:rsidR="00000000" w:rsidRDefault="00000000">
            <w:pPr>
              <w:spacing w:before="40" w:after="40" w:line="220" w:lineRule="exact"/>
              <w:jc w:val="right"/>
              <w:rPr>
                <w:bCs/>
                <w:sz w:val="18"/>
                <w:szCs w:val="18"/>
              </w:rPr>
            </w:pPr>
            <w:r>
              <w:rPr>
                <w:bCs/>
                <w:sz w:val="18"/>
                <w:szCs w:val="18"/>
              </w:rPr>
              <w:t>23,97</w:t>
            </w:r>
          </w:p>
        </w:tc>
      </w:tr>
      <w:tr w:rsidR="00000000">
        <w:tc>
          <w:tcPr>
            <w:tcW w:w="2045" w:type="dxa"/>
            <w:shd w:val="clear" w:color="auto" w:fill="auto"/>
          </w:tcPr>
          <w:p w:rsidR="00000000" w:rsidRDefault="00000000">
            <w:pPr>
              <w:spacing w:before="40" w:after="40" w:line="220" w:lineRule="exact"/>
              <w:rPr>
                <w:bCs/>
                <w:sz w:val="18"/>
                <w:szCs w:val="18"/>
              </w:rPr>
            </w:pPr>
            <w:r>
              <w:rPr>
                <w:bCs/>
                <w:sz w:val="18"/>
                <w:szCs w:val="18"/>
              </w:rPr>
              <w:t>Collège</w:t>
            </w:r>
          </w:p>
        </w:tc>
        <w:tc>
          <w:tcPr>
            <w:tcW w:w="935" w:type="dxa"/>
            <w:shd w:val="clear" w:color="auto" w:fill="auto"/>
            <w:vAlign w:val="bottom"/>
          </w:tcPr>
          <w:p w:rsidR="00000000" w:rsidRDefault="00000000">
            <w:pPr>
              <w:spacing w:before="40" w:after="40" w:line="220" w:lineRule="exact"/>
              <w:jc w:val="right"/>
              <w:rPr>
                <w:bCs/>
                <w:sz w:val="18"/>
                <w:szCs w:val="18"/>
              </w:rPr>
            </w:pPr>
            <w:r>
              <w:rPr>
                <w:bCs/>
                <w:sz w:val="18"/>
                <w:szCs w:val="18"/>
              </w:rPr>
              <w:t>1 596</w:t>
            </w:r>
          </w:p>
        </w:tc>
        <w:tc>
          <w:tcPr>
            <w:tcW w:w="847" w:type="dxa"/>
            <w:shd w:val="clear" w:color="auto" w:fill="auto"/>
            <w:vAlign w:val="bottom"/>
          </w:tcPr>
          <w:p w:rsidR="00000000" w:rsidRDefault="00000000">
            <w:pPr>
              <w:spacing w:before="40" w:after="40" w:line="220" w:lineRule="exact"/>
              <w:jc w:val="right"/>
              <w:rPr>
                <w:bCs/>
                <w:sz w:val="18"/>
                <w:szCs w:val="18"/>
              </w:rPr>
            </w:pPr>
            <w:r>
              <w:rPr>
                <w:bCs/>
                <w:sz w:val="18"/>
                <w:szCs w:val="18"/>
              </w:rPr>
              <w:t>100,00</w:t>
            </w:r>
          </w:p>
        </w:tc>
        <w:tc>
          <w:tcPr>
            <w:tcW w:w="937" w:type="dxa"/>
            <w:shd w:val="clear" w:color="auto" w:fill="auto"/>
            <w:vAlign w:val="bottom"/>
          </w:tcPr>
          <w:p w:rsidR="00000000" w:rsidRDefault="00000000">
            <w:pPr>
              <w:spacing w:before="40" w:after="40" w:line="220" w:lineRule="exact"/>
              <w:jc w:val="right"/>
              <w:rPr>
                <w:bCs/>
                <w:sz w:val="18"/>
                <w:szCs w:val="18"/>
              </w:rPr>
            </w:pPr>
            <w:r>
              <w:rPr>
                <w:bCs/>
                <w:sz w:val="18"/>
                <w:szCs w:val="18"/>
              </w:rPr>
              <w:t>1 679</w:t>
            </w:r>
          </w:p>
        </w:tc>
        <w:tc>
          <w:tcPr>
            <w:tcW w:w="828" w:type="dxa"/>
            <w:shd w:val="clear" w:color="auto" w:fill="auto"/>
            <w:vAlign w:val="bottom"/>
          </w:tcPr>
          <w:p w:rsidR="00000000" w:rsidRDefault="00000000">
            <w:pPr>
              <w:spacing w:before="40" w:after="40" w:line="220" w:lineRule="exact"/>
              <w:jc w:val="right"/>
              <w:rPr>
                <w:bCs/>
                <w:sz w:val="18"/>
                <w:szCs w:val="18"/>
              </w:rPr>
            </w:pPr>
            <w:r>
              <w:rPr>
                <w:bCs/>
                <w:sz w:val="18"/>
                <w:szCs w:val="18"/>
              </w:rPr>
              <w:t>100,00</w:t>
            </w:r>
          </w:p>
        </w:tc>
        <w:tc>
          <w:tcPr>
            <w:tcW w:w="934" w:type="dxa"/>
            <w:shd w:val="clear" w:color="auto" w:fill="auto"/>
            <w:vAlign w:val="bottom"/>
          </w:tcPr>
          <w:p w:rsidR="00000000" w:rsidRDefault="00000000">
            <w:pPr>
              <w:spacing w:before="40" w:after="40" w:line="220" w:lineRule="exact"/>
              <w:jc w:val="right"/>
              <w:rPr>
                <w:bCs/>
                <w:sz w:val="18"/>
                <w:szCs w:val="18"/>
              </w:rPr>
            </w:pPr>
            <w:r>
              <w:rPr>
                <w:bCs/>
                <w:sz w:val="18"/>
                <w:szCs w:val="18"/>
              </w:rPr>
              <w:t>1 855</w:t>
            </w:r>
          </w:p>
        </w:tc>
        <w:tc>
          <w:tcPr>
            <w:tcW w:w="845" w:type="dxa"/>
            <w:shd w:val="clear" w:color="auto" w:fill="auto"/>
            <w:vAlign w:val="bottom"/>
          </w:tcPr>
          <w:p w:rsidR="00000000" w:rsidRDefault="00000000">
            <w:pPr>
              <w:spacing w:before="40" w:after="40" w:line="220" w:lineRule="exact"/>
              <w:jc w:val="right"/>
              <w:rPr>
                <w:bCs/>
                <w:sz w:val="18"/>
                <w:szCs w:val="18"/>
              </w:rPr>
            </w:pPr>
            <w:r>
              <w:rPr>
                <w:bCs/>
                <w:sz w:val="18"/>
                <w:szCs w:val="18"/>
              </w:rPr>
              <w:t>100,00</w:t>
            </w:r>
          </w:p>
        </w:tc>
      </w:tr>
      <w:tr w:rsidR="00000000">
        <w:tc>
          <w:tcPr>
            <w:tcW w:w="2045" w:type="dxa"/>
            <w:shd w:val="clear" w:color="auto" w:fill="auto"/>
          </w:tcPr>
          <w:p w:rsidR="00000000" w:rsidRDefault="00000000">
            <w:pPr>
              <w:spacing w:before="40" w:after="40" w:line="220" w:lineRule="exact"/>
              <w:rPr>
                <w:bCs/>
                <w:sz w:val="18"/>
                <w:szCs w:val="18"/>
              </w:rPr>
            </w:pPr>
            <w:r>
              <w:rPr>
                <w:bCs/>
                <w:sz w:val="18"/>
                <w:szCs w:val="18"/>
              </w:rPr>
              <w:t>Public</w:t>
            </w:r>
          </w:p>
        </w:tc>
        <w:tc>
          <w:tcPr>
            <w:tcW w:w="935" w:type="dxa"/>
            <w:shd w:val="clear" w:color="auto" w:fill="auto"/>
            <w:vAlign w:val="bottom"/>
          </w:tcPr>
          <w:p w:rsidR="00000000" w:rsidRDefault="00000000">
            <w:pPr>
              <w:spacing w:before="40" w:after="40" w:line="220" w:lineRule="exact"/>
              <w:jc w:val="right"/>
              <w:rPr>
                <w:bCs/>
                <w:sz w:val="18"/>
                <w:szCs w:val="18"/>
              </w:rPr>
            </w:pPr>
            <w:r>
              <w:rPr>
                <w:bCs/>
                <w:sz w:val="18"/>
                <w:szCs w:val="18"/>
              </w:rPr>
              <w:t>801</w:t>
            </w:r>
          </w:p>
        </w:tc>
        <w:tc>
          <w:tcPr>
            <w:tcW w:w="847" w:type="dxa"/>
            <w:shd w:val="clear" w:color="auto" w:fill="auto"/>
            <w:vAlign w:val="bottom"/>
          </w:tcPr>
          <w:p w:rsidR="00000000" w:rsidRDefault="00000000">
            <w:pPr>
              <w:spacing w:before="40" w:after="40" w:line="220" w:lineRule="exact"/>
              <w:jc w:val="right"/>
              <w:rPr>
                <w:bCs/>
                <w:sz w:val="18"/>
                <w:szCs w:val="18"/>
              </w:rPr>
            </w:pPr>
            <w:r>
              <w:rPr>
                <w:bCs/>
                <w:sz w:val="18"/>
                <w:szCs w:val="18"/>
              </w:rPr>
              <w:t>50,19</w:t>
            </w:r>
          </w:p>
        </w:tc>
        <w:tc>
          <w:tcPr>
            <w:tcW w:w="937" w:type="dxa"/>
            <w:shd w:val="clear" w:color="auto" w:fill="auto"/>
            <w:vAlign w:val="bottom"/>
          </w:tcPr>
          <w:p w:rsidR="00000000" w:rsidRDefault="00000000">
            <w:pPr>
              <w:spacing w:before="40" w:after="40" w:line="220" w:lineRule="exact"/>
              <w:jc w:val="right"/>
              <w:rPr>
                <w:bCs/>
                <w:sz w:val="18"/>
                <w:szCs w:val="18"/>
              </w:rPr>
            </w:pPr>
            <w:r>
              <w:rPr>
                <w:bCs/>
                <w:sz w:val="18"/>
                <w:szCs w:val="18"/>
              </w:rPr>
              <w:t>817</w:t>
            </w:r>
          </w:p>
        </w:tc>
        <w:tc>
          <w:tcPr>
            <w:tcW w:w="828" w:type="dxa"/>
            <w:shd w:val="clear" w:color="auto" w:fill="auto"/>
            <w:vAlign w:val="bottom"/>
          </w:tcPr>
          <w:p w:rsidR="00000000" w:rsidRDefault="00000000">
            <w:pPr>
              <w:spacing w:before="40" w:after="40" w:line="220" w:lineRule="exact"/>
              <w:jc w:val="right"/>
              <w:rPr>
                <w:bCs/>
                <w:sz w:val="18"/>
                <w:szCs w:val="18"/>
              </w:rPr>
            </w:pPr>
            <w:r>
              <w:rPr>
                <w:bCs/>
                <w:sz w:val="18"/>
                <w:szCs w:val="18"/>
              </w:rPr>
              <w:t>48,66</w:t>
            </w:r>
          </w:p>
        </w:tc>
        <w:tc>
          <w:tcPr>
            <w:tcW w:w="934" w:type="dxa"/>
            <w:shd w:val="clear" w:color="auto" w:fill="auto"/>
            <w:vAlign w:val="bottom"/>
          </w:tcPr>
          <w:p w:rsidR="00000000" w:rsidRDefault="00000000">
            <w:pPr>
              <w:spacing w:before="40" w:after="40" w:line="220" w:lineRule="exact"/>
              <w:jc w:val="right"/>
              <w:rPr>
                <w:bCs/>
                <w:sz w:val="18"/>
                <w:szCs w:val="18"/>
              </w:rPr>
            </w:pPr>
            <w:r>
              <w:rPr>
                <w:bCs/>
                <w:sz w:val="18"/>
                <w:szCs w:val="18"/>
              </w:rPr>
              <w:t>875</w:t>
            </w:r>
          </w:p>
        </w:tc>
        <w:tc>
          <w:tcPr>
            <w:tcW w:w="845" w:type="dxa"/>
            <w:shd w:val="clear" w:color="auto" w:fill="auto"/>
            <w:vAlign w:val="bottom"/>
          </w:tcPr>
          <w:p w:rsidR="00000000" w:rsidRDefault="00000000">
            <w:pPr>
              <w:spacing w:before="40" w:after="40" w:line="220" w:lineRule="exact"/>
              <w:jc w:val="right"/>
              <w:rPr>
                <w:bCs/>
                <w:sz w:val="18"/>
                <w:szCs w:val="18"/>
              </w:rPr>
            </w:pPr>
            <w:r>
              <w:rPr>
                <w:bCs/>
                <w:sz w:val="18"/>
                <w:szCs w:val="18"/>
              </w:rPr>
              <w:t>47,17</w:t>
            </w:r>
          </w:p>
        </w:tc>
      </w:tr>
      <w:tr w:rsidR="00000000">
        <w:tc>
          <w:tcPr>
            <w:tcW w:w="2045" w:type="dxa"/>
            <w:shd w:val="clear" w:color="auto" w:fill="auto"/>
          </w:tcPr>
          <w:p w:rsidR="00000000" w:rsidRDefault="00000000">
            <w:pPr>
              <w:spacing w:before="40" w:after="40" w:line="220" w:lineRule="exact"/>
              <w:rPr>
                <w:bCs/>
                <w:sz w:val="18"/>
                <w:szCs w:val="18"/>
              </w:rPr>
            </w:pPr>
            <w:r>
              <w:rPr>
                <w:bCs/>
                <w:sz w:val="18"/>
                <w:szCs w:val="18"/>
              </w:rPr>
              <w:t>Privé</w:t>
            </w:r>
          </w:p>
        </w:tc>
        <w:tc>
          <w:tcPr>
            <w:tcW w:w="935" w:type="dxa"/>
            <w:shd w:val="clear" w:color="auto" w:fill="auto"/>
            <w:vAlign w:val="bottom"/>
          </w:tcPr>
          <w:p w:rsidR="00000000" w:rsidRDefault="00000000">
            <w:pPr>
              <w:spacing w:before="40" w:after="40" w:line="220" w:lineRule="exact"/>
              <w:jc w:val="right"/>
              <w:rPr>
                <w:bCs/>
                <w:sz w:val="18"/>
                <w:szCs w:val="18"/>
              </w:rPr>
            </w:pPr>
            <w:r>
              <w:rPr>
                <w:bCs/>
                <w:sz w:val="18"/>
                <w:szCs w:val="18"/>
              </w:rPr>
              <w:t>795</w:t>
            </w:r>
          </w:p>
        </w:tc>
        <w:tc>
          <w:tcPr>
            <w:tcW w:w="847" w:type="dxa"/>
            <w:shd w:val="clear" w:color="auto" w:fill="auto"/>
            <w:vAlign w:val="bottom"/>
          </w:tcPr>
          <w:p w:rsidR="00000000" w:rsidRDefault="00000000">
            <w:pPr>
              <w:spacing w:before="40" w:after="40" w:line="220" w:lineRule="exact"/>
              <w:jc w:val="right"/>
              <w:rPr>
                <w:bCs/>
                <w:sz w:val="18"/>
                <w:szCs w:val="18"/>
              </w:rPr>
            </w:pPr>
            <w:r>
              <w:rPr>
                <w:bCs/>
                <w:sz w:val="18"/>
                <w:szCs w:val="18"/>
              </w:rPr>
              <w:t>49,81</w:t>
            </w:r>
          </w:p>
        </w:tc>
        <w:tc>
          <w:tcPr>
            <w:tcW w:w="937" w:type="dxa"/>
            <w:shd w:val="clear" w:color="auto" w:fill="auto"/>
            <w:vAlign w:val="bottom"/>
          </w:tcPr>
          <w:p w:rsidR="00000000" w:rsidRDefault="00000000">
            <w:pPr>
              <w:spacing w:before="40" w:after="40" w:line="220" w:lineRule="exact"/>
              <w:jc w:val="right"/>
              <w:rPr>
                <w:bCs/>
                <w:sz w:val="18"/>
                <w:szCs w:val="18"/>
              </w:rPr>
            </w:pPr>
            <w:r>
              <w:rPr>
                <w:bCs/>
                <w:sz w:val="18"/>
                <w:szCs w:val="18"/>
              </w:rPr>
              <w:t>862</w:t>
            </w:r>
          </w:p>
        </w:tc>
        <w:tc>
          <w:tcPr>
            <w:tcW w:w="828" w:type="dxa"/>
            <w:shd w:val="clear" w:color="auto" w:fill="auto"/>
            <w:vAlign w:val="bottom"/>
          </w:tcPr>
          <w:p w:rsidR="00000000" w:rsidRDefault="00000000">
            <w:pPr>
              <w:spacing w:before="40" w:after="40" w:line="220" w:lineRule="exact"/>
              <w:jc w:val="right"/>
              <w:rPr>
                <w:bCs/>
                <w:sz w:val="18"/>
                <w:szCs w:val="18"/>
              </w:rPr>
            </w:pPr>
            <w:r>
              <w:rPr>
                <w:bCs/>
                <w:sz w:val="18"/>
                <w:szCs w:val="18"/>
              </w:rPr>
              <w:t>51,34</w:t>
            </w:r>
          </w:p>
        </w:tc>
        <w:tc>
          <w:tcPr>
            <w:tcW w:w="934" w:type="dxa"/>
            <w:shd w:val="clear" w:color="auto" w:fill="auto"/>
            <w:vAlign w:val="bottom"/>
          </w:tcPr>
          <w:p w:rsidR="00000000" w:rsidRDefault="00000000">
            <w:pPr>
              <w:spacing w:before="40" w:after="40" w:line="220" w:lineRule="exact"/>
              <w:jc w:val="right"/>
              <w:rPr>
                <w:bCs/>
                <w:sz w:val="18"/>
                <w:szCs w:val="18"/>
              </w:rPr>
            </w:pPr>
            <w:r>
              <w:rPr>
                <w:bCs/>
                <w:sz w:val="18"/>
                <w:szCs w:val="18"/>
              </w:rPr>
              <w:t>980</w:t>
            </w:r>
          </w:p>
        </w:tc>
        <w:tc>
          <w:tcPr>
            <w:tcW w:w="845" w:type="dxa"/>
            <w:shd w:val="clear" w:color="auto" w:fill="auto"/>
            <w:vAlign w:val="bottom"/>
          </w:tcPr>
          <w:p w:rsidR="00000000" w:rsidRDefault="00000000">
            <w:pPr>
              <w:spacing w:before="40" w:after="40" w:line="220" w:lineRule="exact"/>
              <w:jc w:val="right"/>
              <w:rPr>
                <w:bCs/>
                <w:sz w:val="18"/>
                <w:szCs w:val="18"/>
              </w:rPr>
            </w:pPr>
            <w:r>
              <w:rPr>
                <w:bCs/>
                <w:sz w:val="18"/>
                <w:szCs w:val="18"/>
              </w:rPr>
              <w:t>52,83</w:t>
            </w:r>
          </w:p>
        </w:tc>
      </w:tr>
      <w:tr w:rsidR="00000000">
        <w:tc>
          <w:tcPr>
            <w:tcW w:w="2045" w:type="dxa"/>
            <w:shd w:val="clear" w:color="auto" w:fill="auto"/>
          </w:tcPr>
          <w:p w:rsidR="00000000" w:rsidRDefault="00000000">
            <w:pPr>
              <w:spacing w:before="40" w:after="40" w:line="220" w:lineRule="exact"/>
              <w:rPr>
                <w:bCs/>
                <w:sz w:val="18"/>
                <w:szCs w:val="18"/>
              </w:rPr>
            </w:pPr>
            <w:r>
              <w:rPr>
                <w:bCs/>
                <w:sz w:val="18"/>
                <w:szCs w:val="18"/>
              </w:rPr>
              <w:t>Lycée</w:t>
            </w:r>
          </w:p>
        </w:tc>
        <w:tc>
          <w:tcPr>
            <w:tcW w:w="935" w:type="dxa"/>
            <w:shd w:val="clear" w:color="auto" w:fill="auto"/>
            <w:vAlign w:val="bottom"/>
          </w:tcPr>
          <w:p w:rsidR="00000000" w:rsidRDefault="00000000">
            <w:pPr>
              <w:spacing w:before="40" w:after="40" w:line="220" w:lineRule="exact"/>
              <w:jc w:val="right"/>
              <w:rPr>
                <w:bCs/>
                <w:sz w:val="18"/>
                <w:szCs w:val="18"/>
              </w:rPr>
            </w:pPr>
            <w:r>
              <w:rPr>
                <w:bCs/>
                <w:sz w:val="18"/>
                <w:szCs w:val="18"/>
              </w:rPr>
              <w:t>336</w:t>
            </w:r>
          </w:p>
        </w:tc>
        <w:tc>
          <w:tcPr>
            <w:tcW w:w="847" w:type="dxa"/>
            <w:shd w:val="clear" w:color="auto" w:fill="auto"/>
            <w:vAlign w:val="bottom"/>
          </w:tcPr>
          <w:p w:rsidR="00000000" w:rsidRDefault="00000000">
            <w:pPr>
              <w:spacing w:before="40" w:after="40" w:line="220" w:lineRule="exact"/>
              <w:jc w:val="right"/>
              <w:rPr>
                <w:bCs/>
                <w:sz w:val="18"/>
                <w:szCs w:val="18"/>
              </w:rPr>
            </w:pPr>
            <w:r>
              <w:rPr>
                <w:bCs/>
                <w:sz w:val="18"/>
                <w:szCs w:val="18"/>
              </w:rPr>
              <w:t>100,00</w:t>
            </w:r>
          </w:p>
        </w:tc>
        <w:tc>
          <w:tcPr>
            <w:tcW w:w="937" w:type="dxa"/>
            <w:shd w:val="clear" w:color="auto" w:fill="auto"/>
            <w:vAlign w:val="bottom"/>
          </w:tcPr>
          <w:p w:rsidR="00000000" w:rsidRDefault="00000000">
            <w:pPr>
              <w:spacing w:before="40" w:after="40" w:line="220" w:lineRule="exact"/>
              <w:jc w:val="right"/>
              <w:rPr>
                <w:bCs/>
                <w:sz w:val="18"/>
                <w:szCs w:val="18"/>
              </w:rPr>
            </w:pPr>
            <w:r>
              <w:rPr>
                <w:bCs/>
                <w:sz w:val="18"/>
                <w:szCs w:val="18"/>
              </w:rPr>
              <w:t>368</w:t>
            </w:r>
          </w:p>
        </w:tc>
        <w:tc>
          <w:tcPr>
            <w:tcW w:w="828" w:type="dxa"/>
            <w:shd w:val="clear" w:color="auto" w:fill="auto"/>
            <w:vAlign w:val="bottom"/>
          </w:tcPr>
          <w:p w:rsidR="00000000" w:rsidRDefault="00000000">
            <w:pPr>
              <w:spacing w:before="40" w:after="40" w:line="220" w:lineRule="exact"/>
              <w:jc w:val="right"/>
              <w:rPr>
                <w:bCs/>
                <w:sz w:val="18"/>
                <w:szCs w:val="18"/>
              </w:rPr>
            </w:pPr>
            <w:r>
              <w:rPr>
                <w:bCs/>
                <w:sz w:val="18"/>
                <w:szCs w:val="18"/>
              </w:rPr>
              <w:t>100,00</w:t>
            </w:r>
          </w:p>
        </w:tc>
        <w:tc>
          <w:tcPr>
            <w:tcW w:w="934" w:type="dxa"/>
            <w:shd w:val="clear" w:color="auto" w:fill="auto"/>
            <w:vAlign w:val="bottom"/>
          </w:tcPr>
          <w:p w:rsidR="00000000" w:rsidRDefault="00000000">
            <w:pPr>
              <w:spacing w:before="40" w:after="40" w:line="220" w:lineRule="exact"/>
              <w:jc w:val="right"/>
              <w:rPr>
                <w:bCs/>
                <w:sz w:val="18"/>
                <w:szCs w:val="18"/>
              </w:rPr>
            </w:pPr>
            <w:r>
              <w:rPr>
                <w:bCs/>
                <w:sz w:val="18"/>
                <w:szCs w:val="18"/>
              </w:rPr>
              <w:t>415</w:t>
            </w:r>
          </w:p>
        </w:tc>
        <w:tc>
          <w:tcPr>
            <w:tcW w:w="845" w:type="dxa"/>
            <w:shd w:val="clear" w:color="auto" w:fill="auto"/>
            <w:vAlign w:val="bottom"/>
          </w:tcPr>
          <w:p w:rsidR="00000000" w:rsidRDefault="00000000">
            <w:pPr>
              <w:spacing w:before="40" w:after="40" w:line="220" w:lineRule="exact"/>
              <w:jc w:val="right"/>
              <w:rPr>
                <w:bCs/>
                <w:sz w:val="18"/>
                <w:szCs w:val="18"/>
              </w:rPr>
            </w:pPr>
            <w:r>
              <w:rPr>
                <w:bCs/>
                <w:sz w:val="18"/>
                <w:szCs w:val="18"/>
              </w:rPr>
              <w:t>100,00</w:t>
            </w:r>
          </w:p>
        </w:tc>
      </w:tr>
      <w:tr w:rsidR="00000000">
        <w:tc>
          <w:tcPr>
            <w:tcW w:w="2045" w:type="dxa"/>
            <w:shd w:val="clear" w:color="auto" w:fill="auto"/>
          </w:tcPr>
          <w:p w:rsidR="00000000" w:rsidRDefault="00000000">
            <w:pPr>
              <w:spacing w:before="40" w:after="40" w:line="220" w:lineRule="exact"/>
              <w:rPr>
                <w:bCs/>
                <w:sz w:val="18"/>
                <w:szCs w:val="18"/>
              </w:rPr>
            </w:pPr>
            <w:r>
              <w:rPr>
                <w:bCs/>
                <w:sz w:val="18"/>
                <w:szCs w:val="18"/>
              </w:rPr>
              <w:t>Public</w:t>
            </w:r>
          </w:p>
        </w:tc>
        <w:tc>
          <w:tcPr>
            <w:tcW w:w="935" w:type="dxa"/>
            <w:shd w:val="clear" w:color="auto" w:fill="auto"/>
            <w:vAlign w:val="bottom"/>
          </w:tcPr>
          <w:p w:rsidR="00000000" w:rsidRDefault="00000000">
            <w:pPr>
              <w:spacing w:before="40" w:after="40" w:line="220" w:lineRule="exact"/>
              <w:jc w:val="right"/>
              <w:rPr>
                <w:bCs/>
                <w:sz w:val="18"/>
                <w:szCs w:val="18"/>
              </w:rPr>
            </w:pPr>
            <w:r>
              <w:rPr>
                <w:bCs/>
                <w:sz w:val="18"/>
                <w:szCs w:val="18"/>
              </w:rPr>
              <w:t>108</w:t>
            </w:r>
          </w:p>
        </w:tc>
        <w:tc>
          <w:tcPr>
            <w:tcW w:w="847" w:type="dxa"/>
            <w:shd w:val="clear" w:color="auto" w:fill="auto"/>
            <w:vAlign w:val="bottom"/>
          </w:tcPr>
          <w:p w:rsidR="00000000" w:rsidRDefault="00000000">
            <w:pPr>
              <w:spacing w:before="40" w:after="40" w:line="220" w:lineRule="exact"/>
              <w:jc w:val="right"/>
              <w:rPr>
                <w:bCs/>
                <w:sz w:val="18"/>
                <w:szCs w:val="18"/>
              </w:rPr>
            </w:pPr>
            <w:r>
              <w:rPr>
                <w:bCs/>
                <w:sz w:val="18"/>
                <w:szCs w:val="18"/>
              </w:rPr>
              <w:t>32,14</w:t>
            </w:r>
          </w:p>
        </w:tc>
        <w:tc>
          <w:tcPr>
            <w:tcW w:w="937" w:type="dxa"/>
            <w:shd w:val="clear" w:color="auto" w:fill="auto"/>
            <w:vAlign w:val="bottom"/>
          </w:tcPr>
          <w:p w:rsidR="00000000" w:rsidRDefault="00000000">
            <w:pPr>
              <w:spacing w:before="40" w:after="40" w:line="220" w:lineRule="exact"/>
              <w:jc w:val="right"/>
              <w:rPr>
                <w:bCs/>
                <w:sz w:val="18"/>
                <w:szCs w:val="18"/>
              </w:rPr>
            </w:pPr>
            <w:r>
              <w:rPr>
                <w:bCs/>
                <w:sz w:val="18"/>
                <w:szCs w:val="18"/>
              </w:rPr>
              <w:t>112</w:t>
            </w:r>
          </w:p>
        </w:tc>
        <w:tc>
          <w:tcPr>
            <w:tcW w:w="828" w:type="dxa"/>
            <w:shd w:val="clear" w:color="auto" w:fill="auto"/>
            <w:vAlign w:val="bottom"/>
          </w:tcPr>
          <w:p w:rsidR="00000000" w:rsidRDefault="00000000">
            <w:pPr>
              <w:spacing w:before="40" w:after="40" w:line="220" w:lineRule="exact"/>
              <w:jc w:val="right"/>
              <w:rPr>
                <w:bCs/>
                <w:sz w:val="18"/>
                <w:szCs w:val="18"/>
              </w:rPr>
            </w:pPr>
            <w:r>
              <w:rPr>
                <w:bCs/>
                <w:sz w:val="18"/>
                <w:szCs w:val="18"/>
              </w:rPr>
              <w:t>30,43</w:t>
            </w:r>
          </w:p>
        </w:tc>
        <w:tc>
          <w:tcPr>
            <w:tcW w:w="934" w:type="dxa"/>
            <w:shd w:val="clear" w:color="auto" w:fill="auto"/>
            <w:vAlign w:val="bottom"/>
          </w:tcPr>
          <w:p w:rsidR="00000000" w:rsidRDefault="00000000">
            <w:pPr>
              <w:spacing w:before="40" w:after="40" w:line="220" w:lineRule="exact"/>
              <w:jc w:val="right"/>
              <w:rPr>
                <w:bCs/>
                <w:sz w:val="18"/>
                <w:szCs w:val="18"/>
              </w:rPr>
            </w:pPr>
            <w:r>
              <w:rPr>
                <w:bCs/>
                <w:sz w:val="18"/>
                <w:szCs w:val="18"/>
              </w:rPr>
              <w:t>114</w:t>
            </w:r>
          </w:p>
        </w:tc>
        <w:tc>
          <w:tcPr>
            <w:tcW w:w="845" w:type="dxa"/>
            <w:shd w:val="clear" w:color="auto" w:fill="auto"/>
            <w:vAlign w:val="bottom"/>
          </w:tcPr>
          <w:p w:rsidR="00000000" w:rsidRDefault="00000000">
            <w:pPr>
              <w:spacing w:before="40" w:after="40" w:line="220" w:lineRule="exact"/>
              <w:jc w:val="right"/>
              <w:rPr>
                <w:bCs/>
                <w:sz w:val="18"/>
                <w:szCs w:val="18"/>
              </w:rPr>
            </w:pPr>
            <w:r>
              <w:rPr>
                <w:bCs/>
                <w:sz w:val="18"/>
                <w:szCs w:val="18"/>
              </w:rPr>
              <w:t>27,47</w:t>
            </w:r>
          </w:p>
        </w:tc>
      </w:tr>
      <w:tr w:rsidR="00000000">
        <w:tc>
          <w:tcPr>
            <w:tcW w:w="2045" w:type="dxa"/>
            <w:tcBorders>
              <w:bottom w:val="single" w:sz="12" w:space="0" w:color="auto"/>
            </w:tcBorders>
            <w:shd w:val="clear" w:color="auto" w:fill="auto"/>
          </w:tcPr>
          <w:p w:rsidR="00000000" w:rsidRDefault="00000000">
            <w:pPr>
              <w:spacing w:before="40" w:after="40" w:line="220" w:lineRule="exact"/>
              <w:rPr>
                <w:bCs/>
                <w:sz w:val="18"/>
                <w:szCs w:val="18"/>
              </w:rPr>
            </w:pPr>
            <w:r>
              <w:rPr>
                <w:bCs/>
                <w:sz w:val="18"/>
                <w:szCs w:val="18"/>
              </w:rPr>
              <w:t>Privé</w:t>
            </w:r>
          </w:p>
        </w:tc>
        <w:tc>
          <w:tcPr>
            <w:tcW w:w="935" w:type="dxa"/>
            <w:tcBorders>
              <w:bottom w:val="single" w:sz="12" w:space="0" w:color="auto"/>
            </w:tcBorders>
            <w:shd w:val="clear" w:color="auto" w:fill="auto"/>
            <w:vAlign w:val="bottom"/>
          </w:tcPr>
          <w:p w:rsidR="00000000" w:rsidRDefault="00000000">
            <w:pPr>
              <w:spacing w:before="40" w:after="40" w:line="220" w:lineRule="exact"/>
              <w:jc w:val="right"/>
              <w:rPr>
                <w:bCs/>
                <w:sz w:val="18"/>
                <w:szCs w:val="18"/>
              </w:rPr>
            </w:pPr>
            <w:r>
              <w:rPr>
                <w:bCs/>
                <w:sz w:val="18"/>
                <w:szCs w:val="18"/>
              </w:rPr>
              <w:t>228</w:t>
            </w:r>
          </w:p>
        </w:tc>
        <w:tc>
          <w:tcPr>
            <w:tcW w:w="847" w:type="dxa"/>
            <w:tcBorders>
              <w:bottom w:val="single" w:sz="12" w:space="0" w:color="auto"/>
            </w:tcBorders>
            <w:shd w:val="clear" w:color="auto" w:fill="auto"/>
            <w:vAlign w:val="bottom"/>
          </w:tcPr>
          <w:p w:rsidR="00000000" w:rsidRDefault="00000000">
            <w:pPr>
              <w:spacing w:before="40" w:after="40" w:line="220" w:lineRule="exact"/>
              <w:jc w:val="right"/>
              <w:rPr>
                <w:bCs/>
                <w:sz w:val="18"/>
                <w:szCs w:val="18"/>
              </w:rPr>
            </w:pPr>
            <w:r>
              <w:rPr>
                <w:bCs/>
                <w:sz w:val="18"/>
                <w:szCs w:val="18"/>
              </w:rPr>
              <w:t>67,86</w:t>
            </w:r>
          </w:p>
        </w:tc>
        <w:tc>
          <w:tcPr>
            <w:tcW w:w="937" w:type="dxa"/>
            <w:tcBorders>
              <w:bottom w:val="single" w:sz="12" w:space="0" w:color="auto"/>
            </w:tcBorders>
            <w:shd w:val="clear" w:color="auto" w:fill="auto"/>
            <w:vAlign w:val="bottom"/>
          </w:tcPr>
          <w:p w:rsidR="00000000" w:rsidRDefault="00000000">
            <w:pPr>
              <w:spacing w:before="40" w:after="40" w:line="220" w:lineRule="exact"/>
              <w:jc w:val="right"/>
              <w:rPr>
                <w:bCs/>
                <w:sz w:val="18"/>
                <w:szCs w:val="18"/>
              </w:rPr>
            </w:pPr>
            <w:r>
              <w:rPr>
                <w:bCs/>
                <w:sz w:val="18"/>
                <w:szCs w:val="18"/>
              </w:rPr>
              <w:t>256</w:t>
            </w:r>
          </w:p>
        </w:tc>
        <w:tc>
          <w:tcPr>
            <w:tcW w:w="828" w:type="dxa"/>
            <w:tcBorders>
              <w:bottom w:val="single" w:sz="12" w:space="0" w:color="auto"/>
            </w:tcBorders>
            <w:shd w:val="clear" w:color="auto" w:fill="auto"/>
            <w:vAlign w:val="bottom"/>
          </w:tcPr>
          <w:p w:rsidR="00000000" w:rsidRDefault="00000000">
            <w:pPr>
              <w:spacing w:before="40" w:after="40" w:line="220" w:lineRule="exact"/>
              <w:jc w:val="right"/>
              <w:rPr>
                <w:bCs/>
                <w:sz w:val="18"/>
                <w:szCs w:val="18"/>
              </w:rPr>
            </w:pPr>
            <w:r>
              <w:rPr>
                <w:bCs/>
                <w:sz w:val="18"/>
                <w:szCs w:val="18"/>
              </w:rPr>
              <w:t>69,57</w:t>
            </w:r>
          </w:p>
        </w:tc>
        <w:tc>
          <w:tcPr>
            <w:tcW w:w="934" w:type="dxa"/>
            <w:tcBorders>
              <w:bottom w:val="single" w:sz="12" w:space="0" w:color="auto"/>
            </w:tcBorders>
            <w:shd w:val="clear" w:color="auto" w:fill="auto"/>
            <w:vAlign w:val="bottom"/>
          </w:tcPr>
          <w:p w:rsidR="00000000" w:rsidRDefault="00000000">
            <w:pPr>
              <w:spacing w:before="40" w:after="40" w:line="220" w:lineRule="exact"/>
              <w:jc w:val="right"/>
              <w:rPr>
                <w:bCs/>
                <w:sz w:val="18"/>
                <w:szCs w:val="18"/>
              </w:rPr>
            </w:pPr>
            <w:r>
              <w:rPr>
                <w:bCs/>
                <w:sz w:val="18"/>
                <w:szCs w:val="18"/>
              </w:rPr>
              <w:t>301</w:t>
            </w:r>
          </w:p>
        </w:tc>
        <w:tc>
          <w:tcPr>
            <w:tcW w:w="845" w:type="dxa"/>
            <w:tcBorders>
              <w:bottom w:val="single" w:sz="12" w:space="0" w:color="auto"/>
            </w:tcBorders>
            <w:shd w:val="clear" w:color="auto" w:fill="auto"/>
            <w:vAlign w:val="bottom"/>
          </w:tcPr>
          <w:p w:rsidR="00000000" w:rsidRDefault="00000000">
            <w:pPr>
              <w:spacing w:before="40" w:after="40" w:line="220" w:lineRule="exact"/>
              <w:jc w:val="right"/>
              <w:rPr>
                <w:bCs/>
                <w:sz w:val="18"/>
                <w:szCs w:val="18"/>
              </w:rPr>
            </w:pPr>
            <w:r>
              <w:rPr>
                <w:bCs/>
                <w:sz w:val="18"/>
                <w:szCs w:val="18"/>
              </w:rPr>
              <w:t>72,53</w:t>
            </w:r>
          </w:p>
        </w:tc>
      </w:tr>
    </w:tbl>
    <w:p w:rsidR="00000000" w:rsidRDefault="00000000">
      <w:pPr>
        <w:pStyle w:val="SingleTxtG"/>
        <w:spacing w:before="240"/>
        <w:rPr>
          <w:lang w:val="fr-FR"/>
        </w:rPr>
      </w:pPr>
      <w:r>
        <w:rPr>
          <w:lang w:val="fr-FR"/>
        </w:rPr>
        <w:t>559.</w:t>
      </w:r>
      <w:r>
        <w:rPr>
          <w:lang w:val="fr-FR"/>
        </w:rPr>
        <w:tab/>
        <w:t>Ces données statistiques affichent la tendance à l’augmentation de la création d’établissements dans l’enseignement privé.</w:t>
      </w:r>
    </w:p>
    <w:p w:rsidR="00000000" w:rsidRDefault="00000000">
      <w:pPr>
        <w:pStyle w:val="SingleTxtG"/>
        <w:rPr>
          <w:lang w:val="fr-FR"/>
        </w:rPr>
      </w:pPr>
      <w:r>
        <w:rPr>
          <w:lang w:val="fr-FR"/>
        </w:rPr>
        <w:t>560.</w:t>
      </w:r>
      <w:r>
        <w:rPr>
          <w:lang w:val="fr-FR"/>
        </w:rPr>
        <w:tab/>
        <w:t>De 2002 en 2006, 80 agréments pour des établissements privés de formation professionnelle et technique ont été délivrés.</w:t>
      </w:r>
    </w:p>
    <w:p w:rsidR="00000000" w:rsidRDefault="00000000">
      <w:pPr>
        <w:pStyle w:val="SingleTxtG"/>
        <w:rPr>
          <w:lang w:val="fr-FR"/>
        </w:rPr>
      </w:pPr>
      <w:r>
        <w:rPr>
          <w:lang w:val="fr-FR"/>
        </w:rPr>
        <w:t>561.</w:t>
      </w:r>
      <w:r>
        <w:rPr>
          <w:lang w:val="fr-FR"/>
        </w:rPr>
        <w:tab/>
        <w:t>En 2006, Madagascar dispose de 29 instituts et établissements d’enseignement supérieur privé, agréés par l’État et ouverts par arrêté ministériel, dont 3 confessionnels (2 catholiques et un adventiste)</w:t>
      </w:r>
    </w:p>
    <w:p w:rsidR="00000000" w:rsidRDefault="00000000">
      <w:pPr>
        <w:pStyle w:val="SingleTxtG"/>
        <w:rPr>
          <w:lang w:val="fr-FR"/>
        </w:rPr>
      </w:pPr>
      <w:r>
        <w:rPr>
          <w:lang w:val="fr-FR"/>
        </w:rPr>
        <w:t>562.</w:t>
      </w:r>
      <w:r>
        <w:rPr>
          <w:lang w:val="fr-FR"/>
        </w:rPr>
        <w:tab/>
        <w:t>Les immigrants et les ressortissants étrangers ont aussi la possibilité de créer leurs propres établissements scolaires à l’instar des lycées français, des écoles américaines, chinoises et islamiques, d’avoir leurs propres programmes scolaires et d’utiliser leur langue respective comme langue d’enseignement. Leurs enfants peuvent également fréquenter les établissements d’enseignement public.</w:t>
      </w:r>
    </w:p>
    <w:p w:rsidR="00000000" w:rsidRDefault="00000000">
      <w:pPr>
        <w:pStyle w:val="SingleTxtG"/>
        <w:rPr>
          <w:lang w:val="fr-FR"/>
        </w:rPr>
      </w:pPr>
      <w:r>
        <w:rPr>
          <w:lang w:val="fr-FR"/>
        </w:rPr>
        <w:t>563.</w:t>
      </w:r>
      <w:r>
        <w:rPr>
          <w:lang w:val="fr-FR"/>
        </w:rPr>
        <w:tab/>
        <w:t>L’État reconnaît les diplômes délivrés par les établissements supérieurs privés agréés.</w:t>
      </w:r>
    </w:p>
    <w:p w:rsidR="00000000" w:rsidRDefault="00000000">
      <w:pPr>
        <w:pStyle w:val="H23G"/>
        <w:rPr>
          <w:lang w:val="fr-FR"/>
        </w:rPr>
      </w:pPr>
      <w:bookmarkStart w:id="1214" w:name="_Toc206414610"/>
      <w:bookmarkStart w:id="1215" w:name="_Toc206460452"/>
      <w:bookmarkStart w:id="1216" w:name="_Toc206460784"/>
      <w:bookmarkStart w:id="1217" w:name="_Toc206461506"/>
      <w:bookmarkStart w:id="1218" w:name="_Toc206476300"/>
      <w:bookmarkStart w:id="1219" w:name="_Toc207788835"/>
      <w:bookmarkStart w:id="1220" w:name="_Toc211835506"/>
      <w:bookmarkStart w:id="1221" w:name="_Toc211926813"/>
      <w:r>
        <w:rPr>
          <w:lang w:val="fr-FR"/>
        </w:rPr>
        <w:tab/>
        <w:t>5.</w:t>
      </w:r>
      <w:r>
        <w:rPr>
          <w:lang w:val="fr-FR"/>
        </w:rPr>
        <w:tab/>
        <w:t>Difficultés, buts fixés par l’État</w:t>
      </w:r>
      <w:bookmarkEnd w:id="1214"/>
      <w:bookmarkEnd w:id="1215"/>
      <w:bookmarkEnd w:id="1216"/>
      <w:bookmarkEnd w:id="1217"/>
      <w:bookmarkEnd w:id="1218"/>
      <w:bookmarkEnd w:id="1219"/>
      <w:bookmarkEnd w:id="1220"/>
      <w:bookmarkEnd w:id="1221"/>
    </w:p>
    <w:p w:rsidR="00000000" w:rsidRDefault="00000000">
      <w:pPr>
        <w:pStyle w:val="H4G"/>
        <w:rPr>
          <w:lang w:val="fr-FR"/>
        </w:rPr>
      </w:pPr>
      <w:r>
        <w:rPr>
          <w:lang w:val="fr-FR"/>
        </w:rPr>
        <w:tab/>
      </w:r>
      <w:r>
        <w:rPr>
          <w:lang w:val="fr-FR"/>
        </w:rPr>
        <w:tab/>
        <w:t>Difficultés rencontrées</w:t>
      </w:r>
    </w:p>
    <w:p w:rsidR="00000000" w:rsidRDefault="00000000">
      <w:pPr>
        <w:pStyle w:val="SingleTxtG"/>
        <w:rPr>
          <w:lang w:val="fr-FR"/>
        </w:rPr>
      </w:pPr>
      <w:r>
        <w:rPr>
          <w:lang w:val="fr-FR"/>
        </w:rPr>
        <w:t>564.</w:t>
      </w:r>
      <w:r>
        <w:rPr>
          <w:lang w:val="fr-FR"/>
        </w:rPr>
        <w:tab/>
        <w:t>Certaines difficultés doivent être surmontées par le partenariat État - Enseignement privé:</w:t>
      </w:r>
    </w:p>
    <w:p w:rsidR="00000000" w:rsidRDefault="00000000">
      <w:pPr>
        <w:pStyle w:val="Bullet1G"/>
        <w:rPr>
          <w:lang w:val="fr-FR"/>
        </w:rPr>
      </w:pPr>
      <w:r>
        <w:rPr>
          <w:lang w:val="fr-FR"/>
        </w:rPr>
        <w:t>Insuffisance du personnel et moyens de contrôle de l’État;</w:t>
      </w:r>
    </w:p>
    <w:p w:rsidR="00000000" w:rsidRDefault="00000000">
      <w:pPr>
        <w:pStyle w:val="Bullet1G"/>
        <w:rPr>
          <w:lang w:val="fr-FR"/>
        </w:rPr>
      </w:pPr>
      <w:r>
        <w:rPr>
          <w:lang w:val="fr-FR"/>
        </w:rPr>
        <w:t xml:space="preserve">Dissémination des écoles privées rendant plus difficile leur contrôle; </w:t>
      </w:r>
    </w:p>
    <w:p w:rsidR="00000000" w:rsidRDefault="00000000">
      <w:pPr>
        <w:pStyle w:val="Bullet1G"/>
        <w:rPr>
          <w:b/>
          <w:lang w:val="fr-FR"/>
        </w:rPr>
      </w:pPr>
      <w:r>
        <w:rPr>
          <w:lang w:val="fr-FR"/>
        </w:rPr>
        <w:t>Problème de sureffectif et insuffisance de matériels didactiques;</w:t>
      </w:r>
    </w:p>
    <w:p w:rsidR="00000000" w:rsidRDefault="00000000">
      <w:pPr>
        <w:pStyle w:val="SingleTxtG"/>
        <w:rPr>
          <w:lang w:val="fr-FR"/>
        </w:rPr>
      </w:pPr>
      <w:r>
        <w:rPr>
          <w:lang w:val="fr-FR"/>
        </w:rPr>
        <w:t>565.</w:t>
      </w:r>
      <w:r>
        <w:rPr>
          <w:lang w:val="fr-FR"/>
        </w:rPr>
        <w:tab/>
        <w:t>Des efforts sont mis en œuvre pour améliorer le taux de réalisation des constructions prévues. Pour la période 2003 à 2007:</w:t>
      </w:r>
    </w:p>
    <w:p w:rsidR="00000000" w:rsidRDefault="00000000">
      <w:pPr>
        <w:pStyle w:val="Bullet1G"/>
        <w:rPr>
          <w:lang w:val="fr-FR"/>
        </w:rPr>
      </w:pPr>
      <w:r>
        <w:rPr>
          <w:lang w:val="fr-FR"/>
        </w:rPr>
        <w:t>4 562 sur les 5 590 nouvelles salles de classe ont été achevées;</w:t>
      </w:r>
    </w:p>
    <w:p w:rsidR="00000000" w:rsidRDefault="00000000">
      <w:pPr>
        <w:pStyle w:val="Bullet1G"/>
        <w:rPr>
          <w:lang w:val="fr-FR"/>
        </w:rPr>
      </w:pPr>
      <w:r>
        <w:rPr>
          <w:lang w:val="fr-FR"/>
        </w:rPr>
        <w:t>500 nouvelles salles de classes sur les 628 prévues ont été livrées.</w:t>
      </w:r>
    </w:p>
    <w:p w:rsidR="00000000" w:rsidRDefault="00000000">
      <w:pPr>
        <w:pStyle w:val="SingleTxtG"/>
        <w:rPr>
          <w:lang w:val="fr-FR"/>
        </w:rPr>
      </w:pPr>
      <w:r>
        <w:rPr>
          <w:lang w:val="fr-FR"/>
        </w:rPr>
        <w:t>566.</w:t>
      </w:r>
      <w:r>
        <w:rPr>
          <w:lang w:val="fr-FR"/>
        </w:rPr>
        <w:tab/>
        <w:t>Des standards techniques et des normes de programmation sont en cours d’élaboration pour résoudre les problèmes découlant de multiplicité des Unités de Coordination de projet (UCP), de l’absence d’uniformisation des normes et de modèles de construction.</w:t>
      </w:r>
    </w:p>
    <w:p w:rsidR="00000000" w:rsidRDefault="00000000">
      <w:pPr>
        <w:pStyle w:val="SingleTxtG"/>
        <w:rPr>
          <w:lang w:val="fr-FR"/>
        </w:rPr>
      </w:pPr>
      <w:r>
        <w:rPr>
          <w:lang w:val="fr-FR"/>
        </w:rPr>
        <w:t>567.</w:t>
      </w:r>
      <w:r>
        <w:rPr>
          <w:lang w:val="fr-FR"/>
        </w:rPr>
        <w:tab/>
        <w:t>Une faiblesse de la qualité des enseignants de l’EF1 est constatée: 47,86 % des enseignants des écoles primaires publiques disposent d’un diplôme pédagogique, avec 56,14 % pour les enseignants fonctionnaires et contractuels et 6,1 % pour les non</w:t>
      </w:r>
      <w:r>
        <w:rPr>
          <w:lang w:val="fr-FR"/>
        </w:rPr>
        <w:noBreakHyphen/>
        <w:t>fonctionnaires (ENF).</w:t>
      </w:r>
    </w:p>
    <w:p w:rsidR="00000000" w:rsidRDefault="00000000">
      <w:pPr>
        <w:pStyle w:val="SingleTxtG"/>
        <w:rPr>
          <w:lang w:val="fr-FR"/>
        </w:rPr>
      </w:pPr>
      <w:r>
        <w:rPr>
          <w:lang w:val="fr-FR"/>
        </w:rPr>
        <w:t>568.</w:t>
      </w:r>
      <w:r>
        <w:rPr>
          <w:lang w:val="fr-FR"/>
        </w:rPr>
        <w:tab/>
        <w:t>Seuls, 1 % des enseignants du primaire sont capables d’enseigner le français (Test de compétence en français, effectué en 2006). L’usage du français comme langue d’enseignement ont débouché sur:</w:t>
      </w:r>
    </w:p>
    <w:p w:rsidR="00000000" w:rsidRDefault="00000000">
      <w:pPr>
        <w:pStyle w:val="Bullet1G"/>
        <w:rPr>
          <w:lang w:val="fr-FR"/>
        </w:rPr>
      </w:pPr>
      <w:r>
        <w:rPr>
          <w:lang w:val="fr-FR"/>
        </w:rPr>
        <w:t>Une faible maîtrise de la langue malgache;</w:t>
      </w:r>
    </w:p>
    <w:p w:rsidR="00000000" w:rsidRDefault="00000000">
      <w:pPr>
        <w:pStyle w:val="Bullet1G"/>
        <w:rPr>
          <w:lang w:val="fr-FR"/>
        </w:rPr>
      </w:pPr>
      <w:r>
        <w:rPr>
          <w:lang w:val="fr-FR"/>
        </w:rPr>
        <w:t>Une faible maîtrise de la langue française;</w:t>
      </w:r>
    </w:p>
    <w:p w:rsidR="00000000" w:rsidRDefault="00000000">
      <w:pPr>
        <w:pStyle w:val="Bullet1G"/>
        <w:spacing w:after="0"/>
        <w:rPr>
          <w:lang w:val="fr-FR"/>
        </w:rPr>
      </w:pPr>
      <w:r>
        <w:rPr>
          <w:lang w:val="fr-FR"/>
        </w:rPr>
        <w:t>De faibles résultats en mathématiques</w:t>
      </w:r>
    </w:p>
    <w:p w:rsidR="00000000" w:rsidRDefault="00000000">
      <w:pPr>
        <w:spacing w:after="120"/>
        <w:ind w:firstLine="1701"/>
        <w:rPr>
          <w:lang w:val="fr-FR"/>
        </w:rPr>
      </w:pPr>
      <w:r>
        <w:rPr>
          <w:lang w:val="fr-FR"/>
        </w:rPr>
        <w:t>(Études PASEC sur les acquis des élèves du fondamental).</w:t>
      </w:r>
    </w:p>
    <w:p w:rsidR="00000000" w:rsidRDefault="00000000">
      <w:pPr>
        <w:pStyle w:val="SingleTxtG"/>
        <w:rPr>
          <w:lang w:val="fr-FR"/>
        </w:rPr>
      </w:pPr>
      <w:r>
        <w:rPr>
          <w:lang w:val="fr-FR"/>
        </w:rPr>
        <w:t>569.</w:t>
      </w:r>
      <w:r>
        <w:rPr>
          <w:lang w:val="fr-FR"/>
        </w:rPr>
        <w:tab/>
        <w:t>Pour y pallier, sur recommandation de l’UNESCO et avec l’appui de la Banque mondiale, l’État a procédé à une réforme de son système éducatif basé sur l’utilisation de la langue maternelle, comme langue d’enseignement dans le primaire tandis que la langue française et anglaise comme langues étrangères enseignées: Le français sera enseigné en tant que langue étrangère à partir de la 1ère année et l’anglais à partir de la 4</w:t>
      </w:r>
      <w:r>
        <w:rPr>
          <w:vertAlign w:val="superscript"/>
          <w:lang w:val="fr-FR"/>
        </w:rPr>
        <w:t>e</w:t>
      </w:r>
      <w:r>
        <w:rPr>
          <w:lang w:val="fr-FR"/>
        </w:rPr>
        <w:t xml:space="preserve"> année.</w:t>
      </w:r>
    </w:p>
    <w:p w:rsidR="00000000" w:rsidRDefault="00000000">
      <w:pPr>
        <w:pStyle w:val="H4G"/>
        <w:rPr>
          <w:lang w:val="fr-FR"/>
        </w:rPr>
      </w:pPr>
      <w:r>
        <w:rPr>
          <w:lang w:val="fr-FR"/>
        </w:rPr>
        <w:tab/>
      </w:r>
      <w:r>
        <w:rPr>
          <w:lang w:val="fr-FR"/>
        </w:rPr>
        <w:tab/>
        <w:t xml:space="preserve">Perspectives </w:t>
      </w:r>
    </w:p>
    <w:p w:rsidR="00000000" w:rsidRDefault="00000000">
      <w:pPr>
        <w:pStyle w:val="SingleTxtG"/>
        <w:rPr>
          <w:lang w:val="fr-FR"/>
        </w:rPr>
      </w:pPr>
      <w:r>
        <w:rPr>
          <w:lang w:val="fr-FR"/>
        </w:rPr>
        <w:t>570.</w:t>
      </w:r>
      <w:r>
        <w:rPr>
          <w:lang w:val="fr-FR"/>
        </w:rPr>
        <w:tab/>
      </w:r>
      <w:r>
        <w:rPr>
          <w:b/>
          <w:lang w:val="fr-FR"/>
        </w:rPr>
        <w:t>Révision de la politique de construction scolaire.</w:t>
      </w:r>
      <w:r>
        <w:rPr>
          <w:lang w:val="fr-FR"/>
        </w:rPr>
        <w:t xml:space="preserve"> partir de 2007-2008, pour une meilleure rentabilité des investissements dans la construction, le MENRS entend assumer la coordination des programmes de construction scolaire, l’adoption de normes de construction unifiées et l’implication de la communauté bénéficiaire dans la gestion des constructions.</w:t>
      </w:r>
    </w:p>
    <w:p w:rsidR="00000000" w:rsidRDefault="00000000">
      <w:pPr>
        <w:pStyle w:val="SingleTxtG"/>
        <w:rPr>
          <w:lang w:val="fr-FR"/>
        </w:rPr>
      </w:pPr>
      <w:r>
        <w:rPr>
          <w:lang w:val="fr-FR"/>
        </w:rPr>
        <w:t>571.</w:t>
      </w:r>
      <w:r>
        <w:rPr>
          <w:lang w:val="fr-FR"/>
        </w:rPr>
        <w:tab/>
        <w:t>En 2009-2010, 90 % des constructions et des réhabilitations seront réalisées selon cette approche. L’approche par maîtrise d’ouvrage déléguée passera de 744 salles en 2007-2008 à 300 en 2009</w:t>
      </w:r>
      <w:r>
        <w:rPr>
          <w:lang w:val="fr-FR"/>
        </w:rPr>
        <w:noBreakHyphen/>
        <w:t>2010.</w:t>
      </w:r>
    </w:p>
    <w:p w:rsidR="00000000" w:rsidRDefault="00000000">
      <w:pPr>
        <w:pStyle w:val="SingleTxtG"/>
        <w:rPr>
          <w:lang w:val="fr-FR"/>
        </w:rPr>
      </w:pPr>
      <w:r>
        <w:rPr>
          <w:lang w:val="fr-FR"/>
        </w:rPr>
        <w:t>572.</w:t>
      </w:r>
      <w:r>
        <w:rPr>
          <w:lang w:val="fr-FR"/>
        </w:rPr>
        <w:tab/>
        <w:t>La priorité des constructions de nouvelles salles de classe sera aux profits de fokontany dépourvus d’écoles ainsi qu’aux écoles à cycle incomplet des zones rurales éloignées et pauvres.</w:t>
      </w:r>
    </w:p>
    <w:p w:rsidR="00000000" w:rsidRDefault="00000000">
      <w:pPr>
        <w:pStyle w:val="SingleTxtG"/>
        <w:rPr>
          <w:lang w:val="fr-FR"/>
        </w:rPr>
      </w:pPr>
      <w:r>
        <w:rPr>
          <w:lang w:val="fr-FR"/>
        </w:rPr>
        <w:t>573.</w:t>
      </w:r>
      <w:r>
        <w:rPr>
          <w:lang w:val="fr-FR"/>
        </w:rPr>
        <w:tab/>
      </w:r>
      <w:r>
        <w:rPr>
          <w:b/>
          <w:lang w:val="fr-FR"/>
        </w:rPr>
        <w:t xml:space="preserve">Réforme du système éducatif. </w:t>
      </w:r>
      <w:r>
        <w:rPr>
          <w:lang w:val="fr-FR"/>
        </w:rPr>
        <w:t xml:space="preserve">Pour assurer l’acquisition de compétences durables et suffisantes à la fin du cycle primaire, l’État malgache a décidé d’instaurer à partir de l’année 2008/2009 un enseignement primaire de sept ans au lieu de cinq. </w:t>
      </w:r>
    </w:p>
    <w:p w:rsidR="00000000" w:rsidRDefault="00000000">
      <w:pPr>
        <w:pStyle w:val="SingleTxtG"/>
        <w:rPr>
          <w:lang w:val="fr-FR"/>
        </w:rPr>
      </w:pPr>
      <w:r>
        <w:rPr>
          <w:lang w:val="fr-FR"/>
        </w:rPr>
        <w:t>574.</w:t>
      </w:r>
      <w:r>
        <w:rPr>
          <w:lang w:val="fr-FR"/>
        </w:rPr>
        <w:tab/>
      </w:r>
      <w:r>
        <w:rPr>
          <w:b/>
          <w:lang w:val="fr-FR"/>
        </w:rPr>
        <w:t xml:space="preserve">Restructuration de l’éducation fondamentale et de l’enseignement secondaire. </w:t>
      </w:r>
      <w:r>
        <w:rPr>
          <w:lang w:val="fr-FR"/>
        </w:rPr>
        <w:t xml:space="preserve">Suite à l’allongement du cycle primaire à 7 ans, une restructuration de l’éducation fondamentale et de l’enseignement secondaire a été adoptée. Le cycle primaire s’étale sur 7 ans et comprend trois cours. Le premier cycle du secondaire dure deux ans. </w:t>
      </w:r>
    </w:p>
    <w:p w:rsidR="00000000" w:rsidRDefault="00000000">
      <w:pPr>
        <w:pStyle w:val="SingleTxtG"/>
        <w:rPr>
          <w:lang w:val="fr-FR"/>
        </w:rPr>
      </w:pPr>
      <w:r>
        <w:rPr>
          <w:lang w:val="fr-FR"/>
        </w:rPr>
        <w:t>575.</w:t>
      </w:r>
      <w:r>
        <w:rPr>
          <w:lang w:val="fr-FR"/>
        </w:rPr>
        <w:tab/>
      </w:r>
      <w:r>
        <w:rPr>
          <w:b/>
          <w:lang w:val="fr-FR"/>
        </w:rPr>
        <w:t xml:space="preserve">Collèges d’excellence et Écoles ouvertes. </w:t>
      </w:r>
      <w:r>
        <w:rPr>
          <w:lang w:val="fr-FR"/>
        </w:rPr>
        <w:t>Le MAP prévoit l’implantation de collèges d’excellence (CE) pour piloter l’amélioration qualitative de l’enseignement.</w:t>
      </w:r>
    </w:p>
    <w:p w:rsidR="00000000" w:rsidRDefault="00000000">
      <w:pPr>
        <w:pStyle w:val="SingleTxtG"/>
        <w:rPr>
          <w:lang w:val="fr-FR"/>
        </w:rPr>
      </w:pPr>
      <w:r>
        <w:rPr>
          <w:lang w:val="fr-FR"/>
        </w:rPr>
        <w:t>576.</w:t>
      </w:r>
      <w:r>
        <w:rPr>
          <w:lang w:val="fr-FR"/>
        </w:rPr>
        <w:tab/>
        <w:t>À l’instar d’autres pays, Madagascar va poursuivre la mise en œuvre d’enseignement flexibles donnant la possibilité aux élèves qui ne peuvent pas fréquenter l’école formelle d’étudier et de se présenter aux examens.</w:t>
      </w:r>
    </w:p>
    <w:p w:rsidR="00000000" w:rsidRDefault="00000000">
      <w:pPr>
        <w:pStyle w:val="SingleTxtG"/>
        <w:rPr>
          <w:lang w:val="fr-FR"/>
        </w:rPr>
      </w:pPr>
      <w:r>
        <w:rPr>
          <w:lang w:val="fr-FR"/>
        </w:rPr>
        <w:t>577.</w:t>
      </w:r>
      <w:r>
        <w:rPr>
          <w:lang w:val="fr-FR"/>
        </w:rPr>
        <w:tab/>
      </w:r>
      <w:r>
        <w:rPr>
          <w:b/>
          <w:lang w:val="fr-FR"/>
        </w:rPr>
        <w:t xml:space="preserve">Révision des curricula. </w:t>
      </w:r>
      <w:r>
        <w:rPr>
          <w:lang w:val="fr-FR"/>
        </w:rPr>
        <w:t>Les programmes scolaires en vigueur datent des années 70 et 90. Pour un programme adapté au contexte socioéconomique du pays et aux exigences de la concurrence issue par la mondialisation, et afin d’atteindre les objectifs de l’EPT, il est envisagé de réviser le curricula.</w:t>
      </w:r>
    </w:p>
    <w:p w:rsidR="00000000" w:rsidRDefault="00000000">
      <w:pPr>
        <w:pStyle w:val="SingleTxtG"/>
        <w:rPr>
          <w:lang w:val="fr-FR"/>
        </w:rPr>
      </w:pPr>
      <w:r>
        <w:rPr>
          <w:lang w:val="fr-FR"/>
        </w:rPr>
        <w:t>578.</w:t>
      </w:r>
      <w:r>
        <w:rPr>
          <w:lang w:val="fr-FR"/>
        </w:rPr>
        <w:tab/>
        <w:t xml:space="preserve">La réforme afférente à la réforme des curricula va être mise en œuvre dès l’année scolaire 2008-2009 et s’effectuera graduellement selon un programme pré défini </w:t>
      </w:r>
    </w:p>
    <w:p w:rsidR="00000000" w:rsidRDefault="00000000">
      <w:pPr>
        <w:pStyle w:val="SingleTxtG"/>
        <w:spacing w:after="0"/>
      </w:pPr>
      <w:bookmarkStart w:id="1222" w:name="_Toc260298279"/>
      <w:r>
        <w:t>Tableau 32</w:t>
      </w:r>
    </w:p>
    <w:p w:rsidR="00000000" w:rsidRDefault="00000000">
      <w:pPr>
        <w:pStyle w:val="SingleTxtG"/>
        <w:rPr>
          <w:b/>
          <w:spacing w:val="-4"/>
        </w:rPr>
      </w:pPr>
      <w:r>
        <w:rPr>
          <w:b/>
          <w:spacing w:val="-4"/>
        </w:rPr>
        <w:t>Programme de mise en œuvre de l’APC dans l’éducation Fondamentale du Premier Cycle</w:t>
      </w:r>
      <w:bookmarkEnd w:id="1222"/>
    </w:p>
    <w:tbl>
      <w:tblPr>
        <w:tblW w:w="7371" w:type="dxa"/>
        <w:tblInd w:w="1134" w:type="dxa"/>
        <w:tblCellMar>
          <w:left w:w="0" w:type="dxa"/>
          <w:right w:w="0" w:type="dxa"/>
        </w:tblCellMar>
        <w:tblLook w:val="01E0" w:firstRow="1" w:lastRow="1" w:firstColumn="1" w:lastColumn="1" w:noHBand="0" w:noVBand="0"/>
      </w:tblPr>
      <w:tblGrid>
        <w:gridCol w:w="1539"/>
        <w:gridCol w:w="972"/>
        <w:gridCol w:w="972"/>
        <w:gridCol w:w="972"/>
        <w:gridCol w:w="972"/>
        <w:gridCol w:w="972"/>
        <w:gridCol w:w="972"/>
      </w:tblGrid>
      <w:tr w:rsidR="00000000">
        <w:tc>
          <w:tcPr>
            <w:tcW w:w="1539" w:type="dxa"/>
            <w:tcBorders>
              <w:top w:val="single" w:sz="4" w:space="0" w:color="auto"/>
              <w:bottom w:val="single" w:sz="12" w:space="0" w:color="auto"/>
            </w:tcBorders>
            <w:shd w:val="clear" w:color="auto" w:fill="auto"/>
            <w:vAlign w:val="bottom"/>
          </w:tcPr>
          <w:p w:rsidR="00000000" w:rsidRDefault="00000000">
            <w:pPr>
              <w:spacing w:before="80" w:after="80" w:line="200" w:lineRule="exact"/>
              <w:rPr>
                <w:bCs/>
                <w:i/>
                <w:sz w:val="16"/>
                <w:szCs w:val="16"/>
              </w:rPr>
            </w:pPr>
            <w:r>
              <w:rPr>
                <w:bCs/>
                <w:i/>
                <w:sz w:val="16"/>
                <w:szCs w:val="16"/>
              </w:rPr>
              <w:t>Phases</w:t>
            </w:r>
          </w:p>
        </w:tc>
        <w:tc>
          <w:tcPr>
            <w:tcW w:w="972"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bCs/>
                <w:i/>
                <w:sz w:val="16"/>
                <w:szCs w:val="16"/>
              </w:rPr>
            </w:pPr>
            <w:r>
              <w:rPr>
                <w:bCs/>
                <w:i/>
                <w:sz w:val="16"/>
                <w:szCs w:val="16"/>
              </w:rPr>
              <w:t>2003/2004</w:t>
            </w:r>
          </w:p>
        </w:tc>
        <w:tc>
          <w:tcPr>
            <w:tcW w:w="972"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bCs/>
                <w:i/>
                <w:sz w:val="16"/>
                <w:szCs w:val="16"/>
              </w:rPr>
            </w:pPr>
            <w:r>
              <w:rPr>
                <w:bCs/>
                <w:i/>
                <w:sz w:val="16"/>
                <w:szCs w:val="16"/>
              </w:rPr>
              <w:t>2004/2005</w:t>
            </w:r>
          </w:p>
        </w:tc>
        <w:tc>
          <w:tcPr>
            <w:tcW w:w="972"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bCs/>
                <w:i/>
                <w:sz w:val="16"/>
                <w:szCs w:val="16"/>
              </w:rPr>
            </w:pPr>
            <w:r>
              <w:rPr>
                <w:bCs/>
                <w:i/>
                <w:sz w:val="16"/>
                <w:szCs w:val="16"/>
              </w:rPr>
              <w:t>2004/2005</w:t>
            </w:r>
          </w:p>
        </w:tc>
        <w:tc>
          <w:tcPr>
            <w:tcW w:w="972"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bCs/>
                <w:i/>
                <w:sz w:val="16"/>
                <w:szCs w:val="16"/>
              </w:rPr>
            </w:pPr>
            <w:r>
              <w:rPr>
                <w:bCs/>
                <w:i/>
                <w:sz w:val="16"/>
                <w:szCs w:val="16"/>
              </w:rPr>
              <w:t>2005/2006</w:t>
            </w:r>
          </w:p>
        </w:tc>
        <w:tc>
          <w:tcPr>
            <w:tcW w:w="972"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bCs/>
                <w:i/>
                <w:sz w:val="16"/>
                <w:szCs w:val="16"/>
              </w:rPr>
            </w:pPr>
            <w:r>
              <w:rPr>
                <w:bCs/>
                <w:i/>
                <w:sz w:val="16"/>
                <w:szCs w:val="16"/>
              </w:rPr>
              <w:t>2007/2008</w:t>
            </w:r>
          </w:p>
        </w:tc>
        <w:tc>
          <w:tcPr>
            <w:tcW w:w="972"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bCs/>
                <w:i/>
                <w:sz w:val="16"/>
                <w:szCs w:val="16"/>
              </w:rPr>
            </w:pPr>
            <w:r>
              <w:rPr>
                <w:bCs/>
                <w:i/>
                <w:sz w:val="16"/>
                <w:szCs w:val="16"/>
              </w:rPr>
              <w:t>2008/2009</w:t>
            </w:r>
          </w:p>
        </w:tc>
      </w:tr>
      <w:tr w:rsidR="00000000">
        <w:tc>
          <w:tcPr>
            <w:tcW w:w="1539" w:type="dxa"/>
            <w:tcBorders>
              <w:top w:val="single" w:sz="12" w:space="0" w:color="auto"/>
            </w:tcBorders>
            <w:shd w:val="clear" w:color="auto" w:fill="auto"/>
            <w:tcMar>
              <w:right w:w="113" w:type="dxa"/>
            </w:tcMar>
            <w:vAlign w:val="bottom"/>
          </w:tcPr>
          <w:p w:rsidR="00000000" w:rsidRDefault="00000000">
            <w:pPr>
              <w:spacing w:before="40" w:after="120"/>
              <w:rPr>
                <w:bCs/>
                <w:sz w:val="18"/>
                <w:szCs w:val="18"/>
              </w:rPr>
            </w:pPr>
            <w:r>
              <w:rPr>
                <w:bCs/>
                <w:sz w:val="18"/>
                <w:szCs w:val="18"/>
              </w:rPr>
              <w:t>Expérimentation</w:t>
            </w:r>
          </w:p>
        </w:tc>
        <w:tc>
          <w:tcPr>
            <w:tcW w:w="972" w:type="dxa"/>
            <w:tcBorders>
              <w:top w:val="single" w:sz="12" w:space="0" w:color="auto"/>
            </w:tcBorders>
            <w:shd w:val="clear" w:color="auto" w:fill="auto"/>
            <w:tcMar>
              <w:right w:w="113" w:type="dxa"/>
            </w:tcMar>
          </w:tcPr>
          <w:p w:rsidR="00000000" w:rsidRDefault="00000000">
            <w:pPr>
              <w:spacing w:before="40" w:after="120"/>
              <w:jc w:val="right"/>
              <w:rPr>
                <w:sz w:val="18"/>
                <w:szCs w:val="18"/>
              </w:rPr>
            </w:pPr>
            <w:r>
              <w:rPr>
                <w:sz w:val="18"/>
                <w:szCs w:val="18"/>
              </w:rPr>
              <w:t>CP1 CP2</w:t>
            </w:r>
          </w:p>
        </w:tc>
        <w:tc>
          <w:tcPr>
            <w:tcW w:w="972" w:type="dxa"/>
            <w:tcBorders>
              <w:top w:val="single" w:sz="12" w:space="0" w:color="auto"/>
            </w:tcBorders>
            <w:shd w:val="clear" w:color="auto" w:fill="auto"/>
            <w:tcMar>
              <w:right w:w="113" w:type="dxa"/>
            </w:tcMar>
          </w:tcPr>
          <w:p w:rsidR="00000000" w:rsidRDefault="00000000">
            <w:pPr>
              <w:spacing w:before="40" w:after="120"/>
              <w:jc w:val="right"/>
              <w:rPr>
                <w:sz w:val="18"/>
                <w:szCs w:val="18"/>
              </w:rPr>
            </w:pPr>
            <w:r>
              <w:rPr>
                <w:sz w:val="18"/>
                <w:szCs w:val="18"/>
              </w:rPr>
              <w:t>CE</w:t>
            </w:r>
          </w:p>
        </w:tc>
        <w:tc>
          <w:tcPr>
            <w:tcW w:w="972" w:type="dxa"/>
            <w:tcBorders>
              <w:top w:val="single" w:sz="12" w:space="0" w:color="auto"/>
            </w:tcBorders>
            <w:shd w:val="clear" w:color="auto" w:fill="auto"/>
            <w:tcMar>
              <w:right w:w="113" w:type="dxa"/>
            </w:tcMar>
          </w:tcPr>
          <w:p w:rsidR="00000000" w:rsidRDefault="00000000">
            <w:pPr>
              <w:spacing w:before="40" w:after="120"/>
              <w:jc w:val="right"/>
              <w:rPr>
                <w:sz w:val="18"/>
                <w:szCs w:val="18"/>
              </w:rPr>
            </w:pPr>
            <w:r>
              <w:rPr>
                <w:sz w:val="18"/>
                <w:szCs w:val="18"/>
              </w:rPr>
              <w:t>CM1</w:t>
            </w:r>
          </w:p>
        </w:tc>
        <w:tc>
          <w:tcPr>
            <w:tcW w:w="972" w:type="dxa"/>
            <w:tcBorders>
              <w:top w:val="single" w:sz="12" w:space="0" w:color="auto"/>
            </w:tcBorders>
            <w:shd w:val="clear" w:color="auto" w:fill="auto"/>
            <w:tcMar>
              <w:right w:w="113" w:type="dxa"/>
            </w:tcMar>
          </w:tcPr>
          <w:p w:rsidR="00000000" w:rsidRDefault="00000000">
            <w:pPr>
              <w:spacing w:before="40" w:after="120"/>
              <w:jc w:val="right"/>
              <w:rPr>
                <w:sz w:val="18"/>
                <w:szCs w:val="18"/>
              </w:rPr>
            </w:pPr>
            <w:r>
              <w:rPr>
                <w:sz w:val="18"/>
                <w:szCs w:val="18"/>
              </w:rPr>
              <w:t>CM2</w:t>
            </w:r>
          </w:p>
        </w:tc>
        <w:tc>
          <w:tcPr>
            <w:tcW w:w="972" w:type="dxa"/>
            <w:tcBorders>
              <w:top w:val="single" w:sz="12" w:space="0" w:color="auto"/>
            </w:tcBorders>
            <w:shd w:val="clear" w:color="auto" w:fill="auto"/>
            <w:tcMar>
              <w:right w:w="113" w:type="dxa"/>
            </w:tcMar>
          </w:tcPr>
          <w:p w:rsidR="00000000" w:rsidRDefault="00000000">
            <w:pPr>
              <w:spacing w:before="40" w:after="120"/>
              <w:jc w:val="right"/>
              <w:rPr>
                <w:sz w:val="18"/>
                <w:szCs w:val="18"/>
              </w:rPr>
            </w:pPr>
          </w:p>
        </w:tc>
        <w:tc>
          <w:tcPr>
            <w:tcW w:w="972" w:type="dxa"/>
            <w:tcBorders>
              <w:top w:val="single" w:sz="12" w:space="0" w:color="auto"/>
            </w:tcBorders>
            <w:shd w:val="clear" w:color="auto" w:fill="auto"/>
            <w:tcMar>
              <w:right w:w="113" w:type="dxa"/>
            </w:tcMar>
          </w:tcPr>
          <w:p w:rsidR="00000000" w:rsidRDefault="00000000">
            <w:pPr>
              <w:spacing w:before="40" w:after="120"/>
              <w:jc w:val="right"/>
              <w:rPr>
                <w:sz w:val="18"/>
                <w:szCs w:val="18"/>
              </w:rPr>
            </w:pPr>
          </w:p>
        </w:tc>
      </w:tr>
      <w:tr w:rsidR="00000000">
        <w:tc>
          <w:tcPr>
            <w:tcW w:w="1539" w:type="dxa"/>
            <w:shd w:val="clear" w:color="auto" w:fill="auto"/>
            <w:tcMar>
              <w:right w:w="113" w:type="dxa"/>
            </w:tcMar>
            <w:vAlign w:val="bottom"/>
          </w:tcPr>
          <w:p w:rsidR="00000000" w:rsidRDefault="00000000">
            <w:pPr>
              <w:spacing w:before="40" w:after="120"/>
              <w:rPr>
                <w:bCs/>
                <w:sz w:val="18"/>
                <w:szCs w:val="18"/>
              </w:rPr>
            </w:pPr>
            <w:r>
              <w:rPr>
                <w:bCs/>
                <w:sz w:val="18"/>
                <w:szCs w:val="18"/>
              </w:rPr>
              <w:t>Pré-généralisation</w:t>
            </w:r>
          </w:p>
        </w:tc>
        <w:tc>
          <w:tcPr>
            <w:tcW w:w="972" w:type="dxa"/>
            <w:shd w:val="clear" w:color="auto" w:fill="auto"/>
            <w:tcMar>
              <w:right w:w="113" w:type="dxa"/>
            </w:tcMar>
          </w:tcPr>
          <w:p w:rsidR="00000000" w:rsidRDefault="00000000">
            <w:pPr>
              <w:spacing w:before="40" w:after="120"/>
              <w:jc w:val="right"/>
              <w:rPr>
                <w:sz w:val="18"/>
                <w:szCs w:val="18"/>
              </w:rPr>
            </w:pPr>
          </w:p>
        </w:tc>
        <w:tc>
          <w:tcPr>
            <w:tcW w:w="972" w:type="dxa"/>
            <w:shd w:val="clear" w:color="auto" w:fill="auto"/>
            <w:tcMar>
              <w:right w:w="113" w:type="dxa"/>
            </w:tcMar>
          </w:tcPr>
          <w:p w:rsidR="00000000" w:rsidRDefault="00000000">
            <w:pPr>
              <w:spacing w:before="40" w:after="120"/>
              <w:jc w:val="right"/>
              <w:rPr>
                <w:sz w:val="18"/>
                <w:szCs w:val="18"/>
              </w:rPr>
            </w:pPr>
            <w:r>
              <w:rPr>
                <w:sz w:val="18"/>
                <w:szCs w:val="18"/>
              </w:rPr>
              <w:t>CP1 CP2</w:t>
            </w:r>
          </w:p>
        </w:tc>
        <w:tc>
          <w:tcPr>
            <w:tcW w:w="972" w:type="dxa"/>
            <w:shd w:val="clear" w:color="auto" w:fill="auto"/>
            <w:tcMar>
              <w:right w:w="113" w:type="dxa"/>
            </w:tcMar>
          </w:tcPr>
          <w:p w:rsidR="00000000" w:rsidRDefault="00000000">
            <w:pPr>
              <w:spacing w:before="40" w:after="120"/>
              <w:jc w:val="right"/>
              <w:rPr>
                <w:sz w:val="18"/>
                <w:szCs w:val="18"/>
              </w:rPr>
            </w:pPr>
            <w:r>
              <w:rPr>
                <w:sz w:val="18"/>
                <w:szCs w:val="18"/>
              </w:rPr>
              <w:t>CE</w:t>
            </w:r>
          </w:p>
        </w:tc>
        <w:tc>
          <w:tcPr>
            <w:tcW w:w="972" w:type="dxa"/>
            <w:shd w:val="clear" w:color="auto" w:fill="auto"/>
            <w:tcMar>
              <w:right w:w="113" w:type="dxa"/>
            </w:tcMar>
          </w:tcPr>
          <w:p w:rsidR="00000000" w:rsidRDefault="00000000">
            <w:pPr>
              <w:spacing w:before="40" w:after="120"/>
              <w:jc w:val="right"/>
              <w:rPr>
                <w:sz w:val="18"/>
                <w:szCs w:val="18"/>
              </w:rPr>
            </w:pPr>
            <w:r>
              <w:rPr>
                <w:sz w:val="18"/>
                <w:szCs w:val="18"/>
              </w:rPr>
              <w:t>CM1</w:t>
            </w:r>
          </w:p>
        </w:tc>
        <w:tc>
          <w:tcPr>
            <w:tcW w:w="972" w:type="dxa"/>
            <w:shd w:val="clear" w:color="auto" w:fill="auto"/>
            <w:tcMar>
              <w:right w:w="113" w:type="dxa"/>
            </w:tcMar>
          </w:tcPr>
          <w:p w:rsidR="00000000" w:rsidRDefault="00000000">
            <w:pPr>
              <w:spacing w:before="40" w:after="120"/>
              <w:jc w:val="right"/>
              <w:rPr>
                <w:sz w:val="18"/>
                <w:szCs w:val="18"/>
              </w:rPr>
            </w:pPr>
            <w:r>
              <w:rPr>
                <w:sz w:val="18"/>
                <w:szCs w:val="18"/>
              </w:rPr>
              <w:t>CM2</w:t>
            </w:r>
          </w:p>
        </w:tc>
        <w:tc>
          <w:tcPr>
            <w:tcW w:w="972" w:type="dxa"/>
            <w:shd w:val="clear" w:color="auto" w:fill="auto"/>
            <w:tcMar>
              <w:right w:w="113" w:type="dxa"/>
            </w:tcMar>
          </w:tcPr>
          <w:p w:rsidR="00000000" w:rsidRDefault="00000000">
            <w:pPr>
              <w:spacing w:before="40" w:after="120"/>
              <w:jc w:val="right"/>
              <w:rPr>
                <w:sz w:val="18"/>
                <w:szCs w:val="18"/>
              </w:rPr>
            </w:pPr>
          </w:p>
        </w:tc>
      </w:tr>
      <w:tr w:rsidR="00000000">
        <w:tc>
          <w:tcPr>
            <w:tcW w:w="1539" w:type="dxa"/>
            <w:tcBorders>
              <w:bottom w:val="single" w:sz="12" w:space="0" w:color="auto"/>
            </w:tcBorders>
            <w:shd w:val="clear" w:color="auto" w:fill="auto"/>
            <w:tcMar>
              <w:right w:w="113" w:type="dxa"/>
            </w:tcMar>
            <w:vAlign w:val="bottom"/>
          </w:tcPr>
          <w:p w:rsidR="00000000" w:rsidRDefault="00000000">
            <w:pPr>
              <w:spacing w:before="40" w:after="120"/>
              <w:rPr>
                <w:bCs/>
                <w:sz w:val="18"/>
                <w:szCs w:val="18"/>
              </w:rPr>
            </w:pPr>
            <w:r>
              <w:rPr>
                <w:bCs/>
                <w:sz w:val="18"/>
                <w:szCs w:val="18"/>
              </w:rPr>
              <w:t>Généralisation</w:t>
            </w:r>
          </w:p>
        </w:tc>
        <w:tc>
          <w:tcPr>
            <w:tcW w:w="972" w:type="dxa"/>
            <w:tcBorders>
              <w:bottom w:val="single" w:sz="12" w:space="0" w:color="auto"/>
            </w:tcBorders>
            <w:shd w:val="clear" w:color="auto" w:fill="auto"/>
            <w:tcMar>
              <w:right w:w="113" w:type="dxa"/>
            </w:tcMar>
          </w:tcPr>
          <w:p w:rsidR="00000000" w:rsidRDefault="00000000">
            <w:pPr>
              <w:spacing w:before="40" w:after="120"/>
              <w:jc w:val="right"/>
              <w:rPr>
                <w:sz w:val="18"/>
                <w:szCs w:val="18"/>
              </w:rPr>
            </w:pPr>
          </w:p>
        </w:tc>
        <w:tc>
          <w:tcPr>
            <w:tcW w:w="972" w:type="dxa"/>
            <w:tcBorders>
              <w:bottom w:val="single" w:sz="12" w:space="0" w:color="auto"/>
            </w:tcBorders>
            <w:shd w:val="clear" w:color="auto" w:fill="auto"/>
            <w:tcMar>
              <w:right w:w="113" w:type="dxa"/>
            </w:tcMar>
          </w:tcPr>
          <w:p w:rsidR="00000000" w:rsidRDefault="00000000">
            <w:pPr>
              <w:spacing w:before="40" w:after="120"/>
              <w:jc w:val="right"/>
              <w:rPr>
                <w:sz w:val="18"/>
                <w:szCs w:val="18"/>
              </w:rPr>
            </w:pPr>
          </w:p>
        </w:tc>
        <w:tc>
          <w:tcPr>
            <w:tcW w:w="972" w:type="dxa"/>
            <w:tcBorders>
              <w:bottom w:val="single" w:sz="12" w:space="0" w:color="auto"/>
            </w:tcBorders>
            <w:shd w:val="clear" w:color="auto" w:fill="auto"/>
            <w:tcMar>
              <w:right w:w="113" w:type="dxa"/>
            </w:tcMar>
          </w:tcPr>
          <w:p w:rsidR="00000000" w:rsidRDefault="00000000">
            <w:pPr>
              <w:spacing w:before="40" w:after="120"/>
              <w:jc w:val="right"/>
              <w:rPr>
                <w:sz w:val="18"/>
                <w:szCs w:val="18"/>
              </w:rPr>
            </w:pPr>
            <w:r>
              <w:rPr>
                <w:sz w:val="18"/>
                <w:szCs w:val="18"/>
              </w:rPr>
              <w:t>CP1 CP2</w:t>
            </w:r>
          </w:p>
        </w:tc>
        <w:tc>
          <w:tcPr>
            <w:tcW w:w="972" w:type="dxa"/>
            <w:tcBorders>
              <w:bottom w:val="single" w:sz="12" w:space="0" w:color="auto"/>
            </w:tcBorders>
            <w:shd w:val="clear" w:color="auto" w:fill="auto"/>
            <w:tcMar>
              <w:right w:w="113" w:type="dxa"/>
            </w:tcMar>
          </w:tcPr>
          <w:p w:rsidR="00000000" w:rsidRDefault="00000000">
            <w:pPr>
              <w:spacing w:before="40" w:after="120"/>
              <w:jc w:val="right"/>
              <w:rPr>
                <w:sz w:val="18"/>
                <w:szCs w:val="18"/>
              </w:rPr>
            </w:pPr>
            <w:r>
              <w:rPr>
                <w:sz w:val="18"/>
                <w:szCs w:val="18"/>
              </w:rPr>
              <w:t>CE</w:t>
            </w:r>
          </w:p>
        </w:tc>
        <w:tc>
          <w:tcPr>
            <w:tcW w:w="972" w:type="dxa"/>
            <w:tcBorders>
              <w:bottom w:val="single" w:sz="12" w:space="0" w:color="auto"/>
            </w:tcBorders>
            <w:shd w:val="clear" w:color="auto" w:fill="auto"/>
            <w:tcMar>
              <w:right w:w="113" w:type="dxa"/>
            </w:tcMar>
          </w:tcPr>
          <w:p w:rsidR="00000000" w:rsidRDefault="00000000">
            <w:pPr>
              <w:spacing w:before="40" w:after="120"/>
              <w:jc w:val="right"/>
              <w:rPr>
                <w:sz w:val="18"/>
                <w:szCs w:val="18"/>
              </w:rPr>
            </w:pPr>
            <w:r>
              <w:rPr>
                <w:sz w:val="18"/>
                <w:szCs w:val="18"/>
              </w:rPr>
              <w:t>CM1</w:t>
            </w:r>
          </w:p>
        </w:tc>
        <w:tc>
          <w:tcPr>
            <w:tcW w:w="972" w:type="dxa"/>
            <w:tcBorders>
              <w:bottom w:val="single" w:sz="12" w:space="0" w:color="auto"/>
            </w:tcBorders>
            <w:shd w:val="clear" w:color="auto" w:fill="auto"/>
            <w:tcMar>
              <w:right w:w="113" w:type="dxa"/>
            </w:tcMar>
          </w:tcPr>
          <w:p w:rsidR="00000000" w:rsidRDefault="00000000">
            <w:pPr>
              <w:spacing w:before="40" w:after="120"/>
              <w:jc w:val="right"/>
              <w:rPr>
                <w:sz w:val="18"/>
                <w:szCs w:val="18"/>
              </w:rPr>
            </w:pPr>
            <w:r>
              <w:rPr>
                <w:sz w:val="18"/>
                <w:szCs w:val="18"/>
              </w:rPr>
              <w:t>CM2</w:t>
            </w:r>
          </w:p>
        </w:tc>
      </w:tr>
    </w:tbl>
    <w:p w:rsidR="00000000" w:rsidRDefault="00000000">
      <w:pPr>
        <w:pStyle w:val="SingleTxtG"/>
        <w:spacing w:before="240" w:after="0"/>
      </w:pPr>
      <w:bookmarkStart w:id="1223" w:name="_Toc260298280"/>
      <w:r>
        <w:t>Tableau 33</w:t>
      </w:r>
    </w:p>
    <w:p w:rsidR="00000000" w:rsidRDefault="00000000">
      <w:pPr>
        <w:pStyle w:val="SingleTxtG"/>
        <w:rPr>
          <w:b/>
        </w:rPr>
      </w:pPr>
      <w:r>
        <w:rPr>
          <w:b/>
        </w:rPr>
        <w:t>Mise en œuvre de la Réforme de l’enseignement fondamental</w:t>
      </w:r>
      <w:bookmarkEnd w:id="1223"/>
    </w:p>
    <w:tbl>
      <w:tblPr>
        <w:tblW w:w="7371" w:type="dxa"/>
        <w:tblInd w:w="1134" w:type="dxa"/>
        <w:tblCellMar>
          <w:left w:w="0" w:type="dxa"/>
          <w:right w:w="0" w:type="dxa"/>
        </w:tblCellMar>
        <w:tblLook w:val="01E0" w:firstRow="1" w:lastRow="1" w:firstColumn="1" w:lastColumn="1" w:noHBand="0" w:noVBand="0"/>
      </w:tblPr>
      <w:tblGrid>
        <w:gridCol w:w="819"/>
        <w:gridCol w:w="923"/>
        <w:gridCol w:w="764"/>
        <w:gridCol w:w="825"/>
        <w:gridCol w:w="823"/>
        <w:gridCol w:w="808"/>
        <w:gridCol w:w="806"/>
        <w:gridCol w:w="806"/>
        <w:gridCol w:w="797"/>
      </w:tblGrid>
      <w:tr w:rsidR="00000000">
        <w:trPr>
          <w:tblHeader/>
        </w:trPr>
        <w:tc>
          <w:tcPr>
            <w:tcW w:w="999" w:type="dxa"/>
            <w:vMerge w:val="restart"/>
            <w:tcBorders>
              <w:top w:val="single" w:sz="4" w:space="0" w:color="auto"/>
              <w:left w:val="nil"/>
              <w:right w:val="nil"/>
            </w:tcBorders>
            <w:shd w:val="clear" w:color="auto" w:fill="auto"/>
            <w:vAlign w:val="bottom"/>
          </w:tcPr>
          <w:p w:rsidR="00000000" w:rsidRDefault="00000000">
            <w:pPr>
              <w:spacing w:before="80" w:after="80" w:line="200" w:lineRule="exact"/>
              <w:rPr>
                <w:bCs/>
                <w:i/>
                <w:sz w:val="16"/>
                <w:szCs w:val="16"/>
              </w:rPr>
            </w:pPr>
            <w:r>
              <w:rPr>
                <w:bCs/>
                <w:i/>
                <w:sz w:val="16"/>
                <w:szCs w:val="16"/>
              </w:rPr>
              <w:t>Année d’études</w:t>
            </w:r>
          </w:p>
        </w:tc>
        <w:tc>
          <w:tcPr>
            <w:tcW w:w="1092" w:type="dxa"/>
            <w:tcBorders>
              <w:top w:val="single" w:sz="4" w:space="0" w:color="auto"/>
              <w:left w:val="nil"/>
              <w:right w:val="nil"/>
            </w:tcBorders>
            <w:shd w:val="clear" w:color="auto" w:fill="auto"/>
            <w:vAlign w:val="center"/>
          </w:tcPr>
          <w:p w:rsidR="00000000" w:rsidRDefault="00000000">
            <w:pPr>
              <w:spacing w:before="80" w:after="80" w:line="200" w:lineRule="exact"/>
              <w:rPr>
                <w:bCs/>
                <w:i/>
                <w:sz w:val="16"/>
                <w:szCs w:val="16"/>
              </w:rPr>
            </w:pPr>
          </w:p>
        </w:tc>
        <w:tc>
          <w:tcPr>
            <w:tcW w:w="6840" w:type="dxa"/>
            <w:gridSpan w:val="7"/>
            <w:tcBorders>
              <w:top w:val="single" w:sz="4" w:space="0" w:color="auto"/>
              <w:left w:val="nil"/>
              <w:bottom w:val="single" w:sz="4" w:space="0" w:color="auto"/>
              <w:right w:val="nil"/>
            </w:tcBorders>
            <w:shd w:val="clear" w:color="auto" w:fill="auto"/>
            <w:vAlign w:val="center"/>
          </w:tcPr>
          <w:p w:rsidR="00000000" w:rsidRDefault="00000000">
            <w:pPr>
              <w:spacing w:before="80" w:after="80" w:line="200" w:lineRule="exact"/>
              <w:jc w:val="center"/>
              <w:rPr>
                <w:bCs/>
                <w:i/>
                <w:sz w:val="16"/>
                <w:szCs w:val="16"/>
              </w:rPr>
            </w:pPr>
            <w:r>
              <w:rPr>
                <w:bCs/>
                <w:i/>
                <w:sz w:val="16"/>
                <w:szCs w:val="16"/>
              </w:rPr>
              <w:t>Année scolaire</w:t>
            </w:r>
          </w:p>
        </w:tc>
      </w:tr>
      <w:tr w:rsidR="00000000">
        <w:trPr>
          <w:tblHeader/>
        </w:trPr>
        <w:tc>
          <w:tcPr>
            <w:tcW w:w="999" w:type="dxa"/>
            <w:vMerge/>
            <w:tcBorders>
              <w:bottom w:val="single" w:sz="12" w:space="0" w:color="auto"/>
              <w:right w:val="nil"/>
            </w:tcBorders>
            <w:shd w:val="clear" w:color="auto" w:fill="auto"/>
            <w:vAlign w:val="bottom"/>
          </w:tcPr>
          <w:p w:rsidR="00000000" w:rsidRDefault="00000000">
            <w:pPr>
              <w:spacing w:before="80" w:after="80" w:line="200" w:lineRule="exact"/>
              <w:rPr>
                <w:bCs/>
                <w:i/>
                <w:sz w:val="16"/>
                <w:szCs w:val="16"/>
              </w:rPr>
            </w:pPr>
          </w:p>
        </w:tc>
        <w:tc>
          <w:tcPr>
            <w:tcW w:w="1092" w:type="dxa"/>
            <w:tcBorders>
              <w:left w:val="nil"/>
              <w:bottom w:val="single" w:sz="12" w:space="0" w:color="auto"/>
              <w:right w:val="nil"/>
            </w:tcBorders>
            <w:shd w:val="clear" w:color="auto" w:fill="auto"/>
            <w:vAlign w:val="center"/>
          </w:tcPr>
          <w:p w:rsidR="00000000" w:rsidRDefault="00000000">
            <w:pPr>
              <w:spacing w:before="80" w:after="80" w:line="200" w:lineRule="exact"/>
              <w:rPr>
                <w:bCs/>
                <w:i/>
                <w:sz w:val="16"/>
                <w:szCs w:val="16"/>
              </w:rPr>
            </w:pPr>
          </w:p>
        </w:tc>
        <w:tc>
          <w:tcPr>
            <w:tcW w:w="896" w:type="dxa"/>
            <w:tcBorders>
              <w:left w:val="nil"/>
              <w:bottom w:val="single" w:sz="12" w:space="0" w:color="auto"/>
              <w:right w:val="nil"/>
            </w:tcBorders>
            <w:shd w:val="clear" w:color="auto" w:fill="auto"/>
            <w:vAlign w:val="bottom"/>
          </w:tcPr>
          <w:p w:rsidR="00000000" w:rsidRDefault="00000000">
            <w:pPr>
              <w:spacing w:before="80" w:after="80" w:line="200" w:lineRule="exact"/>
              <w:jc w:val="right"/>
              <w:rPr>
                <w:bCs/>
                <w:i/>
                <w:sz w:val="16"/>
                <w:szCs w:val="16"/>
              </w:rPr>
            </w:pPr>
            <w:r>
              <w:rPr>
                <w:bCs/>
                <w:i/>
                <w:sz w:val="16"/>
                <w:szCs w:val="16"/>
              </w:rPr>
              <w:t>2008 /09</w:t>
            </w:r>
          </w:p>
        </w:tc>
        <w:tc>
          <w:tcPr>
            <w:tcW w:w="997" w:type="dxa"/>
            <w:tcBorders>
              <w:left w:val="nil"/>
              <w:bottom w:val="single" w:sz="12" w:space="0" w:color="auto"/>
              <w:right w:val="nil"/>
            </w:tcBorders>
            <w:shd w:val="clear" w:color="auto" w:fill="auto"/>
            <w:vAlign w:val="bottom"/>
          </w:tcPr>
          <w:p w:rsidR="00000000" w:rsidRDefault="00000000">
            <w:pPr>
              <w:spacing w:before="80" w:after="80" w:line="200" w:lineRule="exact"/>
              <w:jc w:val="right"/>
              <w:rPr>
                <w:bCs/>
                <w:i/>
                <w:sz w:val="16"/>
                <w:szCs w:val="16"/>
              </w:rPr>
            </w:pPr>
            <w:r>
              <w:rPr>
                <w:bCs/>
                <w:i/>
                <w:sz w:val="16"/>
                <w:szCs w:val="16"/>
              </w:rPr>
              <w:t>2009 /10</w:t>
            </w:r>
          </w:p>
        </w:tc>
        <w:tc>
          <w:tcPr>
            <w:tcW w:w="993" w:type="dxa"/>
            <w:tcBorders>
              <w:left w:val="nil"/>
              <w:bottom w:val="single" w:sz="12" w:space="0" w:color="auto"/>
              <w:right w:val="nil"/>
            </w:tcBorders>
            <w:shd w:val="clear" w:color="auto" w:fill="auto"/>
            <w:vAlign w:val="bottom"/>
          </w:tcPr>
          <w:p w:rsidR="00000000" w:rsidRDefault="00000000">
            <w:pPr>
              <w:spacing w:before="80" w:after="80" w:line="200" w:lineRule="exact"/>
              <w:jc w:val="right"/>
              <w:rPr>
                <w:bCs/>
                <w:i/>
                <w:sz w:val="16"/>
                <w:szCs w:val="16"/>
              </w:rPr>
            </w:pPr>
            <w:r>
              <w:rPr>
                <w:bCs/>
                <w:i/>
                <w:sz w:val="16"/>
                <w:szCs w:val="16"/>
              </w:rPr>
              <w:t>2010 /11</w:t>
            </w:r>
          </w:p>
        </w:tc>
        <w:tc>
          <w:tcPr>
            <w:tcW w:w="995" w:type="dxa"/>
            <w:tcBorders>
              <w:left w:val="nil"/>
              <w:bottom w:val="single" w:sz="12" w:space="0" w:color="auto"/>
              <w:right w:val="nil"/>
            </w:tcBorders>
            <w:shd w:val="clear" w:color="auto" w:fill="auto"/>
            <w:vAlign w:val="bottom"/>
          </w:tcPr>
          <w:p w:rsidR="00000000" w:rsidRDefault="00000000">
            <w:pPr>
              <w:spacing w:before="80" w:after="80" w:line="200" w:lineRule="exact"/>
              <w:jc w:val="right"/>
              <w:rPr>
                <w:bCs/>
                <w:i/>
                <w:sz w:val="16"/>
                <w:szCs w:val="16"/>
              </w:rPr>
            </w:pPr>
            <w:r>
              <w:rPr>
                <w:bCs/>
                <w:i/>
                <w:sz w:val="16"/>
                <w:szCs w:val="16"/>
              </w:rPr>
              <w:t>2011/12</w:t>
            </w:r>
          </w:p>
        </w:tc>
        <w:tc>
          <w:tcPr>
            <w:tcW w:w="991" w:type="dxa"/>
            <w:tcBorders>
              <w:left w:val="nil"/>
              <w:bottom w:val="single" w:sz="12" w:space="0" w:color="auto"/>
              <w:right w:val="nil"/>
            </w:tcBorders>
            <w:shd w:val="clear" w:color="auto" w:fill="auto"/>
            <w:vAlign w:val="bottom"/>
          </w:tcPr>
          <w:p w:rsidR="00000000" w:rsidRDefault="00000000">
            <w:pPr>
              <w:spacing w:before="80" w:after="80" w:line="200" w:lineRule="exact"/>
              <w:jc w:val="right"/>
              <w:rPr>
                <w:bCs/>
                <w:i/>
                <w:sz w:val="16"/>
                <w:szCs w:val="16"/>
              </w:rPr>
            </w:pPr>
            <w:r>
              <w:rPr>
                <w:bCs/>
                <w:i/>
                <w:sz w:val="16"/>
                <w:szCs w:val="16"/>
              </w:rPr>
              <w:t>2012/13</w:t>
            </w:r>
          </w:p>
        </w:tc>
        <w:tc>
          <w:tcPr>
            <w:tcW w:w="991" w:type="dxa"/>
            <w:tcBorders>
              <w:left w:val="nil"/>
              <w:bottom w:val="single" w:sz="12" w:space="0" w:color="auto"/>
              <w:right w:val="nil"/>
            </w:tcBorders>
            <w:shd w:val="clear" w:color="auto" w:fill="auto"/>
            <w:vAlign w:val="bottom"/>
          </w:tcPr>
          <w:p w:rsidR="00000000" w:rsidRDefault="00000000">
            <w:pPr>
              <w:spacing w:before="80" w:after="80" w:line="200" w:lineRule="exact"/>
              <w:jc w:val="right"/>
              <w:rPr>
                <w:bCs/>
                <w:i/>
                <w:sz w:val="16"/>
                <w:szCs w:val="16"/>
              </w:rPr>
            </w:pPr>
            <w:r>
              <w:rPr>
                <w:bCs/>
                <w:i/>
                <w:sz w:val="16"/>
                <w:szCs w:val="16"/>
              </w:rPr>
              <w:t>2013/14</w:t>
            </w:r>
          </w:p>
        </w:tc>
        <w:tc>
          <w:tcPr>
            <w:tcW w:w="977" w:type="dxa"/>
            <w:tcBorders>
              <w:left w:val="nil"/>
              <w:bottom w:val="single" w:sz="12" w:space="0" w:color="auto"/>
              <w:right w:val="nil"/>
            </w:tcBorders>
            <w:shd w:val="clear" w:color="auto" w:fill="auto"/>
            <w:vAlign w:val="bottom"/>
          </w:tcPr>
          <w:p w:rsidR="00000000" w:rsidRDefault="00000000">
            <w:pPr>
              <w:spacing w:before="80" w:after="80" w:line="200" w:lineRule="exact"/>
              <w:jc w:val="right"/>
              <w:rPr>
                <w:bCs/>
                <w:i/>
                <w:sz w:val="16"/>
                <w:szCs w:val="16"/>
              </w:rPr>
            </w:pPr>
            <w:r>
              <w:rPr>
                <w:bCs/>
                <w:i/>
                <w:sz w:val="16"/>
                <w:szCs w:val="16"/>
              </w:rPr>
              <w:t>2014/15</w:t>
            </w:r>
          </w:p>
        </w:tc>
      </w:tr>
      <w:tr w:rsidR="00000000">
        <w:tc>
          <w:tcPr>
            <w:tcW w:w="999" w:type="dxa"/>
            <w:vMerge w:val="restart"/>
            <w:tcBorders>
              <w:top w:val="single" w:sz="12" w:space="0" w:color="auto"/>
            </w:tcBorders>
            <w:shd w:val="clear" w:color="auto" w:fill="auto"/>
            <w:vAlign w:val="center"/>
          </w:tcPr>
          <w:p w:rsidR="00000000" w:rsidRDefault="00000000">
            <w:pPr>
              <w:spacing w:before="40" w:after="40" w:line="220" w:lineRule="exact"/>
              <w:rPr>
                <w:bCs/>
                <w:sz w:val="18"/>
                <w:szCs w:val="18"/>
              </w:rPr>
            </w:pPr>
            <w:r>
              <w:rPr>
                <w:bCs/>
                <w:sz w:val="18"/>
                <w:szCs w:val="18"/>
              </w:rPr>
              <w:t>1</w:t>
            </w:r>
            <w:r>
              <w:rPr>
                <w:bCs/>
                <w:sz w:val="18"/>
                <w:szCs w:val="18"/>
                <w:vertAlign w:val="superscript"/>
              </w:rPr>
              <w:t>re</w:t>
            </w:r>
            <w:r>
              <w:rPr>
                <w:bCs/>
                <w:sz w:val="18"/>
                <w:szCs w:val="18"/>
              </w:rPr>
              <w:t xml:space="preserve"> année</w:t>
            </w:r>
          </w:p>
        </w:tc>
        <w:tc>
          <w:tcPr>
            <w:tcW w:w="1092" w:type="dxa"/>
            <w:tcBorders>
              <w:top w:val="single" w:sz="12" w:space="0" w:color="auto"/>
            </w:tcBorders>
            <w:shd w:val="clear" w:color="auto" w:fill="auto"/>
            <w:vAlign w:val="bottom"/>
          </w:tcPr>
          <w:p w:rsidR="00000000" w:rsidRDefault="00000000">
            <w:pPr>
              <w:spacing w:before="40" w:after="40" w:line="220" w:lineRule="exact"/>
              <w:jc w:val="right"/>
              <w:rPr>
                <w:bCs/>
                <w:sz w:val="18"/>
                <w:szCs w:val="18"/>
              </w:rPr>
            </w:pPr>
            <w:r>
              <w:rPr>
                <w:bCs/>
                <w:sz w:val="18"/>
                <w:szCs w:val="18"/>
              </w:rPr>
              <w:t>Nombre de CISCOs</w:t>
            </w:r>
          </w:p>
        </w:tc>
        <w:tc>
          <w:tcPr>
            <w:tcW w:w="896" w:type="dxa"/>
            <w:tcBorders>
              <w:top w:val="single" w:sz="12" w:space="0" w:color="auto"/>
            </w:tcBorders>
            <w:shd w:val="clear" w:color="auto" w:fill="auto"/>
            <w:vAlign w:val="bottom"/>
          </w:tcPr>
          <w:p w:rsidR="00000000" w:rsidRDefault="00000000">
            <w:pPr>
              <w:spacing w:before="40" w:after="40" w:line="220" w:lineRule="exact"/>
              <w:jc w:val="right"/>
              <w:rPr>
                <w:bCs/>
                <w:sz w:val="18"/>
                <w:szCs w:val="18"/>
              </w:rPr>
            </w:pPr>
            <w:r>
              <w:rPr>
                <w:bCs/>
                <w:sz w:val="18"/>
                <w:szCs w:val="18"/>
              </w:rPr>
              <w:t>20</w:t>
            </w:r>
          </w:p>
        </w:tc>
        <w:tc>
          <w:tcPr>
            <w:tcW w:w="997" w:type="dxa"/>
            <w:tcBorders>
              <w:top w:val="single" w:sz="12" w:space="0" w:color="auto"/>
            </w:tcBorders>
            <w:shd w:val="clear" w:color="auto" w:fill="auto"/>
            <w:vAlign w:val="bottom"/>
          </w:tcPr>
          <w:p w:rsidR="00000000" w:rsidRDefault="00000000">
            <w:pPr>
              <w:spacing w:before="40" w:after="40" w:line="220" w:lineRule="exact"/>
              <w:jc w:val="right"/>
              <w:rPr>
                <w:bCs/>
                <w:sz w:val="18"/>
                <w:szCs w:val="18"/>
              </w:rPr>
            </w:pPr>
            <w:r>
              <w:rPr>
                <w:bCs/>
                <w:sz w:val="18"/>
                <w:szCs w:val="18"/>
              </w:rPr>
              <w:t>65</w:t>
            </w:r>
          </w:p>
        </w:tc>
        <w:tc>
          <w:tcPr>
            <w:tcW w:w="993" w:type="dxa"/>
            <w:tcBorders>
              <w:top w:val="single" w:sz="12" w:space="0" w:color="auto"/>
            </w:tcBorders>
            <w:shd w:val="clear" w:color="auto" w:fill="auto"/>
            <w:vAlign w:val="bottom"/>
          </w:tcPr>
          <w:p w:rsidR="00000000" w:rsidRDefault="00000000">
            <w:pPr>
              <w:spacing w:before="40" w:after="40" w:line="220" w:lineRule="exact"/>
              <w:jc w:val="right"/>
              <w:rPr>
                <w:bCs/>
                <w:sz w:val="18"/>
                <w:szCs w:val="18"/>
              </w:rPr>
            </w:pPr>
            <w:r>
              <w:rPr>
                <w:bCs/>
                <w:sz w:val="18"/>
                <w:szCs w:val="18"/>
              </w:rPr>
              <w:t>111</w:t>
            </w:r>
          </w:p>
        </w:tc>
        <w:tc>
          <w:tcPr>
            <w:tcW w:w="995" w:type="dxa"/>
            <w:tcBorders>
              <w:top w:val="single" w:sz="12" w:space="0" w:color="auto"/>
              <w:bottom w:val="nil"/>
              <w:right w:val="nil"/>
            </w:tcBorders>
            <w:shd w:val="clear" w:color="auto" w:fill="auto"/>
            <w:vAlign w:val="bottom"/>
          </w:tcPr>
          <w:p w:rsidR="00000000" w:rsidRDefault="00000000">
            <w:pPr>
              <w:spacing w:before="40" w:after="40" w:line="220" w:lineRule="exact"/>
              <w:jc w:val="right"/>
              <w:rPr>
                <w:sz w:val="18"/>
                <w:szCs w:val="18"/>
                <w:lang w:val="fr-FR"/>
              </w:rPr>
            </w:pPr>
          </w:p>
        </w:tc>
        <w:tc>
          <w:tcPr>
            <w:tcW w:w="991" w:type="dxa"/>
            <w:tcBorders>
              <w:top w:val="single" w:sz="12" w:space="0" w:color="auto"/>
              <w:left w:val="nil"/>
              <w:bottom w:val="nil"/>
              <w:right w:val="nil"/>
            </w:tcBorders>
            <w:shd w:val="clear" w:color="auto" w:fill="auto"/>
            <w:vAlign w:val="bottom"/>
          </w:tcPr>
          <w:p w:rsidR="00000000" w:rsidRDefault="00000000">
            <w:pPr>
              <w:spacing w:before="40" w:after="40" w:line="220" w:lineRule="exact"/>
              <w:jc w:val="right"/>
              <w:rPr>
                <w:bCs/>
                <w:sz w:val="18"/>
                <w:szCs w:val="18"/>
              </w:rPr>
            </w:pPr>
          </w:p>
        </w:tc>
        <w:tc>
          <w:tcPr>
            <w:tcW w:w="991" w:type="dxa"/>
            <w:tcBorders>
              <w:top w:val="single" w:sz="12" w:space="0" w:color="auto"/>
              <w:left w:val="nil"/>
              <w:bottom w:val="nil"/>
              <w:right w:val="nil"/>
            </w:tcBorders>
            <w:shd w:val="clear" w:color="auto" w:fill="auto"/>
            <w:vAlign w:val="bottom"/>
          </w:tcPr>
          <w:p w:rsidR="00000000" w:rsidRDefault="00000000">
            <w:pPr>
              <w:spacing w:before="40" w:after="40" w:line="220" w:lineRule="exact"/>
              <w:jc w:val="right"/>
              <w:rPr>
                <w:bCs/>
                <w:sz w:val="18"/>
                <w:szCs w:val="18"/>
              </w:rPr>
            </w:pPr>
          </w:p>
        </w:tc>
        <w:tc>
          <w:tcPr>
            <w:tcW w:w="977" w:type="dxa"/>
            <w:tcBorders>
              <w:top w:val="single" w:sz="12" w:space="0" w:color="auto"/>
              <w:left w:val="nil"/>
              <w:bottom w:val="nil"/>
              <w:right w:val="nil"/>
            </w:tcBorders>
            <w:shd w:val="clear" w:color="auto" w:fill="auto"/>
            <w:vAlign w:val="bottom"/>
          </w:tcPr>
          <w:p w:rsidR="00000000" w:rsidRDefault="00000000">
            <w:pPr>
              <w:spacing w:before="40" w:after="40" w:line="220" w:lineRule="exact"/>
              <w:jc w:val="right"/>
              <w:rPr>
                <w:bCs/>
                <w:sz w:val="18"/>
                <w:szCs w:val="18"/>
              </w:rPr>
            </w:pPr>
          </w:p>
        </w:tc>
      </w:tr>
      <w:tr w:rsidR="00000000">
        <w:tc>
          <w:tcPr>
            <w:tcW w:w="999" w:type="dxa"/>
            <w:vMerge/>
            <w:shd w:val="clear" w:color="auto" w:fill="auto"/>
            <w:vAlign w:val="center"/>
          </w:tcPr>
          <w:p w:rsidR="00000000" w:rsidRDefault="00000000">
            <w:pPr>
              <w:spacing w:before="40" w:after="40" w:line="220" w:lineRule="exact"/>
              <w:rPr>
                <w:bCs/>
                <w:sz w:val="18"/>
                <w:szCs w:val="18"/>
              </w:rPr>
            </w:pPr>
          </w:p>
        </w:tc>
        <w:tc>
          <w:tcPr>
            <w:tcW w:w="1092" w:type="dxa"/>
            <w:shd w:val="clear" w:color="auto" w:fill="auto"/>
            <w:vAlign w:val="bottom"/>
          </w:tcPr>
          <w:p w:rsidR="00000000" w:rsidRDefault="00000000">
            <w:pPr>
              <w:spacing w:before="40" w:after="40" w:line="220" w:lineRule="exact"/>
              <w:jc w:val="right"/>
              <w:rPr>
                <w:bCs/>
                <w:sz w:val="18"/>
                <w:szCs w:val="18"/>
              </w:rPr>
            </w:pPr>
            <w:r>
              <w:rPr>
                <w:bCs/>
                <w:sz w:val="18"/>
                <w:szCs w:val="18"/>
              </w:rPr>
              <w:t>Phase</w:t>
            </w:r>
          </w:p>
        </w:tc>
        <w:tc>
          <w:tcPr>
            <w:tcW w:w="896" w:type="dxa"/>
            <w:shd w:val="clear" w:color="auto" w:fill="auto"/>
            <w:vAlign w:val="bottom"/>
          </w:tcPr>
          <w:p w:rsidR="00000000" w:rsidRDefault="00000000">
            <w:pPr>
              <w:spacing w:before="40" w:after="40" w:line="220" w:lineRule="exact"/>
              <w:jc w:val="right"/>
              <w:rPr>
                <w:bCs/>
                <w:sz w:val="18"/>
                <w:szCs w:val="18"/>
              </w:rPr>
            </w:pPr>
            <w:r>
              <w:rPr>
                <w:bCs/>
                <w:sz w:val="18"/>
                <w:szCs w:val="18"/>
              </w:rPr>
              <w:t>Exp</w:t>
            </w:r>
          </w:p>
        </w:tc>
        <w:tc>
          <w:tcPr>
            <w:tcW w:w="997" w:type="dxa"/>
            <w:shd w:val="clear" w:color="auto" w:fill="auto"/>
            <w:vAlign w:val="bottom"/>
          </w:tcPr>
          <w:p w:rsidR="00000000" w:rsidRDefault="00000000">
            <w:pPr>
              <w:spacing w:before="40" w:after="40" w:line="220" w:lineRule="exact"/>
              <w:jc w:val="right"/>
              <w:rPr>
                <w:bCs/>
                <w:sz w:val="18"/>
                <w:szCs w:val="18"/>
              </w:rPr>
            </w:pPr>
            <w:r>
              <w:rPr>
                <w:bCs/>
                <w:sz w:val="18"/>
                <w:szCs w:val="18"/>
              </w:rPr>
              <w:t>Pré-Gén</w:t>
            </w:r>
          </w:p>
        </w:tc>
        <w:tc>
          <w:tcPr>
            <w:tcW w:w="993" w:type="dxa"/>
            <w:shd w:val="clear" w:color="auto" w:fill="auto"/>
            <w:vAlign w:val="bottom"/>
          </w:tcPr>
          <w:p w:rsidR="00000000" w:rsidRDefault="00000000">
            <w:pPr>
              <w:spacing w:before="40" w:after="40" w:line="220" w:lineRule="exact"/>
              <w:jc w:val="right"/>
              <w:rPr>
                <w:bCs/>
                <w:sz w:val="18"/>
                <w:szCs w:val="18"/>
              </w:rPr>
            </w:pPr>
            <w:r>
              <w:rPr>
                <w:bCs/>
                <w:sz w:val="18"/>
                <w:szCs w:val="18"/>
              </w:rPr>
              <w:t>Gén</w:t>
            </w:r>
          </w:p>
        </w:tc>
        <w:tc>
          <w:tcPr>
            <w:tcW w:w="995" w:type="dxa"/>
            <w:tcBorders>
              <w:top w:val="nil"/>
              <w:right w:val="nil"/>
            </w:tcBorders>
            <w:shd w:val="clear" w:color="auto" w:fill="auto"/>
            <w:vAlign w:val="bottom"/>
          </w:tcPr>
          <w:p w:rsidR="00000000" w:rsidRDefault="00000000">
            <w:pPr>
              <w:spacing w:before="40" w:after="40" w:line="220" w:lineRule="exact"/>
              <w:jc w:val="right"/>
              <w:rPr>
                <w:sz w:val="18"/>
                <w:szCs w:val="18"/>
                <w:lang w:val="fr-FR"/>
              </w:rPr>
            </w:pPr>
          </w:p>
        </w:tc>
        <w:tc>
          <w:tcPr>
            <w:tcW w:w="991" w:type="dxa"/>
            <w:tcBorders>
              <w:top w:val="nil"/>
              <w:left w:val="nil"/>
              <w:bottom w:val="nil"/>
              <w:right w:val="nil"/>
            </w:tcBorders>
            <w:shd w:val="clear" w:color="auto" w:fill="auto"/>
            <w:vAlign w:val="bottom"/>
          </w:tcPr>
          <w:p w:rsidR="00000000" w:rsidRDefault="00000000">
            <w:pPr>
              <w:spacing w:before="40" w:after="40" w:line="220" w:lineRule="exact"/>
              <w:jc w:val="right"/>
              <w:rPr>
                <w:bCs/>
                <w:sz w:val="18"/>
                <w:szCs w:val="18"/>
              </w:rPr>
            </w:pPr>
          </w:p>
        </w:tc>
        <w:tc>
          <w:tcPr>
            <w:tcW w:w="991" w:type="dxa"/>
            <w:tcBorders>
              <w:top w:val="nil"/>
              <w:left w:val="nil"/>
              <w:bottom w:val="nil"/>
              <w:right w:val="nil"/>
            </w:tcBorders>
            <w:shd w:val="clear" w:color="auto" w:fill="auto"/>
            <w:vAlign w:val="bottom"/>
          </w:tcPr>
          <w:p w:rsidR="00000000" w:rsidRDefault="00000000">
            <w:pPr>
              <w:spacing w:before="40" w:after="40" w:line="220" w:lineRule="exact"/>
              <w:jc w:val="right"/>
              <w:rPr>
                <w:bCs/>
                <w:sz w:val="18"/>
                <w:szCs w:val="18"/>
              </w:rPr>
            </w:pPr>
          </w:p>
        </w:tc>
        <w:tc>
          <w:tcPr>
            <w:tcW w:w="977" w:type="dxa"/>
            <w:tcBorders>
              <w:top w:val="nil"/>
              <w:left w:val="nil"/>
              <w:bottom w:val="nil"/>
              <w:right w:val="nil"/>
            </w:tcBorders>
            <w:shd w:val="clear" w:color="auto" w:fill="auto"/>
            <w:vAlign w:val="bottom"/>
          </w:tcPr>
          <w:p w:rsidR="00000000" w:rsidRDefault="00000000">
            <w:pPr>
              <w:spacing w:before="40" w:after="40" w:line="220" w:lineRule="exact"/>
              <w:jc w:val="right"/>
              <w:rPr>
                <w:bCs/>
                <w:sz w:val="18"/>
                <w:szCs w:val="18"/>
              </w:rPr>
            </w:pPr>
          </w:p>
        </w:tc>
      </w:tr>
      <w:tr w:rsidR="00000000">
        <w:tc>
          <w:tcPr>
            <w:tcW w:w="999" w:type="dxa"/>
            <w:vMerge w:val="restart"/>
            <w:shd w:val="clear" w:color="auto" w:fill="auto"/>
            <w:vAlign w:val="center"/>
          </w:tcPr>
          <w:p w:rsidR="00000000" w:rsidRDefault="00000000">
            <w:pPr>
              <w:spacing w:before="40" w:after="40" w:line="220" w:lineRule="exact"/>
              <w:rPr>
                <w:bCs/>
                <w:sz w:val="18"/>
                <w:szCs w:val="18"/>
              </w:rPr>
            </w:pPr>
            <w:r>
              <w:rPr>
                <w:bCs/>
                <w:sz w:val="18"/>
                <w:szCs w:val="18"/>
              </w:rPr>
              <w:t>2</w:t>
            </w:r>
            <w:r>
              <w:rPr>
                <w:bCs/>
                <w:sz w:val="18"/>
                <w:szCs w:val="18"/>
                <w:vertAlign w:val="superscript"/>
              </w:rPr>
              <w:t>e</w:t>
            </w:r>
            <w:r>
              <w:rPr>
                <w:bCs/>
                <w:sz w:val="18"/>
                <w:szCs w:val="18"/>
              </w:rPr>
              <w:t xml:space="preserve"> année</w:t>
            </w:r>
          </w:p>
        </w:tc>
        <w:tc>
          <w:tcPr>
            <w:tcW w:w="1092" w:type="dxa"/>
            <w:shd w:val="clear" w:color="auto" w:fill="auto"/>
            <w:vAlign w:val="bottom"/>
          </w:tcPr>
          <w:p w:rsidR="00000000" w:rsidRDefault="00000000">
            <w:pPr>
              <w:spacing w:before="40" w:after="40" w:line="220" w:lineRule="exact"/>
              <w:jc w:val="right"/>
              <w:rPr>
                <w:bCs/>
                <w:sz w:val="18"/>
                <w:szCs w:val="18"/>
              </w:rPr>
            </w:pPr>
            <w:r>
              <w:rPr>
                <w:bCs/>
                <w:sz w:val="18"/>
                <w:szCs w:val="18"/>
              </w:rPr>
              <w:t>Nombre de CISCOs</w:t>
            </w:r>
          </w:p>
        </w:tc>
        <w:tc>
          <w:tcPr>
            <w:tcW w:w="896" w:type="dxa"/>
            <w:shd w:val="clear" w:color="auto" w:fill="auto"/>
            <w:vAlign w:val="bottom"/>
          </w:tcPr>
          <w:p w:rsidR="00000000" w:rsidRDefault="00000000">
            <w:pPr>
              <w:spacing w:before="40" w:after="40" w:line="220" w:lineRule="exact"/>
              <w:jc w:val="right"/>
              <w:rPr>
                <w:bCs/>
                <w:sz w:val="18"/>
                <w:szCs w:val="18"/>
              </w:rPr>
            </w:pPr>
          </w:p>
        </w:tc>
        <w:tc>
          <w:tcPr>
            <w:tcW w:w="997" w:type="dxa"/>
            <w:shd w:val="clear" w:color="auto" w:fill="auto"/>
            <w:vAlign w:val="bottom"/>
          </w:tcPr>
          <w:p w:rsidR="00000000" w:rsidRDefault="00000000">
            <w:pPr>
              <w:spacing w:before="40" w:after="40" w:line="220" w:lineRule="exact"/>
              <w:jc w:val="right"/>
              <w:rPr>
                <w:bCs/>
                <w:sz w:val="18"/>
                <w:szCs w:val="18"/>
              </w:rPr>
            </w:pPr>
            <w:r>
              <w:rPr>
                <w:bCs/>
                <w:sz w:val="18"/>
                <w:szCs w:val="18"/>
              </w:rPr>
              <w:t>20</w:t>
            </w:r>
          </w:p>
        </w:tc>
        <w:tc>
          <w:tcPr>
            <w:tcW w:w="993" w:type="dxa"/>
            <w:shd w:val="clear" w:color="auto" w:fill="auto"/>
            <w:vAlign w:val="bottom"/>
          </w:tcPr>
          <w:p w:rsidR="00000000" w:rsidRDefault="00000000">
            <w:pPr>
              <w:spacing w:before="40" w:after="40" w:line="220" w:lineRule="exact"/>
              <w:jc w:val="right"/>
              <w:rPr>
                <w:bCs/>
                <w:sz w:val="18"/>
                <w:szCs w:val="18"/>
              </w:rPr>
            </w:pPr>
            <w:r>
              <w:rPr>
                <w:bCs/>
                <w:sz w:val="18"/>
                <w:szCs w:val="18"/>
              </w:rPr>
              <w:t>65</w:t>
            </w:r>
          </w:p>
        </w:tc>
        <w:tc>
          <w:tcPr>
            <w:tcW w:w="995" w:type="dxa"/>
            <w:shd w:val="clear" w:color="auto" w:fill="auto"/>
            <w:vAlign w:val="bottom"/>
          </w:tcPr>
          <w:p w:rsidR="00000000" w:rsidRDefault="00000000">
            <w:pPr>
              <w:spacing w:before="40" w:after="40" w:line="220" w:lineRule="exact"/>
              <w:jc w:val="right"/>
              <w:rPr>
                <w:bCs/>
                <w:sz w:val="18"/>
                <w:szCs w:val="18"/>
              </w:rPr>
            </w:pPr>
            <w:r>
              <w:rPr>
                <w:bCs/>
                <w:sz w:val="18"/>
                <w:szCs w:val="18"/>
              </w:rPr>
              <w:t>111</w:t>
            </w:r>
          </w:p>
        </w:tc>
        <w:tc>
          <w:tcPr>
            <w:tcW w:w="991" w:type="dxa"/>
            <w:tcBorders>
              <w:top w:val="nil"/>
              <w:bottom w:val="nil"/>
              <w:right w:val="nil"/>
            </w:tcBorders>
            <w:shd w:val="clear" w:color="auto" w:fill="auto"/>
            <w:vAlign w:val="bottom"/>
          </w:tcPr>
          <w:p w:rsidR="00000000" w:rsidRDefault="00000000">
            <w:pPr>
              <w:spacing w:before="40" w:after="40" w:line="220" w:lineRule="exact"/>
              <w:jc w:val="right"/>
              <w:rPr>
                <w:bCs/>
                <w:sz w:val="18"/>
                <w:szCs w:val="18"/>
              </w:rPr>
            </w:pPr>
          </w:p>
        </w:tc>
        <w:tc>
          <w:tcPr>
            <w:tcW w:w="991" w:type="dxa"/>
            <w:tcBorders>
              <w:top w:val="nil"/>
              <w:left w:val="nil"/>
              <w:bottom w:val="nil"/>
              <w:right w:val="nil"/>
            </w:tcBorders>
            <w:shd w:val="clear" w:color="auto" w:fill="auto"/>
            <w:vAlign w:val="bottom"/>
          </w:tcPr>
          <w:p w:rsidR="00000000" w:rsidRDefault="00000000">
            <w:pPr>
              <w:spacing w:before="40" w:after="40" w:line="220" w:lineRule="exact"/>
              <w:jc w:val="right"/>
              <w:rPr>
                <w:bCs/>
                <w:sz w:val="18"/>
                <w:szCs w:val="18"/>
              </w:rPr>
            </w:pPr>
          </w:p>
        </w:tc>
        <w:tc>
          <w:tcPr>
            <w:tcW w:w="977" w:type="dxa"/>
            <w:tcBorders>
              <w:top w:val="nil"/>
              <w:left w:val="nil"/>
              <w:bottom w:val="nil"/>
              <w:right w:val="nil"/>
            </w:tcBorders>
            <w:shd w:val="clear" w:color="auto" w:fill="auto"/>
            <w:vAlign w:val="bottom"/>
          </w:tcPr>
          <w:p w:rsidR="00000000" w:rsidRDefault="00000000">
            <w:pPr>
              <w:spacing w:before="40" w:after="40" w:line="220" w:lineRule="exact"/>
              <w:jc w:val="right"/>
              <w:rPr>
                <w:bCs/>
                <w:sz w:val="18"/>
                <w:szCs w:val="18"/>
              </w:rPr>
            </w:pPr>
          </w:p>
        </w:tc>
      </w:tr>
      <w:tr w:rsidR="00000000">
        <w:tc>
          <w:tcPr>
            <w:tcW w:w="999" w:type="dxa"/>
            <w:vMerge/>
            <w:shd w:val="clear" w:color="auto" w:fill="auto"/>
            <w:vAlign w:val="center"/>
          </w:tcPr>
          <w:p w:rsidR="00000000" w:rsidRDefault="00000000">
            <w:pPr>
              <w:spacing w:before="40" w:after="40" w:line="220" w:lineRule="exact"/>
              <w:rPr>
                <w:bCs/>
                <w:sz w:val="18"/>
                <w:szCs w:val="18"/>
              </w:rPr>
            </w:pPr>
          </w:p>
        </w:tc>
        <w:tc>
          <w:tcPr>
            <w:tcW w:w="1092" w:type="dxa"/>
            <w:shd w:val="clear" w:color="auto" w:fill="auto"/>
            <w:vAlign w:val="bottom"/>
          </w:tcPr>
          <w:p w:rsidR="00000000" w:rsidRDefault="00000000">
            <w:pPr>
              <w:spacing w:before="40" w:after="40" w:line="220" w:lineRule="exact"/>
              <w:jc w:val="right"/>
              <w:rPr>
                <w:bCs/>
                <w:sz w:val="18"/>
                <w:szCs w:val="18"/>
              </w:rPr>
            </w:pPr>
            <w:r>
              <w:rPr>
                <w:bCs/>
                <w:sz w:val="18"/>
                <w:szCs w:val="18"/>
              </w:rPr>
              <w:t>Phase</w:t>
            </w:r>
          </w:p>
        </w:tc>
        <w:tc>
          <w:tcPr>
            <w:tcW w:w="896" w:type="dxa"/>
            <w:shd w:val="clear" w:color="auto" w:fill="auto"/>
            <w:vAlign w:val="bottom"/>
          </w:tcPr>
          <w:p w:rsidR="00000000" w:rsidRDefault="00000000">
            <w:pPr>
              <w:spacing w:before="40" w:after="40" w:line="220" w:lineRule="exact"/>
              <w:jc w:val="right"/>
              <w:rPr>
                <w:bCs/>
                <w:sz w:val="18"/>
                <w:szCs w:val="18"/>
              </w:rPr>
            </w:pPr>
          </w:p>
        </w:tc>
        <w:tc>
          <w:tcPr>
            <w:tcW w:w="997" w:type="dxa"/>
            <w:shd w:val="clear" w:color="auto" w:fill="auto"/>
            <w:vAlign w:val="bottom"/>
          </w:tcPr>
          <w:p w:rsidR="00000000" w:rsidRDefault="00000000">
            <w:pPr>
              <w:spacing w:before="40" w:after="40" w:line="220" w:lineRule="exact"/>
              <w:jc w:val="right"/>
              <w:rPr>
                <w:bCs/>
                <w:sz w:val="18"/>
                <w:szCs w:val="18"/>
              </w:rPr>
            </w:pPr>
            <w:r>
              <w:rPr>
                <w:bCs/>
                <w:sz w:val="18"/>
                <w:szCs w:val="18"/>
              </w:rPr>
              <w:t>Exp</w:t>
            </w:r>
          </w:p>
        </w:tc>
        <w:tc>
          <w:tcPr>
            <w:tcW w:w="993" w:type="dxa"/>
            <w:shd w:val="clear" w:color="auto" w:fill="auto"/>
            <w:vAlign w:val="bottom"/>
          </w:tcPr>
          <w:p w:rsidR="00000000" w:rsidRDefault="00000000">
            <w:pPr>
              <w:spacing w:before="40" w:after="40" w:line="220" w:lineRule="exact"/>
              <w:jc w:val="right"/>
              <w:rPr>
                <w:bCs/>
                <w:sz w:val="18"/>
                <w:szCs w:val="18"/>
              </w:rPr>
            </w:pPr>
            <w:r>
              <w:rPr>
                <w:bCs/>
                <w:sz w:val="18"/>
                <w:szCs w:val="18"/>
              </w:rPr>
              <w:t>Pré-Gén</w:t>
            </w:r>
          </w:p>
        </w:tc>
        <w:tc>
          <w:tcPr>
            <w:tcW w:w="995" w:type="dxa"/>
            <w:shd w:val="clear" w:color="auto" w:fill="auto"/>
            <w:vAlign w:val="bottom"/>
          </w:tcPr>
          <w:p w:rsidR="00000000" w:rsidRDefault="00000000">
            <w:pPr>
              <w:spacing w:before="40" w:after="40" w:line="220" w:lineRule="exact"/>
              <w:jc w:val="right"/>
              <w:rPr>
                <w:bCs/>
                <w:sz w:val="18"/>
                <w:szCs w:val="18"/>
              </w:rPr>
            </w:pPr>
            <w:r>
              <w:rPr>
                <w:bCs/>
                <w:sz w:val="18"/>
                <w:szCs w:val="18"/>
              </w:rPr>
              <w:t>Gén</w:t>
            </w:r>
          </w:p>
        </w:tc>
        <w:tc>
          <w:tcPr>
            <w:tcW w:w="991" w:type="dxa"/>
            <w:tcBorders>
              <w:top w:val="nil"/>
              <w:right w:val="nil"/>
            </w:tcBorders>
            <w:shd w:val="clear" w:color="auto" w:fill="auto"/>
            <w:vAlign w:val="bottom"/>
          </w:tcPr>
          <w:p w:rsidR="00000000" w:rsidRDefault="00000000">
            <w:pPr>
              <w:spacing w:before="40" w:after="40" w:line="220" w:lineRule="exact"/>
              <w:jc w:val="right"/>
              <w:rPr>
                <w:bCs/>
                <w:sz w:val="18"/>
                <w:szCs w:val="18"/>
              </w:rPr>
            </w:pPr>
          </w:p>
        </w:tc>
        <w:tc>
          <w:tcPr>
            <w:tcW w:w="991" w:type="dxa"/>
            <w:tcBorders>
              <w:top w:val="nil"/>
              <w:left w:val="nil"/>
              <w:bottom w:val="nil"/>
              <w:right w:val="nil"/>
            </w:tcBorders>
            <w:shd w:val="clear" w:color="auto" w:fill="auto"/>
            <w:vAlign w:val="bottom"/>
          </w:tcPr>
          <w:p w:rsidR="00000000" w:rsidRDefault="00000000">
            <w:pPr>
              <w:spacing w:before="40" w:after="40" w:line="220" w:lineRule="exact"/>
              <w:jc w:val="right"/>
              <w:rPr>
                <w:bCs/>
                <w:sz w:val="18"/>
                <w:szCs w:val="18"/>
              </w:rPr>
            </w:pPr>
          </w:p>
        </w:tc>
        <w:tc>
          <w:tcPr>
            <w:tcW w:w="977" w:type="dxa"/>
            <w:tcBorders>
              <w:top w:val="nil"/>
              <w:left w:val="nil"/>
              <w:bottom w:val="nil"/>
              <w:right w:val="nil"/>
            </w:tcBorders>
            <w:shd w:val="clear" w:color="auto" w:fill="auto"/>
            <w:vAlign w:val="bottom"/>
          </w:tcPr>
          <w:p w:rsidR="00000000" w:rsidRDefault="00000000">
            <w:pPr>
              <w:spacing w:before="40" w:after="40" w:line="220" w:lineRule="exact"/>
              <w:jc w:val="right"/>
              <w:rPr>
                <w:bCs/>
                <w:sz w:val="18"/>
                <w:szCs w:val="18"/>
              </w:rPr>
            </w:pPr>
          </w:p>
        </w:tc>
      </w:tr>
      <w:tr w:rsidR="00000000">
        <w:tc>
          <w:tcPr>
            <w:tcW w:w="999" w:type="dxa"/>
            <w:vMerge w:val="restart"/>
            <w:shd w:val="clear" w:color="auto" w:fill="auto"/>
            <w:vAlign w:val="center"/>
          </w:tcPr>
          <w:p w:rsidR="00000000" w:rsidRDefault="00000000">
            <w:pPr>
              <w:spacing w:before="40" w:after="40" w:line="220" w:lineRule="exact"/>
              <w:rPr>
                <w:bCs/>
                <w:sz w:val="18"/>
                <w:szCs w:val="18"/>
              </w:rPr>
            </w:pPr>
            <w:r>
              <w:rPr>
                <w:bCs/>
                <w:sz w:val="18"/>
                <w:szCs w:val="18"/>
              </w:rPr>
              <w:t>3</w:t>
            </w:r>
            <w:r>
              <w:rPr>
                <w:bCs/>
                <w:sz w:val="18"/>
                <w:szCs w:val="18"/>
                <w:vertAlign w:val="superscript"/>
              </w:rPr>
              <w:t>e</w:t>
            </w:r>
            <w:r>
              <w:rPr>
                <w:bCs/>
                <w:sz w:val="18"/>
                <w:szCs w:val="18"/>
              </w:rPr>
              <w:t xml:space="preserve"> année</w:t>
            </w:r>
          </w:p>
        </w:tc>
        <w:tc>
          <w:tcPr>
            <w:tcW w:w="1092" w:type="dxa"/>
            <w:shd w:val="clear" w:color="auto" w:fill="auto"/>
            <w:vAlign w:val="bottom"/>
          </w:tcPr>
          <w:p w:rsidR="00000000" w:rsidRDefault="00000000">
            <w:pPr>
              <w:spacing w:before="40" w:after="40" w:line="220" w:lineRule="exact"/>
              <w:jc w:val="right"/>
              <w:rPr>
                <w:bCs/>
                <w:sz w:val="18"/>
                <w:szCs w:val="18"/>
              </w:rPr>
            </w:pPr>
            <w:r>
              <w:rPr>
                <w:bCs/>
                <w:sz w:val="18"/>
                <w:szCs w:val="18"/>
              </w:rPr>
              <w:t>Nombre de CISCOs</w:t>
            </w:r>
          </w:p>
        </w:tc>
        <w:tc>
          <w:tcPr>
            <w:tcW w:w="896" w:type="dxa"/>
            <w:shd w:val="clear" w:color="auto" w:fill="auto"/>
            <w:vAlign w:val="bottom"/>
          </w:tcPr>
          <w:p w:rsidR="00000000" w:rsidRDefault="00000000">
            <w:pPr>
              <w:spacing w:before="40" w:after="40" w:line="220" w:lineRule="exact"/>
              <w:jc w:val="right"/>
              <w:rPr>
                <w:bCs/>
                <w:sz w:val="18"/>
                <w:szCs w:val="18"/>
              </w:rPr>
            </w:pPr>
          </w:p>
        </w:tc>
        <w:tc>
          <w:tcPr>
            <w:tcW w:w="997" w:type="dxa"/>
            <w:shd w:val="clear" w:color="auto" w:fill="auto"/>
            <w:vAlign w:val="bottom"/>
          </w:tcPr>
          <w:p w:rsidR="00000000" w:rsidRDefault="00000000">
            <w:pPr>
              <w:spacing w:before="40" w:after="40" w:line="220" w:lineRule="exact"/>
              <w:jc w:val="right"/>
              <w:rPr>
                <w:bCs/>
                <w:sz w:val="18"/>
                <w:szCs w:val="18"/>
              </w:rPr>
            </w:pPr>
          </w:p>
        </w:tc>
        <w:tc>
          <w:tcPr>
            <w:tcW w:w="993" w:type="dxa"/>
            <w:shd w:val="clear" w:color="auto" w:fill="auto"/>
            <w:vAlign w:val="bottom"/>
          </w:tcPr>
          <w:p w:rsidR="00000000" w:rsidRDefault="00000000">
            <w:pPr>
              <w:spacing w:before="40" w:after="40" w:line="220" w:lineRule="exact"/>
              <w:jc w:val="right"/>
              <w:rPr>
                <w:bCs/>
                <w:sz w:val="18"/>
                <w:szCs w:val="18"/>
              </w:rPr>
            </w:pPr>
            <w:r>
              <w:rPr>
                <w:bCs/>
                <w:sz w:val="18"/>
                <w:szCs w:val="18"/>
              </w:rPr>
              <w:t>20</w:t>
            </w:r>
          </w:p>
        </w:tc>
        <w:tc>
          <w:tcPr>
            <w:tcW w:w="995" w:type="dxa"/>
            <w:shd w:val="clear" w:color="auto" w:fill="auto"/>
            <w:vAlign w:val="bottom"/>
          </w:tcPr>
          <w:p w:rsidR="00000000" w:rsidRDefault="00000000">
            <w:pPr>
              <w:spacing w:before="40" w:after="40" w:line="220" w:lineRule="exact"/>
              <w:jc w:val="right"/>
              <w:rPr>
                <w:bCs/>
                <w:sz w:val="18"/>
                <w:szCs w:val="18"/>
              </w:rPr>
            </w:pPr>
            <w:r>
              <w:rPr>
                <w:bCs/>
                <w:sz w:val="18"/>
                <w:szCs w:val="18"/>
              </w:rPr>
              <w:t>65</w:t>
            </w:r>
          </w:p>
        </w:tc>
        <w:tc>
          <w:tcPr>
            <w:tcW w:w="991" w:type="dxa"/>
            <w:shd w:val="clear" w:color="auto" w:fill="auto"/>
            <w:vAlign w:val="bottom"/>
          </w:tcPr>
          <w:p w:rsidR="00000000" w:rsidRDefault="00000000">
            <w:pPr>
              <w:spacing w:before="40" w:after="40" w:line="220" w:lineRule="exact"/>
              <w:jc w:val="right"/>
              <w:rPr>
                <w:bCs/>
                <w:sz w:val="18"/>
                <w:szCs w:val="18"/>
              </w:rPr>
            </w:pPr>
            <w:r>
              <w:rPr>
                <w:bCs/>
                <w:sz w:val="18"/>
                <w:szCs w:val="18"/>
              </w:rPr>
              <w:t>111</w:t>
            </w:r>
          </w:p>
        </w:tc>
        <w:tc>
          <w:tcPr>
            <w:tcW w:w="991" w:type="dxa"/>
            <w:tcBorders>
              <w:top w:val="nil"/>
              <w:bottom w:val="nil"/>
              <w:right w:val="nil"/>
            </w:tcBorders>
            <w:shd w:val="clear" w:color="auto" w:fill="auto"/>
            <w:vAlign w:val="bottom"/>
          </w:tcPr>
          <w:p w:rsidR="00000000" w:rsidRDefault="00000000">
            <w:pPr>
              <w:spacing w:before="40" w:after="40" w:line="220" w:lineRule="exact"/>
              <w:jc w:val="right"/>
              <w:rPr>
                <w:bCs/>
                <w:sz w:val="18"/>
                <w:szCs w:val="18"/>
              </w:rPr>
            </w:pPr>
          </w:p>
        </w:tc>
        <w:tc>
          <w:tcPr>
            <w:tcW w:w="977" w:type="dxa"/>
            <w:tcBorders>
              <w:top w:val="nil"/>
              <w:left w:val="nil"/>
              <w:bottom w:val="nil"/>
              <w:right w:val="nil"/>
            </w:tcBorders>
            <w:shd w:val="clear" w:color="auto" w:fill="auto"/>
            <w:vAlign w:val="bottom"/>
          </w:tcPr>
          <w:p w:rsidR="00000000" w:rsidRDefault="00000000">
            <w:pPr>
              <w:spacing w:before="40" w:after="40" w:line="220" w:lineRule="exact"/>
              <w:jc w:val="right"/>
              <w:rPr>
                <w:bCs/>
                <w:sz w:val="18"/>
                <w:szCs w:val="18"/>
              </w:rPr>
            </w:pPr>
          </w:p>
        </w:tc>
      </w:tr>
      <w:tr w:rsidR="00000000">
        <w:tc>
          <w:tcPr>
            <w:tcW w:w="999" w:type="dxa"/>
            <w:vMerge/>
            <w:shd w:val="clear" w:color="auto" w:fill="auto"/>
            <w:vAlign w:val="center"/>
          </w:tcPr>
          <w:p w:rsidR="00000000" w:rsidRDefault="00000000">
            <w:pPr>
              <w:spacing w:before="40" w:after="40" w:line="220" w:lineRule="exact"/>
              <w:rPr>
                <w:bCs/>
                <w:sz w:val="18"/>
                <w:szCs w:val="18"/>
              </w:rPr>
            </w:pPr>
          </w:p>
        </w:tc>
        <w:tc>
          <w:tcPr>
            <w:tcW w:w="1092" w:type="dxa"/>
            <w:shd w:val="clear" w:color="auto" w:fill="auto"/>
            <w:vAlign w:val="bottom"/>
          </w:tcPr>
          <w:p w:rsidR="00000000" w:rsidRDefault="00000000">
            <w:pPr>
              <w:spacing w:before="40" w:after="40" w:line="220" w:lineRule="exact"/>
              <w:jc w:val="right"/>
              <w:rPr>
                <w:bCs/>
                <w:sz w:val="18"/>
                <w:szCs w:val="18"/>
              </w:rPr>
            </w:pPr>
            <w:r>
              <w:rPr>
                <w:bCs/>
                <w:sz w:val="18"/>
                <w:szCs w:val="18"/>
              </w:rPr>
              <w:t>Phase</w:t>
            </w:r>
          </w:p>
        </w:tc>
        <w:tc>
          <w:tcPr>
            <w:tcW w:w="896" w:type="dxa"/>
            <w:shd w:val="clear" w:color="auto" w:fill="auto"/>
            <w:vAlign w:val="bottom"/>
          </w:tcPr>
          <w:p w:rsidR="00000000" w:rsidRDefault="00000000">
            <w:pPr>
              <w:spacing w:before="40" w:after="40" w:line="220" w:lineRule="exact"/>
              <w:jc w:val="right"/>
              <w:rPr>
                <w:bCs/>
                <w:sz w:val="18"/>
                <w:szCs w:val="18"/>
              </w:rPr>
            </w:pPr>
          </w:p>
        </w:tc>
        <w:tc>
          <w:tcPr>
            <w:tcW w:w="997" w:type="dxa"/>
            <w:shd w:val="clear" w:color="auto" w:fill="auto"/>
            <w:vAlign w:val="bottom"/>
          </w:tcPr>
          <w:p w:rsidR="00000000" w:rsidRDefault="00000000">
            <w:pPr>
              <w:spacing w:before="40" w:after="40" w:line="220" w:lineRule="exact"/>
              <w:jc w:val="right"/>
              <w:rPr>
                <w:bCs/>
                <w:sz w:val="18"/>
                <w:szCs w:val="18"/>
              </w:rPr>
            </w:pPr>
          </w:p>
        </w:tc>
        <w:tc>
          <w:tcPr>
            <w:tcW w:w="993" w:type="dxa"/>
            <w:shd w:val="clear" w:color="auto" w:fill="auto"/>
            <w:vAlign w:val="bottom"/>
          </w:tcPr>
          <w:p w:rsidR="00000000" w:rsidRDefault="00000000">
            <w:pPr>
              <w:spacing w:before="40" w:after="40" w:line="220" w:lineRule="exact"/>
              <w:jc w:val="right"/>
              <w:rPr>
                <w:bCs/>
                <w:sz w:val="18"/>
                <w:szCs w:val="18"/>
              </w:rPr>
            </w:pPr>
            <w:r>
              <w:rPr>
                <w:bCs/>
                <w:sz w:val="18"/>
                <w:szCs w:val="18"/>
              </w:rPr>
              <w:t>Exp</w:t>
            </w:r>
          </w:p>
        </w:tc>
        <w:tc>
          <w:tcPr>
            <w:tcW w:w="995" w:type="dxa"/>
            <w:shd w:val="clear" w:color="auto" w:fill="auto"/>
            <w:vAlign w:val="bottom"/>
          </w:tcPr>
          <w:p w:rsidR="00000000" w:rsidRDefault="00000000">
            <w:pPr>
              <w:spacing w:before="40" w:after="40" w:line="220" w:lineRule="exact"/>
              <w:jc w:val="right"/>
              <w:rPr>
                <w:bCs/>
                <w:sz w:val="18"/>
                <w:szCs w:val="18"/>
              </w:rPr>
            </w:pPr>
            <w:r>
              <w:rPr>
                <w:bCs/>
                <w:sz w:val="18"/>
                <w:szCs w:val="18"/>
              </w:rPr>
              <w:t>Pré-Gén</w:t>
            </w:r>
          </w:p>
        </w:tc>
        <w:tc>
          <w:tcPr>
            <w:tcW w:w="991" w:type="dxa"/>
            <w:shd w:val="clear" w:color="auto" w:fill="auto"/>
            <w:vAlign w:val="bottom"/>
          </w:tcPr>
          <w:p w:rsidR="00000000" w:rsidRDefault="00000000">
            <w:pPr>
              <w:spacing w:before="40" w:after="40" w:line="220" w:lineRule="exact"/>
              <w:jc w:val="right"/>
              <w:rPr>
                <w:bCs/>
                <w:sz w:val="18"/>
                <w:szCs w:val="18"/>
              </w:rPr>
            </w:pPr>
            <w:r>
              <w:rPr>
                <w:bCs/>
                <w:sz w:val="18"/>
                <w:szCs w:val="18"/>
              </w:rPr>
              <w:t>Gén</w:t>
            </w:r>
          </w:p>
        </w:tc>
        <w:tc>
          <w:tcPr>
            <w:tcW w:w="991" w:type="dxa"/>
            <w:tcBorders>
              <w:top w:val="nil"/>
              <w:right w:val="nil"/>
            </w:tcBorders>
            <w:shd w:val="clear" w:color="auto" w:fill="auto"/>
            <w:vAlign w:val="bottom"/>
          </w:tcPr>
          <w:p w:rsidR="00000000" w:rsidRDefault="00000000">
            <w:pPr>
              <w:spacing w:before="40" w:after="40" w:line="220" w:lineRule="exact"/>
              <w:jc w:val="right"/>
              <w:rPr>
                <w:bCs/>
                <w:sz w:val="18"/>
                <w:szCs w:val="18"/>
              </w:rPr>
            </w:pPr>
          </w:p>
        </w:tc>
        <w:tc>
          <w:tcPr>
            <w:tcW w:w="977" w:type="dxa"/>
            <w:tcBorders>
              <w:top w:val="nil"/>
              <w:left w:val="nil"/>
              <w:bottom w:val="nil"/>
              <w:right w:val="nil"/>
            </w:tcBorders>
            <w:shd w:val="clear" w:color="auto" w:fill="auto"/>
            <w:vAlign w:val="bottom"/>
          </w:tcPr>
          <w:p w:rsidR="00000000" w:rsidRDefault="00000000">
            <w:pPr>
              <w:spacing w:before="40" w:after="40" w:line="220" w:lineRule="exact"/>
              <w:jc w:val="right"/>
              <w:rPr>
                <w:bCs/>
                <w:sz w:val="18"/>
                <w:szCs w:val="18"/>
              </w:rPr>
            </w:pPr>
          </w:p>
        </w:tc>
      </w:tr>
      <w:tr w:rsidR="00000000">
        <w:tc>
          <w:tcPr>
            <w:tcW w:w="999" w:type="dxa"/>
            <w:vMerge w:val="restart"/>
            <w:shd w:val="clear" w:color="auto" w:fill="auto"/>
            <w:vAlign w:val="center"/>
          </w:tcPr>
          <w:p w:rsidR="00000000" w:rsidRDefault="00000000">
            <w:pPr>
              <w:spacing w:before="40" w:after="40" w:line="220" w:lineRule="exact"/>
              <w:rPr>
                <w:bCs/>
                <w:sz w:val="18"/>
                <w:szCs w:val="18"/>
              </w:rPr>
            </w:pPr>
            <w:r>
              <w:rPr>
                <w:bCs/>
                <w:sz w:val="18"/>
                <w:szCs w:val="18"/>
              </w:rPr>
              <w:t>4</w:t>
            </w:r>
            <w:r>
              <w:rPr>
                <w:bCs/>
                <w:sz w:val="18"/>
                <w:szCs w:val="18"/>
                <w:vertAlign w:val="superscript"/>
              </w:rPr>
              <w:t>e</w:t>
            </w:r>
            <w:r>
              <w:rPr>
                <w:bCs/>
                <w:sz w:val="18"/>
                <w:szCs w:val="18"/>
              </w:rPr>
              <w:t xml:space="preserve"> année</w:t>
            </w:r>
          </w:p>
        </w:tc>
        <w:tc>
          <w:tcPr>
            <w:tcW w:w="1092" w:type="dxa"/>
            <w:shd w:val="clear" w:color="auto" w:fill="auto"/>
            <w:vAlign w:val="bottom"/>
          </w:tcPr>
          <w:p w:rsidR="00000000" w:rsidRDefault="00000000">
            <w:pPr>
              <w:spacing w:before="40" w:after="40" w:line="220" w:lineRule="exact"/>
              <w:jc w:val="right"/>
              <w:rPr>
                <w:bCs/>
                <w:sz w:val="18"/>
                <w:szCs w:val="18"/>
              </w:rPr>
            </w:pPr>
            <w:r>
              <w:rPr>
                <w:bCs/>
                <w:sz w:val="18"/>
                <w:szCs w:val="18"/>
              </w:rPr>
              <w:t>Nombre de CISCOs</w:t>
            </w:r>
          </w:p>
        </w:tc>
        <w:tc>
          <w:tcPr>
            <w:tcW w:w="896" w:type="dxa"/>
            <w:shd w:val="clear" w:color="auto" w:fill="auto"/>
            <w:vAlign w:val="bottom"/>
          </w:tcPr>
          <w:p w:rsidR="00000000" w:rsidRDefault="00000000">
            <w:pPr>
              <w:spacing w:before="40" w:after="40" w:line="220" w:lineRule="exact"/>
              <w:jc w:val="right"/>
              <w:rPr>
                <w:bCs/>
                <w:sz w:val="18"/>
                <w:szCs w:val="18"/>
              </w:rPr>
            </w:pPr>
          </w:p>
        </w:tc>
        <w:tc>
          <w:tcPr>
            <w:tcW w:w="997" w:type="dxa"/>
            <w:shd w:val="clear" w:color="auto" w:fill="auto"/>
            <w:vAlign w:val="bottom"/>
          </w:tcPr>
          <w:p w:rsidR="00000000" w:rsidRDefault="00000000">
            <w:pPr>
              <w:spacing w:before="40" w:after="40" w:line="220" w:lineRule="exact"/>
              <w:jc w:val="right"/>
              <w:rPr>
                <w:bCs/>
                <w:sz w:val="18"/>
                <w:szCs w:val="18"/>
              </w:rPr>
            </w:pPr>
          </w:p>
        </w:tc>
        <w:tc>
          <w:tcPr>
            <w:tcW w:w="993" w:type="dxa"/>
            <w:shd w:val="clear" w:color="auto" w:fill="auto"/>
            <w:vAlign w:val="bottom"/>
          </w:tcPr>
          <w:p w:rsidR="00000000" w:rsidRDefault="00000000">
            <w:pPr>
              <w:spacing w:before="40" w:after="40" w:line="220" w:lineRule="exact"/>
              <w:jc w:val="right"/>
              <w:rPr>
                <w:bCs/>
                <w:sz w:val="18"/>
                <w:szCs w:val="18"/>
              </w:rPr>
            </w:pPr>
          </w:p>
        </w:tc>
        <w:tc>
          <w:tcPr>
            <w:tcW w:w="995" w:type="dxa"/>
            <w:shd w:val="clear" w:color="auto" w:fill="auto"/>
            <w:vAlign w:val="bottom"/>
          </w:tcPr>
          <w:p w:rsidR="00000000" w:rsidRDefault="00000000">
            <w:pPr>
              <w:spacing w:before="40" w:after="40" w:line="220" w:lineRule="exact"/>
              <w:jc w:val="right"/>
              <w:rPr>
                <w:bCs/>
                <w:sz w:val="18"/>
                <w:szCs w:val="18"/>
              </w:rPr>
            </w:pPr>
            <w:r>
              <w:rPr>
                <w:bCs/>
                <w:sz w:val="18"/>
                <w:szCs w:val="18"/>
              </w:rPr>
              <w:t>20</w:t>
            </w:r>
          </w:p>
        </w:tc>
        <w:tc>
          <w:tcPr>
            <w:tcW w:w="991" w:type="dxa"/>
            <w:shd w:val="clear" w:color="auto" w:fill="auto"/>
            <w:vAlign w:val="bottom"/>
          </w:tcPr>
          <w:p w:rsidR="00000000" w:rsidRDefault="00000000">
            <w:pPr>
              <w:spacing w:before="40" w:after="40" w:line="220" w:lineRule="exact"/>
              <w:jc w:val="right"/>
              <w:rPr>
                <w:bCs/>
                <w:sz w:val="18"/>
                <w:szCs w:val="18"/>
              </w:rPr>
            </w:pPr>
            <w:r>
              <w:rPr>
                <w:bCs/>
                <w:sz w:val="18"/>
                <w:szCs w:val="18"/>
              </w:rPr>
              <w:t>65</w:t>
            </w:r>
          </w:p>
        </w:tc>
        <w:tc>
          <w:tcPr>
            <w:tcW w:w="991" w:type="dxa"/>
            <w:shd w:val="clear" w:color="auto" w:fill="auto"/>
            <w:vAlign w:val="bottom"/>
          </w:tcPr>
          <w:p w:rsidR="00000000" w:rsidRDefault="00000000">
            <w:pPr>
              <w:spacing w:before="40" w:after="40" w:line="220" w:lineRule="exact"/>
              <w:jc w:val="right"/>
              <w:rPr>
                <w:bCs/>
                <w:sz w:val="18"/>
                <w:szCs w:val="18"/>
              </w:rPr>
            </w:pPr>
            <w:r>
              <w:rPr>
                <w:bCs/>
                <w:sz w:val="18"/>
                <w:szCs w:val="18"/>
              </w:rPr>
              <w:t>111</w:t>
            </w:r>
          </w:p>
        </w:tc>
        <w:tc>
          <w:tcPr>
            <w:tcW w:w="977" w:type="dxa"/>
            <w:tcBorders>
              <w:top w:val="nil"/>
              <w:bottom w:val="nil"/>
              <w:right w:val="nil"/>
            </w:tcBorders>
            <w:shd w:val="clear" w:color="auto" w:fill="auto"/>
            <w:vAlign w:val="bottom"/>
          </w:tcPr>
          <w:p w:rsidR="00000000" w:rsidRDefault="00000000">
            <w:pPr>
              <w:spacing w:before="40" w:after="40" w:line="220" w:lineRule="exact"/>
              <w:jc w:val="right"/>
              <w:rPr>
                <w:bCs/>
                <w:sz w:val="18"/>
                <w:szCs w:val="18"/>
              </w:rPr>
            </w:pPr>
          </w:p>
        </w:tc>
      </w:tr>
      <w:tr w:rsidR="00000000">
        <w:tc>
          <w:tcPr>
            <w:tcW w:w="999" w:type="dxa"/>
            <w:vMerge/>
            <w:shd w:val="clear" w:color="auto" w:fill="auto"/>
            <w:vAlign w:val="center"/>
          </w:tcPr>
          <w:p w:rsidR="00000000" w:rsidRDefault="00000000">
            <w:pPr>
              <w:spacing w:before="40" w:after="40" w:line="220" w:lineRule="exact"/>
              <w:rPr>
                <w:bCs/>
                <w:sz w:val="18"/>
                <w:szCs w:val="18"/>
              </w:rPr>
            </w:pPr>
          </w:p>
        </w:tc>
        <w:tc>
          <w:tcPr>
            <w:tcW w:w="1092" w:type="dxa"/>
            <w:shd w:val="clear" w:color="auto" w:fill="auto"/>
            <w:vAlign w:val="bottom"/>
          </w:tcPr>
          <w:p w:rsidR="00000000" w:rsidRDefault="00000000">
            <w:pPr>
              <w:spacing w:before="40" w:after="40" w:line="220" w:lineRule="exact"/>
              <w:jc w:val="right"/>
              <w:rPr>
                <w:bCs/>
                <w:sz w:val="18"/>
                <w:szCs w:val="18"/>
              </w:rPr>
            </w:pPr>
            <w:r>
              <w:rPr>
                <w:bCs/>
                <w:sz w:val="18"/>
                <w:szCs w:val="18"/>
              </w:rPr>
              <w:t>Phase</w:t>
            </w:r>
          </w:p>
        </w:tc>
        <w:tc>
          <w:tcPr>
            <w:tcW w:w="896" w:type="dxa"/>
            <w:shd w:val="clear" w:color="auto" w:fill="auto"/>
            <w:vAlign w:val="bottom"/>
          </w:tcPr>
          <w:p w:rsidR="00000000" w:rsidRDefault="00000000">
            <w:pPr>
              <w:spacing w:before="40" w:after="40" w:line="220" w:lineRule="exact"/>
              <w:jc w:val="right"/>
              <w:rPr>
                <w:bCs/>
                <w:sz w:val="18"/>
                <w:szCs w:val="18"/>
              </w:rPr>
            </w:pPr>
          </w:p>
        </w:tc>
        <w:tc>
          <w:tcPr>
            <w:tcW w:w="997" w:type="dxa"/>
            <w:shd w:val="clear" w:color="auto" w:fill="auto"/>
            <w:vAlign w:val="bottom"/>
          </w:tcPr>
          <w:p w:rsidR="00000000" w:rsidRDefault="00000000">
            <w:pPr>
              <w:spacing w:before="40" w:after="40" w:line="220" w:lineRule="exact"/>
              <w:jc w:val="right"/>
              <w:rPr>
                <w:bCs/>
                <w:sz w:val="18"/>
                <w:szCs w:val="18"/>
              </w:rPr>
            </w:pPr>
          </w:p>
        </w:tc>
        <w:tc>
          <w:tcPr>
            <w:tcW w:w="993" w:type="dxa"/>
            <w:shd w:val="clear" w:color="auto" w:fill="auto"/>
            <w:vAlign w:val="bottom"/>
          </w:tcPr>
          <w:p w:rsidR="00000000" w:rsidRDefault="00000000">
            <w:pPr>
              <w:spacing w:before="40" w:after="40" w:line="220" w:lineRule="exact"/>
              <w:jc w:val="right"/>
              <w:rPr>
                <w:bCs/>
                <w:sz w:val="18"/>
                <w:szCs w:val="18"/>
              </w:rPr>
            </w:pPr>
          </w:p>
        </w:tc>
        <w:tc>
          <w:tcPr>
            <w:tcW w:w="995" w:type="dxa"/>
            <w:shd w:val="clear" w:color="auto" w:fill="auto"/>
            <w:vAlign w:val="bottom"/>
          </w:tcPr>
          <w:p w:rsidR="00000000" w:rsidRDefault="00000000">
            <w:pPr>
              <w:spacing w:before="40" w:after="40" w:line="220" w:lineRule="exact"/>
              <w:jc w:val="right"/>
              <w:rPr>
                <w:bCs/>
                <w:sz w:val="18"/>
                <w:szCs w:val="18"/>
              </w:rPr>
            </w:pPr>
            <w:r>
              <w:rPr>
                <w:bCs/>
                <w:sz w:val="18"/>
                <w:szCs w:val="18"/>
              </w:rPr>
              <w:t>Exp</w:t>
            </w:r>
          </w:p>
        </w:tc>
        <w:tc>
          <w:tcPr>
            <w:tcW w:w="991" w:type="dxa"/>
            <w:shd w:val="clear" w:color="auto" w:fill="auto"/>
            <w:vAlign w:val="bottom"/>
          </w:tcPr>
          <w:p w:rsidR="00000000" w:rsidRDefault="00000000">
            <w:pPr>
              <w:spacing w:before="40" w:after="40" w:line="220" w:lineRule="exact"/>
              <w:jc w:val="right"/>
              <w:rPr>
                <w:bCs/>
                <w:sz w:val="18"/>
                <w:szCs w:val="18"/>
              </w:rPr>
            </w:pPr>
            <w:r>
              <w:rPr>
                <w:bCs/>
                <w:sz w:val="18"/>
                <w:szCs w:val="18"/>
              </w:rPr>
              <w:t>Pré-Gén</w:t>
            </w:r>
          </w:p>
        </w:tc>
        <w:tc>
          <w:tcPr>
            <w:tcW w:w="991" w:type="dxa"/>
            <w:shd w:val="clear" w:color="auto" w:fill="auto"/>
            <w:vAlign w:val="bottom"/>
          </w:tcPr>
          <w:p w:rsidR="00000000" w:rsidRDefault="00000000">
            <w:pPr>
              <w:spacing w:before="40" w:after="40" w:line="220" w:lineRule="exact"/>
              <w:jc w:val="right"/>
              <w:rPr>
                <w:bCs/>
                <w:sz w:val="18"/>
                <w:szCs w:val="18"/>
              </w:rPr>
            </w:pPr>
            <w:r>
              <w:rPr>
                <w:bCs/>
                <w:sz w:val="18"/>
                <w:szCs w:val="18"/>
              </w:rPr>
              <w:t>Gén</w:t>
            </w:r>
          </w:p>
        </w:tc>
        <w:tc>
          <w:tcPr>
            <w:tcW w:w="977" w:type="dxa"/>
            <w:tcBorders>
              <w:top w:val="nil"/>
              <w:right w:val="nil"/>
            </w:tcBorders>
            <w:shd w:val="clear" w:color="auto" w:fill="auto"/>
            <w:vAlign w:val="bottom"/>
          </w:tcPr>
          <w:p w:rsidR="00000000" w:rsidRDefault="00000000">
            <w:pPr>
              <w:spacing w:before="40" w:after="40" w:line="220" w:lineRule="exact"/>
              <w:jc w:val="right"/>
              <w:rPr>
                <w:bCs/>
                <w:sz w:val="18"/>
                <w:szCs w:val="18"/>
              </w:rPr>
            </w:pPr>
          </w:p>
        </w:tc>
      </w:tr>
      <w:tr w:rsidR="00000000">
        <w:tc>
          <w:tcPr>
            <w:tcW w:w="999" w:type="dxa"/>
            <w:vMerge w:val="restart"/>
            <w:shd w:val="clear" w:color="auto" w:fill="auto"/>
            <w:vAlign w:val="center"/>
          </w:tcPr>
          <w:p w:rsidR="00000000" w:rsidRDefault="00000000">
            <w:pPr>
              <w:spacing w:before="40" w:after="40" w:line="220" w:lineRule="exact"/>
              <w:rPr>
                <w:bCs/>
                <w:sz w:val="18"/>
                <w:szCs w:val="18"/>
              </w:rPr>
            </w:pPr>
            <w:r>
              <w:rPr>
                <w:bCs/>
                <w:sz w:val="18"/>
                <w:szCs w:val="18"/>
              </w:rPr>
              <w:t>5</w:t>
            </w:r>
            <w:r>
              <w:rPr>
                <w:bCs/>
                <w:sz w:val="18"/>
                <w:szCs w:val="18"/>
                <w:vertAlign w:val="superscript"/>
              </w:rPr>
              <w:t>e</w:t>
            </w:r>
            <w:r>
              <w:rPr>
                <w:bCs/>
                <w:sz w:val="18"/>
                <w:szCs w:val="18"/>
              </w:rPr>
              <w:t xml:space="preserve"> année</w:t>
            </w:r>
          </w:p>
        </w:tc>
        <w:tc>
          <w:tcPr>
            <w:tcW w:w="1092" w:type="dxa"/>
            <w:shd w:val="clear" w:color="auto" w:fill="auto"/>
            <w:vAlign w:val="bottom"/>
          </w:tcPr>
          <w:p w:rsidR="00000000" w:rsidRDefault="00000000">
            <w:pPr>
              <w:spacing w:before="40" w:after="40" w:line="220" w:lineRule="exact"/>
              <w:jc w:val="right"/>
              <w:rPr>
                <w:bCs/>
                <w:sz w:val="18"/>
                <w:szCs w:val="18"/>
              </w:rPr>
            </w:pPr>
            <w:r>
              <w:rPr>
                <w:bCs/>
                <w:sz w:val="18"/>
                <w:szCs w:val="18"/>
              </w:rPr>
              <w:t>Nombre de CISCOs</w:t>
            </w:r>
          </w:p>
        </w:tc>
        <w:tc>
          <w:tcPr>
            <w:tcW w:w="896" w:type="dxa"/>
            <w:shd w:val="clear" w:color="auto" w:fill="auto"/>
            <w:vAlign w:val="bottom"/>
          </w:tcPr>
          <w:p w:rsidR="00000000" w:rsidRDefault="00000000">
            <w:pPr>
              <w:spacing w:before="40" w:after="40" w:line="220" w:lineRule="exact"/>
              <w:jc w:val="right"/>
              <w:rPr>
                <w:bCs/>
                <w:sz w:val="18"/>
                <w:szCs w:val="18"/>
              </w:rPr>
            </w:pPr>
          </w:p>
        </w:tc>
        <w:tc>
          <w:tcPr>
            <w:tcW w:w="997" w:type="dxa"/>
            <w:shd w:val="clear" w:color="auto" w:fill="auto"/>
            <w:vAlign w:val="bottom"/>
          </w:tcPr>
          <w:p w:rsidR="00000000" w:rsidRDefault="00000000">
            <w:pPr>
              <w:spacing w:before="40" w:after="40" w:line="220" w:lineRule="exact"/>
              <w:jc w:val="right"/>
              <w:rPr>
                <w:bCs/>
                <w:sz w:val="18"/>
                <w:szCs w:val="18"/>
              </w:rPr>
            </w:pPr>
          </w:p>
        </w:tc>
        <w:tc>
          <w:tcPr>
            <w:tcW w:w="993" w:type="dxa"/>
            <w:shd w:val="clear" w:color="auto" w:fill="auto"/>
            <w:vAlign w:val="bottom"/>
          </w:tcPr>
          <w:p w:rsidR="00000000" w:rsidRDefault="00000000">
            <w:pPr>
              <w:spacing w:before="40" w:after="40" w:line="220" w:lineRule="exact"/>
              <w:jc w:val="right"/>
              <w:rPr>
                <w:bCs/>
                <w:sz w:val="18"/>
                <w:szCs w:val="18"/>
              </w:rPr>
            </w:pPr>
          </w:p>
        </w:tc>
        <w:tc>
          <w:tcPr>
            <w:tcW w:w="995" w:type="dxa"/>
            <w:shd w:val="clear" w:color="auto" w:fill="auto"/>
            <w:vAlign w:val="bottom"/>
          </w:tcPr>
          <w:p w:rsidR="00000000" w:rsidRDefault="00000000">
            <w:pPr>
              <w:spacing w:before="40" w:after="40" w:line="220" w:lineRule="exact"/>
              <w:jc w:val="right"/>
              <w:rPr>
                <w:bCs/>
                <w:sz w:val="18"/>
                <w:szCs w:val="18"/>
              </w:rPr>
            </w:pPr>
          </w:p>
        </w:tc>
        <w:tc>
          <w:tcPr>
            <w:tcW w:w="991" w:type="dxa"/>
            <w:shd w:val="clear" w:color="auto" w:fill="auto"/>
            <w:vAlign w:val="bottom"/>
          </w:tcPr>
          <w:p w:rsidR="00000000" w:rsidRDefault="00000000">
            <w:pPr>
              <w:spacing w:before="40" w:after="40" w:line="220" w:lineRule="exact"/>
              <w:jc w:val="right"/>
              <w:rPr>
                <w:bCs/>
                <w:sz w:val="18"/>
                <w:szCs w:val="18"/>
              </w:rPr>
            </w:pPr>
            <w:r>
              <w:rPr>
                <w:bCs/>
                <w:sz w:val="18"/>
                <w:szCs w:val="18"/>
              </w:rPr>
              <w:t>20</w:t>
            </w:r>
          </w:p>
        </w:tc>
        <w:tc>
          <w:tcPr>
            <w:tcW w:w="991" w:type="dxa"/>
            <w:shd w:val="clear" w:color="auto" w:fill="auto"/>
            <w:vAlign w:val="bottom"/>
          </w:tcPr>
          <w:p w:rsidR="00000000" w:rsidRDefault="00000000">
            <w:pPr>
              <w:spacing w:before="40" w:after="40" w:line="220" w:lineRule="exact"/>
              <w:jc w:val="right"/>
              <w:rPr>
                <w:bCs/>
                <w:sz w:val="18"/>
                <w:szCs w:val="18"/>
              </w:rPr>
            </w:pPr>
            <w:r>
              <w:rPr>
                <w:bCs/>
                <w:sz w:val="18"/>
                <w:szCs w:val="18"/>
              </w:rPr>
              <w:t>65</w:t>
            </w:r>
          </w:p>
        </w:tc>
        <w:tc>
          <w:tcPr>
            <w:tcW w:w="977" w:type="dxa"/>
            <w:shd w:val="clear" w:color="auto" w:fill="auto"/>
            <w:vAlign w:val="bottom"/>
          </w:tcPr>
          <w:p w:rsidR="00000000" w:rsidRDefault="00000000">
            <w:pPr>
              <w:spacing w:before="40" w:after="40" w:line="220" w:lineRule="exact"/>
              <w:jc w:val="right"/>
              <w:rPr>
                <w:bCs/>
                <w:sz w:val="18"/>
                <w:szCs w:val="18"/>
              </w:rPr>
            </w:pPr>
            <w:r>
              <w:rPr>
                <w:bCs/>
                <w:sz w:val="18"/>
                <w:szCs w:val="18"/>
              </w:rPr>
              <w:t>111</w:t>
            </w:r>
          </w:p>
        </w:tc>
      </w:tr>
      <w:tr w:rsidR="00000000">
        <w:tc>
          <w:tcPr>
            <w:tcW w:w="999" w:type="dxa"/>
            <w:vMerge/>
            <w:shd w:val="clear" w:color="auto" w:fill="auto"/>
            <w:vAlign w:val="center"/>
          </w:tcPr>
          <w:p w:rsidR="00000000" w:rsidRDefault="00000000">
            <w:pPr>
              <w:spacing w:before="40" w:after="40" w:line="220" w:lineRule="exact"/>
              <w:rPr>
                <w:bCs/>
                <w:sz w:val="18"/>
                <w:szCs w:val="18"/>
              </w:rPr>
            </w:pPr>
          </w:p>
        </w:tc>
        <w:tc>
          <w:tcPr>
            <w:tcW w:w="1092" w:type="dxa"/>
            <w:shd w:val="clear" w:color="auto" w:fill="auto"/>
            <w:vAlign w:val="bottom"/>
          </w:tcPr>
          <w:p w:rsidR="00000000" w:rsidRDefault="00000000">
            <w:pPr>
              <w:spacing w:before="40" w:after="40" w:line="220" w:lineRule="exact"/>
              <w:jc w:val="right"/>
              <w:rPr>
                <w:bCs/>
                <w:sz w:val="18"/>
                <w:szCs w:val="18"/>
              </w:rPr>
            </w:pPr>
            <w:r>
              <w:rPr>
                <w:bCs/>
                <w:sz w:val="18"/>
                <w:szCs w:val="18"/>
              </w:rPr>
              <w:t>Phase</w:t>
            </w:r>
          </w:p>
        </w:tc>
        <w:tc>
          <w:tcPr>
            <w:tcW w:w="896" w:type="dxa"/>
            <w:shd w:val="clear" w:color="auto" w:fill="auto"/>
            <w:vAlign w:val="bottom"/>
          </w:tcPr>
          <w:p w:rsidR="00000000" w:rsidRDefault="00000000">
            <w:pPr>
              <w:spacing w:before="40" w:after="40" w:line="220" w:lineRule="exact"/>
              <w:jc w:val="right"/>
              <w:rPr>
                <w:bCs/>
                <w:sz w:val="18"/>
                <w:szCs w:val="18"/>
              </w:rPr>
            </w:pPr>
          </w:p>
        </w:tc>
        <w:tc>
          <w:tcPr>
            <w:tcW w:w="997" w:type="dxa"/>
            <w:shd w:val="clear" w:color="auto" w:fill="auto"/>
            <w:vAlign w:val="bottom"/>
          </w:tcPr>
          <w:p w:rsidR="00000000" w:rsidRDefault="00000000">
            <w:pPr>
              <w:spacing w:before="40" w:after="40" w:line="220" w:lineRule="exact"/>
              <w:jc w:val="right"/>
              <w:rPr>
                <w:bCs/>
                <w:sz w:val="18"/>
                <w:szCs w:val="18"/>
              </w:rPr>
            </w:pPr>
          </w:p>
        </w:tc>
        <w:tc>
          <w:tcPr>
            <w:tcW w:w="993" w:type="dxa"/>
            <w:shd w:val="clear" w:color="auto" w:fill="auto"/>
            <w:vAlign w:val="bottom"/>
          </w:tcPr>
          <w:p w:rsidR="00000000" w:rsidRDefault="00000000">
            <w:pPr>
              <w:spacing w:before="40" w:after="40" w:line="220" w:lineRule="exact"/>
              <w:jc w:val="right"/>
              <w:rPr>
                <w:bCs/>
                <w:sz w:val="18"/>
                <w:szCs w:val="18"/>
              </w:rPr>
            </w:pPr>
          </w:p>
        </w:tc>
        <w:tc>
          <w:tcPr>
            <w:tcW w:w="995" w:type="dxa"/>
            <w:shd w:val="clear" w:color="auto" w:fill="auto"/>
            <w:vAlign w:val="bottom"/>
          </w:tcPr>
          <w:p w:rsidR="00000000" w:rsidRDefault="00000000">
            <w:pPr>
              <w:spacing w:before="40" w:after="40" w:line="220" w:lineRule="exact"/>
              <w:jc w:val="right"/>
              <w:rPr>
                <w:bCs/>
                <w:sz w:val="18"/>
                <w:szCs w:val="18"/>
              </w:rPr>
            </w:pPr>
          </w:p>
        </w:tc>
        <w:tc>
          <w:tcPr>
            <w:tcW w:w="991" w:type="dxa"/>
            <w:shd w:val="clear" w:color="auto" w:fill="auto"/>
            <w:vAlign w:val="bottom"/>
          </w:tcPr>
          <w:p w:rsidR="00000000" w:rsidRDefault="00000000">
            <w:pPr>
              <w:spacing w:before="40" w:after="40" w:line="220" w:lineRule="exact"/>
              <w:jc w:val="right"/>
              <w:rPr>
                <w:bCs/>
                <w:sz w:val="18"/>
                <w:szCs w:val="18"/>
              </w:rPr>
            </w:pPr>
            <w:r>
              <w:rPr>
                <w:bCs/>
                <w:sz w:val="18"/>
                <w:szCs w:val="18"/>
              </w:rPr>
              <w:t>Exp</w:t>
            </w:r>
          </w:p>
        </w:tc>
        <w:tc>
          <w:tcPr>
            <w:tcW w:w="991" w:type="dxa"/>
            <w:shd w:val="clear" w:color="auto" w:fill="auto"/>
            <w:vAlign w:val="bottom"/>
          </w:tcPr>
          <w:p w:rsidR="00000000" w:rsidRDefault="00000000">
            <w:pPr>
              <w:spacing w:before="40" w:after="40" w:line="220" w:lineRule="exact"/>
              <w:jc w:val="right"/>
              <w:rPr>
                <w:bCs/>
                <w:sz w:val="18"/>
                <w:szCs w:val="18"/>
              </w:rPr>
            </w:pPr>
            <w:r>
              <w:rPr>
                <w:bCs/>
                <w:sz w:val="18"/>
                <w:szCs w:val="18"/>
              </w:rPr>
              <w:t>Pré-Gén</w:t>
            </w:r>
          </w:p>
        </w:tc>
        <w:tc>
          <w:tcPr>
            <w:tcW w:w="977" w:type="dxa"/>
            <w:shd w:val="clear" w:color="auto" w:fill="auto"/>
            <w:vAlign w:val="bottom"/>
          </w:tcPr>
          <w:p w:rsidR="00000000" w:rsidRDefault="00000000">
            <w:pPr>
              <w:spacing w:before="40" w:after="40" w:line="220" w:lineRule="exact"/>
              <w:jc w:val="right"/>
              <w:rPr>
                <w:bCs/>
                <w:sz w:val="18"/>
                <w:szCs w:val="18"/>
              </w:rPr>
            </w:pPr>
            <w:r>
              <w:rPr>
                <w:bCs/>
                <w:sz w:val="18"/>
                <w:szCs w:val="18"/>
              </w:rPr>
              <w:t>Gén</w:t>
            </w:r>
          </w:p>
        </w:tc>
      </w:tr>
      <w:tr w:rsidR="00000000">
        <w:tc>
          <w:tcPr>
            <w:tcW w:w="999" w:type="dxa"/>
            <w:vMerge w:val="restart"/>
            <w:shd w:val="clear" w:color="auto" w:fill="auto"/>
            <w:vAlign w:val="center"/>
          </w:tcPr>
          <w:p w:rsidR="00000000" w:rsidRDefault="00000000">
            <w:pPr>
              <w:spacing w:before="40" w:after="40" w:line="220" w:lineRule="exact"/>
              <w:rPr>
                <w:bCs/>
                <w:sz w:val="18"/>
                <w:szCs w:val="18"/>
              </w:rPr>
            </w:pPr>
            <w:r>
              <w:rPr>
                <w:bCs/>
                <w:sz w:val="18"/>
                <w:szCs w:val="18"/>
              </w:rPr>
              <w:t>6</w:t>
            </w:r>
            <w:r>
              <w:rPr>
                <w:bCs/>
                <w:sz w:val="18"/>
                <w:szCs w:val="18"/>
                <w:vertAlign w:val="superscript"/>
              </w:rPr>
              <w:t>e</w:t>
            </w:r>
            <w:r>
              <w:rPr>
                <w:bCs/>
                <w:sz w:val="18"/>
                <w:szCs w:val="18"/>
              </w:rPr>
              <w:t xml:space="preserve"> année</w:t>
            </w:r>
          </w:p>
        </w:tc>
        <w:tc>
          <w:tcPr>
            <w:tcW w:w="1092" w:type="dxa"/>
            <w:shd w:val="clear" w:color="auto" w:fill="auto"/>
            <w:vAlign w:val="bottom"/>
          </w:tcPr>
          <w:p w:rsidR="00000000" w:rsidRDefault="00000000">
            <w:pPr>
              <w:spacing w:before="40" w:after="40" w:line="220" w:lineRule="exact"/>
              <w:jc w:val="right"/>
              <w:rPr>
                <w:bCs/>
                <w:sz w:val="18"/>
                <w:szCs w:val="18"/>
              </w:rPr>
            </w:pPr>
            <w:r>
              <w:rPr>
                <w:bCs/>
                <w:sz w:val="18"/>
                <w:szCs w:val="18"/>
              </w:rPr>
              <w:t>Nombre de CISCOs</w:t>
            </w:r>
          </w:p>
        </w:tc>
        <w:tc>
          <w:tcPr>
            <w:tcW w:w="896" w:type="dxa"/>
            <w:shd w:val="clear" w:color="auto" w:fill="auto"/>
            <w:vAlign w:val="bottom"/>
          </w:tcPr>
          <w:p w:rsidR="00000000" w:rsidRDefault="00000000">
            <w:pPr>
              <w:spacing w:before="40" w:after="40" w:line="220" w:lineRule="exact"/>
              <w:jc w:val="right"/>
              <w:rPr>
                <w:bCs/>
                <w:sz w:val="18"/>
                <w:szCs w:val="18"/>
              </w:rPr>
            </w:pPr>
            <w:r>
              <w:rPr>
                <w:bCs/>
                <w:sz w:val="18"/>
                <w:szCs w:val="18"/>
              </w:rPr>
              <w:t>20</w:t>
            </w:r>
          </w:p>
        </w:tc>
        <w:tc>
          <w:tcPr>
            <w:tcW w:w="997" w:type="dxa"/>
            <w:shd w:val="clear" w:color="auto" w:fill="auto"/>
            <w:vAlign w:val="bottom"/>
          </w:tcPr>
          <w:p w:rsidR="00000000" w:rsidRDefault="00000000">
            <w:pPr>
              <w:spacing w:before="40" w:after="40" w:line="220" w:lineRule="exact"/>
              <w:jc w:val="right"/>
              <w:rPr>
                <w:bCs/>
                <w:sz w:val="18"/>
                <w:szCs w:val="18"/>
              </w:rPr>
            </w:pPr>
            <w:r>
              <w:rPr>
                <w:bCs/>
                <w:sz w:val="18"/>
                <w:szCs w:val="18"/>
              </w:rPr>
              <w:t>65</w:t>
            </w:r>
          </w:p>
        </w:tc>
        <w:tc>
          <w:tcPr>
            <w:tcW w:w="993" w:type="dxa"/>
            <w:shd w:val="clear" w:color="auto" w:fill="auto"/>
            <w:vAlign w:val="bottom"/>
          </w:tcPr>
          <w:p w:rsidR="00000000" w:rsidRDefault="00000000">
            <w:pPr>
              <w:spacing w:before="40" w:after="40" w:line="220" w:lineRule="exact"/>
              <w:jc w:val="right"/>
              <w:rPr>
                <w:bCs/>
                <w:sz w:val="18"/>
                <w:szCs w:val="18"/>
              </w:rPr>
            </w:pPr>
            <w:r>
              <w:rPr>
                <w:bCs/>
                <w:sz w:val="18"/>
                <w:szCs w:val="18"/>
              </w:rPr>
              <w:t>111</w:t>
            </w:r>
          </w:p>
        </w:tc>
        <w:tc>
          <w:tcPr>
            <w:tcW w:w="995" w:type="dxa"/>
            <w:tcBorders>
              <w:bottom w:val="nil"/>
              <w:right w:val="nil"/>
            </w:tcBorders>
            <w:shd w:val="clear" w:color="auto" w:fill="auto"/>
            <w:vAlign w:val="bottom"/>
          </w:tcPr>
          <w:p w:rsidR="00000000" w:rsidRDefault="00000000">
            <w:pPr>
              <w:spacing w:before="40" w:after="40" w:line="220" w:lineRule="exact"/>
              <w:jc w:val="right"/>
              <w:rPr>
                <w:sz w:val="18"/>
                <w:szCs w:val="18"/>
                <w:lang w:val="fr-FR"/>
              </w:rPr>
            </w:pPr>
          </w:p>
        </w:tc>
        <w:tc>
          <w:tcPr>
            <w:tcW w:w="991" w:type="dxa"/>
            <w:tcBorders>
              <w:left w:val="nil"/>
              <w:bottom w:val="nil"/>
              <w:right w:val="nil"/>
            </w:tcBorders>
            <w:shd w:val="clear" w:color="auto" w:fill="auto"/>
            <w:vAlign w:val="bottom"/>
          </w:tcPr>
          <w:p w:rsidR="00000000" w:rsidRDefault="00000000">
            <w:pPr>
              <w:spacing w:before="40" w:after="40" w:line="220" w:lineRule="exact"/>
              <w:jc w:val="right"/>
              <w:rPr>
                <w:bCs/>
                <w:sz w:val="18"/>
                <w:szCs w:val="18"/>
              </w:rPr>
            </w:pPr>
          </w:p>
        </w:tc>
        <w:tc>
          <w:tcPr>
            <w:tcW w:w="991" w:type="dxa"/>
            <w:tcBorders>
              <w:left w:val="nil"/>
              <w:bottom w:val="nil"/>
              <w:right w:val="nil"/>
            </w:tcBorders>
            <w:shd w:val="clear" w:color="auto" w:fill="auto"/>
            <w:vAlign w:val="bottom"/>
          </w:tcPr>
          <w:p w:rsidR="00000000" w:rsidRDefault="00000000">
            <w:pPr>
              <w:spacing w:before="40" w:after="40" w:line="220" w:lineRule="exact"/>
              <w:jc w:val="right"/>
              <w:rPr>
                <w:bCs/>
                <w:sz w:val="18"/>
                <w:szCs w:val="18"/>
              </w:rPr>
            </w:pPr>
          </w:p>
        </w:tc>
        <w:tc>
          <w:tcPr>
            <w:tcW w:w="977" w:type="dxa"/>
            <w:tcBorders>
              <w:left w:val="nil"/>
              <w:bottom w:val="nil"/>
              <w:right w:val="nil"/>
            </w:tcBorders>
            <w:shd w:val="clear" w:color="auto" w:fill="auto"/>
            <w:vAlign w:val="bottom"/>
          </w:tcPr>
          <w:p w:rsidR="00000000" w:rsidRDefault="00000000">
            <w:pPr>
              <w:spacing w:before="40" w:after="40" w:line="220" w:lineRule="exact"/>
              <w:jc w:val="right"/>
              <w:rPr>
                <w:bCs/>
                <w:sz w:val="18"/>
                <w:szCs w:val="18"/>
              </w:rPr>
            </w:pPr>
          </w:p>
        </w:tc>
      </w:tr>
      <w:tr w:rsidR="00000000">
        <w:tc>
          <w:tcPr>
            <w:tcW w:w="999" w:type="dxa"/>
            <w:vMerge/>
            <w:shd w:val="clear" w:color="auto" w:fill="auto"/>
            <w:vAlign w:val="center"/>
          </w:tcPr>
          <w:p w:rsidR="00000000" w:rsidRDefault="00000000">
            <w:pPr>
              <w:spacing w:before="40" w:after="40" w:line="220" w:lineRule="exact"/>
              <w:rPr>
                <w:bCs/>
                <w:sz w:val="18"/>
                <w:szCs w:val="18"/>
              </w:rPr>
            </w:pPr>
          </w:p>
        </w:tc>
        <w:tc>
          <w:tcPr>
            <w:tcW w:w="1092" w:type="dxa"/>
            <w:shd w:val="clear" w:color="auto" w:fill="auto"/>
            <w:vAlign w:val="bottom"/>
          </w:tcPr>
          <w:p w:rsidR="00000000" w:rsidRDefault="00000000">
            <w:pPr>
              <w:spacing w:before="40" w:after="40" w:line="220" w:lineRule="exact"/>
              <w:jc w:val="right"/>
              <w:rPr>
                <w:bCs/>
                <w:sz w:val="18"/>
                <w:szCs w:val="18"/>
              </w:rPr>
            </w:pPr>
            <w:r>
              <w:rPr>
                <w:bCs/>
                <w:sz w:val="18"/>
                <w:szCs w:val="18"/>
              </w:rPr>
              <w:t>Phase</w:t>
            </w:r>
          </w:p>
        </w:tc>
        <w:tc>
          <w:tcPr>
            <w:tcW w:w="896" w:type="dxa"/>
            <w:shd w:val="clear" w:color="auto" w:fill="auto"/>
            <w:vAlign w:val="bottom"/>
          </w:tcPr>
          <w:p w:rsidR="00000000" w:rsidRDefault="00000000">
            <w:pPr>
              <w:spacing w:before="40" w:after="40" w:line="220" w:lineRule="exact"/>
              <w:jc w:val="right"/>
              <w:rPr>
                <w:bCs/>
                <w:sz w:val="18"/>
                <w:szCs w:val="18"/>
              </w:rPr>
            </w:pPr>
            <w:r>
              <w:rPr>
                <w:bCs/>
                <w:sz w:val="18"/>
                <w:szCs w:val="18"/>
              </w:rPr>
              <w:t>Exp</w:t>
            </w:r>
          </w:p>
        </w:tc>
        <w:tc>
          <w:tcPr>
            <w:tcW w:w="997" w:type="dxa"/>
            <w:shd w:val="clear" w:color="auto" w:fill="auto"/>
            <w:vAlign w:val="bottom"/>
          </w:tcPr>
          <w:p w:rsidR="00000000" w:rsidRDefault="00000000">
            <w:pPr>
              <w:spacing w:before="40" w:after="40" w:line="220" w:lineRule="exact"/>
              <w:jc w:val="right"/>
              <w:rPr>
                <w:bCs/>
                <w:sz w:val="18"/>
                <w:szCs w:val="18"/>
              </w:rPr>
            </w:pPr>
            <w:r>
              <w:rPr>
                <w:bCs/>
                <w:sz w:val="18"/>
                <w:szCs w:val="18"/>
              </w:rPr>
              <w:t>Pré-Gén</w:t>
            </w:r>
          </w:p>
        </w:tc>
        <w:tc>
          <w:tcPr>
            <w:tcW w:w="993" w:type="dxa"/>
            <w:shd w:val="clear" w:color="auto" w:fill="auto"/>
            <w:vAlign w:val="bottom"/>
          </w:tcPr>
          <w:p w:rsidR="00000000" w:rsidRDefault="00000000">
            <w:pPr>
              <w:spacing w:before="40" w:after="40" w:line="220" w:lineRule="exact"/>
              <w:jc w:val="right"/>
              <w:rPr>
                <w:bCs/>
                <w:sz w:val="18"/>
                <w:szCs w:val="18"/>
              </w:rPr>
            </w:pPr>
            <w:r>
              <w:rPr>
                <w:bCs/>
                <w:sz w:val="18"/>
                <w:szCs w:val="18"/>
              </w:rPr>
              <w:t>Gén</w:t>
            </w:r>
          </w:p>
        </w:tc>
        <w:tc>
          <w:tcPr>
            <w:tcW w:w="995" w:type="dxa"/>
            <w:tcBorders>
              <w:top w:val="nil"/>
              <w:right w:val="nil"/>
            </w:tcBorders>
            <w:shd w:val="clear" w:color="auto" w:fill="auto"/>
            <w:vAlign w:val="bottom"/>
          </w:tcPr>
          <w:p w:rsidR="00000000" w:rsidRDefault="00000000">
            <w:pPr>
              <w:spacing w:before="40" w:after="40" w:line="220" w:lineRule="exact"/>
              <w:jc w:val="right"/>
              <w:rPr>
                <w:sz w:val="18"/>
                <w:szCs w:val="18"/>
                <w:lang w:val="fr-FR"/>
              </w:rPr>
            </w:pPr>
          </w:p>
        </w:tc>
        <w:tc>
          <w:tcPr>
            <w:tcW w:w="991" w:type="dxa"/>
            <w:tcBorders>
              <w:top w:val="nil"/>
              <w:left w:val="nil"/>
              <w:bottom w:val="nil"/>
              <w:right w:val="nil"/>
            </w:tcBorders>
            <w:shd w:val="clear" w:color="auto" w:fill="auto"/>
            <w:vAlign w:val="bottom"/>
          </w:tcPr>
          <w:p w:rsidR="00000000" w:rsidRDefault="00000000">
            <w:pPr>
              <w:spacing w:before="40" w:after="40" w:line="220" w:lineRule="exact"/>
              <w:jc w:val="right"/>
              <w:rPr>
                <w:bCs/>
                <w:sz w:val="18"/>
                <w:szCs w:val="18"/>
              </w:rPr>
            </w:pPr>
          </w:p>
        </w:tc>
        <w:tc>
          <w:tcPr>
            <w:tcW w:w="991" w:type="dxa"/>
            <w:tcBorders>
              <w:top w:val="nil"/>
              <w:left w:val="nil"/>
              <w:bottom w:val="nil"/>
              <w:right w:val="nil"/>
            </w:tcBorders>
            <w:shd w:val="clear" w:color="auto" w:fill="auto"/>
            <w:vAlign w:val="bottom"/>
          </w:tcPr>
          <w:p w:rsidR="00000000" w:rsidRDefault="00000000">
            <w:pPr>
              <w:spacing w:before="40" w:after="40" w:line="220" w:lineRule="exact"/>
              <w:jc w:val="right"/>
              <w:rPr>
                <w:bCs/>
                <w:sz w:val="18"/>
                <w:szCs w:val="18"/>
              </w:rPr>
            </w:pPr>
          </w:p>
        </w:tc>
        <w:tc>
          <w:tcPr>
            <w:tcW w:w="977" w:type="dxa"/>
            <w:tcBorders>
              <w:top w:val="nil"/>
              <w:left w:val="nil"/>
              <w:bottom w:val="nil"/>
              <w:right w:val="nil"/>
            </w:tcBorders>
            <w:shd w:val="clear" w:color="auto" w:fill="auto"/>
            <w:vAlign w:val="bottom"/>
          </w:tcPr>
          <w:p w:rsidR="00000000" w:rsidRDefault="00000000">
            <w:pPr>
              <w:spacing w:before="40" w:after="40" w:line="220" w:lineRule="exact"/>
              <w:jc w:val="right"/>
              <w:rPr>
                <w:bCs/>
                <w:sz w:val="18"/>
                <w:szCs w:val="18"/>
              </w:rPr>
            </w:pPr>
          </w:p>
        </w:tc>
      </w:tr>
      <w:tr w:rsidR="00000000">
        <w:tc>
          <w:tcPr>
            <w:tcW w:w="999" w:type="dxa"/>
            <w:vMerge w:val="restart"/>
            <w:shd w:val="clear" w:color="auto" w:fill="auto"/>
            <w:vAlign w:val="center"/>
          </w:tcPr>
          <w:p w:rsidR="00000000" w:rsidRDefault="00000000">
            <w:pPr>
              <w:spacing w:before="40" w:after="40" w:line="220" w:lineRule="exact"/>
              <w:rPr>
                <w:sz w:val="18"/>
                <w:szCs w:val="18"/>
                <w:lang w:val="fr-FR"/>
              </w:rPr>
            </w:pPr>
            <w:r>
              <w:rPr>
                <w:sz w:val="18"/>
                <w:szCs w:val="18"/>
                <w:lang w:val="fr-FR"/>
              </w:rPr>
              <w:t>7</w:t>
            </w:r>
            <w:r>
              <w:rPr>
                <w:sz w:val="18"/>
                <w:szCs w:val="18"/>
                <w:vertAlign w:val="superscript"/>
                <w:lang w:val="fr-FR"/>
              </w:rPr>
              <w:t>e</w:t>
            </w:r>
            <w:r>
              <w:rPr>
                <w:sz w:val="18"/>
                <w:szCs w:val="18"/>
                <w:lang w:val="fr-FR"/>
              </w:rPr>
              <w:t xml:space="preserve"> année</w:t>
            </w:r>
          </w:p>
        </w:tc>
        <w:tc>
          <w:tcPr>
            <w:tcW w:w="1092" w:type="dxa"/>
            <w:shd w:val="clear" w:color="auto" w:fill="auto"/>
            <w:vAlign w:val="bottom"/>
          </w:tcPr>
          <w:p w:rsidR="00000000" w:rsidRDefault="00000000">
            <w:pPr>
              <w:spacing w:before="40" w:after="40" w:line="220" w:lineRule="exact"/>
              <w:jc w:val="right"/>
              <w:rPr>
                <w:bCs/>
                <w:sz w:val="18"/>
                <w:szCs w:val="18"/>
              </w:rPr>
            </w:pPr>
            <w:r>
              <w:rPr>
                <w:bCs/>
                <w:sz w:val="18"/>
                <w:szCs w:val="18"/>
              </w:rPr>
              <w:t>Nombre de CISCOs</w:t>
            </w:r>
          </w:p>
        </w:tc>
        <w:tc>
          <w:tcPr>
            <w:tcW w:w="896" w:type="dxa"/>
            <w:shd w:val="clear" w:color="auto" w:fill="auto"/>
            <w:vAlign w:val="bottom"/>
          </w:tcPr>
          <w:p w:rsidR="00000000" w:rsidRDefault="00000000">
            <w:pPr>
              <w:spacing w:before="40" w:after="40" w:line="220" w:lineRule="exact"/>
              <w:jc w:val="right"/>
              <w:rPr>
                <w:bCs/>
                <w:sz w:val="18"/>
                <w:szCs w:val="18"/>
              </w:rPr>
            </w:pPr>
          </w:p>
        </w:tc>
        <w:tc>
          <w:tcPr>
            <w:tcW w:w="997" w:type="dxa"/>
            <w:shd w:val="clear" w:color="auto" w:fill="auto"/>
            <w:vAlign w:val="bottom"/>
          </w:tcPr>
          <w:p w:rsidR="00000000" w:rsidRDefault="00000000">
            <w:pPr>
              <w:spacing w:before="40" w:after="40" w:line="220" w:lineRule="exact"/>
              <w:jc w:val="right"/>
              <w:rPr>
                <w:bCs/>
                <w:sz w:val="18"/>
                <w:szCs w:val="18"/>
              </w:rPr>
            </w:pPr>
            <w:r>
              <w:rPr>
                <w:bCs/>
                <w:sz w:val="18"/>
                <w:szCs w:val="18"/>
              </w:rPr>
              <w:t>20</w:t>
            </w:r>
          </w:p>
        </w:tc>
        <w:tc>
          <w:tcPr>
            <w:tcW w:w="993" w:type="dxa"/>
            <w:shd w:val="clear" w:color="auto" w:fill="auto"/>
            <w:vAlign w:val="bottom"/>
          </w:tcPr>
          <w:p w:rsidR="00000000" w:rsidRDefault="00000000">
            <w:pPr>
              <w:spacing w:before="40" w:after="40" w:line="220" w:lineRule="exact"/>
              <w:jc w:val="right"/>
              <w:rPr>
                <w:bCs/>
                <w:sz w:val="18"/>
                <w:szCs w:val="18"/>
              </w:rPr>
            </w:pPr>
            <w:r>
              <w:rPr>
                <w:bCs/>
                <w:sz w:val="18"/>
                <w:szCs w:val="18"/>
              </w:rPr>
              <w:t>65</w:t>
            </w:r>
          </w:p>
        </w:tc>
        <w:tc>
          <w:tcPr>
            <w:tcW w:w="995" w:type="dxa"/>
            <w:shd w:val="clear" w:color="auto" w:fill="auto"/>
            <w:vAlign w:val="bottom"/>
          </w:tcPr>
          <w:p w:rsidR="00000000" w:rsidRDefault="00000000">
            <w:pPr>
              <w:spacing w:before="40" w:after="40" w:line="220" w:lineRule="exact"/>
              <w:jc w:val="right"/>
              <w:rPr>
                <w:bCs/>
                <w:sz w:val="18"/>
                <w:szCs w:val="18"/>
              </w:rPr>
            </w:pPr>
            <w:r>
              <w:rPr>
                <w:bCs/>
                <w:sz w:val="18"/>
                <w:szCs w:val="18"/>
              </w:rPr>
              <w:t>111</w:t>
            </w:r>
          </w:p>
        </w:tc>
        <w:tc>
          <w:tcPr>
            <w:tcW w:w="991" w:type="dxa"/>
            <w:tcBorders>
              <w:top w:val="nil"/>
              <w:bottom w:val="nil"/>
              <w:right w:val="nil"/>
            </w:tcBorders>
            <w:shd w:val="clear" w:color="auto" w:fill="auto"/>
            <w:vAlign w:val="bottom"/>
          </w:tcPr>
          <w:p w:rsidR="00000000" w:rsidRDefault="00000000">
            <w:pPr>
              <w:spacing w:before="40" w:after="40" w:line="220" w:lineRule="exact"/>
              <w:jc w:val="right"/>
              <w:rPr>
                <w:bCs/>
                <w:sz w:val="18"/>
                <w:szCs w:val="18"/>
              </w:rPr>
            </w:pPr>
          </w:p>
        </w:tc>
        <w:tc>
          <w:tcPr>
            <w:tcW w:w="991" w:type="dxa"/>
            <w:tcBorders>
              <w:top w:val="nil"/>
              <w:left w:val="nil"/>
              <w:bottom w:val="nil"/>
              <w:right w:val="nil"/>
            </w:tcBorders>
            <w:shd w:val="clear" w:color="auto" w:fill="auto"/>
            <w:vAlign w:val="bottom"/>
          </w:tcPr>
          <w:p w:rsidR="00000000" w:rsidRDefault="00000000">
            <w:pPr>
              <w:spacing w:before="40" w:after="40" w:line="220" w:lineRule="exact"/>
              <w:jc w:val="right"/>
              <w:rPr>
                <w:bCs/>
                <w:sz w:val="18"/>
                <w:szCs w:val="18"/>
              </w:rPr>
            </w:pPr>
          </w:p>
        </w:tc>
        <w:tc>
          <w:tcPr>
            <w:tcW w:w="977" w:type="dxa"/>
            <w:tcBorders>
              <w:top w:val="nil"/>
              <w:left w:val="nil"/>
              <w:bottom w:val="nil"/>
              <w:right w:val="nil"/>
            </w:tcBorders>
            <w:shd w:val="clear" w:color="auto" w:fill="auto"/>
            <w:vAlign w:val="bottom"/>
          </w:tcPr>
          <w:p w:rsidR="00000000" w:rsidRDefault="00000000">
            <w:pPr>
              <w:spacing w:before="40" w:after="40" w:line="220" w:lineRule="exact"/>
              <w:jc w:val="right"/>
              <w:rPr>
                <w:bCs/>
                <w:sz w:val="18"/>
                <w:szCs w:val="18"/>
              </w:rPr>
            </w:pPr>
          </w:p>
        </w:tc>
      </w:tr>
      <w:tr w:rsidR="00000000">
        <w:tc>
          <w:tcPr>
            <w:tcW w:w="999" w:type="dxa"/>
            <w:vMerge/>
            <w:shd w:val="clear" w:color="auto" w:fill="auto"/>
            <w:vAlign w:val="center"/>
          </w:tcPr>
          <w:p w:rsidR="00000000" w:rsidRDefault="00000000">
            <w:pPr>
              <w:spacing w:before="40" w:after="40" w:line="220" w:lineRule="exact"/>
              <w:rPr>
                <w:sz w:val="18"/>
                <w:szCs w:val="18"/>
                <w:lang w:val="fr-FR"/>
              </w:rPr>
            </w:pPr>
          </w:p>
        </w:tc>
        <w:tc>
          <w:tcPr>
            <w:tcW w:w="1092" w:type="dxa"/>
            <w:shd w:val="clear" w:color="auto" w:fill="auto"/>
            <w:vAlign w:val="bottom"/>
          </w:tcPr>
          <w:p w:rsidR="00000000" w:rsidRDefault="00000000">
            <w:pPr>
              <w:spacing w:before="40" w:after="40" w:line="220" w:lineRule="exact"/>
              <w:jc w:val="right"/>
              <w:rPr>
                <w:bCs/>
                <w:sz w:val="18"/>
                <w:szCs w:val="18"/>
              </w:rPr>
            </w:pPr>
            <w:r>
              <w:rPr>
                <w:bCs/>
                <w:sz w:val="18"/>
                <w:szCs w:val="18"/>
              </w:rPr>
              <w:t>Phase</w:t>
            </w:r>
          </w:p>
        </w:tc>
        <w:tc>
          <w:tcPr>
            <w:tcW w:w="896" w:type="dxa"/>
            <w:shd w:val="clear" w:color="auto" w:fill="auto"/>
            <w:vAlign w:val="bottom"/>
          </w:tcPr>
          <w:p w:rsidR="00000000" w:rsidRDefault="00000000">
            <w:pPr>
              <w:spacing w:before="40" w:after="40" w:line="220" w:lineRule="exact"/>
              <w:jc w:val="right"/>
              <w:rPr>
                <w:bCs/>
                <w:sz w:val="18"/>
                <w:szCs w:val="18"/>
              </w:rPr>
            </w:pPr>
          </w:p>
        </w:tc>
        <w:tc>
          <w:tcPr>
            <w:tcW w:w="997" w:type="dxa"/>
            <w:shd w:val="clear" w:color="auto" w:fill="auto"/>
            <w:vAlign w:val="bottom"/>
          </w:tcPr>
          <w:p w:rsidR="00000000" w:rsidRDefault="00000000">
            <w:pPr>
              <w:spacing w:before="40" w:after="40" w:line="220" w:lineRule="exact"/>
              <w:jc w:val="right"/>
              <w:rPr>
                <w:bCs/>
                <w:sz w:val="18"/>
                <w:szCs w:val="18"/>
              </w:rPr>
            </w:pPr>
            <w:r>
              <w:rPr>
                <w:bCs/>
                <w:sz w:val="18"/>
                <w:szCs w:val="18"/>
              </w:rPr>
              <w:t>Exp</w:t>
            </w:r>
          </w:p>
        </w:tc>
        <w:tc>
          <w:tcPr>
            <w:tcW w:w="993" w:type="dxa"/>
            <w:shd w:val="clear" w:color="auto" w:fill="auto"/>
            <w:vAlign w:val="bottom"/>
          </w:tcPr>
          <w:p w:rsidR="00000000" w:rsidRDefault="00000000">
            <w:pPr>
              <w:spacing w:before="40" w:after="40" w:line="220" w:lineRule="exact"/>
              <w:jc w:val="right"/>
              <w:rPr>
                <w:bCs/>
                <w:sz w:val="18"/>
                <w:szCs w:val="18"/>
              </w:rPr>
            </w:pPr>
            <w:r>
              <w:rPr>
                <w:bCs/>
                <w:sz w:val="18"/>
                <w:szCs w:val="18"/>
              </w:rPr>
              <w:t>Pré-Gén</w:t>
            </w:r>
          </w:p>
        </w:tc>
        <w:tc>
          <w:tcPr>
            <w:tcW w:w="995" w:type="dxa"/>
            <w:shd w:val="clear" w:color="auto" w:fill="auto"/>
            <w:vAlign w:val="bottom"/>
          </w:tcPr>
          <w:p w:rsidR="00000000" w:rsidRDefault="00000000">
            <w:pPr>
              <w:spacing w:before="40" w:after="40" w:line="220" w:lineRule="exact"/>
              <w:jc w:val="right"/>
              <w:rPr>
                <w:bCs/>
                <w:sz w:val="18"/>
                <w:szCs w:val="18"/>
              </w:rPr>
            </w:pPr>
            <w:r>
              <w:rPr>
                <w:bCs/>
                <w:sz w:val="18"/>
                <w:szCs w:val="18"/>
              </w:rPr>
              <w:t>Gén</w:t>
            </w:r>
          </w:p>
        </w:tc>
        <w:tc>
          <w:tcPr>
            <w:tcW w:w="991" w:type="dxa"/>
            <w:tcBorders>
              <w:top w:val="nil"/>
              <w:right w:val="nil"/>
            </w:tcBorders>
            <w:shd w:val="clear" w:color="auto" w:fill="auto"/>
            <w:vAlign w:val="bottom"/>
          </w:tcPr>
          <w:p w:rsidR="00000000" w:rsidRDefault="00000000">
            <w:pPr>
              <w:spacing w:before="40" w:after="40" w:line="220" w:lineRule="exact"/>
              <w:jc w:val="right"/>
              <w:rPr>
                <w:bCs/>
                <w:sz w:val="18"/>
                <w:szCs w:val="18"/>
              </w:rPr>
            </w:pPr>
          </w:p>
        </w:tc>
        <w:tc>
          <w:tcPr>
            <w:tcW w:w="991" w:type="dxa"/>
            <w:tcBorders>
              <w:top w:val="nil"/>
              <w:left w:val="nil"/>
              <w:bottom w:val="nil"/>
              <w:right w:val="nil"/>
            </w:tcBorders>
            <w:shd w:val="clear" w:color="auto" w:fill="auto"/>
            <w:vAlign w:val="bottom"/>
          </w:tcPr>
          <w:p w:rsidR="00000000" w:rsidRDefault="00000000">
            <w:pPr>
              <w:spacing w:before="40" w:after="40" w:line="220" w:lineRule="exact"/>
              <w:jc w:val="right"/>
              <w:rPr>
                <w:bCs/>
                <w:sz w:val="18"/>
                <w:szCs w:val="18"/>
              </w:rPr>
            </w:pPr>
          </w:p>
        </w:tc>
        <w:tc>
          <w:tcPr>
            <w:tcW w:w="977" w:type="dxa"/>
            <w:tcBorders>
              <w:top w:val="nil"/>
              <w:left w:val="nil"/>
              <w:bottom w:val="nil"/>
              <w:right w:val="nil"/>
            </w:tcBorders>
            <w:shd w:val="clear" w:color="auto" w:fill="auto"/>
            <w:vAlign w:val="bottom"/>
          </w:tcPr>
          <w:p w:rsidR="00000000" w:rsidRDefault="00000000">
            <w:pPr>
              <w:spacing w:before="40" w:after="40" w:line="220" w:lineRule="exact"/>
              <w:jc w:val="right"/>
              <w:rPr>
                <w:bCs/>
                <w:sz w:val="18"/>
                <w:szCs w:val="18"/>
              </w:rPr>
            </w:pPr>
          </w:p>
        </w:tc>
      </w:tr>
      <w:tr w:rsidR="00000000">
        <w:tc>
          <w:tcPr>
            <w:tcW w:w="999" w:type="dxa"/>
            <w:vMerge w:val="restart"/>
            <w:shd w:val="clear" w:color="auto" w:fill="auto"/>
            <w:vAlign w:val="center"/>
          </w:tcPr>
          <w:p w:rsidR="00000000" w:rsidRDefault="00000000">
            <w:pPr>
              <w:spacing w:before="40" w:after="40" w:line="220" w:lineRule="exact"/>
              <w:rPr>
                <w:sz w:val="18"/>
                <w:szCs w:val="18"/>
                <w:lang w:val="fr-FR"/>
              </w:rPr>
            </w:pPr>
            <w:r>
              <w:rPr>
                <w:sz w:val="18"/>
                <w:szCs w:val="18"/>
                <w:lang w:val="fr-FR"/>
              </w:rPr>
              <w:t>8</w:t>
            </w:r>
            <w:r>
              <w:rPr>
                <w:sz w:val="18"/>
                <w:szCs w:val="18"/>
                <w:vertAlign w:val="superscript"/>
                <w:lang w:val="fr-FR"/>
              </w:rPr>
              <w:t>e</w:t>
            </w:r>
            <w:r>
              <w:rPr>
                <w:sz w:val="18"/>
                <w:szCs w:val="18"/>
                <w:lang w:val="fr-FR"/>
              </w:rPr>
              <w:t xml:space="preserve"> année</w:t>
            </w:r>
          </w:p>
        </w:tc>
        <w:tc>
          <w:tcPr>
            <w:tcW w:w="1092" w:type="dxa"/>
            <w:shd w:val="clear" w:color="auto" w:fill="auto"/>
            <w:vAlign w:val="bottom"/>
          </w:tcPr>
          <w:p w:rsidR="00000000" w:rsidRDefault="00000000">
            <w:pPr>
              <w:spacing w:before="40" w:after="40" w:line="220" w:lineRule="exact"/>
              <w:jc w:val="right"/>
              <w:rPr>
                <w:bCs/>
                <w:sz w:val="18"/>
                <w:szCs w:val="18"/>
              </w:rPr>
            </w:pPr>
            <w:r>
              <w:rPr>
                <w:bCs/>
                <w:sz w:val="18"/>
                <w:szCs w:val="18"/>
              </w:rPr>
              <w:t>Nombre de CISCOs</w:t>
            </w:r>
          </w:p>
        </w:tc>
        <w:tc>
          <w:tcPr>
            <w:tcW w:w="896" w:type="dxa"/>
            <w:shd w:val="clear" w:color="auto" w:fill="auto"/>
            <w:vAlign w:val="bottom"/>
          </w:tcPr>
          <w:p w:rsidR="00000000" w:rsidRDefault="00000000">
            <w:pPr>
              <w:spacing w:before="40" w:after="40" w:line="220" w:lineRule="exact"/>
              <w:jc w:val="right"/>
              <w:rPr>
                <w:bCs/>
                <w:sz w:val="18"/>
                <w:szCs w:val="18"/>
              </w:rPr>
            </w:pPr>
          </w:p>
        </w:tc>
        <w:tc>
          <w:tcPr>
            <w:tcW w:w="997" w:type="dxa"/>
            <w:shd w:val="clear" w:color="auto" w:fill="auto"/>
            <w:vAlign w:val="bottom"/>
          </w:tcPr>
          <w:p w:rsidR="00000000" w:rsidRDefault="00000000">
            <w:pPr>
              <w:spacing w:before="40" w:after="40" w:line="220" w:lineRule="exact"/>
              <w:jc w:val="right"/>
              <w:rPr>
                <w:bCs/>
                <w:sz w:val="18"/>
                <w:szCs w:val="18"/>
              </w:rPr>
            </w:pPr>
          </w:p>
        </w:tc>
        <w:tc>
          <w:tcPr>
            <w:tcW w:w="993" w:type="dxa"/>
            <w:shd w:val="clear" w:color="auto" w:fill="auto"/>
            <w:vAlign w:val="bottom"/>
          </w:tcPr>
          <w:p w:rsidR="00000000" w:rsidRDefault="00000000">
            <w:pPr>
              <w:spacing w:before="40" w:after="40" w:line="220" w:lineRule="exact"/>
              <w:jc w:val="right"/>
              <w:rPr>
                <w:bCs/>
                <w:sz w:val="18"/>
                <w:szCs w:val="18"/>
              </w:rPr>
            </w:pPr>
            <w:r>
              <w:rPr>
                <w:bCs/>
                <w:sz w:val="18"/>
                <w:szCs w:val="18"/>
              </w:rPr>
              <w:t>20</w:t>
            </w:r>
          </w:p>
        </w:tc>
        <w:tc>
          <w:tcPr>
            <w:tcW w:w="995" w:type="dxa"/>
            <w:shd w:val="clear" w:color="auto" w:fill="auto"/>
            <w:vAlign w:val="bottom"/>
          </w:tcPr>
          <w:p w:rsidR="00000000" w:rsidRDefault="00000000">
            <w:pPr>
              <w:spacing w:before="40" w:after="40" w:line="220" w:lineRule="exact"/>
              <w:jc w:val="right"/>
              <w:rPr>
                <w:bCs/>
                <w:sz w:val="18"/>
                <w:szCs w:val="18"/>
              </w:rPr>
            </w:pPr>
            <w:r>
              <w:rPr>
                <w:bCs/>
                <w:sz w:val="18"/>
                <w:szCs w:val="18"/>
              </w:rPr>
              <w:t>65</w:t>
            </w:r>
          </w:p>
        </w:tc>
        <w:tc>
          <w:tcPr>
            <w:tcW w:w="991" w:type="dxa"/>
            <w:shd w:val="clear" w:color="auto" w:fill="auto"/>
            <w:vAlign w:val="bottom"/>
          </w:tcPr>
          <w:p w:rsidR="00000000" w:rsidRDefault="00000000">
            <w:pPr>
              <w:spacing w:before="40" w:after="40" w:line="220" w:lineRule="exact"/>
              <w:jc w:val="right"/>
              <w:rPr>
                <w:bCs/>
                <w:sz w:val="18"/>
                <w:szCs w:val="18"/>
              </w:rPr>
            </w:pPr>
            <w:r>
              <w:rPr>
                <w:bCs/>
                <w:sz w:val="18"/>
                <w:szCs w:val="18"/>
              </w:rPr>
              <w:t>111</w:t>
            </w:r>
          </w:p>
        </w:tc>
        <w:tc>
          <w:tcPr>
            <w:tcW w:w="991" w:type="dxa"/>
            <w:tcBorders>
              <w:top w:val="nil"/>
              <w:bottom w:val="nil"/>
              <w:right w:val="nil"/>
            </w:tcBorders>
            <w:shd w:val="clear" w:color="auto" w:fill="auto"/>
            <w:vAlign w:val="bottom"/>
          </w:tcPr>
          <w:p w:rsidR="00000000" w:rsidRDefault="00000000">
            <w:pPr>
              <w:spacing w:before="40" w:after="40" w:line="220" w:lineRule="exact"/>
              <w:jc w:val="right"/>
              <w:rPr>
                <w:bCs/>
                <w:sz w:val="18"/>
                <w:szCs w:val="18"/>
              </w:rPr>
            </w:pPr>
          </w:p>
        </w:tc>
        <w:tc>
          <w:tcPr>
            <w:tcW w:w="977" w:type="dxa"/>
            <w:tcBorders>
              <w:top w:val="nil"/>
              <w:left w:val="nil"/>
              <w:bottom w:val="nil"/>
              <w:right w:val="nil"/>
            </w:tcBorders>
            <w:shd w:val="clear" w:color="auto" w:fill="auto"/>
            <w:vAlign w:val="bottom"/>
          </w:tcPr>
          <w:p w:rsidR="00000000" w:rsidRDefault="00000000">
            <w:pPr>
              <w:spacing w:before="40" w:after="40" w:line="220" w:lineRule="exact"/>
              <w:jc w:val="right"/>
              <w:rPr>
                <w:bCs/>
                <w:sz w:val="18"/>
                <w:szCs w:val="18"/>
              </w:rPr>
            </w:pPr>
          </w:p>
        </w:tc>
      </w:tr>
      <w:tr w:rsidR="00000000">
        <w:tc>
          <w:tcPr>
            <w:tcW w:w="999" w:type="dxa"/>
            <w:vMerge/>
            <w:shd w:val="clear" w:color="auto" w:fill="auto"/>
            <w:vAlign w:val="center"/>
          </w:tcPr>
          <w:p w:rsidR="00000000" w:rsidRDefault="00000000">
            <w:pPr>
              <w:spacing w:before="40" w:after="40" w:line="220" w:lineRule="exact"/>
              <w:rPr>
                <w:sz w:val="18"/>
                <w:szCs w:val="18"/>
                <w:lang w:val="fr-FR"/>
              </w:rPr>
            </w:pPr>
          </w:p>
        </w:tc>
        <w:tc>
          <w:tcPr>
            <w:tcW w:w="1092" w:type="dxa"/>
            <w:shd w:val="clear" w:color="auto" w:fill="auto"/>
            <w:vAlign w:val="bottom"/>
          </w:tcPr>
          <w:p w:rsidR="00000000" w:rsidRDefault="00000000">
            <w:pPr>
              <w:spacing w:before="40" w:after="40" w:line="220" w:lineRule="exact"/>
              <w:jc w:val="right"/>
              <w:rPr>
                <w:bCs/>
                <w:sz w:val="18"/>
                <w:szCs w:val="18"/>
              </w:rPr>
            </w:pPr>
            <w:r>
              <w:rPr>
                <w:bCs/>
                <w:sz w:val="18"/>
                <w:szCs w:val="18"/>
              </w:rPr>
              <w:t>Phase</w:t>
            </w:r>
          </w:p>
        </w:tc>
        <w:tc>
          <w:tcPr>
            <w:tcW w:w="896" w:type="dxa"/>
            <w:shd w:val="clear" w:color="auto" w:fill="auto"/>
            <w:vAlign w:val="bottom"/>
          </w:tcPr>
          <w:p w:rsidR="00000000" w:rsidRDefault="00000000">
            <w:pPr>
              <w:spacing w:before="40" w:after="40" w:line="220" w:lineRule="exact"/>
              <w:jc w:val="right"/>
              <w:rPr>
                <w:bCs/>
                <w:sz w:val="18"/>
                <w:szCs w:val="18"/>
              </w:rPr>
            </w:pPr>
          </w:p>
        </w:tc>
        <w:tc>
          <w:tcPr>
            <w:tcW w:w="997" w:type="dxa"/>
            <w:shd w:val="clear" w:color="auto" w:fill="auto"/>
            <w:vAlign w:val="bottom"/>
          </w:tcPr>
          <w:p w:rsidR="00000000" w:rsidRDefault="00000000">
            <w:pPr>
              <w:spacing w:before="40" w:after="40" w:line="220" w:lineRule="exact"/>
              <w:jc w:val="right"/>
              <w:rPr>
                <w:bCs/>
                <w:sz w:val="18"/>
                <w:szCs w:val="18"/>
              </w:rPr>
            </w:pPr>
          </w:p>
        </w:tc>
        <w:tc>
          <w:tcPr>
            <w:tcW w:w="993" w:type="dxa"/>
            <w:shd w:val="clear" w:color="auto" w:fill="auto"/>
            <w:vAlign w:val="bottom"/>
          </w:tcPr>
          <w:p w:rsidR="00000000" w:rsidRDefault="00000000">
            <w:pPr>
              <w:spacing w:before="40" w:after="40" w:line="220" w:lineRule="exact"/>
              <w:jc w:val="right"/>
              <w:rPr>
                <w:bCs/>
                <w:sz w:val="18"/>
                <w:szCs w:val="18"/>
              </w:rPr>
            </w:pPr>
            <w:r>
              <w:rPr>
                <w:bCs/>
                <w:sz w:val="18"/>
                <w:szCs w:val="18"/>
              </w:rPr>
              <w:t>Exp</w:t>
            </w:r>
          </w:p>
        </w:tc>
        <w:tc>
          <w:tcPr>
            <w:tcW w:w="995" w:type="dxa"/>
            <w:shd w:val="clear" w:color="auto" w:fill="auto"/>
            <w:vAlign w:val="bottom"/>
          </w:tcPr>
          <w:p w:rsidR="00000000" w:rsidRDefault="00000000">
            <w:pPr>
              <w:spacing w:before="40" w:after="40" w:line="220" w:lineRule="exact"/>
              <w:jc w:val="right"/>
              <w:rPr>
                <w:bCs/>
                <w:sz w:val="18"/>
                <w:szCs w:val="18"/>
              </w:rPr>
            </w:pPr>
            <w:r>
              <w:rPr>
                <w:bCs/>
                <w:sz w:val="18"/>
                <w:szCs w:val="18"/>
              </w:rPr>
              <w:t>Pré-Gén</w:t>
            </w:r>
          </w:p>
        </w:tc>
        <w:tc>
          <w:tcPr>
            <w:tcW w:w="991" w:type="dxa"/>
            <w:shd w:val="clear" w:color="auto" w:fill="auto"/>
            <w:vAlign w:val="bottom"/>
          </w:tcPr>
          <w:p w:rsidR="00000000" w:rsidRDefault="00000000">
            <w:pPr>
              <w:spacing w:before="40" w:after="40" w:line="220" w:lineRule="exact"/>
              <w:jc w:val="right"/>
              <w:rPr>
                <w:bCs/>
                <w:sz w:val="18"/>
                <w:szCs w:val="18"/>
              </w:rPr>
            </w:pPr>
            <w:r>
              <w:rPr>
                <w:bCs/>
                <w:sz w:val="18"/>
                <w:szCs w:val="18"/>
              </w:rPr>
              <w:t>Gén</w:t>
            </w:r>
          </w:p>
        </w:tc>
        <w:tc>
          <w:tcPr>
            <w:tcW w:w="991" w:type="dxa"/>
            <w:tcBorders>
              <w:top w:val="nil"/>
              <w:right w:val="nil"/>
            </w:tcBorders>
            <w:shd w:val="clear" w:color="auto" w:fill="auto"/>
            <w:vAlign w:val="bottom"/>
          </w:tcPr>
          <w:p w:rsidR="00000000" w:rsidRDefault="00000000">
            <w:pPr>
              <w:spacing w:before="40" w:after="40" w:line="220" w:lineRule="exact"/>
              <w:jc w:val="right"/>
              <w:rPr>
                <w:bCs/>
                <w:sz w:val="18"/>
                <w:szCs w:val="18"/>
              </w:rPr>
            </w:pPr>
          </w:p>
        </w:tc>
        <w:tc>
          <w:tcPr>
            <w:tcW w:w="977" w:type="dxa"/>
            <w:tcBorders>
              <w:top w:val="nil"/>
              <w:left w:val="nil"/>
              <w:bottom w:val="nil"/>
              <w:right w:val="nil"/>
            </w:tcBorders>
            <w:shd w:val="clear" w:color="auto" w:fill="auto"/>
            <w:vAlign w:val="bottom"/>
          </w:tcPr>
          <w:p w:rsidR="00000000" w:rsidRDefault="00000000">
            <w:pPr>
              <w:spacing w:before="40" w:after="40" w:line="220" w:lineRule="exact"/>
              <w:jc w:val="right"/>
              <w:rPr>
                <w:bCs/>
                <w:sz w:val="18"/>
                <w:szCs w:val="18"/>
              </w:rPr>
            </w:pPr>
          </w:p>
        </w:tc>
      </w:tr>
      <w:tr w:rsidR="00000000">
        <w:tc>
          <w:tcPr>
            <w:tcW w:w="999" w:type="dxa"/>
            <w:vMerge w:val="restart"/>
            <w:shd w:val="clear" w:color="auto" w:fill="auto"/>
            <w:vAlign w:val="center"/>
          </w:tcPr>
          <w:p w:rsidR="00000000" w:rsidRDefault="00000000">
            <w:pPr>
              <w:spacing w:before="40" w:after="40" w:line="220" w:lineRule="exact"/>
              <w:rPr>
                <w:sz w:val="18"/>
                <w:szCs w:val="18"/>
                <w:lang w:val="fr-FR"/>
              </w:rPr>
            </w:pPr>
            <w:r>
              <w:rPr>
                <w:sz w:val="18"/>
                <w:szCs w:val="18"/>
                <w:lang w:val="fr-FR"/>
              </w:rPr>
              <w:t>9</w:t>
            </w:r>
            <w:r>
              <w:rPr>
                <w:sz w:val="18"/>
                <w:szCs w:val="18"/>
                <w:vertAlign w:val="superscript"/>
                <w:lang w:val="fr-FR"/>
              </w:rPr>
              <w:t>e</w:t>
            </w:r>
            <w:r>
              <w:rPr>
                <w:sz w:val="18"/>
                <w:szCs w:val="18"/>
                <w:lang w:val="fr-FR"/>
              </w:rPr>
              <w:t xml:space="preserve"> année</w:t>
            </w:r>
          </w:p>
        </w:tc>
        <w:tc>
          <w:tcPr>
            <w:tcW w:w="1092" w:type="dxa"/>
            <w:shd w:val="clear" w:color="auto" w:fill="auto"/>
            <w:vAlign w:val="bottom"/>
          </w:tcPr>
          <w:p w:rsidR="00000000" w:rsidRDefault="00000000">
            <w:pPr>
              <w:spacing w:before="40" w:after="40" w:line="220" w:lineRule="exact"/>
              <w:jc w:val="right"/>
              <w:rPr>
                <w:bCs/>
              </w:rPr>
            </w:pPr>
            <w:r>
              <w:rPr>
                <w:bCs/>
              </w:rPr>
              <w:t>Nombre de CISCOs</w:t>
            </w:r>
          </w:p>
        </w:tc>
        <w:tc>
          <w:tcPr>
            <w:tcW w:w="896" w:type="dxa"/>
            <w:shd w:val="clear" w:color="auto" w:fill="auto"/>
            <w:vAlign w:val="bottom"/>
          </w:tcPr>
          <w:p w:rsidR="00000000" w:rsidRDefault="00000000">
            <w:pPr>
              <w:spacing w:before="40" w:after="40" w:line="220" w:lineRule="exact"/>
              <w:jc w:val="right"/>
              <w:rPr>
                <w:bCs/>
              </w:rPr>
            </w:pPr>
          </w:p>
        </w:tc>
        <w:tc>
          <w:tcPr>
            <w:tcW w:w="997" w:type="dxa"/>
            <w:shd w:val="clear" w:color="auto" w:fill="auto"/>
            <w:vAlign w:val="bottom"/>
          </w:tcPr>
          <w:p w:rsidR="00000000" w:rsidRDefault="00000000">
            <w:pPr>
              <w:spacing w:before="40" w:after="40" w:line="220" w:lineRule="exact"/>
              <w:jc w:val="right"/>
              <w:rPr>
                <w:bCs/>
              </w:rPr>
            </w:pPr>
          </w:p>
        </w:tc>
        <w:tc>
          <w:tcPr>
            <w:tcW w:w="993" w:type="dxa"/>
            <w:shd w:val="clear" w:color="auto" w:fill="auto"/>
            <w:vAlign w:val="bottom"/>
          </w:tcPr>
          <w:p w:rsidR="00000000" w:rsidRDefault="00000000">
            <w:pPr>
              <w:spacing w:before="40" w:after="40" w:line="220" w:lineRule="exact"/>
              <w:jc w:val="right"/>
              <w:rPr>
                <w:bCs/>
              </w:rPr>
            </w:pPr>
          </w:p>
        </w:tc>
        <w:tc>
          <w:tcPr>
            <w:tcW w:w="995" w:type="dxa"/>
            <w:shd w:val="clear" w:color="auto" w:fill="auto"/>
            <w:vAlign w:val="bottom"/>
          </w:tcPr>
          <w:p w:rsidR="00000000" w:rsidRDefault="00000000">
            <w:pPr>
              <w:spacing w:before="40" w:after="40" w:line="220" w:lineRule="exact"/>
              <w:jc w:val="right"/>
              <w:rPr>
                <w:bCs/>
              </w:rPr>
            </w:pPr>
            <w:r>
              <w:rPr>
                <w:bCs/>
              </w:rPr>
              <w:t>20</w:t>
            </w:r>
          </w:p>
        </w:tc>
        <w:tc>
          <w:tcPr>
            <w:tcW w:w="991" w:type="dxa"/>
            <w:shd w:val="clear" w:color="auto" w:fill="auto"/>
            <w:vAlign w:val="bottom"/>
          </w:tcPr>
          <w:p w:rsidR="00000000" w:rsidRDefault="00000000">
            <w:pPr>
              <w:spacing w:before="40" w:after="40" w:line="220" w:lineRule="exact"/>
              <w:jc w:val="right"/>
              <w:rPr>
                <w:bCs/>
              </w:rPr>
            </w:pPr>
            <w:r>
              <w:rPr>
                <w:bCs/>
              </w:rPr>
              <w:t>65</w:t>
            </w:r>
          </w:p>
        </w:tc>
        <w:tc>
          <w:tcPr>
            <w:tcW w:w="991" w:type="dxa"/>
            <w:shd w:val="clear" w:color="auto" w:fill="auto"/>
            <w:vAlign w:val="bottom"/>
          </w:tcPr>
          <w:p w:rsidR="00000000" w:rsidRDefault="00000000">
            <w:pPr>
              <w:spacing w:before="40" w:after="40" w:line="220" w:lineRule="exact"/>
              <w:jc w:val="right"/>
              <w:rPr>
                <w:bCs/>
              </w:rPr>
            </w:pPr>
            <w:r>
              <w:rPr>
                <w:bCs/>
              </w:rPr>
              <w:t>111</w:t>
            </w:r>
          </w:p>
        </w:tc>
        <w:tc>
          <w:tcPr>
            <w:tcW w:w="977" w:type="dxa"/>
            <w:tcBorders>
              <w:top w:val="nil"/>
              <w:bottom w:val="nil"/>
              <w:right w:val="nil"/>
            </w:tcBorders>
            <w:shd w:val="clear" w:color="auto" w:fill="auto"/>
            <w:vAlign w:val="bottom"/>
          </w:tcPr>
          <w:p w:rsidR="00000000" w:rsidRDefault="00000000">
            <w:pPr>
              <w:spacing w:before="40" w:after="40" w:line="220" w:lineRule="exact"/>
              <w:jc w:val="right"/>
              <w:rPr>
                <w:bCs/>
              </w:rPr>
            </w:pPr>
          </w:p>
        </w:tc>
      </w:tr>
      <w:tr w:rsidR="00000000">
        <w:tc>
          <w:tcPr>
            <w:tcW w:w="999" w:type="dxa"/>
            <w:vMerge/>
            <w:shd w:val="clear" w:color="auto" w:fill="auto"/>
            <w:vAlign w:val="center"/>
          </w:tcPr>
          <w:p w:rsidR="00000000" w:rsidRDefault="00000000">
            <w:pPr>
              <w:spacing w:before="40" w:after="40" w:line="220" w:lineRule="exact"/>
              <w:rPr>
                <w:sz w:val="18"/>
                <w:szCs w:val="18"/>
                <w:lang w:val="fr-FR"/>
              </w:rPr>
            </w:pPr>
          </w:p>
        </w:tc>
        <w:tc>
          <w:tcPr>
            <w:tcW w:w="1092" w:type="dxa"/>
            <w:shd w:val="clear" w:color="auto" w:fill="auto"/>
            <w:vAlign w:val="bottom"/>
          </w:tcPr>
          <w:p w:rsidR="00000000" w:rsidRDefault="00000000">
            <w:pPr>
              <w:spacing w:before="40" w:after="40" w:line="220" w:lineRule="exact"/>
              <w:jc w:val="right"/>
              <w:rPr>
                <w:bCs/>
              </w:rPr>
            </w:pPr>
            <w:r>
              <w:rPr>
                <w:bCs/>
              </w:rPr>
              <w:t xml:space="preserve">Phase </w:t>
            </w:r>
          </w:p>
        </w:tc>
        <w:tc>
          <w:tcPr>
            <w:tcW w:w="896" w:type="dxa"/>
            <w:shd w:val="clear" w:color="auto" w:fill="auto"/>
            <w:vAlign w:val="bottom"/>
          </w:tcPr>
          <w:p w:rsidR="00000000" w:rsidRDefault="00000000">
            <w:pPr>
              <w:spacing w:before="40" w:after="40" w:line="220" w:lineRule="exact"/>
              <w:jc w:val="right"/>
              <w:rPr>
                <w:bCs/>
              </w:rPr>
            </w:pPr>
          </w:p>
        </w:tc>
        <w:tc>
          <w:tcPr>
            <w:tcW w:w="997" w:type="dxa"/>
            <w:shd w:val="clear" w:color="auto" w:fill="auto"/>
            <w:vAlign w:val="bottom"/>
          </w:tcPr>
          <w:p w:rsidR="00000000" w:rsidRDefault="00000000">
            <w:pPr>
              <w:spacing w:before="40" w:after="40" w:line="220" w:lineRule="exact"/>
              <w:jc w:val="right"/>
              <w:rPr>
                <w:bCs/>
              </w:rPr>
            </w:pPr>
          </w:p>
        </w:tc>
        <w:tc>
          <w:tcPr>
            <w:tcW w:w="993" w:type="dxa"/>
            <w:shd w:val="clear" w:color="auto" w:fill="auto"/>
            <w:vAlign w:val="bottom"/>
          </w:tcPr>
          <w:p w:rsidR="00000000" w:rsidRDefault="00000000">
            <w:pPr>
              <w:spacing w:before="40" w:after="40" w:line="220" w:lineRule="exact"/>
              <w:jc w:val="right"/>
              <w:rPr>
                <w:bCs/>
              </w:rPr>
            </w:pPr>
          </w:p>
        </w:tc>
        <w:tc>
          <w:tcPr>
            <w:tcW w:w="995" w:type="dxa"/>
            <w:shd w:val="clear" w:color="auto" w:fill="auto"/>
            <w:vAlign w:val="bottom"/>
          </w:tcPr>
          <w:p w:rsidR="00000000" w:rsidRDefault="00000000">
            <w:pPr>
              <w:spacing w:before="40" w:after="40" w:line="220" w:lineRule="exact"/>
              <w:jc w:val="right"/>
              <w:rPr>
                <w:bCs/>
              </w:rPr>
            </w:pPr>
            <w:r>
              <w:rPr>
                <w:bCs/>
              </w:rPr>
              <w:t>Exp</w:t>
            </w:r>
          </w:p>
        </w:tc>
        <w:tc>
          <w:tcPr>
            <w:tcW w:w="991" w:type="dxa"/>
            <w:shd w:val="clear" w:color="auto" w:fill="auto"/>
            <w:vAlign w:val="bottom"/>
          </w:tcPr>
          <w:p w:rsidR="00000000" w:rsidRDefault="00000000">
            <w:pPr>
              <w:spacing w:before="40" w:after="40" w:line="220" w:lineRule="exact"/>
              <w:jc w:val="right"/>
              <w:rPr>
                <w:bCs/>
              </w:rPr>
            </w:pPr>
            <w:r>
              <w:rPr>
                <w:bCs/>
              </w:rPr>
              <w:t>Pré-Gén</w:t>
            </w:r>
          </w:p>
        </w:tc>
        <w:tc>
          <w:tcPr>
            <w:tcW w:w="991" w:type="dxa"/>
            <w:shd w:val="clear" w:color="auto" w:fill="auto"/>
            <w:vAlign w:val="bottom"/>
          </w:tcPr>
          <w:p w:rsidR="00000000" w:rsidRDefault="00000000">
            <w:pPr>
              <w:spacing w:before="40" w:after="40" w:line="220" w:lineRule="exact"/>
              <w:jc w:val="right"/>
              <w:rPr>
                <w:bCs/>
              </w:rPr>
            </w:pPr>
            <w:r>
              <w:rPr>
                <w:bCs/>
              </w:rPr>
              <w:t>Gén</w:t>
            </w:r>
          </w:p>
        </w:tc>
        <w:tc>
          <w:tcPr>
            <w:tcW w:w="977" w:type="dxa"/>
            <w:tcBorders>
              <w:top w:val="nil"/>
              <w:right w:val="nil"/>
            </w:tcBorders>
            <w:shd w:val="clear" w:color="auto" w:fill="auto"/>
            <w:vAlign w:val="bottom"/>
          </w:tcPr>
          <w:p w:rsidR="00000000" w:rsidRDefault="00000000">
            <w:pPr>
              <w:spacing w:before="40" w:after="40" w:line="220" w:lineRule="exact"/>
              <w:jc w:val="right"/>
              <w:rPr>
                <w:bCs/>
              </w:rPr>
            </w:pPr>
          </w:p>
        </w:tc>
      </w:tr>
      <w:tr w:rsidR="00000000">
        <w:tc>
          <w:tcPr>
            <w:tcW w:w="999" w:type="dxa"/>
            <w:vMerge w:val="restart"/>
            <w:tcBorders>
              <w:bottom w:val="single" w:sz="12" w:space="0" w:color="auto"/>
            </w:tcBorders>
            <w:shd w:val="clear" w:color="auto" w:fill="auto"/>
            <w:vAlign w:val="center"/>
          </w:tcPr>
          <w:p w:rsidR="00000000" w:rsidRDefault="00000000">
            <w:pPr>
              <w:spacing w:before="40" w:after="40" w:line="220" w:lineRule="exact"/>
              <w:rPr>
                <w:sz w:val="18"/>
                <w:szCs w:val="18"/>
                <w:lang w:val="fr-FR"/>
              </w:rPr>
            </w:pPr>
            <w:r>
              <w:rPr>
                <w:sz w:val="18"/>
                <w:szCs w:val="18"/>
                <w:lang w:val="fr-FR"/>
              </w:rPr>
              <w:t>10</w:t>
            </w:r>
            <w:r>
              <w:rPr>
                <w:sz w:val="18"/>
                <w:szCs w:val="18"/>
                <w:vertAlign w:val="superscript"/>
                <w:lang w:val="fr-FR"/>
              </w:rPr>
              <w:t>e</w:t>
            </w:r>
            <w:r>
              <w:rPr>
                <w:sz w:val="18"/>
                <w:szCs w:val="18"/>
                <w:lang w:val="fr-FR"/>
              </w:rPr>
              <w:t xml:space="preserve"> année</w:t>
            </w:r>
          </w:p>
        </w:tc>
        <w:tc>
          <w:tcPr>
            <w:tcW w:w="1092" w:type="dxa"/>
            <w:shd w:val="clear" w:color="auto" w:fill="auto"/>
            <w:vAlign w:val="bottom"/>
          </w:tcPr>
          <w:p w:rsidR="00000000" w:rsidRDefault="00000000">
            <w:pPr>
              <w:spacing w:before="40" w:after="40" w:line="220" w:lineRule="exact"/>
              <w:jc w:val="right"/>
              <w:rPr>
                <w:bCs/>
              </w:rPr>
            </w:pPr>
            <w:r>
              <w:rPr>
                <w:bCs/>
              </w:rPr>
              <w:t>Nombre de CISCOs</w:t>
            </w:r>
          </w:p>
        </w:tc>
        <w:tc>
          <w:tcPr>
            <w:tcW w:w="896" w:type="dxa"/>
            <w:shd w:val="clear" w:color="auto" w:fill="auto"/>
            <w:vAlign w:val="bottom"/>
          </w:tcPr>
          <w:p w:rsidR="00000000" w:rsidRDefault="00000000">
            <w:pPr>
              <w:spacing w:before="40" w:after="40" w:line="220" w:lineRule="exact"/>
              <w:jc w:val="right"/>
              <w:rPr>
                <w:bCs/>
              </w:rPr>
            </w:pPr>
          </w:p>
        </w:tc>
        <w:tc>
          <w:tcPr>
            <w:tcW w:w="997" w:type="dxa"/>
            <w:shd w:val="clear" w:color="auto" w:fill="auto"/>
            <w:vAlign w:val="bottom"/>
          </w:tcPr>
          <w:p w:rsidR="00000000" w:rsidRDefault="00000000">
            <w:pPr>
              <w:spacing w:before="40" w:after="40" w:line="220" w:lineRule="exact"/>
              <w:jc w:val="right"/>
              <w:rPr>
                <w:bCs/>
              </w:rPr>
            </w:pPr>
          </w:p>
        </w:tc>
        <w:tc>
          <w:tcPr>
            <w:tcW w:w="993" w:type="dxa"/>
            <w:shd w:val="clear" w:color="auto" w:fill="auto"/>
            <w:vAlign w:val="bottom"/>
          </w:tcPr>
          <w:p w:rsidR="00000000" w:rsidRDefault="00000000">
            <w:pPr>
              <w:spacing w:before="40" w:after="40" w:line="220" w:lineRule="exact"/>
              <w:jc w:val="right"/>
              <w:rPr>
                <w:bCs/>
              </w:rPr>
            </w:pPr>
          </w:p>
        </w:tc>
        <w:tc>
          <w:tcPr>
            <w:tcW w:w="995" w:type="dxa"/>
            <w:shd w:val="clear" w:color="auto" w:fill="auto"/>
            <w:vAlign w:val="bottom"/>
          </w:tcPr>
          <w:p w:rsidR="00000000" w:rsidRDefault="00000000">
            <w:pPr>
              <w:spacing w:before="40" w:after="40" w:line="220" w:lineRule="exact"/>
              <w:jc w:val="right"/>
              <w:rPr>
                <w:bCs/>
              </w:rPr>
            </w:pPr>
          </w:p>
        </w:tc>
        <w:tc>
          <w:tcPr>
            <w:tcW w:w="991" w:type="dxa"/>
            <w:shd w:val="clear" w:color="auto" w:fill="auto"/>
            <w:vAlign w:val="bottom"/>
          </w:tcPr>
          <w:p w:rsidR="00000000" w:rsidRDefault="00000000">
            <w:pPr>
              <w:spacing w:before="40" w:after="40" w:line="220" w:lineRule="exact"/>
              <w:jc w:val="right"/>
              <w:rPr>
                <w:bCs/>
              </w:rPr>
            </w:pPr>
            <w:r>
              <w:rPr>
                <w:bCs/>
              </w:rPr>
              <w:t>20</w:t>
            </w:r>
          </w:p>
        </w:tc>
        <w:tc>
          <w:tcPr>
            <w:tcW w:w="991" w:type="dxa"/>
            <w:shd w:val="clear" w:color="auto" w:fill="auto"/>
            <w:vAlign w:val="bottom"/>
          </w:tcPr>
          <w:p w:rsidR="00000000" w:rsidRDefault="00000000">
            <w:pPr>
              <w:spacing w:before="40" w:after="40" w:line="220" w:lineRule="exact"/>
              <w:jc w:val="right"/>
              <w:rPr>
                <w:bCs/>
              </w:rPr>
            </w:pPr>
            <w:r>
              <w:rPr>
                <w:bCs/>
              </w:rPr>
              <w:t>65</w:t>
            </w:r>
          </w:p>
        </w:tc>
        <w:tc>
          <w:tcPr>
            <w:tcW w:w="977" w:type="dxa"/>
            <w:shd w:val="clear" w:color="auto" w:fill="auto"/>
            <w:vAlign w:val="bottom"/>
          </w:tcPr>
          <w:p w:rsidR="00000000" w:rsidRDefault="00000000">
            <w:pPr>
              <w:spacing w:before="40" w:after="40" w:line="220" w:lineRule="exact"/>
              <w:jc w:val="right"/>
              <w:rPr>
                <w:bCs/>
              </w:rPr>
            </w:pPr>
            <w:r>
              <w:rPr>
                <w:bCs/>
              </w:rPr>
              <w:t>111</w:t>
            </w:r>
          </w:p>
        </w:tc>
      </w:tr>
      <w:tr w:rsidR="00000000">
        <w:tc>
          <w:tcPr>
            <w:tcW w:w="999" w:type="dxa"/>
            <w:vMerge/>
            <w:tcBorders>
              <w:bottom w:val="single" w:sz="12" w:space="0" w:color="auto"/>
            </w:tcBorders>
            <w:shd w:val="clear" w:color="auto" w:fill="auto"/>
            <w:vAlign w:val="bottom"/>
          </w:tcPr>
          <w:p w:rsidR="00000000" w:rsidRDefault="00000000">
            <w:pPr>
              <w:spacing w:before="40" w:after="40" w:line="220" w:lineRule="exact"/>
              <w:rPr>
                <w:lang w:val="fr-FR"/>
              </w:rPr>
            </w:pPr>
          </w:p>
        </w:tc>
        <w:tc>
          <w:tcPr>
            <w:tcW w:w="1092" w:type="dxa"/>
            <w:tcBorders>
              <w:bottom w:val="single" w:sz="12" w:space="0" w:color="auto"/>
            </w:tcBorders>
            <w:shd w:val="clear" w:color="auto" w:fill="auto"/>
            <w:vAlign w:val="bottom"/>
          </w:tcPr>
          <w:p w:rsidR="00000000" w:rsidRDefault="00000000">
            <w:pPr>
              <w:spacing w:before="40" w:after="40" w:line="220" w:lineRule="exact"/>
              <w:jc w:val="right"/>
              <w:rPr>
                <w:lang w:val="fr-FR"/>
              </w:rPr>
            </w:pPr>
            <w:r>
              <w:rPr>
                <w:lang w:val="fr-FR"/>
              </w:rPr>
              <w:t xml:space="preserve">Phase </w:t>
            </w:r>
          </w:p>
        </w:tc>
        <w:tc>
          <w:tcPr>
            <w:tcW w:w="896" w:type="dxa"/>
            <w:tcBorders>
              <w:bottom w:val="single" w:sz="12" w:space="0" w:color="auto"/>
            </w:tcBorders>
            <w:shd w:val="clear" w:color="auto" w:fill="auto"/>
            <w:vAlign w:val="bottom"/>
          </w:tcPr>
          <w:p w:rsidR="00000000" w:rsidRDefault="00000000">
            <w:pPr>
              <w:spacing w:before="40" w:after="40" w:line="220" w:lineRule="exact"/>
              <w:jc w:val="right"/>
              <w:rPr>
                <w:lang w:val="fr-FR"/>
              </w:rPr>
            </w:pPr>
          </w:p>
        </w:tc>
        <w:tc>
          <w:tcPr>
            <w:tcW w:w="997" w:type="dxa"/>
            <w:tcBorders>
              <w:bottom w:val="single" w:sz="12" w:space="0" w:color="auto"/>
            </w:tcBorders>
            <w:shd w:val="clear" w:color="auto" w:fill="auto"/>
            <w:vAlign w:val="bottom"/>
          </w:tcPr>
          <w:p w:rsidR="00000000" w:rsidRDefault="00000000">
            <w:pPr>
              <w:spacing w:before="40" w:after="40" w:line="220" w:lineRule="exact"/>
              <w:jc w:val="right"/>
              <w:rPr>
                <w:lang w:val="fr-FR"/>
              </w:rPr>
            </w:pPr>
          </w:p>
        </w:tc>
        <w:tc>
          <w:tcPr>
            <w:tcW w:w="993" w:type="dxa"/>
            <w:tcBorders>
              <w:bottom w:val="single" w:sz="12" w:space="0" w:color="auto"/>
            </w:tcBorders>
            <w:shd w:val="clear" w:color="auto" w:fill="auto"/>
            <w:vAlign w:val="bottom"/>
          </w:tcPr>
          <w:p w:rsidR="00000000" w:rsidRDefault="00000000">
            <w:pPr>
              <w:spacing w:before="40" w:after="40" w:line="220" w:lineRule="exact"/>
              <w:jc w:val="right"/>
              <w:rPr>
                <w:lang w:val="fr-FR"/>
              </w:rPr>
            </w:pPr>
          </w:p>
        </w:tc>
        <w:tc>
          <w:tcPr>
            <w:tcW w:w="995" w:type="dxa"/>
            <w:tcBorders>
              <w:bottom w:val="single" w:sz="12" w:space="0" w:color="auto"/>
            </w:tcBorders>
            <w:shd w:val="clear" w:color="auto" w:fill="auto"/>
            <w:vAlign w:val="bottom"/>
          </w:tcPr>
          <w:p w:rsidR="00000000" w:rsidRDefault="00000000">
            <w:pPr>
              <w:spacing w:before="40" w:after="40" w:line="220" w:lineRule="exact"/>
              <w:jc w:val="right"/>
              <w:rPr>
                <w:lang w:val="fr-FR"/>
              </w:rPr>
            </w:pPr>
          </w:p>
        </w:tc>
        <w:tc>
          <w:tcPr>
            <w:tcW w:w="991" w:type="dxa"/>
            <w:tcBorders>
              <w:bottom w:val="single" w:sz="12" w:space="0" w:color="auto"/>
            </w:tcBorders>
            <w:shd w:val="clear" w:color="auto" w:fill="auto"/>
            <w:vAlign w:val="bottom"/>
          </w:tcPr>
          <w:p w:rsidR="00000000" w:rsidRDefault="00000000">
            <w:pPr>
              <w:spacing w:before="40" w:after="40" w:line="220" w:lineRule="exact"/>
              <w:jc w:val="right"/>
              <w:rPr>
                <w:bCs/>
              </w:rPr>
            </w:pPr>
            <w:r>
              <w:rPr>
                <w:bCs/>
              </w:rPr>
              <w:t>Exp</w:t>
            </w:r>
          </w:p>
        </w:tc>
        <w:tc>
          <w:tcPr>
            <w:tcW w:w="991" w:type="dxa"/>
            <w:tcBorders>
              <w:bottom w:val="single" w:sz="12" w:space="0" w:color="auto"/>
            </w:tcBorders>
            <w:shd w:val="clear" w:color="auto" w:fill="auto"/>
            <w:vAlign w:val="bottom"/>
          </w:tcPr>
          <w:p w:rsidR="00000000" w:rsidRDefault="00000000">
            <w:pPr>
              <w:spacing w:before="40" w:after="40" w:line="220" w:lineRule="exact"/>
              <w:jc w:val="right"/>
              <w:rPr>
                <w:bCs/>
              </w:rPr>
            </w:pPr>
            <w:r>
              <w:rPr>
                <w:bCs/>
              </w:rPr>
              <w:t>Pré-Gén</w:t>
            </w:r>
          </w:p>
        </w:tc>
        <w:tc>
          <w:tcPr>
            <w:tcW w:w="977" w:type="dxa"/>
            <w:tcBorders>
              <w:bottom w:val="single" w:sz="12" w:space="0" w:color="auto"/>
            </w:tcBorders>
            <w:shd w:val="clear" w:color="auto" w:fill="auto"/>
            <w:vAlign w:val="bottom"/>
          </w:tcPr>
          <w:p w:rsidR="00000000" w:rsidRDefault="00000000">
            <w:pPr>
              <w:spacing w:before="40" w:after="40" w:line="220" w:lineRule="exact"/>
              <w:jc w:val="right"/>
              <w:rPr>
                <w:bCs/>
              </w:rPr>
            </w:pPr>
            <w:r>
              <w:rPr>
                <w:bCs/>
              </w:rPr>
              <w:t>Gén</w:t>
            </w:r>
          </w:p>
        </w:tc>
      </w:tr>
    </w:tbl>
    <w:p w:rsidR="00000000" w:rsidRDefault="00000000">
      <w:pPr>
        <w:pStyle w:val="SingleTxtG"/>
        <w:spacing w:before="240"/>
        <w:rPr>
          <w:lang w:val="fr-FR"/>
        </w:rPr>
      </w:pPr>
      <w:r>
        <w:rPr>
          <w:lang w:val="fr-FR"/>
        </w:rPr>
        <w:t>579.</w:t>
      </w:r>
      <w:r>
        <w:rPr>
          <w:lang w:val="fr-FR"/>
        </w:rPr>
        <w:tab/>
        <w:t>Pour soutenir les efforts d’implantation des nouveaux curricula, 40 millions de manuels didactiques et autres matériels de lecture seront à publier et à distribuer de 2009 à 2015.</w:t>
      </w:r>
    </w:p>
    <w:p w:rsidR="00000000" w:rsidRDefault="00000000">
      <w:pPr>
        <w:pStyle w:val="SingleTxtG"/>
        <w:rPr>
          <w:lang w:val="fr-FR"/>
        </w:rPr>
      </w:pPr>
      <w:r>
        <w:rPr>
          <w:lang w:val="fr-FR"/>
        </w:rPr>
        <w:t>580.</w:t>
      </w:r>
      <w:r>
        <w:rPr>
          <w:lang w:val="fr-FR"/>
        </w:rPr>
        <w:tab/>
      </w:r>
      <w:r>
        <w:rPr>
          <w:b/>
          <w:lang w:val="fr-FR"/>
        </w:rPr>
        <w:t xml:space="preserve">Modification du calendrier scolaire. </w:t>
      </w:r>
      <w:r>
        <w:rPr>
          <w:lang w:val="fr-FR"/>
        </w:rPr>
        <w:t>Un recadrage du calendrier scolaire est en cours en tenant compte des saisons et du calendrier cultural.</w:t>
      </w:r>
    </w:p>
    <w:p w:rsidR="00000000" w:rsidRDefault="00000000">
      <w:pPr>
        <w:pStyle w:val="H1G"/>
        <w:rPr>
          <w:lang w:val="fr-FR"/>
        </w:rPr>
      </w:pPr>
      <w:bookmarkStart w:id="1224" w:name="_Toc206414611"/>
      <w:bookmarkStart w:id="1225" w:name="_Toc206460453"/>
      <w:bookmarkStart w:id="1226" w:name="_Toc206460785"/>
      <w:bookmarkStart w:id="1227" w:name="_Toc206461507"/>
      <w:bookmarkStart w:id="1228" w:name="_Toc206476301"/>
      <w:bookmarkStart w:id="1229" w:name="_Toc207788836"/>
      <w:bookmarkStart w:id="1230" w:name="_Toc211835507"/>
      <w:bookmarkStart w:id="1231" w:name="_Toc211926814"/>
      <w:r>
        <w:rPr>
          <w:lang w:val="fr-FR"/>
        </w:rPr>
        <w:tab/>
      </w:r>
      <w:bookmarkStart w:id="1232" w:name="_Toc260298281"/>
      <w:r>
        <w:rPr>
          <w:lang w:val="fr-FR"/>
        </w:rPr>
        <w:t>C.</w:t>
      </w:r>
      <w:r>
        <w:rPr>
          <w:lang w:val="fr-FR"/>
        </w:rPr>
        <w:tab/>
        <w:t>Loisirs, récréation et activités culturelles</w:t>
      </w:r>
      <w:bookmarkEnd w:id="1224"/>
      <w:bookmarkEnd w:id="1225"/>
      <w:bookmarkEnd w:id="1226"/>
      <w:bookmarkEnd w:id="1227"/>
      <w:bookmarkEnd w:id="1228"/>
      <w:bookmarkEnd w:id="1229"/>
      <w:bookmarkEnd w:id="1230"/>
      <w:bookmarkEnd w:id="1231"/>
      <w:bookmarkEnd w:id="1232"/>
    </w:p>
    <w:p w:rsidR="00000000" w:rsidRDefault="00000000">
      <w:pPr>
        <w:pStyle w:val="H23G"/>
        <w:rPr>
          <w:lang w:val="fr-FR"/>
        </w:rPr>
      </w:pPr>
      <w:bookmarkStart w:id="1233" w:name="_Toc206414612"/>
      <w:bookmarkStart w:id="1234" w:name="_Toc206460454"/>
      <w:bookmarkStart w:id="1235" w:name="_Toc206460786"/>
      <w:bookmarkStart w:id="1236" w:name="_Toc206461508"/>
      <w:bookmarkStart w:id="1237" w:name="_Toc206476302"/>
      <w:bookmarkStart w:id="1238" w:name="_Toc207788837"/>
      <w:bookmarkStart w:id="1239" w:name="_Toc211835508"/>
      <w:bookmarkStart w:id="1240" w:name="_Toc211926815"/>
      <w:r>
        <w:rPr>
          <w:lang w:val="fr-FR"/>
        </w:rPr>
        <w:tab/>
        <w:t>1.</w:t>
      </w:r>
      <w:r>
        <w:rPr>
          <w:lang w:val="fr-FR"/>
        </w:rPr>
        <w:tab/>
        <w:t>Mesures d’ordre législatif</w:t>
      </w:r>
      <w:bookmarkEnd w:id="1233"/>
      <w:bookmarkEnd w:id="1234"/>
      <w:bookmarkEnd w:id="1235"/>
      <w:bookmarkEnd w:id="1236"/>
      <w:bookmarkEnd w:id="1237"/>
      <w:bookmarkEnd w:id="1238"/>
      <w:bookmarkEnd w:id="1239"/>
      <w:bookmarkEnd w:id="1240"/>
    </w:p>
    <w:p w:rsidR="00000000" w:rsidRDefault="00000000">
      <w:pPr>
        <w:pStyle w:val="SingleTxtG"/>
        <w:rPr>
          <w:lang w:val="fr-FR"/>
        </w:rPr>
      </w:pPr>
      <w:r>
        <w:rPr>
          <w:lang w:val="fr-FR"/>
        </w:rPr>
        <w:t>581.</w:t>
      </w:r>
      <w:r>
        <w:rPr>
          <w:lang w:val="fr-FR"/>
        </w:rPr>
        <w:tab/>
        <w:t>L’article 26 de la Constitution «garantit à tout individu le droit de participer à la vie culturelle de la communauté, au progrès scientifique et aux bienfaits qui en résultent.».</w:t>
      </w:r>
    </w:p>
    <w:p w:rsidR="00000000" w:rsidRDefault="00000000">
      <w:pPr>
        <w:pStyle w:val="SingleTxtG"/>
        <w:rPr>
          <w:lang w:val="fr-FR"/>
        </w:rPr>
      </w:pPr>
      <w:r>
        <w:rPr>
          <w:lang w:val="fr-FR"/>
        </w:rPr>
        <w:t>582.</w:t>
      </w:r>
      <w:r>
        <w:rPr>
          <w:lang w:val="fr-FR"/>
        </w:rPr>
        <w:tab/>
        <w:t>Selon MAP Engagement 3, Défi 7, les activités extrascolaires et les sports sont indispensables en complément des programmes d’éducation formelle pour développer chez les jeunes l’esprit de compétition, une attitude orientée vers la performance et l’entreprise.</w:t>
      </w:r>
    </w:p>
    <w:p w:rsidR="00000000" w:rsidRDefault="00000000">
      <w:pPr>
        <w:pStyle w:val="SingleTxtG"/>
        <w:rPr>
          <w:lang w:val="fr-FR"/>
        </w:rPr>
      </w:pPr>
      <w:r>
        <w:rPr>
          <w:lang w:val="fr-FR"/>
        </w:rPr>
        <w:t>583.</w:t>
      </w:r>
      <w:r>
        <w:rPr>
          <w:lang w:val="fr-FR"/>
        </w:rPr>
        <w:tab/>
        <w:t xml:space="preserve">La loi </w:t>
      </w:r>
      <w:r>
        <w:rPr>
          <w:rFonts w:eastAsia="MS Mincho"/>
          <w:lang w:val="fr-FR"/>
        </w:rPr>
        <w:t>n</w:t>
      </w:r>
      <w:r>
        <w:rPr>
          <w:rFonts w:eastAsia="MS Mincho"/>
          <w:vertAlign w:val="superscript"/>
          <w:lang w:val="fr-FR"/>
        </w:rPr>
        <w:t>o</w:t>
      </w:r>
      <w:r>
        <w:rPr>
          <w:lang w:val="fr-FR"/>
        </w:rPr>
        <w:t xml:space="preserve"> 2004-28 du 9 septembre 2004 portant sur la politique nationale de la jeunesse a été adoptée. Elle apporte des clarifications sur les loisirs et les activités culturelles des enfants et des jeunes.</w:t>
      </w:r>
    </w:p>
    <w:p w:rsidR="00000000" w:rsidRDefault="00000000">
      <w:pPr>
        <w:pStyle w:val="H23G"/>
        <w:rPr>
          <w:i/>
          <w:lang w:val="fr-FR"/>
        </w:rPr>
      </w:pPr>
      <w:bookmarkStart w:id="1241" w:name="_Toc206460455"/>
      <w:bookmarkStart w:id="1242" w:name="_Toc206460787"/>
      <w:bookmarkStart w:id="1243" w:name="_Toc206461509"/>
      <w:bookmarkStart w:id="1244" w:name="_Toc206476303"/>
      <w:bookmarkStart w:id="1245" w:name="_Toc207788838"/>
      <w:bookmarkStart w:id="1246" w:name="_Toc211835509"/>
      <w:bookmarkStart w:id="1247" w:name="_Toc211926816"/>
      <w:r>
        <w:rPr>
          <w:lang w:val="fr-FR"/>
        </w:rPr>
        <w:tab/>
        <w:t>2.</w:t>
      </w:r>
      <w:r>
        <w:rPr>
          <w:lang w:val="fr-FR"/>
        </w:rPr>
        <w:tab/>
        <w:t>Mesures</w:t>
      </w:r>
      <w:r>
        <w:rPr>
          <w:i/>
          <w:lang w:val="fr-FR"/>
        </w:rPr>
        <w:t xml:space="preserve"> </w:t>
      </w:r>
      <w:r>
        <w:rPr>
          <w:lang w:val="fr-FR"/>
        </w:rPr>
        <w:t>administratives</w:t>
      </w:r>
      <w:bookmarkEnd w:id="1241"/>
      <w:bookmarkEnd w:id="1242"/>
      <w:bookmarkEnd w:id="1243"/>
      <w:bookmarkEnd w:id="1244"/>
      <w:bookmarkEnd w:id="1245"/>
      <w:bookmarkEnd w:id="1246"/>
      <w:bookmarkEnd w:id="1247"/>
    </w:p>
    <w:p w:rsidR="00000000" w:rsidRDefault="00000000">
      <w:pPr>
        <w:pStyle w:val="SingleTxtG"/>
        <w:rPr>
          <w:lang w:val="fr-FR"/>
        </w:rPr>
      </w:pPr>
      <w:r>
        <w:rPr>
          <w:lang w:val="fr-FR"/>
        </w:rPr>
        <w:t>584.</w:t>
      </w:r>
      <w:r>
        <w:rPr>
          <w:lang w:val="fr-FR"/>
        </w:rPr>
        <w:tab/>
        <w:t xml:space="preserve">Le Ministère des sports, de la culture et des loisirs est l’institution en charge des activités sportives et culturelles ainsi que des loisirs. D’autres institutions comme le Ministère de l’éducation nationale développent également dans le cadre de leurs activités des programmes de loisirs, de sports et de culture à l’adresse des tous les enfants sans distinction. </w:t>
      </w:r>
    </w:p>
    <w:p w:rsidR="00000000" w:rsidRDefault="00000000">
      <w:pPr>
        <w:pStyle w:val="SingleTxtG"/>
        <w:rPr>
          <w:lang w:val="fr-FR"/>
        </w:rPr>
      </w:pPr>
      <w:r>
        <w:rPr>
          <w:lang w:val="fr-FR"/>
        </w:rPr>
        <w:t>585.</w:t>
      </w:r>
      <w:r>
        <w:rPr>
          <w:lang w:val="fr-FR"/>
        </w:rPr>
        <w:tab/>
      </w:r>
      <w:r>
        <w:rPr>
          <w:b/>
          <w:lang w:val="fr-FR"/>
        </w:rPr>
        <w:t xml:space="preserve">Repos et loisirs. </w:t>
      </w:r>
      <w:r>
        <w:rPr>
          <w:lang w:val="fr-FR"/>
        </w:rPr>
        <w:t>Le Ministère de l’éducation nationale fixe les périodes des vacances scolaires destinées au repos des élèves et des étudiants.</w:t>
      </w:r>
    </w:p>
    <w:p w:rsidR="00000000" w:rsidRDefault="00000000">
      <w:pPr>
        <w:pStyle w:val="SingleTxtG"/>
        <w:rPr>
          <w:lang w:val="fr-FR"/>
        </w:rPr>
      </w:pPr>
      <w:r>
        <w:rPr>
          <w:lang w:val="fr-FR"/>
        </w:rPr>
        <w:t>586.</w:t>
      </w:r>
      <w:r>
        <w:rPr>
          <w:lang w:val="fr-FR"/>
        </w:rPr>
        <w:tab/>
        <w:t>Trente-huit maisons de jeunes dont 19 fonctionnelles existent au niveau de 20 régions et des maisons de quartier au niveau de certains fokontany surtout dans les quartiers défavorisés. Ces structures développent des activités récréatives et culturelles. Elles disposent de bibliothèques, et dispensent des cours d’appui en langue française, ou de cours d’arts martiaux, des tournois sportifs …</w:t>
      </w:r>
    </w:p>
    <w:p w:rsidR="00000000" w:rsidRDefault="00000000">
      <w:pPr>
        <w:pStyle w:val="SingleTxtG"/>
        <w:rPr>
          <w:lang w:val="fr-FR"/>
        </w:rPr>
      </w:pPr>
      <w:r>
        <w:rPr>
          <w:lang w:val="fr-FR"/>
        </w:rPr>
        <w:t>587.</w:t>
      </w:r>
      <w:r>
        <w:rPr>
          <w:lang w:val="fr-FR"/>
        </w:rPr>
        <w:tab/>
      </w:r>
      <w:r>
        <w:rPr>
          <w:b/>
          <w:lang w:val="fr-FR"/>
        </w:rPr>
        <w:t xml:space="preserve">Actions entreprises. </w:t>
      </w:r>
      <w:r>
        <w:rPr>
          <w:lang w:val="fr-FR"/>
        </w:rPr>
        <w:t xml:space="preserve">Le Ministère a: </w:t>
      </w:r>
    </w:p>
    <w:p w:rsidR="00000000" w:rsidRDefault="00000000">
      <w:pPr>
        <w:pStyle w:val="SingleTxtG"/>
        <w:rPr>
          <w:lang w:val="fr-FR"/>
        </w:rPr>
      </w:pPr>
      <w:r>
        <w:rPr>
          <w:lang w:val="fr-FR"/>
        </w:rPr>
        <w:tab/>
        <w:t>a)</w:t>
      </w:r>
      <w:r>
        <w:rPr>
          <w:lang w:val="fr-FR"/>
        </w:rPr>
        <w:tab/>
        <w:t xml:space="preserve">Encouragé la création des associations de jeunesse; </w:t>
      </w:r>
    </w:p>
    <w:p w:rsidR="00000000" w:rsidRDefault="00000000">
      <w:pPr>
        <w:pStyle w:val="SingleTxtG"/>
        <w:rPr>
          <w:lang w:val="fr-FR"/>
        </w:rPr>
      </w:pPr>
      <w:r>
        <w:rPr>
          <w:lang w:val="fr-FR"/>
        </w:rPr>
        <w:tab/>
        <w:t>b)</w:t>
      </w:r>
      <w:r>
        <w:rPr>
          <w:lang w:val="fr-FR"/>
        </w:rPr>
        <w:tab/>
        <w:t>Appuyé les Conseils de la jeunesse aux niveaux régional et communal;</w:t>
      </w:r>
    </w:p>
    <w:p w:rsidR="00000000" w:rsidRDefault="00000000">
      <w:pPr>
        <w:pStyle w:val="SingleTxtG"/>
        <w:rPr>
          <w:lang w:val="fr-FR"/>
        </w:rPr>
      </w:pPr>
      <w:r>
        <w:rPr>
          <w:lang w:val="fr-FR"/>
        </w:rPr>
        <w:tab/>
        <w:t>c)</w:t>
      </w:r>
      <w:r>
        <w:rPr>
          <w:lang w:val="fr-FR"/>
        </w:rPr>
        <w:tab/>
        <w:t>Construit et réhabilité des infrastructures sportives;</w:t>
      </w:r>
    </w:p>
    <w:p w:rsidR="00000000" w:rsidRDefault="00000000">
      <w:pPr>
        <w:pStyle w:val="SingleTxtG"/>
        <w:rPr>
          <w:lang w:val="fr-FR"/>
        </w:rPr>
      </w:pPr>
      <w:r>
        <w:rPr>
          <w:lang w:val="fr-FR"/>
        </w:rPr>
        <w:tab/>
        <w:t>d)</w:t>
      </w:r>
      <w:r>
        <w:rPr>
          <w:lang w:val="fr-FR"/>
        </w:rPr>
        <w:tab/>
        <w:t>Équipé vingt maisons des jeunes.</w:t>
      </w:r>
    </w:p>
    <w:p w:rsidR="00000000" w:rsidRDefault="00000000">
      <w:pPr>
        <w:pStyle w:val="SingleTxtG"/>
        <w:rPr>
          <w:lang w:val="fr-FR"/>
        </w:rPr>
      </w:pPr>
      <w:r>
        <w:rPr>
          <w:lang w:val="fr-FR"/>
        </w:rPr>
        <w:t>588.</w:t>
      </w:r>
      <w:r>
        <w:rPr>
          <w:lang w:val="fr-FR"/>
        </w:rPr>
        <w:tab/>
      </w:r>
      <w:r>
        <w:rPr>
          <w:b/>
          <w:lang w:val="fr-FR"/>
        </w:rPr>
        <w:t>Budget</w:t>
      </w:r>
      <w:r>
        <w:rPr>
          <w:lang w:val="fr-FR"/>
        </w:rPr>
        <w:t>:</w:t>
      </w:r>
      <w:r>
        <w:rPr>
          <w:b/>
          <w:lang w:val="fr-FR"/>
        </w:rPr>
        <w:t xml:space="preserve"> loisirs et activités culturelles. </w:t>
      </w:r>
      <w:r>
        <w:rPr>
          <w:lang w:val="fr-FR"/>
        </w:rPr>
        <w:t>Les CISCO, les DREN et le MENRS sont dotés de crédit annuel pour l’organisation du championnat sportif et culturel scolaire. Cette manifestation sportive et culturelle scolaire touche chaque année environ 1 500 élèves issus des 22 régions</w:t>
      </w:r>
    </w:p>
    <w:p w:rsidR="00000000" w:rsidRDefault="00000000">
      <w:pPr>
        <w:pStyle w:val="H23G"/>
        <w:rPr>
          <w:lang w:val="fr-FR"/>
        </w:rPr>
      </w:pPr>
      <w:bookmarkStart w:id="1248" w:name="_Toc206414613"/>
      <w:bookmarkStart w:id="1249" w:name="_Toc206460456"/>
      <w:bookmarkStart w:id="1250" w:name="_Toc206460788"/>
      <w:bookmarkStart w:id="1251" w:name="_Toc206461510"/>
      <w:bookmarkStart w:id="1252" w:name="_Toc206476304"/>
      <w:bookmarkStart w:id="1253" w:name="_Toc207788839"/>
      <w:bookmarkStart w:id="1254" w:name="_Toc211835510"/>
      <w:bookmarkStart w:id="1255" w:name="_Toc211926817"/>
      <w:r>
        <w:rPr>
          <w:lang w:val="fr-FR"/>
        </w:rPr>
        <w:tab/>
        <w:t>3.</w:t>
      </w:r>
      <w:r>
        <w:rPr>
          <w:lang w:val="fr-FR"/>
        </w:rPr>
        <w:tab/>
        <w:t>Activités et programmes</w:t>
      </w:r>
      <w:bookmarkEnd w:id="1248"/>
      <w:bookmarkEnd w:id="1249"/>
      <w:bookmarkEnd w:id="1250"/>
      <w:bookmarkEnd w:id="1251"/>
      <w:bookmarkEnd w:id="1252"/>
      <w:bookmarkEnd w:id="1253"/>
      <w:bookmarkEnd w:id="1254"/>
      <w:bookmarkEnd w:id="1255"/>
    </w:p>
    <w:p w:rsidR="00000000" w:rsidRDefault="00000000">
      <w:pPr>
        <w:pStyle w:val="SingleTxtG"/>
        <w:rPr>
          <w:lang w:val="fr-FR"/>
        </w:rPr>
      </w:pPr>
      <w:r>
        <w:rPr>
          <w:lang w:val="fr-FR"/>
        </w:rPr>
        <w:t>589.</w:t>
      </w:r>
      <w:r>
        <w:rPr>
          <w:lang w:val="fr-FR"/>
        </w:rPr>
        <w:tab/>
      </w:r>
      <w:r>
        <w:rPr>
          <w:bCs/>
          <w:lang w:val="fr-FR"/>
        </w:rPr>
        <w:t>Dans</w:t>
      </w:r>
      <w:r>
        <w:rPr>
          <w:lang w:val="fr-FR"/>
        </w:rPr>
        <w:t xml:space="preserve"> le cadre de la réalisation du droit de l’enfant aux loisirs et activités culturelles, des programmes récréatifs, sportifs, culturels et artistiques sont mis en œuvre aux niveaux local, régional et national. </w:t>
      </w:r>
    </w:p>
    <w:p w:rsidR="00000000" w:rsidRDefault="00000000">
      <w:pPr>
        <w:pStyle w:val="SingleTxtG"/>
        <w:rPr>
          <w:lang w:val="fr-FR"/>
        </w:rPr>
      </w:pPr>
      <w:r>
        <w:rPr>
          <w:lang w:val="fr-FR"/>
        </w:rPr>
        <w:t>590.</w:t>
      </w:r>
      <w:r>
        <w:rPr>
          <w:lang w:val="fr-FR"/>
        </w:rPr>
        <w:tab/>
        <w:t>Des informations détaillées sur ces points sont fournis en annexe sur les activités de loisirs, sports</w:t>
      </w:r>
    </w:p>
    <w:p w:rsidR="00000000" w:rsidRDefault="00000000">
      <w:pPr>
        <w:pStyle w:val="H23G"/>
        <w:rPr>
          <w:i/>
          <w:lang w:val="fr-FR"/>
        </w:rPr>
      </w:pPr>
      <w:bookmarkStart w:id="1256" w:name="_Toc206414614"/>
      <w:bookmarkStart w:id="1257" w:name="_Toc206460457"/>
      <w:bookmarkStart w:id="1258" w:name="_Toc206460789"/>
      <w:bookmarkStart w:id="1259" w:name="_Toc206461511"/>
      <w:bookmarkStart w:id="1260" w:name="_Toc206476305"/>
      <w:bookmarkStart w:id="1261" w:name="_Toc207788840"/>
      <w:bookmarkStart w:id="1262" w:name="_Toc211835511"/>
      <w:bookmarkStart w:id="1263" w:name="_Toc211926818"/>
      <w:r>
        <w:rPr>
          <w:lang w:val="fr-FR"/>
        </w:rPr>
        <w:tab/>
        <w:t>4.</w:t>
      </w:r>
      <w:r>
        <w:rPr>
          <w:lang w:val="fr-FR"/>
        </w:rPr>
        <w:tab/>
        <w:t>Difficultés</w:t>
      </w:r>
      <w:bookmarkEnd w:id="1256"/>
      <w:bookmarkEnd w:id="1257"/>
      <w:bookmarkEnd w:id="1258"/>
      <w:bookmarkEnd w:id="1259"/>
      <w:bookmarkEnd w:id="1260"/>
      <w:bookmarkEnd w:id="1261"/>
      <w:bookmarkEnd w:id="1262"/>
      <w:bookmarkEnd w:id="1263"/>
    </w:p>
    <w:p w:rsidR="00000000" w:rsidRDefault="00000000">
      <w:pPr>
        <w:pStyle w:val="SingleTxtG"/>
        <w:rPr>
          <w:lang w:val="fr-FR"/>
        </w:rPr>
      </w:pPr>
      <w:r>
        <w:rPr>
          <w:lang w:val="fr-FR"/>
        </w:rPr>
        <w:t>591.</w:t>
      </w:r>
      <w:r>
        <w:rPr>
          <w:lang w:val="fr-FR"/>
        </w:rPr>
        <w:tab/>
        <w:t>Le droit aux loisirs et aux activités culturelles demeure relativement limité pour les enfants de rue en milieu urbain et en milieu rural. Toutefois les organisations non gouvernementales dont le Centre de développement d’Andohatapenaka, le Centre Akamasoa, le Groupe Développement, l’Association Graine de Bitume ainsi que le Projet IPEC BIT … cités plus haut ont dans leur programme des activités culturelles et des loisirs pour les enfants de rue.</w:t>
      </w:r>
    </w:p>
    <w:p w:rsidR="00000000" w:rsidRDefault="00000000">
      <w:pPr>
        <w:pStyle w:val="SingleTxtG"/>
        <w:rPr>
          <w:lang w:val="fr-FR"/>
        </w:rPr>
      </w:pPr>
      <w:r>
        <w:rPr>
          <w:lang w:val="fr-FR"/>
        </w:rPr>
        <w:t>592.</w:t>
      </w:r>
      <w:r>
        <w:rPr>
          <w:lang w:val="fr-FR"/>
        </w:rPr>
        <w:tab/>
        <w:t>Dans les zones rurales les CLIC et CLAC et les bibliothèques ambulantes offrent des activités de loisirs et de lecture pour les enfants et les jeunes. Pendant les fêtes foraines les enfants ruraux ont droit à des loisirs.</w:t>
      </w:r>
    </w:p>
    <w:p w:rsidR="00000000" w:rsidRDefault="00000000">
      <w:pPr>
        <w:pStyle w:val="H23G"/>
        <w:rPr>
          <w:lang w:val="fr-FR"/>
        </w:rPr>
      </w:pPr>
      <w:bookmarkStart w:id="1264" w:name="_Toc206414615"/>
      <w:bookmarkStart w:id="1265" w:name="_Toc206460458"/>
      <w:bookmarkStart w:id="1266" w:name="_Toc206460790"/>
      <w:bookmarkStart w:id="1267" w:name="_Toc206461512"/>
      <w:bookmarkStart w:id="1268" w:name="_Toc206476306"/>
      <w:bookmarkStart w:id="1269" w:name="_Toc207788841"/>
      <w:bookmarkStart w:id="1270" w:name="_Toc211835512"/>
      <w:bookmarkStart w:id="1271" w:name="_Toc211926819"/>
      <w:r>
        <w:rPr>
          <w:lang w:val="fr-FR"/>
        </w:rPr>
        <w:tab/>
        <w:t>5.</w:t>
      </w:r>
      <w:r>
        <w:rPr>
          <w:lang w:val="fr-FR"/>
        </w:rPr>
        <w:tab/>
        <w:t>Perspectives de l’État</w:t>
      </w:r>
      <w:bookmarkEnd w:id="1264"/>
      <w:bookmarkEnd w:id="1265"/>
      <w:bookmarkEnd w:id="1266"/>
      <w:bookmarkEnd w:id="1267"/>
      <w:bookmarkEnd w:id="1268"/>
      <w:bookmarkEnd w:id="1269"/>
      <w:bookmarkEnd w:id="1270"/>
      <w:bookmarkEnd w:id="1271"/>
    </w:p>
    <w:p w:rsidR="00000000" w:rsidRDefault="00000000">
      <w:pPr>
        <w:pStyle w:val="SingleTxtG"/>
        <w:rPr>
          <w:lang w:val="fr-FR"/>
        </w:rPr>
      </w:pPr>
      <w:r>
        <w:rPr>
          <w:lang w:val="fr-FR"/>
        </w:rPr>
        <w:t>593.</w:t>
      </w:r>
      <w:r>
        <w:rPr>
          <w:lang w:val="fr-FR"/>
        </w:rPr>
        <w:tab/>
        <w:t>Le Ministère des sports, de la culture et des loisirs s’est fixé comme prioritaire la construction et l’opérationnalisation d’infrastructures socioculturelles et sportives avant 2010.</w:t>
      </w:r>
    </w:p>
    <w:p w:rsidR="00000000" w:rsidRDefault="00000000">
      <w:pPr>
        <w:pStyle w:val="HChG"/>
        <w:rPr>
          <w:lang w:val="fr-FR"/>
        </w:rPr>
      </w:pPr>
      <w:bookmarkStart w:id="1272" w:name="_Toc206414616"/>
      <w:bookmarkStart w:id="1273" w:name="_Toc206460459"/>
      <w:bookmarkStart w:id="1274" w:name="_Toc206460791"/>
      <w:bookmarkStart w:id="1275" w:name="_Toc206461513"/>
      <w:bookmarkStart w:id="1276" w:name="_Toc206476307"/>
      <w:bookmarkStart w:id="1277" w:name="_Toc207788842"/>
      <w:bookmarkStart w:id="1278" w:name="_Toc211835513"/>
      <w:bookmarkStart w:id="1279" w:name="_Toc211926820"/>
      <w:r>
        <w:rPr>
          <w:lang w:val="fr-FR"/>
        </w:rPr>
        <w:tab/>
      </w:r>
      <w:bookmarkStart w:id="1280" w:name="_Toc260298282"/>
      <w:r>
        <w:rPr>
          <w:lang w:val="fr-FR"/>
        </w:rPr>
        <w:t>VIII.</w:t>
      </w:r>
      <w:r>
        <w:rPr>
          <w:lang w:val="fr-FR"/>
        </w:rPr>
        <w:tab/>
        <w:t>Mesures spéciales de protection de l’enfant</w:t>
      </w:r>
      <w:bookmarkEnd w:id="1272"/>
      <w:bookmarkEnd w:id="1273"/>
      <w:bookmarkEnd w:id="1274"/>
      <w:bookmarkEnd w:id="1275"/>
      <w:bookmarkEnd w:id="1276"/>
      <w:bookmarkEnd w:id="1277"/>
      <w:bookmarkEnd w:id="1278"/>
      <w:bookmarkEnd w:id="1279"/>
      <w:bookmarkEnd w:id="1280"/>
    </w:p>
    <w:p w:rsidR="00000000" w:rsidRDefault="00000000">
      <w:pPr>
        <w:pStyle w:val="H1G"/>
        <w:rPr>
          <w:lang w:val="fr-FR"/>
        </w:rPr>
      </w:pPr>
      <w:bookmarkStart w:id="1281" w:name="_Toc206414617"/>
      <w:bookmarkStart w:id="1282" w:name="_Toc206460460"/>
      <w:bookmarkStart w:id="1283" w:name="_Toc206460792"/>
      <w:bookmarkStart w:id="1284" w:name="_Toc206461514"/>
      <w:bookmarkStart w:id="1285" w:name="_Toc206476308"/>
      <w:bookmarkStart w:id="1286" w:name="_Toc207788843"/>
      <w:bookmarkStart w:id="1287" w:name="_Toc211835514"/>
      <w:bookmarkStart w:id="1288" w:name="_Toc211926821"/>
      <w:r>
        <w:rPr>
          <w:lang w:val="fr-FR"/>
        </w:rPr>
        <w:tab/>
      </w:r>
      <w:bookmarkStart w:id="1289" w:name="_Toc260298283"/>
      <w:r>
        <w:rPr>
          <w:lang w:val="fr-FR"/>
        </w:rPr>
        <w:t>A.</w:t>
      </w:r>
      <w:r>
        <w:rPr>
          <w:lang w:val="fr-FR"/>
        </w:rPr>
        <w:tab/>
        <w:t>Les enfants touchés par des conflits armés</w:t>
      </w:r>
      <w:bookmarkEnd w:id="1281"/>
      <w:bookmarkEnd w:id="1282"/>
      <w:bookmarkEnd w:id="1283"/>
      <w:bookmarkEnd w:id="1284"/>
      <w:bookmarkEnd w:id="1285"/>
      <w:bookmarkEnd w:id="1286"/>
      <w:bookmarkEnd w:id="1287"/>
      <w:bookmarkEnd w:id="1288"/>
      <w:bookmarkEnd w:id="1289"/>
    </w:p>
    <w:p w:rsidR="00000000" w:rsidRDefault="00000000">
      <w:pPr>
        <w:pStyle w:val="SingleTxtG"/>
        <w:rPr>
          <w:lang w:val="fr-FR"/>
        </w:rPr>
      </w:pPr>
      <w:r>
        <w:rPr>
          <w:lang w:val="fr-FR"/>
        </w:rPr>
        <w:t>594.</w:t>
      </w:r>
      <w:r>
        <w:rPr>
          <w:lang w:val="fr-FR"/>
        </w:rPr>
        <w:tab/>
        <w:t>Madagascar n’est pas concerné par les problèmes d’enfants impliqués dans des conflits armés.</w:t>
      </w:r>
    </w:p>
    <w:p w:rsidR="00000000" w:rsidRDefault="00000000">
      <w:pPr>
        <w:pStyle w:val="H23G"/>
        <w:rPr>
          <w:lang w:val="fr-FR"/>
        </w:rPr>
      </w:pPr>
      <w:bookmarkStart w:id="1290" w:name="_Toc206414618"/>
      <w:bookmarkStart w:id="1291" w:name="_Toc206460461"/>
      <w:bookmarkStart w:id="1292" w:name="_Toc206460793"/>
      <w:bookmarkStart w:id="1293" w:name="_Toc206461515"/>
      <w:bookmarkStart w:id="1294" w:name="_Toc206476309"/>
      <w:bookmarkStart w:id="1295" w:name="_Toc207788844"/>
      <w:bookmarkStart w:id="1296" w:name="_Toc211835515"/>
      <w:bookmarkStart w:id="1297" w:name="_Toc211926822"/>
      <w:r>
        <w:rPr>
          <w:lang w:val="fr-FR"/>
        </w:rPr>
        <w:tab/>
        <w:t>1.</w:t>
      </w:r>
      <w:r>
        <w:rPr>
          <w:lang w:val="fr-FR"/>
        </w:rPr>
        <w:tab/>
        <w:t>Mesures d’ordre législatif et réglementaire</w:t>
      </w:r>
      <w:bookmarkEnd w:id="1290"/>
      <w:bookmarkEnd w:id="1291"/>
      <w:bookmarkEnd w:id="1292"/>
      <w:bookmarkEnd w:id="1293"/>
      <w:bookmarkEnd w:id="1294"/>
      <w:bookmarkEnd w:id="1295"/>
      <w:bookmarkEnd w:id="1296"/>
      <w:bookmarkEnd w:id="1297"/>
    </w:p>
    <w:p w:rsidR="00000000" w:rsidRDefault="00000000">
      <w:pPr>
        <w:pStyle w:val="SingleTxtG"/>
        <w:rPr>
          <w:lang w:val="fr-FR"/>
        </w:rPr>
      </w:pPr>
      <w:r>
        <w:rPr>
          <w:lang w:val="fr-FR"/>
        </w:rPr>
        <w:t>595.</w:t>
      </w:r>
      <w:r>
        <w:rPr>
          <w:lang w:val="fr-FR"/>
        </w:rPr>
        <w:tab/>
        <w:t xml:space="preserve">En vertu des dispositions de l’article 2 de la loi </w:t>
      </w:r>
      <w:r>
        <w:rPr>
          <w:rFonts w:eastAsia="MS Mincho"/>
          <w:lang w:val="fr-FR"/>
        </w:rPr>
        <w:t>n</w:t>
      </w:r>
      <w:r>
        <w:rPr>
          <w:rFonts w:eastAsia="MS Mincho"/>
          <w:vertAlign w:val="superscript"/>
          <w:lang w:val="fr-FR"/>
        </w:rPr>
        <w:t>o</w:t>
      </w:r>
      <w:r>
        <w:rPr>
          <w:lang w:val="fr-FR"/>
        </w:rPr>
        <w:t xml:space="preserve"> 2005-037 du 20 février 2006 modifiant et complétant certaines dispositions de l’Ordonnance </w:t>
      </w:r>
      <w:r>
        <w:rPr>
          <w:rFonts w:eastAsia="MS Mincho"/>
          <w:lang w:val="fr-FR"/>
        </w:rPr>
        <w:t>n</w:t>
      </w:r>
      <w:r>
        <w:rPr>
          <w:rFonts w:eastAsia="MS Mincho"/>
          <w:vertAlign w:val="superscript"/>
          <w:lang w:val="fr-FR"/>
        </w:rPr>
        <w:t>o</w:t>
      </w:r>
      <w:r>
        <w:rPr>
          <w:lang w:val="fr-FR"/>
        </w:rPr>
        <w:t xml:space="preserve"> 78-002 sur les Principes généraux du Service national, l’âge minimum des recrutement au sein de l’armée pour effectuer un service national militaire est fixé à 18 ans, même en cas de proclamation d’une mobilisation totale ou partielle. À ce titre Madagascar a fait mieux que la Convention en fixant à 18 ans l’âge minimum d’enrôlement obligatoire dans les Forces armées. En effet, la Convention en son article 32.2 a stipulé que … «</w:t>
      </w:r>
      <w:r>
        <w:rPr>
          <w:i/>
          <w:lang w:val="fr-FR"/>
        </w:rPr>
        <w:t>les personnes n’ayant pas atteint l’âge de 15 ans ne doivent pas participer aux hostilités.</w:t>
      </w:r>
      <w:r>
        <w:rPr>
          <w:lang w:val="fr-FR"/>
        </w:rPr>
        <w:t>»</w:t>
      </w:r>
      <w:r>
        <w:rPr>
          <w:i/>
          <w:lang w:val="fr-FR"/>
        </w:rPr>
        <w:t>.</w:t>
      </w:r>
      <w:r>
        <w:rPr>
          <w:lang w:val="fr-FR"/>
        </w:rPr>
        <w:t xml:space="preserve"> </w:t>
      </w:r>
    </w:p>
    <w:p w:rsidR="00000000" w:rsidRDefault="00000000">
      <w:pPr>
        <w:pStyle w:val="SingleTxtG"/>
        <w:rPr>
          <w:lang w:val="fr-FR"/>
        </w:rPr>
      </w:pPr>
      <w:r>
        <w:rPr>
          <w:lang w:val="fr-FR"/>
        </w:rPr>
        <w:t>596.</w:t>
      </w:r>
      <w:r>
        <w:rPr>
          <w:lang w:val="fr-FR"/>
        </w:rPr>
        <w:tab/>
        <w:t xml:space="preserve">À mentionner aussi que le décret </w:t>
      </w:r>
      <w:r>
        <w:rPr>
          <w:rFonts w:eastAsia="MS Mincho"/>
          <w:lang w:val="fr-FR"/>
        </w:rPr>
        <w:t>n</w:t>
      </w:r>
      <w:r>
        <w:rPr>
          <w:rFonts w:eastAsia="MS Mincho"/>
          <w:vertAlign w:val="superscript"/>
          <w:lang w:val="fr-FR"/>
        </w:rPr>
        <w:t>o</w:t>
      </w:r>
      <w:r>
        <w:rPr>
          <w:lang w:val="fr-FR"/>
        </w:rPr>
        <w:t xml:space="preserve"> 2007-563 du °3 juillet 2007 relatif au travail des enfants interdit explicitement le recrutement forcé d’enfants en vue de conflits armés.</w:t>
      </w:r>
    </w:p>
    <w:p w:rsidR="00000000" w:rsidRDefault="00000000">
      <w:pPr>
        <w:pStyle w:val="H23G"/>
        <w:rPr>
          <w:i/>
          <w:lang w:val="fr-FR"/>
        </w:rPr>
      </w:pPr>
      <w:bookmarkStart w:id="1298" w:name="_Toc206414619"/>
      <w:bookmarkStart w:id="1299" w:name="_Toc206460462"/>
      <w:bookmarkStart w:id="1300" w:name="_Toc206460794"/>
      <w:bookmarkStart w:id="1301" w:name="_Toc206461516"/>
      <w:bookmarkStart w:id="1302" w:name="_Toc206476310"/>
      <w:bookmarkStart w:id="1303" w:name="_Toc207788845"/>
      <w:bookmarkStart w:id="1304" w:name="_Toc211835516"/>
      <w:bookmarkStart w:id="1305" w:name="_Toc211926823"/>
      <w:r>
        <w:rPr>
          <w:lang w:val="fr-FR"/>
        </w:rPr>
        <w:tab/>
        <w:t>2.</w:t>
      </w:r>
      <w:r>
        <w:rPr>
          <w:lang w:val="fr-FR"/>
        </w:rPr>
        <w:tab/>
        <w:t>Mesures</w:t>
      </w:r>
      <w:r>
        <w:rPr>
          <w:i/>
          <w:lang w:val="fr-FR"/>
        </w:rPr>
        <w:t xml:space="preserve"> </w:t>
      </w:r>
      <w:r>
        <w:rPr>
          <w:lang w:val="fr-FR"/>
        </w:rPr>
        <w:t>administratives</w:t>
      </w:r>
      <w:bookmarkEnd w:id="1298"/>
      <w:bookmarkEnd w:id="1299"/>
      <w:bookmarkEnd w:id="1300"/>
      <w:bookmarkEnd w:id="1301"/>
      <w:bookmarkEnd w:id="1302"/>
      <w:bookmarkEnd w:id="1303"/>
      <w:bookmarkEnd w:id="1304"/>
      <w:bookmarkEnd w:id="1305"/>
    </w:p>
    <w:p w:rsidR="00000000" w:rsidRDefault="00000000">
      <w:pPr>
        <w:pStyle w:val="SingleTxtG"/>
        <w:rPr>
          <w:lang w:val="fr-FR"/>
        </w:rPr>
      </w:pPr>
      <w:r>
        <w:rPr>
          <w:lang w:val="fr-FR"/>
        </w:rPr>
        <w:t>597.</w:t>
      </w:r>
      <w:r>
        <w:rPr>
          <w:lang w:val="fr-FR"/>
        </w:rPr>
        <w:tab/>
        <w:t xml:space="preserve">L’État malgache a mis en place une Commission nationale pour la mise en œuvre du droit international humanitaire (DIH). Créée par le décret </w:t>
      </w:r>
      <w:r>
        <w:rPr>
          <w:rFonts w:eastAsia="MS Mincho"/>
          <w:lang w:val="fr-FR"/>
        </w:rPr>
        <w:t>n</w:t>
      </w:r>
      <w:r>
        <w:rPr>
          <w:rFonts w:eastAsia="MS Mincho"/>
          <w:vertAlign w:val="superscript"/>
          <w:lang w:val="fr-FR"/>
        </w:rPr>
        <w:t>o</w:t>
      </w:r>
      <w:r>
        <w:rPr>
          <w:lang w:val="fr-FR"/>
        </w:rPr>
        <w:t xml:space="preserve"> 2006-435 du 27 juin 2006, et conformément aux dispositions de l’article 2 dudit décret, la Commission nationale de droit international humanitaire a pour attributions de:</w:t>
      </w:r>
    </w:p>
    <w:p w:rsidR="00000000" w:rsidRDefault="00000000">
      <w:pPr>
        <w:pStyle w:val="Bullet1G"/>
        <w:rPr>
          <w:lang w:val="fr-FR"/>
        </w:rPr>
      </w:pPr>
      <w:r>
        <w:rPr>
          <w:lang w:val="fr-FR"/>
        </w:rPr>
        <w:t>Mettre en œuvre les traités ratifiés relatifs au droit international humanitaire;</w:t>
      </w:r>
    </w:p>
    <w:p w:rsidR="00000000" w:rsidRDefault="00000000">
      <w:pPr>
        <w:pStyle w:val="Bullet1G"/>
        <w:rPr>
          <w:lang w:val="fr-FR"/>
        </w:rPr>
      </w:pPr>
      <w:r>
        <w:rPr>
          <w:lang w:val="fr-FR"/>
        </w:rPr>
        <w:t>Proposer des mesures de mise en compatibilité de la législation nationale avec les traités internationaux;</w:t>
      </w:r>
    </w:p>
    <w:p w:rsidR="00000000" w:rsidRDefault="00000000">
      <w:pPr>
        <w:pStyle w:val="Bullet1G"/>
        <w:rPr>
          <w:lang w:val="fr-FR"/>
        </w:rPr>
      </w:pPr>
      <w:r>
        <w:rPr>
          <w:lang w:val="fr-FR"/>
        </w:rPr>
        <w:t>Procéder à l’évaluation des mesures prises;</w:t>
      </w:r>
    </w:p>
    <w:p w:rsidR="00000000" w:rsidRDefault="00000000">
      <w:pPr>
        <w:pStyle w:val="Bullet1G"/>
        <w:rPr>
          <w:lang w:val="fr-FR"/>
        </w:rPr>
      </w:pPr>
      <w:r>
        <w:rPr>
          <w:lang w:val="fr-FR"/>
        </w:rPr>
        <w:t>Conseiller le Gouvernement sur le développement du droit international humanitaire;</w:t>
      </w:r>
    </w:p>
    <w:p w:rsidR="00000000" w:rsidRDefault="00000000">
      <w:pPr>
        <w:pStyle w:val="Bullet1G"/>
        <w:rPr>
          <w:lang w:val="fr-FR"/>
        </w:rPr>
      </w:pPr>
      <w:r>
        <w:rPr>
          <w:lang w:val="fr-FR"/>
        </w:rPr>
        <w:t xml:space="preserve">Assurer la diffusion du droit international humanitaire sur tout le territoire national. </w:t>
      </w:r>
    </w:p>
    <w:p w:rsidR="00000000" w:rsidRDefault="00000000">
      <w:pPr>
        <w:pStyle w:val="H23G"/>
        <w:rPr>
          <w:lang w:val="fr-FR"/>
        </w:rPr>
      </w:pPr>
      <w:bookmarkStart w:id="1306" w:name="_Toc206414620"/>
      <w:bookmarkStart w:id="1307" w:name="_Toc206460463"/>
      <w:bookmarkStart w:id="1308" w:name="_Toc206460795"/>
      <w:bookmarkStart w:id="1309" w:name="_Toc206461517"/>
      <w:bookmarkStart w:id="1310" w:name="_Toc206476311"/>
      <w:bookmarkStart w:id="1311" w:name="_Toc207788846"/>
      <w:bookmarkStart w:id="1312" w:name="_Toc211835517"/>
      <w:bookmarkStart w:id="1313" w:name="_Toc211926824"/>
      <w:r>
        <w:rPr>
          <w:lang w:val="fr-FR"/>
        </w:rPr>
        <w:tab/>
        <w:t>3.</w:t>
      </w:r>
      <w:r>
        <w:rPr>
          <w:lang w:val="fr-FR"/>
        </w:rPr>
        <w:tab/>
        <w:t>Mesures éducatives et diffusion de la convention sur les droits de l’enfant</w:t>
      </w:r>
      <w:bookmarkEnd w:id="1306"/>
      <w:bookmarkEnd w:id="1307"/>
      <w:bookmarkEnd w:id="1308"/>
      <w:bookmarkEnd w:id="1309"/>
      <w:bookmarkEnd w:id="1310"/>
      <w:bookmarkEnd w:id="1311"/>
      <w:bookmarkEnd w:id="1312"/>
      <w:bookmarkEnd w:id="1313"/>
    </w:p>
    <w:p w:rsidR="00000000" w:rsidRDefault="00000000">
      <w:pPr>
        <w:pStyle w:val="SingleTxtG"/>
        <w:rPr>
          <w:lang w:val="fr-FR"/>
        </w:rPr>
      </w:pPr>
      <w:r>
        <w:rPr>
          <w:lang w:val="fr-FR"/>
        </w:rPr>
        <w:t>598.</w:t>
      </w:r>
      <w:r>
        <w:rPr>
          <w:lang w:val="fr-FR"/>
        </w:rPr>
        <w:tab/>
        <w:t>Le DIH est dispensé aussi bien à l’Académie militaire que dans les Écoles de corps de troupe et les unités de la Gendarmerie nationale. Des sessions de formation de formateurs ont été organisées.</w:t>
      </w:r>
    </w:p>
    <w:p w:rsidR="00000000" w:rsidRDefault="00000000">
      <w:pPr>
        <w:pStyle w:val="H23G"/>
        <w:rPr>
          <w:lang w:val="fr-FR"/>
        </w:rPr>
      </w:pPr>
      <w:bookmarkStart w:id="1314" w:name="_Toc206414621"/>
      <w:bookmarkStart w:id="1315" w:name="_Toc206460464"/>
      <w:bookmarkStart w:id="1316" w:name="_Toc206460796"/>
      <w:bookmarkStart w:id="1317" w:name="_Toc206461518"/>
      <w:bookmarkStart w:id="1318" w:name="_Toc206476312"/>
      <w:bookmarkStart w:id="1319" w:name="_Toc207788847"/>
      <w:bookmarkStart w:id="1320" w:name="_Toc211835518"/>
      <w:bookmarkStart w:id="1321" w:name="_Toc211926825"/>
      <w:r>
        <w:rPr>
          <w:lang w:val="fr-FR"/>
        </w:rPr>
        <w:tab/>
        <w:t>4.</w:t>
      </w:r>
      <w:r>
        <w:rPr>
          <w:lang w:val="fr-FR"/>
        </w:rPr>
        <w:tab/>
        <w:t>Protection des enfants pendant les hostilités</w:t>
      </w:r>
      <w:bookmarkEnd w:id="1314"/>
      <w:bookmarkEnd w:id="1315"/>
      <w:bookmarkEnd w:id="1316"/>
      <w:bookmarkEnd w:id="1317"/>
      <w:bookmarkEnd w:id="1318"/>
      <w:bookmarkEnd w:id="1319"/>
      <w:bookmarkEnd w:id="1320"/>
      <w:bookmarkEnd w:id="1321"/>
    </w:p>
    <w:p w:rsidR="00000000" w:rsidRDefault="00000000">
      <w:pPr>
        <w:pStyle w:val="SingleTxtG"/>
        <w:rPr>
          <w:lang w:val="fr-FR"/>
        </w:rPr>
      </w:pPr>
      <w:r>
        <w:rPr>
          <w:lang w:val="fr-FR"/>
        </w:rPr>
        <w:t>599.</w:t>
      </w:r>
      <w:r>
        <w:rPr>
          <w:lang w:val="fr-FR"/>
        </w:rPr>
        <w:tab/>
        <w:t xml:space="preserve">Madagascar ayant ratifié les deux protocoles additionnels aux Conventions de Genève du 12 août 1949, ceux-ci sont applicables à Madagascar pour protéger les enfants durant les hostilités incluant leur évacuation visée à l’article 78. </w:t>
      </w:r>
    </w:p>
    <w:p w:rsidR="00000000" w:rsidRDefault="00000000">
      <w:pPr>
        <w:pStyle w:val="H23G"/>
        <w:rPr>
          <w:lang w:val="fr-FR"/>
        </w:rPr>
      </w:pPr>
      <w:bookmarkStart w:id="1322" w:name="_Toc206414622"/>
      <w:bookmarkStart w:id="1323" w:name="_Toc206460465"/>
      <w:bookmarkStart w:id="1324" w:name="_Toc206460797"/>
      <w:bookmarkStart w:id="1325" w:name="_Toc206461519"/>
      <w:bookmarkStart w:id="1326" w:name="_Toc206476313"/>
      <w:bookmarkStart w:id="1327" w:name="_Toc207788848"/>
      <w:bookmarkStart w:id="1328" w:name="_Toc211835519"/>
      <w:bookmarkStart w:id="1329" w:name="_Toc211926826"/>
      <w:r>
        <w:rPr>
          <w:lang w:val="fr-FR"/>
        </w:rPr>
        <w:tab/>
        <w:t>5.</w:t>
      </w:r>
      <w:r>
        <w:rPr>
          <w:lang w:val="fr-FR"/>
        </w:rPr>
        <w:tab/>
        <w:t>Réadaptation physique et psychologique et réinsertion sociale des enfants victimes d’un conflit arm</w:t>
      </w:r>
      <w:bookmarkEnd w:id="1322"/>
      <w:bookmarkEnd w:id="1323"/>
      <w:bookmarkEnd w:id="1324"/>
      <w:bookmarkEnd w:id="1325"/>
      <w:bookmarkEnd w:id="1326"/>
      <w:bookmarkEnd w:id="1327"/>
      <w:bookmarkEnd w:id="1328"/>
      <w:bookmarkEnd w:id="1329"/>
      <w:r>
        <w:rPr>
          <w:lang w:val="fr-FR"/>
        </w:rPr>
        <w:t>é</w:t>
      </w:r>
    </w:p>
    <w:p w:rsidR="00000000" w:rsidRDefault="00000000">
      <w:pPr>
        <w:pStyle w:val="SingleTxtG"/>
        <w:rPr>
          <w:lang w:val="fr-FR"/>
        </w:rPr>
      </w:pPr>
      <w:r>
        <w:rPr>
          <w:lang w:val="fr-FR"/>
        </w:rPr>
        <w:t>600.</w:t>
      </w:r>
      <w:r>
        <w:rPr>
          <w:lang w:val="fr-FR"/>
        </w:rPr>
        <w:tab/>
        <w:t>Madagascar envisage d’adopter une politique nationale de réadaptation et réinsertion sociale des enfants victimes des conflits armés.</w:t>
      </w:r>
    </w:p>
    <w:p w:rsidR="00000000" w:rsidRDefault="00000000">
      <w:pPr>
        <w:pStyle w:val="SingleTxtG"/>
        <w:rPr>
          <w:lang w:val="fr-FR"/>
        </w:rPr>
      </w:pPr>
      <w:r>
        <w:rPr>
          <w:lang w:val="fr-FR"/>
        </w:rPr>
        <w:t>601.</w:t>
      </w:r>
      <w:r>
        <w:rPr>
          <w:lang w:val="fr-FR"/>
        </w:rPr>
        <w:tab/>
        <w:t>Actuellement, au sein des forces armées, il existe des structures destinées à intervenir en cas de survenance des catastrophes socio humanitaires. Le MDN s’implique dans des interventions humanitaires et sanitaires lors des cataclysmes naturels et catastrophes anthropiques ou autres situations d’urgence. Parallèlement, un corps de protection civile a la charge de venir en rescousse pour le relèvement de la population victime de catastrophes de toute nature.</w:t>
      </w:r>
    </w:p>
    <w:p w:rsidR="00000000" w:rsidRDefault="00000000">
      <w:pPr>
        <w:pStyle w:val="H23G"/>
        <w:rPr>
          <w:lang w:val="fr-FR"/>
        </w:rPr>
      </w:pPr>
      <w:bookmarkStart w:id="1330" w:name="_Toc206414623"/>
      <w:bookmarkStart w:id="1331" w:name="_Toc206460466"/>
      <w:bookmarkStart w:id="1332" w:name="_Toc206460798"/>
      <w:bookmarkStart w:id="1333" w:name="_Toc206461520"/>
      <w:bookmarkStart w:id="1334" w:name="_Toc206476314"/>
      <w:bookmarkStart w:id="1335" w:name="_Toc207788849"/>
      <w:bookmarkStart w:id="1336" w:name="_Toc211835520"/>
      <w:bookmarkStart w:id="1337" w:name="_Toc211926827"/>
      <w:r>
        <w:tab/>
        <w:t>6</w:t>
      </w:r>
      <w:r>
        <w:rPr>
          <w:lang w:val="fr-FR"/>
        </w:rPr>
        <w:t>.</w:t>
      </w:r>
      <w:r>
        <w:rPr>
          <w:lang w:val="fr-FR"/>
        </w:rPr>
        <w:tab/>
        <w:t>Progrès dans la mise e</w:t>
      </w:r>
      <w:r>
        <w:t>n</w:t>
      </w:r>
      <w:r>
        <w:rPr>
          <w:lang w:val="fr-FR"/>
        </w:rPr>
        <w:t xml:space="preserve"> œuvre des articles 38 et 39</w:t>
      </w:r>
      <w:bookmarkEnd w:id="1330"/>
      <w:bookmarkEnd w:id="1331"/>
      <w:bookmarkEnd w:id="1332"/>
      <w:bookmarkEnd w:id="1333"/>
      <w:bookmarkEnd w:id="1334"/>
      <w:bookmarkEnd w:id="1335"/>
      <w:bookmarkEnd w:id="1336"/>
      <w:bookmarkEnd w:id="1337"/>
    </w:p>
    <w:p w:rsidR="00000000" w:rsidRDefault="00000000">
      <w:pPr>
        <w:pStyle w:val="SingleTxtG"/>
        <w:rPr>
          <w:lang w:val="fr-FR"/>
        </w:rPr>
      </w:pPr>
      <w:r>
        <w:rPr>
          <w:lang w:val="fr-FR"/>
        </w:rPr>
        <w:t>602.</w:t>
      </w:r>
      <w:r>
        <w:rPr>
          <w:lang w:val="fr-FR"/>
        </w:rPr>
        <w:tab/>
        <w:t>La fixation de l’âge minimum d’obligation du Service national à 18 ans constitue un progrès acquis dans la mise en œuvre de l’article 38.</w:t>
      </w:r>
    </w:p>
    <w:p w:rsidR="00000000" w:rsidRDefault="00000000">
      <w:pPr>
        <w:pStyle w:val="SingleTxtG"/>
        <w:rPr>
          <w:lang w:val="fr-FR"/>
        </w:rPr>
      </w:pPr>
      <w:r>
        <w:rPr>
          <w:lang w:val="fr-FR"/>
        </w:rPr>
        <w:t>603.</w:t>
      </w:r>
      <w:r>
        <w:rPr>
          <w:lang w:val="fr-FR"/>
        </w:rPr>
        <w:tab/>
        <w:t>Par ailleurs, la mise en place des réseaux de protection de l’enfant qui contribuent à l’accompagnement psychosocial et à l’orientation des enfants victimes de toutes formes de négligence, d’exploitation ou de sévices, de maltraitance ou de torture est conforme aux dispositions de l’article 39.</w:t>
      </w:r>
    </w:p>
    <w:p w:rsidR="00000000" w:rsidRDefault="00000000">
      <w:pPr>
        <w:pStyle w:val="H1G"/>
        <w:rPr>
          <w:lang w:val="fr-FR"/>
        </w:rPr>
      </w:pPr>
      <w:bookmarkStart w:id="1338" w:name="_Toc206414624"/>
      <w:bookmarkStart w:id="1339" w:name="_Toc206460467"/>
      <w:bookmarkStart w:id="1340" w:name="_Toc206460799"/>
      <w:bookmarkStart w:id="1341" w:name="_Toc206461521"/>
      <w:bookmarkStart w:id="1342" w:name="_Toc206476315"/>
      <w:bookmarkStart w:id="1343" w:name="_Toc207788850"/>
      <w:bookmarkStart w:id="1344" w:name="_Toc211835521"/>
      <w:bookmarkStart w:id="1345" w:name="_Toc211926828"/>
      <w:r>
        <w:rPr>
          <w:lang w:val="fr-FR"/>
        </w:rPr>
        <w:tab/>
      </w:r>
      <w:bookmarkStart w:id="1346" w:name="_Toc260298284"/>
      <w:r>
        <w:rPr>
          <w:lang w:val="fr-FR"/>
        </w:rPr>
        <w:t>B.</w:t>
      </w:r>
      <w:r>
        <w:rPr>
          <w:lang w:val="fr-FR"/>
        </w:rPr>
        <w:tab/>
        <w:t>Les enfants en situation de conflit avec la loi</w:t>
      </w:r>
      <w:bookmarkEnd w:id="1338"/>
      <w:bookmarkEnd w:id="1339"/>
      <w:bookmarkEnd w:id="1340"/>
      <w:bookmarkEnd w:id="1341"/>
      <w:bookmarkEnd w:id="1342"/>
      <w:bookmarkEnd w:id="1343"/>
      <w:bookmarkEnd w:id="1344"/>
      <w:bookmarkEnd w:id="1345"/>
      <w:bookmarkEnd w:id="1346"/>
    </w:p>
    <w:p w:rsidR="00000000" w:rsidRDefault="00000000">
      <w:pPr>
        <w:pStyle w:val="H23G"/>
        <w:rPr>
          <w:lang w:val="fr-FR"/>
        </w:rPr>
      </w:pPr>
      <w:bookmarkStart w:id="1347" w:name="_Toc206414625"/>
      <w:bookmarkStart w:id="1348" w:name="_Toc206460468"/>
      <w:bookmarkStart w:id="1349" w:name="_Toc206460800"/>
      <w:bookmarkStart w:id="1350" w:name="_Toc206461522"/>
      <w:bookmarkStart w:id="1351" w:name="_Toc206476316"/>
      <w:bookmarkStart w:id="1352" w:name="_Toc207788851"/>
      <w:bookmarkStart w:id="1353" w:name="_Toc211835522"/>
      <w:bookmarkStart w:id="1354" w:name="_Toc211926829"/>
      <w:r>
        <w:rPr>
          <w:lang w:val="fr-FR"/>
        </w:rPr>
        <w:tab/>
        <w:t>1.</w:t>
      </w:r>
      <w:r>
        <w:rPr>
          <w:lang w:val="fr-FR"/>
        </w:rPr>
        <w:tab/>
        <w:t>Cadre juridique</w:t>
      </w:r>
      <w:bookmarkEnd w:id="1347"/>
      <w:bookmarkEnd w:id="1348"/>
      <w:bookmarkEnd w:id="1349"/>
      <w:bookmarkEnd w:id="1350"/>
      <w:bookmarkEnd w:id="1351"/>
      <w:bookmarkEnd w:id="1352"/>
      <w:bookmarkEnd w:id="1353"/>
      <w:bookmarkEnd w:id="1354"/>
    </w:p>
    <w:p w:rsidR="00000000" w:rsidRDefault="00000000">
      <w:pPr>
        <w:pStyle w:val="SingleTxtG"/>
        <w:rPr>
          <w:lang w:val="fr-FR"/>
        </w:rPr>
      </w:pPr>
      <w:r>
        <w:rPr>
          <w:lang w:val="fr-FR"/>
        </w:rPr>
        <w:t>604.</w:t>
      </w:r>
      <w:r>
        <w:rPr>
          <w:lang w:val="fr-FR"/>
        </w:rPr>
        <w:tab/>
        <w:t>La Constitution dans son article 13 alinéas 3 et 4 dispose que</w:t>
      </w:r>
      <w:r>
        <w:rPr>
          <w:iCs/>
          <w:lang w:val="fr-FR"/>
        </w:rPr>
        <w:t xml:space="preserve"> «nul ne peut être poursuivi, arrêté ou détenu que dans les cas déterminés par la loi et selon les formes qu’elle a prescrites.» et que «nul ne peut être puni qu’en vertu d’une loi promulguée et publiée antérieurement à la commission de l’acte punissable.</w:t>
      </w:r>
      <w:r>
        <w:rPr>
          <w:lang w:val="fr-FR"/>
        </w:rPr>
        <w:t>».</w:t>
      </w:r>
    </w:p>
    <w:p w:rsidR="00000000" w:rsidRDefault="00000000">
      <w:pPr>
        <w:pStyle w:val="SingleTxtG"/>
        <w:rPr>
          <w:lang w:val="fr-FR"/>
        </w:rPr>
      </w:pPr>
      <w:r>
        <w:rPr>
          <w:lang w:val="fr-FR"/>
        </w:rPr>
        <w:t>605.</w:t>
      </w:r>
      <w:r>
        <w:rPr>
          <w:lang w:val="fr-FR"/>
        </w:rPr>
        <w:tab/>
        <w:t>Ces dispositions constituent une garantie pour l’enfant de ne pas faire l’objet d’une poursuite pour des faits non prévus par la loi et ne peut être détenu arbitrairement.</w:t>
      </w:r>
    </w:p>
    <w:p w:rsidR="00000000" w:rsidRDefault="00000000">
      <w:pPr>
        <w:pStyle w:val="SingleTxtG"/>
        <w:rPr>
          <w:lang w:val="fr-FR"/>
        </w:rPr>
      </w:pPr>
      <w:r>
        <w:rPr>
          <w:lang w:val="fr-FR"/>
        </w:rPr>
        <w:t>606.</w:t>
      </w:r>
      <w:r>
        <w:rPr>
          <w:lang w:val="fr-FR"/>
        </w:rPr>
        <w:tab/>
        <w:t>L’administration de la justice pour mineurs est régie par l’Ordonnance 62-038 du 19 septembre 1962.</w:t>
      </w:r>
    </w:p>
    <w:p w:rsidR="00000000" w:rsidRDefault="00000000">
      <w:pPr>
        <w:pStyle w:val="SingleTxtG"/>
        <w:rPr>
          <w:lang w:val="fr-FR"/>
        </w:rPr>
      </w:pPr>
      <w:r>
        <w:rPr>
          <w:lang w:val="fr-FR"/>
        </w:rPr>
        <w:t>607.</w:t>
      </w:r>
      <w:r>
        <w:rPr>
          <w:lang w:val="fr-FR"/>
        </w:rPr>
        <w:tab/>
        <w:t xml:space="preserve">L’Ordonnance </w:t>
      </w:r>
      <w:r>
        <w:rPr>
          <w:rFonts w:eastAsia="MS Mincho"/>
          <w:lang w:val="fr-FR"/>
        </w:rPr>
        <w:t>n</w:t>
      </w:r>
      <w:r>
        <w:rPr>
          <w:rFonts w:eastAsia="MS Mincho"/>
          <w:vertAlign w:val="superscript"/>
          <w:lang w:val="fr-FR"/>
        </w:rPr>
        <w:t>o</w:t>
      </w:r>
      <w:r>
        <w:rPr>
          <w:lang w:val="fr-FR"/>
        </w:rPr>
        <w:t xml:space="preserve"> 62-038 accorde une importance particulière à la valeur personnelle et à la dignité de l’enfant.</w:t>
      </w:r>
    </w:p>
    <w:p w:rsidR="00000000" w:rsidRDefault="00000000">
      <w:pPr>
        <w:pStyle w:val="SingleTxtG"/>
        <w:rPr>
          <w:lang w:val="fr-FR"/>
        </w:rPr>
      </w:pPr>
      <w:r>
        <w:rPr>
          <w:lang w:val="fr-FR"/>
        </w:rPr>
        <w:t>608.</w:t>
      </w:r>
      <w:r>
        <w:rPr>
          <w:lang w:val="fr-FR"/>
        </w:rPr>
        <w:tab/>
        <w:t>L’enfant suspecté ou accusé d’infraction à la loi pénale:</w:t>
      </w:r>
    </w:p>
    <w:p w:rsidR="00000000" w:rsidRDefault="00000000">
      <w:pPr>
        <w:pStyle w:val="Bullet1G"/>
        <w:rPr>
          <w:lang w:val="fr-FR"/>
        </w:rPr>
      </w:pPr>
      <w:r>
        <w:rPr>
          <w:lang w:val="fr-FR"/>
        </w:rPr>
        <w:t xml:space="preserve">Est présumé innocent jusqu’à ce que sa culpabilité ait été légalement établie. En conséquence, il est interdit de faire paraître dans les journaux la photo de l’enfant impliqué dans une procédure pénale; </w:t>
      </w:r>
    </w:p>
    <w:p w:rsidR="00000000" w:rsidRDefault="00000000">
      <w:pPr>
        <w:pStyle w:val="Bullet1G"/>
        <w:rPr>
          <w:lang w:val="fr-FR"/>
        </w:rPr>
      </w:pPr>
      <w:r>
        <w:rPr>
          <w:lang w:val="fr-FR"/>
        </w:rPr>
        <w:t>Est informé dans les plus brefs délais des accusations portées contre lui, directement ou par l’intermédiaire de ses parents, dont la présence est obligatoire lors de son audition:</w:t>
      </w:r>
    </w:p>
    <w:p w:rsidR="00000000" w:rsidRDefault="00000000">
      <w:pPr>
        <w:pStyle w:val="SingleTxtG"/>
        <w:rPr>
          <w:lang w:val="fr-FR"/>
        </w:rPr>
      </w:pPr>
      <w:r>
        <w:rPr>
          <w:lang w:val="fr-FR"/>
        </w:rPr>
        <w:t>609.</w:t>
      </w:r>
      <w:r>
        <w:rPr>
          <w:lang w:val="fr-FR"/>
        </w:rPr>
        <w:tab/>
        <w:t>Pour parvenir à la connaissance de la personnalité du mineur et pour préserver la dignité de l’enfant, elle prescrit une enquête sociale et dispose que l’information reste secrète et les débats se tiennent à huis clos en cas de crime ou délit.</w:t>
      </w:r>
    </w:p>
    <w:p w:rsidR="00000000" w:rsidRDefault="00000000">
      <w:pPr>
        <w:pStyle w:val="SingleTxtG"/>
        <w:rPr>
          <w:lang w:val="fr-FR"/>
        </w:rPr>
      </w:pPr>
      <w:r>
        <w:rPr>
          <w:lang w:val="fr-FR"/>
        </w:rPr>
        <w:t>610.</w:t>
      </w:r>
      <w:r>
        <w:rPr>
          <w:lang w:val="fr-FR"/>
        </w:rPr>
        <w:tab/>
        <w:t xml:space="preserve">La législation pénale malgache ne reconnaît pas la responsabilité pénale des mineurs de moins de 13 ans. En conséquence, seules des mesures éducatives sont décidées à leur endroit en cas de commission d’une infraction pénale. </w:t>
      </w:r>
    </w:p>
    <w:p w:rsidR="00000000" w:rsidRDefault="00000000">
      <w:pPr>
        <w:pStyle w:val="SingleTxtG"/>
        <w:rPr>
          <w:lang w:val="fr-FR"/>
        </w:rPr>
      </w:pPr>
      <w:r>
        <w:rPr>
          <w:lang w:val="fr-FR"/>
        </w:rPr>
        <w:t>611.</w:t>
      </w:r>
      <w:r>
        <w:rPr>
          <w:lang w:val="fr-FR"/>
        </w:rPr>
        <w:tab/>
        <w:t>Dans l’hypothèse où le mineur en conflit avec la loi est âgé de plus de 13 ans, et qu’il a été reconnu coupable, l’excuse atténuante de minorité sera appliquée de plein droit.</w:t>
      </w:r>
    </w:p>
    <w:p w:rsidR="00000000" w:rsidRDefault="00000000">
      <w:pPr>
        <w:pStyle w:val="SingleTxtG"/>
        <w:rPr>
          <w:lang w:val="fr-FR"/>
        </w:rPr>
      </w:pPr>
      <w:r>
        <w:rPr>
          <w:lang w:val="fr-FR"/>
        </w:rPr>
        <w:t>612.</w:t>
      </w:r>
      <w:r>
        <w:rPr>
          <w:lang w:val="fr-FR"/>
        </w:rPr>
        <w:tab/>
        <w:t>Pour les mineurs de 16 à 18 ans, l’excuse atténuante de minorité ne peut être écartée par le Tribunal pour enfants que par décision spécialement motivée.</w:t>
      </w:r>
    </w:p>
    <w:p w:rsidR="00000000" w:rsidRDefault="00000000">
      <w:pPr>
        <w:pStyle w:val="SingleTxtG"/>
        <w:rPr>
          <w:lang w:val="fr-FR"/>
        </w:rPr>
      </w:pPr>
      <w:r>
        <w:rPr>
          <w:lang w:val="fr-FR"/>
        </w:rPr>
        <w:t>613.</w:t>
      </w:r>
      <w:r>
        <w:rPr>
          <w:lang w:val="fr-FR"/>
        </w:rPr>
        <w:tab/>
        <w:t>Dans le respect des opinions et de l’intérêt supérieur de l’enfant, le mineur est entendu à tous les stades de la procédure. Il peut librement s’exprimer et toutes les décisions du juge des enfants sont prises dans l’intérêt supérieur de l’enfant.</w:t>
      </w:r>
    </w:p>
    <w:p w:rsidR="00000000" w:rsidRDefault="00000000">
      <w:pPr>
        <w:pStyle w:val="SingleTxtG"/>
        <w:rPr>
          <w:lang w:val="fr-FR"/>
        </w:rPr>
      </w:pPr>
      <w:r>
        <w:rPr>
          <w:lang w:val="fr-FR"/>
        </w:rPr>
        <w:t>614.</w:t>
      </w:r>
      <w:r>
        <w:rPr>
          <w:lang w:val="fr-FR"/>
        </w:rPr>
        <w:tab/>
        <w:t>Toujours dans l’intérêt supérieur de l’enfant, le Code de procédure pénale dans son article 581 interdit le prononcé de la contrainte par corps à l’égard d’un mineur.</w:t>
      </w:r>
    </w:p>
    <w:p w:rsidR="00000000" w:rsidRDefault="00000000">
      <w:pPr>
        <w:pStyle w:val="SingleTxtG"/>
        <w:rPr>
          <w:lang w:val="fr-FR"/>
        </w:rPr>
      </w:pPr>
      <w:r>
        <w:rPr>
          <w:lang w:val="fr-FR"/>
        </w:rPr>
        <w:t>615.</w:t>
      </w:r>
      <w:r>
        <w:rPr>
          <w:lang w:val="fr-FR"/>
        </w:rPr>
        <w:tab/>
        <w:t xml:space="preserve">En tout état de cause, la Convention relative aux droits de l’enfant est applicable aux termes de l’article 132 alinéa 4 de la Constitution qui dispose que </w:t>
      </w:r>
      <w:r>
        <w:rPr>
          <w:iCs/>
          <w:lang w:val="fr-FR"/>
        </w:rPr>
        <w:t>«</w:t>
      </w:r>
      <w:r>
        <w:rPr>
          <w:i/>
          <w:iCs/>
          <w:lang w:val="fr-FR"/>
        </w:rPr>
        <w:t>les traités ou accords régulièrement ratifiés ou approuvés ont, dès leur publication, une autorité supérieure à celle des lois…</w:t>
      </w:r>
      <w:r>
        <w:rPr>
          <w:iCs/>
          <w:lang w:val="fr-FR"/>
        </w:rPr>
        <w:t>»</w:t>
      </w:r>
      <w:r>
        <w:rPr>
          <w:i/>
          <w:iCs/>
          <w:lang w:val="fr-FR"/>
        </w:rPr>
        <w:t xml:space="preserve">. </w:t>
      </w:r>
      <w:r>
        <w:rPr>
          <w:lang w:val="fr-FR"/>
        </w:rPr>
        <w:t>Par conséquent, elle peut être invoquée devant les tribunaux, et ceux-ci doivent l’appliquer.</w:t>
      </w:r>
    </w:p>
    <w:p w:rsidR="00000000" w:rsidRDefault="00000000">
      <w:pPr>
        <w:pStyle w:val="SingleTxtG"/>
        <w:rPr>
          <w:lang w:val="fr-FR"/>
        </w:rPr>
      </w:pPr>
      <w:r>
        <w:rPr>
          <w:lang w:val="fr-FR"/>
        </w:rPr>
        <w:t>616.</w:t>
      </w:r>
      <w:r>
        <w:rPr>
          <w:lang w:val="fr-FR"/>
        </w:rPr>
        <w:tab/>
        <w:t xml:space="preserve">La loi </w:t>
      </w:r>
      <w:r>
        <w:rPr>
          <w:rFonts w:eastAsia="MS Mincho"/>
          <w:lang w:val="fr-FR"/>
        </w:rPr>
        <w:t>n</w:t>
      </w:r>
      <w:r>
        <w:rPr>
          <w:rFonts w:eastAsia="MS Mincho"/>
          <w:vertAlign w:val="superscript"/>
          <w:lang w:val="fr-FR"/>
        </w:rPr>
        <w:t>o</w:t>
      </w:r>
      <w:r>
        <w:rPr>
          <w:lang w:val="fr-FR"/>
        </w:rPr>
        <w:t xml:space="preserve"> 2007</w:t>
      </w:r>
      <w:r>
        <w:rPr>
          <w:lang w:val="fr-FR"/>
        </w:rPr>
        <w:noBreakHyphen/>
        <w:t xml:space="preserve">021 du 30 juillet 2007 modifiant et complétant certaines dispositions du Code procédure pénale relative à la détention préventive ayant réduit le temps de détention avant jugement tant en matière correctionnelle que criminelle s’applique de manière générale et profite aux mineurs. Selon l’article 334 </w:t>
      </w:r>
      <w:r>
        <w:rPr>
          <w:i/>
          <w:lang w:val="fr-FR"/>
        </w:rPr>
        <w:t>bis</w:t>
      </w:r>
      <w:r>
        <w:rPr>
          <w:lang w:val="fr-FR"/>
        </w:rPr>
        <w:t xml:space="preserve">, la validité du mandat de dépôt décernée par un juge d’instruction ou par la Chambre de détention préventive est de 6 mois en matière correctionnelle et de huit mois en matière criminelle. </w:t>
      </w:r>
    </w:p>
    <w:p w:rsidR="00000000" w:rsidRDefault="00000000">
      <w:pPr>
        <w:pStyle w:val="SingleTxtG"/>
        <w:rPr>
          <w:lang w:val="fr-FR"/>
        </w:rPr>
      </w:pPr>
      <w:r>
        <w:rPr>
          <w:lang w:val="fr-FR"/>
        </w:rPr>
        <w:t>617.</w:t>
      </w:r>
      <w:r>
        <w:rPr>
          <w:lang w:val="fr-FR"/>
        </w:rPr>
        <w:tab/>
        <w:t>Par ailleurs l’innovation apportée par cette loi réside dans la limitation des ordonnances de prise de corps à trente mois alors qu’auparavant celle-ci était illimitée.</w:t>
      </w:r>
    </w:p>
    <w:p w:rsidR="00000000" w:rsidRDefault="00000000">
      <w:pPr>
        <w:pStyle w:val="SingleTxtG"/>
        <w:rPr>
          <w:lang w:val="fr-FR"/>
        </w:rPr>
      </w:pPr>
      <w:r>
        <w:rPr>
          <w:lang w:val="fr-FR"/>
        </w:rPr>
        <w:t>618.</w:t>
      </w:r>
      <w:r>
        <w:rPr>
          <w:lang w:val="fr-FR"/>
        </w:rPr>
        <w:tab/>
        <w:t xml:space="preserve">décret </w:t>
      </w:r>
      <w:r>
        <w:rPr>
          <w:rFonts w:eastAsia="MS Mincho"/>
          <w:lang w:val="fr-FR"/>
        </w:rPr>
        <w:t>n</w:t>
      </w:r>
      <w:r>
        <w:rPr>
          <w:rFonts w:eastAsia="MS Mincho"/>
          <w:vertAlign w:val="superscript"/>
          <w:lang w:val="fr-FR"/>
        </w:rPr>
        <w:t>o</w:t>
      </w:r>
      <w:r>
        <w:rPr>
          <w:lang w:val="fr-FR"/>
        </w:rPr>
        <w:t xml:space="preserve"> 2006-901 du 19 décembre 2006 portant organisation de la préparation à la réinsertion sociale, familiale et professionnelle des personnes détenues. </w:t>
      </w:r>
    </w:p>
    <w:p w:rsidR="00000000" w:rsidRDefault="00000000">
      <w:pPr>
        <w:pStyle w:val="H23G"/>
        <w:rPr>
          <w:lang w:val="fr-FR"/>
        </w:rPr>
      </w:pPr>
      <w:bookmarkStart w:id="1355" w:name="_Toc206414626"/>
      <w:bookmarkStart w:id="1356" w:name="_Toc206460469"/>
      <w:bookmarkStart w:id="1357" w:name="_Toc206460801"/>
      <w:bookmarkStart w:id="1358" w:name="_Toc206461523"/>
      <w:bookmarkStart w:id="1359" w:name="_Toc206476317"/>
      <w:bookmarkStart w:id="1360" w:name="_Toc207788852"/>
      <w:bookmarkStart w:id="1361" w:name="_Toc211835523"/>
      <w:bookmarkStart w:id="1362" w:name="_Toc211926830"/>
      <w:r>
        <w:rPr>
          <w:lang w:val="fr-FR"/>
        </w:rPr>
        <w:tab/>
        <w:t>2.</w:t>
      </w:r>
      <w:r>
        <w:rPr>
          <w:lang w:val="fr-FR"/>
        </w:rPr>
        <w:tab/>
        <w:t>Institutions spécialisées pour mineurs</w:t>
      </w:r>
      <w:bookmarkEnd w:id="1355"/>
      <w:bookmarkEnd w:id="1356"/>
      <w:bookmarkEnd w:id="1357"/>
      <w:bookmarkEnd w:id="1358"/>
      <w:bookmarkEnd w:id="1359"/>
      <w:bookmarkEnd w:id="1360"/>
      <w:bookmarkEnd w:id="1361"/>
      <w:bookmarkEnd w:id="1362"/>
    </w:p>
    <w:p w:rsidR="00000000" w:rsidRDefault="00000000">
      <w:pPr>
        <w:pStyle w:val="SingleTxtG"/>
        <w:rPr>
          <w:lang w:val="fr-FR"/>
        </w:rPr>
      </w:pPr>
      <w:r>
        <w:rPr>
          <w:lang w:val="fr-FR"/>
        </w:rPr>
        <w:t>619.</w:t>
      </w:r>
      <w:r>
        <w:rPr>
          <w:lang w:val="fr-FR"/>
        </w:rPr>
        <w:tab/>
        <w:t>Le parquet ne dispose pas de personnels spécialisés en matière de justice des mineurs. Le Procureur choisit parmi ses substituts ceux qui seront chargés de traiter les affaires dans lesquels des mineurs sont impliqués.</w:t>
      </w:r>
    </w:p>
    <w:p w:rsidR="00000000" w:rsidRDefault="00000000">
      <w:pPr>
        <w:pStyle w:val="SingleTxtG"/>
        <w:rPr>
          <w:lang w:val="fr-FR"/>
        </w:rPr>
      </w:pPr>
      <w:r>
        <w:rPr>
          <w:lang w:val="fr-FR"/>
        </w:rPr>
        <w:t>620.</w:t>
      </w:r>
      <w:r>
        <w:rPr>
          <w:lang w:val="fr-FR"/>
        </w:rPr>
        <w:tab/>
        <w:t>Madagascar dispose de juges des enfants non spécialisés. Toutefois, ils bénéficient d’une formation pratique périodique à l’École nationale de la magistrature et des greffes dans le cadre de la formation continue en partenariat avec l’UNICEF. Trois juges des enfants sont en charge des affaires où se trouvent être impliqués des mineurs à Antananarivo depuis 2006. Dans les autres tribunaux, le Président exerce en tant que juge des enfants ou nomme un magistrat de son choix pour cette fonction.</w:t>
      </w:r>
    </w:p>
    <w:p w:rsidR="00000000" w:rsidRDefault="00000000">
      <w:pPr>
        <w:pStyle w:val="SingleTxtG"/>
        <w:rPr>
          <w:lang w:val="fr-FR"/>
        </w:rPr>
      </w:pPr>
      <w:r>
        <w:rPr>
          <w:lang w:val="fr-FR"/>
        </w:rPr>
        <w:t>621.</w:t>
      </w:r>
      <w:r>
        <w:rPr>
          <w:lang w:val="fr-FR"/>
        </w:rPr>
        <w:tab/>
        <w:t>Les services sociaux concernant les affaires pénales des mineurs font défaut. Seul le Tribunal pour enfant de la capitale a une assistante sociale chargée uniquement des cas d’enfants en danger.</w:t>
      </w:r>
    </w:p>
    <w:p w:rsidR="00000000" w:rsidRDefault="00000000">
      <w:pPr>
        <w:pStyle w:val="SingleTxtG"/>
        <w:rPr>
          <w:lang w:val="fr-FR"/>
        </w:rPr>
      </w:pPr>
      <w:r>
        <w:rPr>
          <w:lang w:val="fr-FR"/>
        </w:rPr>
        <w:t>622.</w:t>
      </w:r>
      <w:r>
        <w:rPr>
          <w:lang w:val="fr-FR"/>
        </w:rPr>
        <w:tab/>
        <w:t>L’absence des personnels spécialisés tels que les délégués bénévoles prévus par la loi pour exécuter la mesure de liberté surveillée ne permet pas l’application et le suivi des mesures autres que la remise aux parents ou la privation de liberté.</w:t>
      </w:r>
    </w:p>
    <w:p w:rsidR="00000000" w:rsidRDefault="00000000">
      <w:pPr>
        <w:pStyle w:val="SingleTxtG"/>
        <w:rPr>
          <w:lang w:val="fr-FR"/>
        </w:rPr>
      </w:pPr>
      <w:r>
        <w:rPr>
          <w:lang w:val="fr-FR"/>
        </w:rPr>
        <w:t>623.</w:t>
      </w:r>
      <w:r>
        <w:rPr>
          <w:lang w:val="fr-FR"/>
        </w:rPr>
        <w:tab/>
        <w:t>L’absence de compétence spécialisée est relativement compensée par les modules sur les droits de l’enfant enseignée à l’Ecole nationale de la magistrature et des greffes, dans le cadre d’une formation initiale ou d’une formation continue.</w:t>
      </w:r>
    </w:p>
    <w:p w:rsidR="00000000" w:rsidRDefault="00000000">
      <w:pPr>
        <w:pStyle w:val="SingleTxtG"/>
        <w:rPr>
          <w:lang w:val="fr-FR"/>
        </w:rPr>
      </w:pPr>
      <w:r>
        <w:rPr>
          <w:lang w:val="fr-FR"/>
        </w:rPr>
        <w:t>624.</w:t>
      </w:r>
      <w:r>
        <w:rPr>
          <w:lang w:val="fr-FR"/>
        </w:rPr>
        <w:tab/>
        <w:t>Depuis 1999 Madagascar dispose d’une brigade spécialisée dans le traitement des cas d’infraction concernant les enfants, la Police des mœurs et de protection des mineurs, rattachée à la Direction de la Police judiciaire. Le Service dispose d’antennes dans les chefs lieux de province et dans certaines villes (Antsiranana, Mahajanga, Fianarantsoa, Toamasina, Toliara, Nosy Be). Les attributions du Service sont de type préventif et répressif. Le service ne prend pas systématiquement en charge toutes les affaires concernant des mineurs à cause de l’insuffisance en effectifs surtout dans les régions, où les Brigades de PMPM sont chargées aussi d’autres affaires judiciaires.</w:t>
      </w:r>
    </w:p>
    <w:p w:rsidR="00000000" w:rsidRDefault="00000000">
      <w:pPr>
        <w:pStyle w:val="H23G"/>
        <w:rPr>
          <w:lang w:val="fr-FR"/>
        </w:rPr>
      </w:pPr>
      <w:bookmarkStart w:id="1363" w:name="_Toc206414627"/>
      <w:bookmarkStart w:id="1364" w:name="_Toc206460470"/>
      <w:bookmarkStart w:id="1365" w:name="_Toc206460802"/>
      <w:bookmarkStart w:id="1366" w:name="_Toc206461524"/>
      <w:bookmarkStart w:id="1367" w:name="_Toc206476318"/>
      <w:bookmarkStart w:id="1368" w:name="_Toc207788853"/>
      <w:bookmarkStart w:id="1369" w:name="_Toc211835524"/>
      <w:bookmarkStart w:id="1370" w:name="_Toc211926831"/>
      <w:r>
        <w:rPr>
          <w:lang w:val="fr-FR"/>
        </w:rPr>
        <w:tab/>
        <w:t>3.</w:t>
      </w:r>
      <w:r>
        <w:rPr>
          <w:lang w:val="fr-FR"/>
        </w:rPr>
        <w:tab/>
        <w:t>Traitement des dossiers des mineurs</w:t>
      </w:r>
      <w:bookmarkEnd w:id="1363"/>
      <w:bookmarkEnd w:id="1364"/>
      <w:bookmarkEnd w:id="1365"/>
      <w:bookmarkEnd w:id="1366"/>
      <w:bookmarkEnd w:id="1367"/>
      <w:bookmarkEnd w:id="1368"/>
      <w:bookmarkEnd w:id="1369"/>
      <w:bookmarkEnd w:id="1370"/>
    </w:p>
    <w:p w:rsidR="00000000" w:rsidRDefault="00000000">
      <w:pPr>
        <w:pStyle w:val="H4G"/>
        <w:rPr>
          <w:lang w:val="fr-FR"/>
        </w:rPr>
      </w:pPr>
      <w:bookmarkStart w:id="1371" w:name="_Toc206414628"/>
      <w:bookmarkStart w:id="1372" w:name="_Toc206460803"/>
      <w:bookmarkStart w:id="1373" w:name="_Toc206461525"/>
      <w:bookmarkStart w:id="1374" w:name="_Toc206476319"/>
      <w:bookmarkStart w:id="1375" w:name="_Toc207788854"/>
      <w:r>
        <w:rPr>
          <w:lang w:val="fr-FR"/>
        </w:rPr>
        <w:tab/>
      </w:r>
      <w:r>
        <w:rPr>
          <w:lang w:val="fr-FR"/>
        </w:rPr>
        <w:tab/>
        <w:t>Les difficultés rencontrées par le système de justice des mineurs</w:t>
      </w:r>
      <w:bookmarkEnd w:id="1371"/>
      <w:bookmarkEnd w:id="1372"/>
      <w:bookmarkEnd w:id="1373"/>
      <w:bookmarkEnd w:id="1374"/>
      <w:bookmarkEnd w:id="1375"/>
    </w:p>
    <w:p w:rsidR="00000000" w:rsidRDefault="00000000">
      <w:pPr>
        <w:pStyle w:val="SingleTxtG"/>
        <w:rPr>
          <w:b/>
          <w:lang w:val="fr-FR"/>
        </w:rPr>
      </w:pPr>
      <w:r>
        <w:rPr>
          <w:lang w:val="fr-FR"/>
        </w:rPr>
        <w:t>625.</w:t>
      </w:r>
      <w:r>
        <w:rPr>
          <w:lang w:val="fr-FR"/>
        </w:rPr>
        <w:tab/>
        <w:t>Ces difficultés</w:t>
      </w:r>
      <w:r>
        <w:rPr>
          <w:b/>
          <w:lang w:val="fr-FR"/>
        </w:rPr>
        <w:t xml:space="preserve"> </w:t>
      </w:r>
      <w:r>
        <w:rPr>
          <w:lang w:val="fr-FR"/>
        </w:rPr>
        <w:t>sont axées sur</w:t>
      </w:r>
      <w:r>
        <w:rPr>
          <w:b/>
          <w:lang w:val="fr-FR"/>
        </w:rPr>
        <w:t>:</w:t>
      </w:r>
    </w:p>
    <w:p w:rsidR="00000000" w:rsidRDefault="00000000">
      <w:pPr>
        <w:pStyle w:val="Bullet1G"/>
        <w:rPr>
          <w:lang w:val="fr-FR"/>
        </w:rPr>
      </w:pPr>
      <w:r>
        <w:rPr>
          <w:lang w:val="fr-FR"/>
        </w:rPr>
        <w:t>La lenteur due aux difficultés pour l’obtention rapide d’actes de naissance ou de résultats d’examens somatiques pour déterminer l’âge de l’enfant;</w:t>
      </w:r>
    </w:p>
    <w:p w:rsidR="00000000" w:rsidRDefault="00000000">
      <w:pPr>
        <w:pStyle w:val="Bullet1G"/>
        <w:rPr>
          <w:lang w:val="fr-FR"/>
        </w:rPr>
      </w:pPr>
      <w:r>
        <w:rPr>
          <w:lang w:val="fr-FR"/>
        </w:rPr>
        <w:t>Le défaut de moyens de transports et de communication entre le Tribunal et les centres où se trouvent les enfants;</w:t>
      </w:r>
    </w:p>
    <w:p w:rsidR="00000000" w:rsidRDefault="00000000">
      <w:pPr>
        <w:pStyle w:val="Bullet1G"/>
        <w:rPr>
          <w:lang w:val="fr-FR"/>
        </w:rPr>
      </w:pPr>
      <w:r>
        <w:rPr>
          <w:lang w:val="fr-FR"/>
        </w:rPr>
        <w:t>Le défaut de présence des parents et des civilement responsables devant les juges des enfants, lors de leur audition du à l’éloignement géographique de la résidence de ceux-ci ou des fois au manque d’intérêt vis-à-vis de l’enfant placé;</w:t>
      </w:r>
    </w:p>
    <w:p w:rsidR="00000000" w:rsidRDefault="00000000">
      <w:pPr>
        <w:pStyle w:val="Bullet1G"/>
        <w:rPr>
          <w:lang w:val="fr-FR"/>
        </w:rPr>
      </w:pPr>
      <w:r>
        <w:rPr>
          <w:lang w:val="fr-FR"/>
        </w:rPr>
        <w:t>L’insuffisance du respect du droit à la défense limité aux affaires punis d’une peine de plus de cinq ans, auquel cas l’enfant bénéficie de l’assistance d’un avocat commis d’office payé par l’État;</w:t>
      </w:r>
    </w:p>
    <w:p w:rsidR="00000000" w:rsidRDefault="00000000">
      <w:pPr>
        <w:pStyle w:val="Bullet1G"/>
        <w:rPr>
          <w:lang w:val="fr-FR"/>
        </w:rPr>
      </w:pPr>
      <w:r>
        <w:rPr>
          <w:lang w:val="fr-FR"/>
        </w:rPr>
        <w:t>Le recours à la privation de liberté est retenu lorsque les mesures alternatives ne sont pas adaptées.</w:t>
      </w:r>
    </w:p>
    <w:p w:rsidR="00000000" w:rsidRDefault="00000000">
      <w:pPr>
        <w:pStyle w:val="SingleTxtG"/>
        <w:rPr>
          <w:lang w:val="fr-FR"/>
        </w:rPr>
      </w:pPr>
      <w:r>
        <w:rPr>
          <w:lang w:val="fr-FR"/>
        </w:rPr>
        <w:t>626.</w:t>
      </w:r>
      <w:r>
        <w:rPr>
          <w:lang w:val="fr-FR"/>
        </w:rPr>
        <w:tab/>
        <w:t>Tout en reconnaissant ces problèmes, le Ministère de la justice a entrepris des actions pour assurer le respect des garanties fondamentales de l’enfant en conflit avec la loi, des rencontres des responsables de l’application des lois en charge des affaires des mineurs et de la société civile œuvrant dans l’intérêt des enfants en conflit avec la loi ont été réalisées en 2006 et 2007 avec l’appui de l’UNICEF. Ces rencontres ont été organisées dans le but de réfléchir sur la réforme appropriée en vue d’une meilleure protection de l’enfant conformément aux dispositions de la Convention.</w:t>
      </w:r>
    </w:p>
    <w:p w:rsidR="00000000" w:rsidRDefault="00000000">
      <w:pPr>
        <w:pStyle w:val="SingleTxtG"/>
        <w:rPr>
          <w:lang w:val="fr-FR"/>
        </w:rPr>
      </w:pPr>
      <w:r>
        <w:rPr>
          <w:lang w:val="fr-FR"/>
        </w:rPr>
        <w:t>627.</w:t>
      </w:r>
      <w:r>
        <w:rPr>
          <w:lang w:val="fr-FR"/>
        </w:rPr>
        <w:tab/>
        <w:t>Un état des lieux a été réalisé pour évaluer la situation des mineurs dans les centres de rééducation et dans quelques établissements pénitentiaires.</w:t>
      </w:r>
    </w:p>
    <w:p w:rsidR="00000000" w:rsidRDefault="00000000">
      <w:pPr>
        <w:pStyle w:val="SingleTxtG"/>
        <w:rPr>
          <w:lang w:val="fr-FR"/>
        </w:rPr>
      </w:pPr>
      <w:r>
        <w:rPr>
          <w:lang w:val="fr-FR"/>
        </w:rPr>
        <w:t>628.</w:t>
      </w:r>
      <w:r>
        <w:rPr>
          <w:lang w:val="fr-FR"/>
        </w:rPr>
        <w:tab/>
        <w:t>Suite à ces actions, le Ministère de la justice a donné une instruction formelle à tous les Présidents du tribunal, tous les Procureurs de la République, tous les juges des enfants, tous les juges d’instruction, tous magistrats du ministère public en charge des affaires des mineurs qu’en attendant les projets de réforme, des efforts doivent tendre vers l’accélération du traitement des dossiers des mineurs et ce dans le strict respect du principe selon lequel la liberté est la règle, et la détention l’exception.</w:t>
      </w:r>
    </w:p>
    <w:p w:rsidR="00000000" w:rsidRDefault="00000000">
      <w:pPr>
        <w:pStyle w:val="SingleTxtG"/>
        <w:rPr>
          <w:lang w:val="fr-FR"/>
        </w:rPr>
      </w:pPr>
      <w:r>
        <w:rPr>
          <w:lang w:val="fr-FR"/>
        </w:rPr>
        <w:t>629.</w:t>
      </w:r>
      <w:r>
        <w:rPr>
          <w:lang w:val="fr-FR"/>
        </w:rPr>
        <w:tab/>
        <w:t xml:space="preserve"> Face à ces difficultés énumérées, l’élaboration d’un nouveau projet de loi est en cours en vue d’améliorer la situation de l’enfant en conflit avec la loi.</w:t>
      </w:r>
    </w:p>
    <w:p w:rsidR="00000000" w:rsidRDefault="00000000">
      <w:pPr>
        <w:pStyle w:val="SingleTxtG"/>
        <w:rPr>
          <w:lang w:val="fr-FR"/>
        </w:rPr>
      </w:pPr>
      <w:r>
        <w:rPr>
          <w:lang w:val="fr-FR"/>
        </w:rPr>
        <w:t>630.</w:t>
      </w:r>
      <w:r>
        <w:rPr>
          <w:lang w:val="fr-FR"/>
        </w:rPr>
        <w:tab/>
        <w:t>Les recommandations de la circulaire:</w:t>
      </w:r>
    </w:p>
    <w:p w:rsidR="00000000" w:rsidRDefault="00000000">
      <w:pPr>
        <w:pStyle w:val="Bullet1G"/>
        <w:rPr>
          <w:lang w:val="fr-FR"/>
        </w:rPr>
      </w:pPr>
      <w:r>
        <w:rPr>
          <w:lang w:val="fr-FR"/>
        </w:rPr>
        <w:t>Ne pas placer sous mandat de dépôt les mineurs de 13 ans et s’il existe des mineurs en détention, susciter les demandes de mise en liberté provisoire en vue de leur libération ou demander la main levée du placement;</w:t>
      </w:r>
    </w:p>
    <w:p w:rsidR="00000000" w:rsidRDefault="00000000">
      <w:pPr>
        <w:pStyle w:val="Bullet1G"/>
        <w:rPr>
          <w:lang w:val="fr-FR"/>
        </w:rPr>
      </w:pPr>
      <w:r>
        <w:rPr>
          <w:lang w:val="fr-FR"/>
        </w:rPr>
        <w:t>Ne placer sous mandat de dépôt les mineurs de 13 à 16 ans. Toutefois si c’est nécessaire, ne les placer que dans les centres de rééducation;</w:t>
      </w:r>
    </w:p>
    <w:p w:rsidR="00000000" w:rsidRDefault="00000000">
      <w:pPr>
        <w:pStyle w:val="Bullet1G"/>
        <w:rPr>
          <w:lang w:val="fr-FR"/>
        </w:rPr>
      </w:pPr>
      <w:r>
        <w:rPr>
          <w:lang w:val="fr-FR"/>
        </w:rPr>
        <w:t>Clôturer les dossiers des mineurs en instance à la date du 1</w:t>
      </w:r>
      <w:r>
        <w:rPr>
          <w:vertAlign w:val="superscript"/>
          <w:lang w:val="fr-FR"/>
        </w:rPr>
        <w:t>er</w:t>
      </w:r>
      <w:r>
        <w:rPr>
          <w:lang w:val="fr-FR"/>
        </w:rPr>
        <w:t xml:space="preserve"> avril 2007 dans un délai de trois mois à compter de la réception de l’instruction;</w:t>
      </w:r>
    </w:p>
    <w:p w:rsidR="00000000" w:rsidRDefault="00000000">
      <w:pPr>
        <w:pStyle w:val="Bullet1G"/>
        <w:rPr>
          <w:lang w:val="fr-FR"/>
        </w:rPr>
      </w:pPr>
      <w:r>
        <w:rPr>
          <w:lang w:val="fr-FR"/>
        </w:rPr>
        <w:t>Enrôler les dossiers impliquant des mineurs à la première audience utile.</w:t>
      </w:r>
    </w:p>
    <w:p w:rsidR="00000000" w:rsidRDefault="00000000">
      <w:pPr>
        <w:pStyle w:val="SingleTxtG"/>
        <w:rPr>
          <w:lang w:val="fr-FR"/>
        </w:rPr>
      </w:pPr>
      <w:r>
        <w:rPr>
          <w:lang w:val="fr-FR"/>
        </w:rPr>
        <w:t>631.</w:t>
      </w:r>
      <w:r>
        <w:rPr>
          <w:lang w:val="fr-FR"/>
        </w:rPr>
        <w:tab/>
        <w:t>Les résultats obtenus ont été encourageants. Cependant les problèmes d’ordre structurel persistent et leur solution dépend de la réforme ci-dessus évoquée.</w:t>
      </w:r>
    </w:p>
    <w:p w:rsidR="00000000" w:rsidRDefault="00000000">
      <w:pPr>
        <w:pStyle w:val="H4G"/>
        <w:rPr>
          <w:lang w:val="fr-FR"/>
        </w:rPr>
      </w:pPr>
      <w:bookmarkStart w:id="1376" w:name="_Toc206414629"/>
      <w:bookmarkStart w:id="1377" w:name="_Toc206460804"/>
      <w:bookmarkStart w:id="1378" w:name="_Toc206461526"/>
      <w:bookmarkStart w:id="1379" w:name="_Toc206476320"/>
      <w:bookmarkStart w:id="1380" w:name="_Toc207788855"/>
      <w:r>
        <w:rPr>
          <w:lang w:val="fr-FR"/>
        </w:rPr>
        <w:tab/>
      </w:r>
      <w:r>
        <w:rPr>
          <w:lang w:val="fr-FR"/>
        </w:rPr>
        <w:tab/>
        <w:t>Traitement réservé aux enfants prives de liberté</w:t>
      </w:r>
      <w:bookmarkEnd w:id="1376"/>
      <w:bookmarkEnd w:id="1377"/>
      <w:bookmarkEnd w:id="1378"/>
      <w:bookmarkEnd w:id="1379"/>
      <w:bookmarkEnd w:id="1380"/>
    </w:p>
    <w:p w:rsidR="00000000" w:rsidRDefault="00000000">
      <w:pPr>
        <w:pStyle w:val="H56G"/>
        <w:rPr>
          <w:lang w:val="fr-FR"/>
        </w:rPr>
      </w:pPr>
      <w:r>
        <w:rPr>
          <w:lang w:val="fr-FR"/>
        </w:rPr>
        <w:tab/>
      </w:r>
      <w:r>
        <w:rPr>
          <w:lang w:val="fr-FR"/>
        </w:rPr>
        <w:tab/>
      </w:r>
      <w:r>
        <w:rPr>
          <w:lang w:val="fr-FR"/>
        </w:rPr>
        <w:tab/>
        <w:t>Interdiction de la détention arbitraire</w:t>
      </w:r>
    </w:p>
    <w:p w:rsidR="00000000" w:rsidRDefault="00000000">
      <w:pPr>
        <w:pStyle w:val="SingleTxtG"/>
        <w:rPr>
          <w:lang w:val="fr-FR"/>
        </w:rPr>
      </w:pPr>
      <w:r>
        <w:rPr>
          <w:lang w:val="fr-FR"/>
        </w:rPr>
        <w:t>632.</w:t>
      </w:r>
      <w:r>
        <w:rPr>
          <w:lang w:val="fr-FR"/>
        </w:rPr>
        <w:tab/>
        <w:t>La détention arbitraire est interdite par les textes constitutionnel et législatif de Madagascar. Elle est sévèrement réprimée par le Code pénal malgache.</w:t>
      </w:r>
    </w:p>
    <w:p w:rsidR="00000000" w:rsidRDefault="00000000">
      <w:pPr>
        <w:pStyle w:val="SingleTxtG"/>
        <w:rPr>
          <w:lang w:val="fr-FR"/>
        </w:rPr>
      </w:pPr>
      <w:r>
        <w:rPr>
          <w:lang w:val="fr-FR"/>
        </w:rPr>
        <w:t>633.</w:t>
      </w:r>
      <w:r>
        <w:rPr>
          <w:lang w:val="fr-FR"/>
        </w:rPr>
        <w:tab/>
        <w:t>La Constitution dans son article 13 alinéa 3 dispose que «nul ne peut être poursuivi, arrêté ou détenu que dans les cas déterminés par la loi et selon les formes qu’elle a prescrites.».</w:t>
      </w:r>
    </w:p>
    <w:p w:rsidR="00000000" w:rsidRDefault="00000000">
      <w:pPr>
        <w:pStyle w:val="H56G"/>
        <w:rPr>
          <w:i/>
          <w:lang w:val="fr-FR"/>
        </w:rPr>
      </w:pPr>
      <w:r>
        <w:rPr>
          <w:lang w:val="fr-FR"/>
        </w:rPr>
        <w:tab/>
      </w:r>
      <w:r>
        <w:rPr>
          <w:lang w:val="fr-FR"/>
        </w:rPr>
        <w:tab/>
      </w:r>
      <w:r>
        <w:rPr>
          <w:lang w:val="fr-FR"/>
        </w:rPr>
        <w:tab/>
        <w:t>Arrestation, détention ou emprisonnement comme mesures de dernier ressort</w:t>
      </w:r>
    </w:p>
    <w:p w:rsidR="00000000" w:rsidRDefault="00000000">
      <w:pPr>
        <w:pStyle w:val="SingleTxtG"/>
        <w:rPr>
          <w:lang w:val="fr-FR"/>
        </w:rPr>
      </w:pPr>
      <w:r>
        <w:rPr>
          <w:lang w:val="fr-FR"/>
        </w:rPr>
        <w:t>634.</w:t>
      </w:r>
      <w:r>
        <w:rPr>
          <w:lang w:val="fr-FR"/>
        </w:rPr>
        <w:tab/>
        <w:t>Comme déjà mentionné, à cause de l’absence de programmes de mise en œuvre de mesures alternatives à la détention, les juges se trouvent dans l’obligation de recourir soit à la remise aux parents soit à la mesure de placement ou d’emprisonnement également dans les cas auxquels une mesure de liberté surveillée aurait pu être appliquée.</w:t>
      </w:r>
    </w:p>
    <w:p w:rsidR="00000000" w:rsidRDefault="00000000">
      <w:pPr>
        <w:pStyle w:val="H56G"/>
        <w:rPr>
          <w:i/>
          <w:lang w:val="fr-FR"/>
        </w:rPr>
      </w:pPr>
      <w:r>
        <w:rPr>
          <w:lang w:val="fr-FR"/>
        </w:rPr>
        <w:tab/>
      </w:r>
      <w:r>
        <w:rPr>
          <w:lang w:val="fr-FR"/>
        </w:rPr>
        <w:tab/>
      </w:r>
      <w:r>
        <w:rPr>
          <w:lang w:val="fr-FR"/>
        </w:rPr>
        <w:tab/>
        <w:t>Traitement</w:t>
      </w:r>
      <w:r>
        <w:rPr>
          <w:i/>
          <w:lang w:val="fr-FR"/>
        </w:rPr>
        <w:t xml:space="preserve"> </w:t>
      </w:r>
      <w:r>
        <w:rPr>
          <w:lang w:val="fr-FR"/>
        </w:rPr>
        <w:t>non discriminatoire</w:t>
      </w:r>
    </w:p>
    <w:p w:rsidR="00000000" w:rsidRDefault="00000000">
      <w:pPr>
        <w:pStyle w:val="SingleTxtG"/>
        <w:keepNext/>
        <w:rPr>
          <w:lang w:val="fr-FR"/>
        </w:rPr>
      </w:pPr>
      <w:r>
        <w:rPr>
          <w:lang w:val="fr-FR"/>
        </w:rPr>
        <w:t>635.</w:t>
      </w:r>
      <w:r>
        <w:rPr>
          <w:lang w:val="fr-FR"/>
        </w:rPr>
        <w:tab/>
        <w:t xml:space="preserve">L’article 23 du décret </w:t>
      </w:r>
      <w:r>
        <w:rPr>
          <w:rFonts w:eastAsia="MS Mincho"/>
          <w:lang w:val="fr-FR"/>
        </w:rPr>
        <w:t>n</w:t>
      </w:r>
      <w:r>
        <w:rPr>
          <w:rFonts w:eastAsia="MS Mincho"/>
          <w:vertAlign w:val="superscript"/>
          <w:lang w:val="fr-FR"/>
        </w:rPr>
        <w:t>o</w:t>
      </w:r>
      <w:r>
        <w:rPr>
          <w:lang w:val="fr-FR"/>
        </w:rPr>
        <w:t xml:space="preserve"> 2006-015 portant organisation générale de l’Administration pénitentiaire dispose qu’«aucune discrimination ne doit être fondée à l’égard des personnes détenues sur des considérations tenant à l’état de santé, au sexe, à la race, à la langue, à la religion, à l’origine, aux opinions politiques ou à la situation sociale».</w:t>
      </w:r>
    </w:p>
    <w:p w:rsidR="00000000" w:rsidRDefault="00000000">
      <w:pPr>
        <w:pStyle w:val="SingleTxtG"/>
        <w:rPr>
          <w:lang w:val="fr-FR"/>
        </w:rPr>
      </w:pPr>
      <w:r>
        <w:rPr>
          <w:lang w:val="fr-FR"/>
        </w:rPr>
        <w:t>636.</w:t>
      </w:r>
      <w:r>
        <w:rPr>
          <w:lang w:val="fr-FR"/>
        </w:rPr>
        <w:tab/>
        <w:t>Cette mesure de non-discrimination s’applique aux mineurs privés de liberté.</w:t>
      </w:r>
    </w:p>
    <w:p w:rsidR="00000000" w:rsidRDefault="00000000">
      <w:pPr>
        <w:pStyle w:val="H56G"/>
        <w:rPr>
          <w:i/>
          <w:lang w:val="fr-FR"/>
        </w:rPr>
      </w:pPr>
      <w:r>
        <w:rPr>
          <w:lang w:val="fr-FR"/>
        </w:rPr>
        <w:tab/>
      </w:r>
      <w:r>
        <w:rPr>
          <w:lang w:val="fr-FR"/>
        </w:rPr>
        <w:tab/>
      </w:r>
      <w:r>
        <w:rPr>
          <w:lang w:val="fr-FR"/>
        </w:rPr>
        <w:tab/>
        <w:t>Le respect du droit a la vie, du droit a la survie, du droit au développement</w:t>
      </w:r>
    </w:p>
    <w:p w:rsidR="00000000" w:rsidRDefault="00000000">
      <w:pPr>
        <w:pStyle w:val="SingleTxtG"/>
        <w:rPr>
          <w:lang w:val="fr-FR"/>
        </w:rPr>
      </w:pPr>
      <w:r>
        <w:rPr>
          <w:lang w:val="fr-FR"/>
        </w:rPr>
        <w:t>637.</w:t>
      </w:r>
      <w:r>
        <w:rPr>
          <w:lang w:val="fr-FR"/>
        </w:rPr>
        <w:tab/>
        <w:t>À Madagascar la peine capitale n’est pas applicable aux enfants.</w:t>
      </w:r>
    </w:p>
    <w:p w:rsidR="00000000" w:rsidRDefault="00000000">
      <w:pPr>
        <w:pStyle w:val="SingleTxtG"/>
        <w:rPr>
          <w:lang w:val="fr-FR"/>
        </w:rPr>
      </w:pPr>
      <w:r>
        <w:rPr>
          <w:lang w:val="fr-FR"/>
        </w:rPr>
        <w:t>638.</w:t>
      </w:r>
      <w:r>
        <w:rPr>
          <w:lang w:val="fr-FR"/>
        </w:rPr>
        <w:tab/>
        <w:t xml:space="preserve">Le droit à la survie est assuré par le respect du droit à l’alimentation, garanti par le décret </w:t>
      </w:r>
      <w:r>
        <w:rPr>
          <w:rFonts w:eastAsia="MS Mincho"/>
          <w:lang w:val="fr-FR"/>
        </w:rPr>
        <w:t>n</w:t>
      </w:r>
      <w:r>
        <w:rPr>
          <w:rFonts w:eastAsia="MS Mincho"/>
          <w:vertAlign w:val="superscript"/>
          <w:lang w:val="fr-FR"/>
        </w:rPr>
        <w:t>o</w:t>
      </w:r>
      <w:r>
        <w:rPr>
          <w:lang w:val="fr-FR"/>
        </w:rPr>
        <w:t xml:space="preserve"> 2006-015 (art. 72).</w:t>
      </w:r>
    </w:p>
    <w:p w:rsidR="00000000" w:rsidRDefault="00000000">
      <w:pPr>
        <w:pStyle w:val="SingleTxtG"/>
        <w:rPr>
          <w:lang w:val="fr-FR"/>
        </w:rPr>
      </w:pPr>
      <w:r>
        <w:rPr>
          <w:lang w:val="fr-FR"/>
        </w:rPr>
        <w:t>639.</w:t>
      </w:r>
      <w:r>
        <w:rPr>
          <w:lang w:val="fr-FR"/>
        </w:rPr>
        <w:tab/>
        <w:t xml:space="preserve">Complétant les dispositions du décret </w:t>
      </w:r>
      <w:r>
        <w:rPr>
          <w:rFonts w:eastAsia="MS Mincho"/>
          <w:lang w:val="fr-FR"/>
        </w:rPr>
        <w:t>n</w:t>
      </w:r>
      <w:r>
        <w:rPr>
          <w:rFonts w:eastAsia="MS Mincho"/>
          <w:vertAlign w:val="superscript"/>
          <w:lang w:val="fr-FR"/>
        </w:rPr>
        <w:t>o</w:t>
      </w:r>
      <w:r>
        <w:rPr>
          <w:lang w:val="fr-FR"/>
        </w:rPr>
        <w:t xml:space="preserve"> 2006-015 du 17 janvier 2006, le décret </w:t>
      </w:r>
      <w:r>
        <w:rPr>
          <w:rFonts w:eastAsia="MS Mincho"/>
          <w:lang w:val="fr-FR"/>
        </w:rPr>
        <w:t>n</w:t>
      </w:r>
      <w:r>
        <w:rPr>
          <w:rFonts w:eastAsia="MS Mincho"/>
          <w:vertAlign w:val="superscript"/>
          <w:lang w:val="fr-FR"/>
        </w:rPr>
        <w:t>o </w:t>
      </w:r>
      <w:r>
        <w:rPr>
          <w:lang w:val="fr-FR"/>
        </w:rPr>
        <w:t>2006-901 du 19 décembre 2006 portant organisation de la préparation à la réinsertion sociale, familiale et professionnelle des personnes détenues assure à toute personne privée de liberté l’accès à un enseignement et formation professionnelle, à des activités physiques, sportives ou culturelles.</w:t>
      </w:r>
    </w:p>
    <w:p w:rsidR="00000000" w:rsidRDefault="00000000">
      <w:pPr>
        <w:pStyle w:val="SingleTxtG"/>
        <w:rPr>
          <w:lang w:val="fr-FR"/>
        </w:rPr>
      </w:pPr>
      <w:r>
        <w:rPr>
          <w:lang w:val="fr-FR"/>
        </w:rPr>
        <w:t>640.</w:t>
      </w:r>
      <w:r>
        <w:rPr>
          <w:lang w:val="fr-FR"/>
        </w:rPr>
        <w:tab/>
        <w:t>Des efforts restent à faire pour améliorer l’alimentation, les soins, l’enseignement et la formation professionnelle aussi bien dans les établissements pénitenciers que dans les centres de rééducation. L’appui de la part des partenaires et d’ONG œuvrant dans le domaine de la protection des droits de l’enfant est important dans ce domaine.</w:t>
      </w:r>
    </w:p>
    <w:p w:rsidR="00000000" w:rsidRDefault="00000000">
      <w:pPr>
        <w:pStyle w:val="H56G"/>
        <w:rPr>
          <w:i/>
          <w:lang w:val="fr-FR"/>
        </w:rPr>
      </w:pPr>
      <w:r>
        <w:rPr>
          <w:lang w:val="fr-FR"/>
        </w:rPr>
        <w:tab/>
      </w:r>
      <w:r>
        <w:rPr>
          <w:lang w:val="fr-FR"/>
        </w:rPr>
        <w:tab/>
      </w:r>
      <w:r>
        <w:rPr>
          <w:lang w:val="fr-FR"/>
        </w:rPr>
        <w:tab/>
        <w:t>Les mesures de substitution à la privation de</w:t>
      </w:r>
      <w:r>
        <w:rPr>
          <w:i/>
          <w:lang w:val="fr-FR"/>
        </w:rPr>
        <w:t xml:space="preserve"> </w:t>
      </w:r>
      <w:r>
        <w:rPr>
          <w:lang w:val="fr-FR"/>
        </w:rPr>
        <w:t>liberté</w:t>
      </w:r>
    </w:p>
    <w:p w:rsidR="00000000" w:rsidRDefault="00000000">
      <w:pPr>
        <w:pStyle w:val="SingleTxtG"/>
        <w:rPr>
          <w:lang w:val="fr-FR"/>
        </w:rPr>
      </w:pPr>
      <w:r>
        <w:rPr>
          <w:lang w:val="fr-FR"/>
        </w:rPr>
        <w:t>641.</w:t>
      </w:r>
      <w:r>
        <w:rPr>
          <w:lang w:val="fr-FR"/>
        </w:rPr>
        <w:tab/>
        <w:t>Dans le but de donner beaucoup plus de marges de manœuvre aux juges, afin d’éviter le recours à la détention, l’État envisage d’engager des réformes visant à l’adoption des mesures alternatives à l’incarcération.</w:t>
      </w:r>
    </w:p>
    <w:p w:rsidR="00000000" w:rsidRDefault="00000000">
      <w:pPr>
        <w:pStyle w:val="H56G"/>
        <w:rPr>
          <w:lang w:val="fr-FR"/>
        </w:rPr>
      </w:pPr>
      <w:r>
        <w:rPr>
          <w:lang w:val="fr-FR"/>
        </w:rPr>
        <w:tab/>
      </w:r>
      <w:r>
        <w:rPr>
          <w:lang w:val="fr-FR"/>
        </w:rPr>
        <w:tab/>
      </w:r>
      <w:r>
        <w:rPr>
          <w:lang w:val="fr-FR"/>
        </w:rPr>
        <w:tab/>
        <w:t>Les centres de rééducation</w:t>
      </w:r>
    </w:p>
    <w:p w:rsidR="00000000" w:rsidRDefault="00000000">
      <w:pPr>
        <w:pStyle w:val="SingleTxtG"/>
        <w:rPr>
          <w:lang w:val="fr-FR"/>
        </w:rPr>
      </w:pPr>
      <w:r>
        <w:rPr>
          <w:lang w:val="fr-FR"/>
        </w:rPr>
        <w:t>642.</w:t>
      </w:r>
      <w:r>
        <w:rPr>
          <w:lang w:val="fr-FR"/>
        </w:rPr>
        <w:tab/>
        <w:t>Les centres de rééducation accueillent des enfants sur ordonnance judiciaire. Ils sont soit en danger soit en attente de jugement ou déjà jugés.</w:t>
      </w:r>
    </w:p>
    <w:p w:rsidR="00000000" w:rsidRDefault="00000000">
      <w:pPr>
        <w:pStyle w:val="SingleTxtG"/>
        <w:rPr>
          <w:lang w:val="fr-FR"/>
        </w:rPr>
      </w:pPr>
      <w:r>
        <w:rPr>
          <w:lang w:val="fr-FR"/>
        </w:rPr>
        <w:t>643.</w:t>
      </w:r>
      <w:r>
        <w:rPr>
          <w:lang w:val="fr-FR"/>
        </w:rPr>
        <w:tab/>
        <w:t xml:space="preserve">Il existe huit centres de rééducation pour enfants à Madagascar, cinq dans la capitale dont trois pour des filles. Trois autres pour garçons se trouvent à Antsirabe, Mahajanga et Toamasina. </w:t>
      </w:r>
    </w:p>
    <w:p w:rsidR="00000000" w:rsidRDefault="00000000">
      <w:pPr>
        <w:pStyle w:val="SingleTxtG"/>
        <w:rPr>
          <w:lang w:val="fr-FR"/>
        </w:rPr>
      </w:pPr>
      <w:r>
        <w:rPr>
          <w:lang w:val="fr-FR"/>
        </w:rPr>
        <w:t>644.</w:t>
      </w:r>
      <w:r>
        <w:rPr>
          <w:lang w:val="fr-FR"/>
        </w:rPr>
        <w:tab/>
        <w:t>Deux de ces centres sont publics, celui de Anjanamasina et le centre d’Antsirabe géré par l’association ASPE.</w:t>
      </w:r>
    </w:p>
    <w:p w:rsidR="00000000" w:rsidRDefault="00000000">
      <w:pPr>
        <w:pStyle w:val="SingleTxtG"/>
        <w:rPr>
          <w:lang w:val="fr-FR"/>
        </w:rPr>
      </w:pPr>
      <w:r>
        <w:rPr>
          <w:lang w:val="fr-FR"/>
        </w:rPr>
        <w:t>645.</w:t>
      </w:r>
      <w:r>
        <w:rPr>
          <w:lang w:val="fr-FR"/>
        </w:rPr>
        <w:tab/>
        <w:t xml:space="preserve">Seul le Centre d’Anjanamasina régi par le décret </w:t>
      </w:r>
      <w:r>
        <w:rPr>
          <w:rFonts w:eastAsia="MS Mincho"/>
          <w:lang w:val="fr-FR"/>
        </w:rPr>
        <w:t>n</w:t>
      </w:r>
      <w:r>
        <w:rPr>
          <w:rFonts w:eastAsia="MS Mincho"/>
          <w:vertAlign w:val="superscript"/>
          <w:lang w:val="fr-FR"/>
        </w:rPr>
        <w:t>o</w:t>
      </w:r>
      <w:r>
        <w:rPr>
          <w:lang w:val="fr-FR"/>
        </w:rPr>
        <w:t xml:space="preserve"> 60-376 du 29 septembre 1960 est rattaché directement au Ministère de la justice. Ce centre accueille en moyenne 55 enfants mineurs masculins, sa capacité d’accueil est de 80 mineurs. En moyenne, la durée de séjour d’un mineur dans ce centre varie de trois mois à deux ans. Les infractions commises sont essentiellement les vols, les viols, les détournements de mineurs.</w:t>
      </w:r>
    </w:p>
    <w:p w:rsidR="00000000" w:rsidRDefault="00000000">
      <w:pPr>
        <w:pStyle w:val="SingleTxtG"/>
        <w:rPr>
          <w:lang w:val="fr-FR"/>
        </w:rPr>
      </w:pPr>
      <w:r>
        <w:rPr>
          <w:lang w:val="fr-FR"/>
        </w:rPr>
        <w:t>646.</w:t>
      </w:r>
      <w:r>
        <w:rPr>
          <w:lang w:val="fr-FR"/>
        </w:rPr>
        <w:tab/>
        <w:t>Les autres centres appartenant à des associations, sont des centres privés. Leur personnel provient pour la plupart de l’administration pénitentiaire (surveillants).</w:t>
      </w:r>
    </w:p>
    <w:p w:rsidR="00000000" w:rsidRDefault="00000000">
      <w:pPr>
        <w:pStyle w:val="SingleTxtG"/>
        <w:rPr>
          <w:lang w:val="fr-FR"/>
        </w:rPr>
      </w:pPr>
      <w:r>
        <w:rPr>
          <w:lang w:val="fr-FR"/>
        </w:rPr>
        <w:t>647.</w:t>
      </w:r>
      <w:r>
        <w:rPr>
          <w:lang w:val="fr-FR"/>
        </w:rPr>
        <w:tab/>
        <w:t xml:space="preserve">En moyenne, leur capacité d’accueil est entre 35 et 50 enfants. </w:t>
      </w:r>
    </w:p>
    <w:p w:rsidR="00000000" w:rsidRDefault="00000000">
      <w:pPr>
        <w:pStyle w:val="SingleTxtG"/>
        <w:rPr>
          <w:lang w:val="fr-FR"/>
        </w:rPr>
      </w:pPr>
      <w:r>
        <w:rPr>
          <w:lang w:val="fr-FR"/>
        </w:rPr>
        <w:t>648.</w:t>
      </w:r>
      <w:r>
        <w:rPr>
          <w:lang w:val="fr-FR"/>
        </w:rPr>
        <w:tab/>
        <w:t>Dans les centres de rééducation les enfants en danger sont mélangés avec les enfants en conflit avec la loi. Cette situation a été résolue en ce qui concerne le Centre St. Jean d’Antananarivo, qui accueille désormais seulement des fillettes en danger.</w:t>
      </w:r>
    </w:p>
    <w:p w:rsidR="00000000" w:rsidRDefault="00000000">
      <w:pPr>
        <w:pStyle w:val="SingleTxtG"/>
        <w:rPr>
          <w:lang w:val="fr-FR"/>
        </w:rPr>
      </w:pPr>
      <w:r>
        <w:rPr>
          <w:lang w:val="fr-FR"/>
        </w:rPr>
        <w:t>649.</w:t>
      </w:r>
      <w:r>
        <w:rPr>
          <w:lang w:val="fr-FR"/>
        </w:rPr>
        <w:tab/>
        <w:t>Les autres centres «privés» accueillent également des enfants placés par les Juges des enfants mais ils n’envoient qu’irrégulièrement les informations concernant ces enfants. Cette anomalie sera résolue avec l’adoption d’un nouveau décret sur les centres de rééducation.</w:t>
      </w:r>
    </w:p>
    <w:p w:rsidR="00000000" w:rsidRDefault="00000000">
      <w:pPr>
        <w:pStyle w:val="H56G"/>
        <w:rPr>
          <w:i/>
          <w:lang w:val="fr-FR"/>
        </w:rPr>
      </w:pPr>
      <w:r>
        <w:rPr>
          <w:lang w:val="fr-FR"/>
        </w:rPr>
        <w:tab/>
      </w:r>
      <w:r>
        <w:rPr>
          <w:lang w:val="fr-FR"/>
        </w:rPr>
        <w:tab/>
      </w:r>
      <w:r>
        <w:rPr>
          <w:lang w:val="fr-FR"/>
        </w:rPr>
        <w:tab/>
        <w:t>Les établissements</w:t>
      </w:r>
      <w:r>
        <w:rPr>
          <w:i/>
          <w:lang w:val="fr-FR"/>
        </w:rPr>
        <w:t xml:space="preserve"> </w:t>
      </w:r>
      <w:r>
        <w:rPr>
          <w:lang w:val="fr-FR"/>
        </w:rPr>
        <w:t>pénitentiaires</w:t>
      </w:r>
    </w:p>
    <w:p w:rsidR="00000000" w:rsidRDefault="00000000">
      <w:pPr>
        <w:pStyle w:val="SingleTxtG"/>
        <w:rPr>
          <w:b/>
          <w:lang w:val="fr-FR"/>
        </w:rPr>
      </w:pPr>
      <w:r>
        <w:rPr>
          <w:lang w:val="fr-FR"/>
        </w:rPr>
        <w:t>650.</w:t>
      </w:r>
      <w:r>
        <w:rPr>
          <w:lang w:val="fr-FR"/>
        </w:rPr>
        <w:tab/>
        <w:t xml:space="preserve">Selon l’article 10 du décret </w:t>
      </w:r>
      <w:r>
        <w:rPr>
          <w:rFonts w:eastAsia="MS Mincho"/>
          <w:lang w:val="fr-FR"/>
        </w:rPr>
        <w:t>n</w:t>
      </w:r>
      <w:r>
        <w:rPr>
          <w:rFonts w:eastAsia="MS Mincho"/>
          <w:vertAlign w:val="superscript"/>
          <w:lang w:val="fr-FR"/>
        </w:rPr>
        <w:t>o</w:t>
      </w:r>
      <w:r>
        <w:rPr>
          <w:lang w:val="fr-FR"/>
        </w:rPr>
        <w:t xml:space="preserve"> 2006-015, portant organisation générale de l’Administration pénitentiaire, les </w:t>
      </w:r>
      <w:r>
        <w:rPr>
          <w:i/>
          <w:iCs/>
          <w:lang w:val="fr-FR"/>
        </w:rPr>
        <w:t xml:space="preserve">établissements destinés à l’enfance reçoivent des mineurs délinquants. </w:t>
      </w:r>
      <w:r>
        <w:rPr>
          <w:lang w:val="fr-FR"/>
        </w:rPr>
        <w:t xml:space="preserve">Aux termes de cet article, il s’agit de prévoir la réalisation progressive de la séparation des quartiers des mineurs de ceux des adultes. Compte tenu des moyens relativement limités, il existe encore des établissements pénitentiaires pour adultes accueillant des adolescents en conflit avec la loi. </w:t>
      </w:r>
    </w:p>
    <w:p w:rsidR="00000000" w:rsidRDefault="00000000">
      <w:pPr>
        <w:pStyle w:val="SingleTxtG"/>
        <w:spacing w:after="0"/>
      </w:pPr>
      <w:bookmarkStart w:id="1381" w:name="_Toc260298285"/>
      <w:r>
        <w:t>Tableau 34</w:t>
      </w:r>
    </w:p>
    <w:p w:rsidR="00000000" w:rsidRDefault="00000000">
      <w:pPr>
        <w:pStyle w:val="SingleTxtG"/>
        <w:rPr>
          <w:b/>
        </w:rPr>
      </w:pPr>
      <w:r>
        <w:rPr>
          <w:b/>
        </w:rPr>
        <w:t>Population carcérale selon leur genre et leur statut (septembre 2007)</w:t>
      </w:r>
      <w:bookmarkEnd w:id="1381"/>
    </w:p>
    <w:tbl>
      <w:tblPr>
        <w:tblW w:w="7371" w:type="dxa"/>
        <w:tblInd w:w="1134" w:type="dxa"/>
        <w:tblCellMar>
          <w:left w:w="0" w:type="dxa"/>
          <w:right w:w="0" w:type="dxa"/>
        </w:tblCellMar>
        <w:tblLook w:val="01E0" w:firstRow="1" w:lastRow="1" w:firstColumn="1" w:lastColumn="1" w:noHBand="0" w:noVBand="0"/>
      </w:tblPr>
      <w:tblGrid>
        <w:gridCol w:w="1680"/>
        <w:gridCol w:w="1422"/>
        <w:gridCol w:w="1423"/>
        <w:gridCol w:w="1423"/>
        <w:gridCol w:w="1423"/>
      </w:tblGrid>
      <w:tr w:rsidR="00000000">
        <w:tc>
          <w:tcPr>
            <w:tcW w:w="1680" w:type="dxa"/>
            <w:tcBorders>
              <w:top w:val="single" w:sz="4" w:space="0" w:color="auto"/>
            </w:tcBorders>
            <w:shd w:val="clear" w:color="auto" w:fill="auto"/>
          </w:tcPr>
          <w:p w:rsidR="00000000" w:rsidRDefault="00000000">
            <w:pPr>
              <w:spacing w:before="80" w:after="80" w:line="200" w:lineRule="exact"/>
              <w:rPr>
                <w:bCs/>
                <w:i/>
                <w:sz w:val="16"/>
                <w:szCs w:val="16"/>
              </w:rPr>
            </w:pPr>
          </w:p>
        </w:tc>
        <w:tc>
          <w:tcPr>
            <w:tcW w:w="5691" w:type="dxa"/>
            <w:gridSpan w:val="4"/>
            <w:tcBorders>
              <w:top w:val="single" w:sz="4" w:space="0" w:color="auto"/>
            </w:tcBorders>
            <w:shd w:val="clear" w:color="auto" w:fill="auto"/>
            <w:vAlign w:val="center"/>
          </w:tcPr>
          <w:p w:rsidR="00000000" w:rsidRDefault="00000000">
            <w:pPr>
              <w:spacing w:before="80" w:after="80" w:line="200" w:lineRule="exact"/>
              <w:jc w:val="center"/>
              <w:rPr>
                <w:bCs/>
                <w:i/>
                <w:sz w:val="16"/>
                <w:szCs w:val="16"/>
              </w:rPr>
            </w:pPr>
            <w:r>
              <w:rPr>
                <w:bCs/>
                <w:i/>
                <w:sz w:val="16"/>
                <w:szCs w:val="16"/>
              </w:rPr>
              <w:t>Catégories</w:t>
            </w:r>
          </w:p>
        </w:tc>
      </w:tr>
      <w:tr w:rsidR="00000000">
        <w:tc>
          <w:tcPr>
            <w:tcW w:w="1680" w:type="dxa"/>
            <w:tcBorders>
              <w:bottom w:val="single" w:sz="12" w:space="0" w:color="auto"/>
            </w:tcBorders>
            <w:shd w:val="clear" w:color="auto" w:fill="auto"/>
          </w:tcPr>
          <w:p w:rsidR="00000000" w:rsidRDefault="00000000">
            <w:pPr>
              <w:spacing w:before="80" w:after="80" w:line="200" w:lineRule="exact"/>
              <w:rPr>
                <w:bCs/>
                <w:i/>
                <w:sz w:val="16"/>
                <w:szCs w:val="16"/>
              </w:rPr>
            </w:pPr>
            <w:r>
              <w:rPr>
                <w:bCs/>
                <w:i/>
                <w:sz w:val="16"/>
                <w:szCs w:val="16"/>
              </w:rPr>
              <w:t>Genres</w:t>
            </w:r>
          </w:p>
        </w:tc>
        <w:tc>
          <w:tcPr>
            <w:tcW w:w="1422" w:type="dxa"/>
            <w:tcBorders>
              <w:bottom w:val="single" w:sz="12" w:space="0" w:color="auto"/>
            </w:tcBorders>
            <w:shd w:val="clear" w:color="auto" w:fill="auto"/>
            <w:vAlign w:val="bottom"/>
          </w:tcPr>
          <w:p w:rsidR="00000000" w:rsidRDefault="00000000">
            <w:pPr>
              <w:spacing w:before="80" w:after="80" w:line="200" w:lineRule="exact"/>
              <w:jc w:val="right"/>
              <w:rPr>
                <w:bCs/>
                <w:i/>
                <w:sz w:val="16"/>
                <w:szCs w:val="16"/>
              </w:rPr>
            </w:pPr>
            <w:r>
              <w:rPr>
                <w:bCs/>
                <w:i/>
                <w:sz w:val="16"/>
                <w:szCs w:val="16"/>
              </w:rPr>
              <w:t>Condamnés</w:t>
            </w:r>
          </w:p>
        </w:tc>
        <w:tc>
          <w:tcPr>
            <w:tcW w:w="1423" w:type="dxa"/>
            <w:tcBorders>
              <w:bottom w:val="single" w:sz="12" w:space="0" w:color="auto"/>
            </w:tcBorders>
            <w:shd w:val="clear" w:color="auto" w:fill="auto"/>
            <w:vAlign w:val="bottom"/>
          </w:tcPr>
          <w:p w:rsidR="00000000" w:rsidRDefault="00000000">
            <w:pPr>
              <w:spacing w:before="80" w:after="80" w:line="200" w:lineRule="exact"/>
              <w:jc w:val="right"/>
              <w:rPr>
                <w:bCs/>
                <w:i/>
                <w:sz w:val="16"/>
                <w:szCs w:val="16"/>
              </w:rPr>
            </w:pPr>
            <w:r>
              <w:rPr>
                <w:bCs/>
                <w:i/>
                <w:sz w:val="16"/>
                <w:szCs w:val="16"/>
              </w:rPr>
              <w:t>Prévenus</w:t>
            </w:r>
          </w:p>
        </w:tc>
        <w:tc>
          <w:tcPr>
            <w:tcW w:w="1423" w:type="dxa"/>
            <w:tcBorders>
              <w:bottom w:val="single" w:sz="12" w:space="0" w:color="auto"/>
            </w:tcBorders>
            <w:shd w:val="clear" w:color="auto" w:fill="auto"/>
            <w:vAlign w:val="bottom"/>
          </w:tcPr>
          <w:p w:rsidR="00000000" w:rsidRDefault="00000000">
            <w:pPr>
              <w:spacing w:before="80" w:after="80" w:line="200" w:lineRule="exact"/>
              <w:jc w:val="right"/>
              <w:rPr>
                <w:bCs/>
                <w:i/>
                <w:sz w:val="16"/>
                <w:szCs w:val="16"/>
              </w:rPr>
            </w:pPr>
            <w:r>
              <w:rPr>
                <w:bCs/>
                <w:i/>
                <w:sz w:val="16"/>
                <w:szCs w:val="16"/>
              </w:rPr>
              <w:t>Total/genres</w:t>
            </w:r>
          </w:p>
        </w:tc>
        <w:tc>
          <w:tcPr>
            <w:tcW w:w="1423" w:type="dxa"/>
            <w:tcBorders>
              <w:bottom w:val="single" w:sz="12" w:space="0" w:color="auto"/>
            </w:tcBorders>
            <w:shd w:val="clear" w:color="auto" w:fill="auto"/>
            <w:vAlign w:val="bottom"/>
          </w:tcPr>
          <w:p w:rsidR="00000000" w:rsidRDefault="00000000">
            <w:pPr>
              <w:spacing w:before="80" w:after="80" w:line="200" w:lineRule="exact"/>
              <w:jc w:val="right"/>
              <w:rPr>
                <w:bCs/>
                <w:i/>
                <w:sz w:val="16"/>
                <w:szCs w:val="16"/>
              </w:rPr>
            </w:pPr>
            <w:r>
              <w:rPr>
                <w:bCs/>
                <w:i/>
                <w:sz w:val="16"/>
                <w:szCs w:val="16"/>
              </w:rPr>
              <w:t xml:space="preserve">Pourcentage </w:t>
            </w:r>
          </w:p>
        </w:tc>
      </w:tr>
      <w:tr w:rsidR="00000000">
        <w:tc>
          <w:tcPr>
            <w:tcW w:w="1680" w:type="dxa"/>
            <w:tcBorders>
              <w:top w:val="single" w:sz="12" w:space="0" w:color="auto"/>
            </w:tcBorders>
            <w:shd w:val="clear" w:color="auto" w:fill="auto"/>
          </w:tcPr>
          <w:p w:rsidR="00000000" w:rsidRDefault="00000000">
            <w:pPr>
              <w:spacing w:before="40" w:after="40" w:line="220" w:lineRule="exact"/>
              <w:rPr>
                <w:bCs/>
                <w:sz w:val="18"/>
                <w:szCs w:val="18"/>
              </w:rPr>
            </w:pPr>
            <w:r>
              <w:rPr>
                <w:bCs/>
                <w:sz w:val="18"/>
                <w:szCs w:val="18"/>
              </w:rPr>
              <w:t>Hommes</w:t>
            </w:r>
          </w:p>
        </w:tc>
        <w:tc>
          <w:tcPr>
            <w:tcW w:w="1422" w:type="dxa"/>
            <w:tcBorders>
              <w:top w:val="single" w:sz="12" w:space="0" w:color="auto"/>
            </w:tcBorders>
            <w:shd w:val="clear" w:color="auto" w:fill="auto"/>
            <w:vAlign w:val="bottom"/>
          </w:tcPr>
          <w:p w:rsidR="00000000" w:rsidRDefault="00000000">
            <w:pPr>
              <w:spacing w:before="40" w:after="40" w:line="220" w:lineRule="exact"/>
              <w:jc w:val="right"/>
              <w:rPr>
                <w:sz w:val="18"/>
                <w:szCs w:val="18"/>
              </w:rPr>
            </w:pPr>
            <w:r>
              <w:rPr>
                <w:sz w:val="18"/>
                <w:szCs w:val="18"/>
              </w:rPr>
              <w:t>6 907</w:t>
            </w:r>
          </w:p>
        </w:tc>
        <w:tc>
          <w:tcPr>
            <w:tcW w:w="1423" w:type="dxa"/>
            <w:tcBorders>
              <w:top w:val="single" w:sz="12" w:space="0" w:color="auto"/>
            </w:tcBorders>
            <w:shd w:val="clear" w:color="auto" w:fill="auto"/>
            <w:vAlign w:val="bottom"/>
          </w:tcPr>
          <w:p w:rsidR="00000000" w:rsidRDefault="00000000">
            <w:pPr>
              <w:spacing w:before="40" w:after="40" w:line="220" w:lineRule="exact"/>
              <w:jc w:val="right"/>
              <w:rPr>
                <w:sz w:val="18"/>
                <w:szCs w:val="18"/>
              </w:rPr>
            </w:pPr>
            <w:r>
              <w:rPr>
                <w:sz w:val="18"/>
                <w:szCs w:val="18"/>
              </w:rPr>
              <w:t>10 034</w:t>
            </w:r>
          </w:p>
        </w:tc>
        <w:tc>
          <w:tcPr>
            <w:tcW w:w="1423" w:type="dxa"/>
            <w:tcBorders>
              <w:top w:val="single" w:sz="12" w:space="0" w:color="auto"/>
            </w:tcBorders>
            <w:shd w:val="clear" w:color="auto" w:fill="auto"/>
            <w:vAlign w:val="bottom"/>
          </w:tcPr>
          <w:p w:rsidR="00000000" w:rsidRDefault="00000000">
            <w:pPr>
              <w:spacing w:before="40" w:after="40" w:line="220" w:lineRule="exact"/>
              <w:jc w:val="right"/>
              <w:rPr>
                <w:sz w:val="18"/>
                <w:szCs w:val="18"/>
              </w:rPr>
            </w:pPr>
            <w:r>
              <w:rPr>
                <w:sz w:val="18"/>
                <w:szCs w:val="18"/>
              </w:rPr>
              <w:t>16 941</w:t>
            </w:r>
          </w:p>
        </w:tc>
        <w:tc>
          <w:tcPr>
            <w:tcW w:w="1423" w:type="dxa"/>
            <w:tcBorders>
              <w:top w:val="single" w:sz="12" w:space="0" w:color="auto"/>
            </w:tcBorders>
            <w:shd w:val="clear" w:color="auto" w:fill="auto"/>
            <w:vAlign w:val="bottom"/>
          </w:tcPr>
          <w:p w:rsidR="00000000" w:rsidRDefault="00000000">
            <w:pPr>
              <w:spacing w:before="40" w:after="40" w:line="220" w:lineRule="exact"/>
              <w:jc w:val="right"/>
              <w:rPr>
                <w:sz w:val="18"/>
                <w:szCs w:val="18"/>
              </w:rPr>
            </w:pPr>
            <w:r>
              <w:rPr>
                <w:sz w:val="18"/>
                <w:szCs w:val="18"/>
              </w:rPr>
              <w:t>94,12</w:t>
            </w:r>
          </w:p>
        </w:tc>
      </w:tr>
      <w:tr w:rsidR="00000000">
        <w:tc>
          <w:tcPr>
            <w:tcW w:w="1680" w:type="dxa"/>
            <w:shd w:val="clear" w:color="auto" w:fill="auto"/>
          </w:tcPr>
          <w:p w:rsidR="00000000" w:rsidRDefault="00000000">
            <w:pPr>
              <w:spacing w:before="40" w:after="40" w:line="220" w:lineRule="exact"/>
              <w:rPr>
                <w:bCs/>
                <w:sz w:val="18"/>
                <w:szCs w:val="18"/>
              </w:rPr>
            </w:pPr>
            <w:r>
              <w:rPr>
                <w:bCs/>
                <w:sz w:val="18"/>
                <w:szCs w:val="18"/>
              </w:rPr>
              <w:t>Femmes</w:t>
            </w:r>
          </w:p>
        </w:tc>
        <w:tc>
          <w:tcPr>
            <w:tcW w:w="1422" w:type="dxa"/>
            <w:shd w:val="clear" w:color="auto" w:fill="auto"/>
            <w:vAlign w:val="bottom"/>
          </w:tcPr>
          <w:p w:rsidR="00000000" w:rsidRDefault="00000000">
            <w:pPr>
              <w:spacing w:before="40" w:after="40" w:line="220" w:lineRule="exact"/>
              <w:jc w:val="right"/>
              <w:rPr>
                <w:sz w:val="18"/>
                <w:szCs w:val="18"/>
              </w:rPr>
            </w:pPr>
            <w:r>
              <w:rPr>
                <w:sz w:val="18"/>
                <w:szCs w:val="18"/>
              </w:rPr>
              <w:t>250</w:t>
            </w:r>
          </w:p>
        </w:tc>
        <w:tc>
          <w:tcPr>
            <w:tcW w:w="1423" w:type="dxa"/>
            <w:shd w:val="clear" w:color="auto" w:fill="auto"/>
            <w:vAlign w:val="bottom"/>
          </w:tcPr>
          <w:p w:rsidR="00000000" w:rsidRDefault="00000000">
            <w:pPr>
              <w:spacing w:before="40" w:after="40" w:line="220" w:lineRule="exact"/>
              <w:jc w:val="right"/>
              <w:rPr>
                <w:sz w:val="18"/>
                <w:szCs w:val="18"/>
              </w:rPr>
            </w:pPr>
            <w:r>
              <w:rPr>
                <w:sz w:val="18"/>
                <w:szCs w:val="18"/>
              </w:rPr>
              <w:t>481</w:t>
            </w:r>
          </w:p>
        </w:tc>
        <w:tc>
          <w:tcPr>
            <w:tcW w:w="1423" w:type="dxa"/>
            <w:shd w:val="clear" w:color="auto" w:fill="auto"/>
            <w:vAlign w:val="bottom"/>
          </w:tcPr>
          <w:p w:rsidR="00000000" w:rsidRDefault="00000000">
            <w:pPr>
              <w:spacing w:before="40" w:after="40" w:line="220" w:lineRule="exact"/>
              <w:jc w:val="right"/>
              <w:rPr>
                <w:sz w:val="18"/>
                <w:szCs w:val="18"/>
              </w:rPr>
            </w:pPr>
            <w:r>
              <w:rPr>
                <w:sz w:val="18"/>
                <w:szCs w:val="18"/>
              </w:rPr>
              <w:t>731</w:t>
            </w:r>
          </w:p>
        </w:tc>
        <w:tc>
          <w:tcPr>
            <w:tcW w:w="1423" w:type="dxa"/>
            <w:shd w:val="clear" w:color="auto" w:fill="auto"/>
            <w:vAlign w:val="bottom"/>
          </w:tcPr>
          <w:p w:rsidR="00000000" w:rsidRDefault="00000000">
            <w:pPr>
              <w:spacing w:before="40" w:after="40" w:line="220" w:lineRule="exact"/>
              <w:jc w:val="right"/>
              <w:rPr>
                <w:sz w:val="18"/>
                <w:szCs w:val="18"/>
              </w:rPr>
            </w:pPr>
            <w:r>
              <w:rPr>
                <w:sz w:val="18"/>
                <w:szCs w:val="18"/>
              </w:rPr>
              <w:t>4,06</w:t>
            </w:r>
          </w:p>
        </w:tc>
      </w:tr>
      <w:tr w:rsidR="00000000">
        <w:tc>
          <w:tcPr>
            <w:tcW w:w="1680" w:type="dxa"/>
            <w:shd w:val="clear" w:color="auto" w:fill="auto"/>
          </w:tcPr>
          <w:p w:rsidR="00000000" w:rsidRDefault="00000000">
            <w:pPr>
              <w:spacing w:before="40" w:after="40" w:line="220" w:lineRule="exact"/>
              <w:rPr>
                <w:bCs/>
                <w:sz w:val="18"/>
                <w:szCs w:val="18"/>
              </w:rPr>
            </w:pPr>
            <w:r>
              <w:rPr>
                <w:bCs/>
                <w:sz w:val="18"/>
                <w:szCs w:val="18"/>
              </w:rPr>
              <w:t>Garçons</w:t>
            </w:r>
          </w:p>
        </w:tc>
        <w:tc>
          <w:tcPr>
            <w:tcW w:w="1422" w:type="dxa"/>
            <w:shd w:val="clear" w:color="auto" w:fill="auto"/>
            <w:vAlign w:val="bottom"/>
          </w:tcPr>
          <w:p w:rsidR="00000000" w:rsidRDefault="00000000">
            <w:pPr>
              <w:spacing w:before="40" w:after="40" w:line="220" w:lineRule="exact"/>
              <w:jc w:val="right"/>
              <w:rPr>
                <w:sz w:val="18"/>
                <w:szCs w:val="18"/>
              </w:rPr>
            </w:pPr>
            <w:r>
              <w:rPr>
                <w:sz w:val="18"/>
                <w:szCs w:val="18"/>
              </w:rPr>
              <w:t>57</w:t>
            </w:r>
          </w:p>
        </w:tc>
        <w:tc>
          <w:tcPr>
            <w:tcW w:w="1423" w:type="dxa"/>
            <w:shd w:val="clear" w:color="auto" w:fill="auto"/>
            <w:vAlign w:val="bottom"/>
          </w:tcPr>
          <w:p w:rsidR="00000000" w:rsidRDefault="00000000">
            <w:pPr>
              <w:spacing w:before="40" w:after="40" w:line="220" w:lineRule="exact"/>
              <w:jc w:val="right"/>
              <w:rPr>
                <w:sz w:val="18"/>
                <w:szCs w:val="18"/>
              </w:rPr>
            </w:pPr>
            <w:r>
              <w:rPr>
                <w:sz w:val="18"/>
                <w:szCs w:val="18"/>
              </w:rPr>
              <w:t>247</w:t>
            </w:r>
          </w:p>
        </w:tc>
        <w:tc>
          <w:tcPr>
            <w:tcW w:w="1423" w:type="dxa"/>
            <w:shd w:val="clear" w:color="auto" w:fill="auto"/>
            <w:vAlign w:val="bottom"/>
          </w:tcPr>
          <w:p w:rsidR="00000000" w:rsidRDefault="00000000">
            <w:pPr>
              <w:spacing w:before="40" w:after="40" w:line="220" w:lineRule="exact"/>
              <w:jc w:val="right"/>
              <w:rPr>
                <w:sz w:val="18"/>
                <w:szCs w:val="18"/>
              </w:rPr>
            </w:pPr>
            <w:r>
              <w:rPr>
                <w:sz w:val="18"/>
                <w:szCs w:val="18"/>
              </w:rPr>
              <w:t>304</w:t>
            </w:r>
          </w:p>
        </w:tc>
        <w:tc>
          <w:tcPr>
            <w:tcW w:w="1423" w:type="dxa"/>
            <w:shd w:val="clear" w:color="auto" w:fill="auto"/>
            <w:vAlign w:val="bottom"/>
          </w:tcPr>
          <w:p w:rsidR="00000000" w:rsidRDefault="00000000">
            <w:pPr>
              <w:spacing w:before="40" w:after="40" w:line="220" w:lineRule="exact"/>
              <w:jc w:val="right"/>
              <w:rPr>
                <w:sz w:val="18"/>
                <w:szCs w:val="18"/>
              </w:rPr>
            </w:pPr>
            <w:r>
              <w:rPr>
                <w:sz w:val="18"/>
                <w:szCs w:val="18"/>
              </w:rPr>
              <w:t>1,69</w:t>
            </w:r>
          </w:p>
        </w:tc>
      </w:tr>
      <w:tr w:rsidR="00000000">
        <w:tc>
          <w:tcPr>
            <w:tcW w:w="1680" w:type="dxa"/>
            <w:shd w:val="clear" w:color="auto" w:fill="auto"/>
          </w:tcPr>
          <w:p w:rsidR="00000000" w:rsidRDefault="00000000">
            <w:pPr>
              <w:spacing w:before="40" w:after="40" w:line="220" w:lineRule="exact"/>
              <w:rPr>
                <w:bCs/>
                <w:sz w:val="18"/>
                <w:szCs w:val="18"/>
              </w:rPr>
            </w:pPr>
            <w:r>
              <w:rPr>
                <w:bCs/>
                <w:sz w:val="18"/>
                <w:szCs w:val="18"/>
              </w:rPr>
              <w:t>Filles</w:t>
            </w:r>
          </w:p>
        </w:tc>
        <w:tc>
          <w:tcPr>
            <w:tcW w:w="1422" w:type="dxa"/>
            <w:shd w:val="clear" w:color="auto" w:fill="auto"/>
            <w:vAlign w:val="bottom"/>
          </w:tcPr>
          <w:p w:rsidR="00000000" w:rsidRDefault="00000000">
            <w:pPr>
              <w:spacing w:before="40" w:after="40" w:line="220" w:lineRule="exact"/>
              <w:jc w:val="right"/>
              <w:rPr>
                <w:sz w:val="18"/>
                <w:szCs w:val="18"/>
              </w:rPr>
            </w:pPr>
          </w:p>
        </w:tc>
        <w:tc>
          <w:tcPr>
            <w:tcW w:w="1423" w:type="dxa"/>
            <w:shd w:val="clear" w:color="auto" w:fill="auto"/>
            <w:vAlign w:val="bottom"/>
          </w:tcPr>
          <w:p w:rsidR="00000000" w:rsidRDefault="00000000">
            <w:pPr>
              <w:spacing w:before="40" w:after="40" w:line="220" w:lineRule="exact"/>
              <w:jc w:val="right"/>
              <w:rPr>
                <w:sz w:val="18"/>
                <w:szCs w:val="18"/>
              </w:rPr>
            </w:pPr>
            <w:r>
              <w:rPr>
                <w:sz w:val="18"/>
                <w:szCs w:val="18"/>
              </w:rPr>
              <w:t>24</w:t>
            </w:r>
          </w:p>
        </w:tc>
        <w:tc>
          <w:tcPr>
            <w:tcW w:w="1423" w:type="dxa"/>
            <w:shd w:val="clear" w:color="auto" w:fill="auto"/>
            <w:vAlign w:val="bottom"/>
          </w:tcPr>
          <w:p w:rsidR="00000000" w:rsidRDefault="00000000">
            <w:pPr>
              <w:spacing w:before="40" w:after="40" w:line="220" w:lineRule="exact"/>
              <w:jc w:val="right"/>
              <w:rPr>
                <w:sz w:val="18"/>
                <w:szCs w:val="18"/>
              </w:rPr>
            </w:pPr>
            <w:r>
              <w:rPr>
                <w:sz w:val="18"/>
                <w:szCs w:val="18"/>
              </w:rPr>
              <w:t>24</w:t>
            </w:r>
          </w:p>
        </w:tc>
        <w:tc>
          <w:tcPr>
            <w:tcW w:w="1423" w:type="dxa"/>
            <w:shd w:val="clear" w:color="auto" w:fill="auto"/>
            <w:vAlign w:val="bottom"/>
          </w:tcPr>
          <w:p w:rsidR="00000000" w:rsidRDefault="00000000">
            <w:pPr>
              <w:spacing w:before="40" w:after="40" w:line="220" w:lineRule="exact"/>
              <w:jc w:val="right"/>
              <w:rPr>
                <w:sz w:val="18"/>
                <w:szCs w:val="18"/>
              </w:rPr>
            </w:pPr>
            <w:r>
              <w:rPr>
                <w:sz w:val="18"/>
                <w:szCs w:val="18"/>
              </w:rPr>
              <w:t>0,13</w:t>
            </w:r>
          </w:p>
        </w:tc>
      </w:tr>
      <w:tr w:rsidR="00000000">
        <w:tc>
          <w:tcPr>
            <w:tcW w:w="1680" w:type="dxa"/>
            <w:shd w:val="clear" w:color="auto" w:fill="auto"/>
          </w:tcPr>
          <w:p w:rsidR="00000000" w:rsidRDefault="00000000">
            <w:pPr>
              <w:spacing w:before="40" w:after="40" w:line="220" w:lineRule="exact"/>
              <w:rPr>
                <w:bCs/>
                <w:sz w:val="18"/>
                <w:szCs w:val="18"/>
              </w:rPr>
            </w:pPr>
            <w:r>
              <w:rPr>
                <w:bCs/>
                <w:sz w:val="18"/>
                <w:szCs w:val="18"/>
              </w:rPr>
              <w:t>Total /catégories</w:t>
            </w:r>
          </w:p>
        </w:tc>
        <w:tc>
          <w:tcPr>
            <w:tcW w:w="1422" w:type="dxa"/>
            <w:shd w:val="clear" w:color="auto" w:fill="auto"/>
            <w:vAlign w:val="bottom"/>
          </w:tcPr>
          <w:p w:rsidR="00000000" w:rsidRDefault="00000000">
            <w:pPr>
              <w:spacing w:before="40" w:after="40" w:line="220" w:lineRule="exact"/>
              <w:jc w:val="right"/>
              <w:rPr>
                <w:sz w:val="18"/>
                <w:szCs w:val="18"/>
              </w:rPr>
            </w:pPr>
            <w:r>
              <w:rPr>
                <w:sz w:val="18"/>
                <w:szCs w:val="18"/>
              </w:rPr>
              <w:t>7 214</w:t>
            </w:r>
          </w:p>
        </w:tc>
        <w:tc>
          <w:tcPr>
            <w:tcW w:w="1423" w:type="dxa"/>
            <w:shd w:val="clear" w:color="auto" w:fill="auto"/>
            <w:vAlign w:val="bottom"/>
          </w:tcPr>
          <w:p w:rsidR="00000000" w:rsidRDefault="00000000">
            <w:pPr>
              <w:spacing w:before="40" w:after="40" w:line="220" w:lineRule="exact"/>
              <w:jc w:val="right"/>
              <w:rPr>
                <w:sz w:val="18"/>
                <w:szCs w:val="18"/>
              </w:rPr>
            </w:pPr>
            <w:r>
              <w:rPr>
                <w:sz w:val="18"/>
                <w:szCs w:val="18"/>
              </w:rPr>
              <w:t>10 786</w:t>
            </w:r>
          </w:p>
        </w:tc>
        <w:tc>
          <w:tcPr>
            <w:tcW w:w="1423" w:type="dxa"/>
            <w:shd w:val="clear" w:color="auto" w:fill="auto"/>
            <w:vAlign w:val="bottom"/>
          </w:tcPr>
          <w:p w:rsidR="00000000" w:rsidRDefault="00000000">
            <w:pPr>
              <w:spacing w:before="40" w:after="40" w:line="220" w:lineRule="exact"/>
              <w:jc w:val="right"/>
              <w:rPr>
                <w:sz w:val="18"/>
                <w:szCs w:val="18"/>
              </w:rPr>
            </w:pPr>
            <w:r>
              <w:rPr>
                <w:sz w:val="18"/>
                <w:szCs w:val="18"/>
              </w:rPr>
              <w:t>18 000</w:t>
            </w:r>
          </w:p>
        </w:tc>
        <w:tc>
          <w:tcPr>
            <w:tcW w:w="1423" w:type="dxa"/>
            <w:shd w:val="clear" w:color="auto" w:fill="auto"/>
            <w:vAlign w:val="bottom"/>
          </w:tcPr>
          <w:p w:rsidR="00000000" w:rsidRDefault="00000000">
            <w:pPr>
              <w:spacing w:before="40" w:after="40" w:line="220" w:lineRule="exact"/>
              <w:jc w:val="right"/>
              <w:rPr>
                <w:sz w:val="18"/>
                <w:szCs w:val="18"/>
              </w:rPr>
            </w:pPr>
            <w:r>
              <w:rPr>
                <w:sz w:val="18"/>
                <w:szCs w:val="18"/>
              </w:rPr>
              <w:t>100,00</w:t>
            </w:r>
          </w:p>
        </w:tc>
      </w:tr>
      <w:tr w:rsidR="00000000">
        <w:tc>
          <w:tcPr>
            <w:tcW w:w="1680" w:type="dxa"/>
            <w:tcBorders>
              <w:bottom w:val="single" w:sz="12" w:space="0" w:color="auto"/>
            </w:tcBorders>
            <w:shd w:val="clear" w:color="auto" w:fill="auto"/>
          </w:tcPr>
          <w:p w:rsidR="00000000" w:rsidRDefault="00000000">
            <w:pPr>
              <w:spacing w:before="40" w:after="40" w:line="220" w:lineRule="exact"/>
              <w:rPr>
                <w:bCs/>
                <w:sz w:val="18"/>
                <w:szCs w:val="18"/>
              </w:rPr>
            </w:pPr>
            <w:r>
              <w:rPr>
                <w:bCs/>
                <w:sz w:val="18"/>
                <w:szCs w:val="18"/>
              </w:rPr>
              <w:t>Pourcentage</w:t>
            </w:r>
          </w:p>
        </w:tc>
        <w:tc>
          <w:tcPr>
            <w:tcW w:w="1422" w:type="dxa"/>
            <w:tcBorders>
              <w:bottom w:val="single" w:sz="12" w:space="0" w:color="auto"/>
            </w:tcBorders>
            <w:shd w:val="clear" w:color="auto" w:fill="auto"/>
            <w:vAlign w:val="bottom"/>
          </w:tcPr>
          <w:p w:rsidR="00000000" w:rsidRDefault="00000000">
            <w:pPr>
              <w:spacing w:before="40" w:after="40" w:line="220" w:lineRule="exact"/>
              <w:jc w:val="right"/>
              <w:rPr>
                <w:sz w:val="18"/>
                <w:szCs w:val="18"/>
              </w:rPr>
            </w:pPr>
            <w:r>
              <w:rPr>
                <w:sz w:val="18"/>
                <w:szCs w:val="18"/>
              </w:rPr>
              <w:t>40,08</w:t>
            </w:r>
          </w:p>
        </w:tc>
        <w:tc>
          <w:tcPr>
            <w:tcW w:w="1423" w:type="dxa"/>
            <w:tcBorders>
              <w:bottom w:val="single" w:sz="12" w:space="0" w:color="auto"/>
            </w:tcBorders>
            <w:shd w:val="clear" w:color="auto" w:fill="auto"/>
            <w:vAlign w:val="bottom"/>
          </w:tcPr>
          <w:p w:rsidR="00000000" w:rsidRDefault="00000000">
            <w:pPr>
              <w:spacing w:before="40" w:after="40" w:line="220" w:lineRule="exact"/>
              <w:jc w:val="right"/>
              <w:rPr>
                <w:sz w:val="18"/>
                <w:szCs w:val="18"/>
              </w:rPr>
            </w:pPr>
            <w:r>
              <w:rPr>
                <w:sz w:val="18"/>
                <w:szCs w:val="18"/>
              </w:rPr>
              <w:t>59,92</w:t>
            </w:r>
          </w:p>
        </w:tc>
        <w:tc>
          <w:tcPr>
            <w:tcW w:w="1423" w:type="dxa"/>
            <w:tcBorders>
              <w:bottom w:val="single" w:sz="12" w:space="0" w:color="auto"/>
            </w:tcBorders>
            <w:shd w:val="clear" w:color="auto" w:fill="auto"/>
            <w:vAlign w:val="bottom"/>
          </w:tcPr>
          <w:p w:rsidR="00000000" w:rsidRDefault="00000000">
            <w:pPr>
              <w:spacing w:before="40" w:after="40" w:line="220" w:lineRule="exact"/>
              <w:jc w:val="right"/>
              <w:rPr>
                <w:sz w:val="18"/>
                <w:szCs w:val="18"/>
              </w:rPr>
            </w:pPr>
            <w:r>
              <w:rPr>
                <w:sz w:val="18"/>
                <w:szCs w:val="18"/>
              </w:rPr>
              <w:t>100,00</w:t>
            </w:r>
          </w:p>
        </w:tc>
        <w:tc>
          <w:tcPr>
            <w:tcW w:w="1423" w:type="dxa"/>
            <w:tcBorders>
              <w:bottom w:val="single" w:sz="12" w:space="0" w:color="auto"/>
            </w:tcBorders>
            <w:shd w:val="clear" w:color="auto" w:fill="auto"/>
            <w:vAlign w:val="bottom"/>
          </w:tcPr>
          <w:p w:rsidR="00000000" w:rsidRDefault="00000000">
            <w:pPr>
              <w:spacing w:before="40" w:after="40" w:line="220" w:lineRule="exact"/>
              <w:jc w:val="right"/>
              <w:rPr>
                <w:sz w:val="18"/>
                <w:szCs w:val="18"/>
              </w:rPr>
            </w:pPr>
          </w:p>
        </w:tc>
      </w:tr>
    </w:tbl>
    <w:p w:rsidR="00000000" w:rsidRDefault="00000000">
      <w:pPr>
        <w:spacing w:before="120" w:after="240"/>
        <w:ind w:left="1134" w:firstLine="170"/>
        <w:rPr>
          <w:sz w:val="18"/>
          <w:szCs w:val="18"/>
          <w:lang w:val="fr-FR"/>
        </w:rPr>
      </w:pPr>
      <w:r>
        <w:rPr>
          <w:i/>
          <w:sz w:val="18"/>
          <w:szCs w:val="18"/>
          <w:lang w:val="fr-FR"/>
        </w:rPr>
        <w:t>Source</w:t>
      </w:r>
      <w:r>
        <w:rPr>
          <w:sz w:val="18"/>
          <w:szCs w:val="18"/>
          <w:lang w:val="fr-FR"/>
        </w:rPr>
        <w:t>: Service de contrôle de la détention et de la statistique/ DGAP/ MINJUS.</w:t>
      </w:r>
    </w:p>
    <w:p w:rsidR="00000000" w:rsidRDefault="00000000">
      <w:pPr>
        <w:pStyle w:val="SingleTxtG"/>
        <w:rPr>
          <w:lang w:val="fr-FR"/>
        </w:rPr>
      </w:pPr>
      <w:r>
        <w:rPr>
          <w:lang w:val="fr-FR"/>
        </w:rPr>
        <w:t>651.</w:t>
      </w:r>
      <w:r>
        <w:rPr>
          <w:lang w:val="fr-FR"/>
        </w:rPr>
        <w:tab/>
        <w:t>Au mois de septembre 2007, dans les 14 circonscriptions pénitentiaires, sur un total de 304 adolescents en prison, 20 % (61) étaient condamnés et 80 % (243) prévenus (Source: Ministère de la justice).</w:t>
      </w:r>
    </w:p>
    <w:p w:rsidR="00000000" w:rsidRDefault="00000000">
      <w:pPr>
        <w:pStyle w:val="SingleTxtG"/>
        <w:rPr>
          <w:lang w:val="fr-FR"/>
        </w:rPr>
      </w:pPr>
      <w:r>
        <w:rPr>
          <w:lang w:val="fr-FR"/>
        </w:rPr>
        <w:t>652.</w:t>
      </w:r>
      <w:r>
        <w:rPr>
          <w:lang w:val="fr-FR"/>
        </w:rPr>
        <w:tab/>
        <w:t>Le tableau ci-dessus démontre qu’il n’y a pas systématisation du recours à la détention à l’endroit des enfants en conflit avec la loi.</w:t>
      </w:r>
    </w:p>
    <w:p w:rsidR="00000000" w:rsidRDefault="00000000">
      <w:pPr>
        <w:pStyle w:val="H56G"/>
        <w:rPr>
          <w:i/>
          <w:lang w:val="fr-FR"/>
        </w:rPr>
      </w:pPr>
      <w:r>
        <w:rPr>
          <w:lang w:val="fr-FR"/>
        </w:rPr>
        <w:tab/>
      </w:r>
      <w:r>
        <w:rPr>
          <w:lang w:val="fr-FR"/>
        </w:rPr>
        <w:tab/>
      </w:r>
      <w:r>
        <w:rPr>
          <w:lang w:val="fr-FR"/>
        </w:rPr>
        <w:tab/>
        <w:t>Traitement des mineurs durant la détention</w:t>
      </w:r>
    </w:p>
    <w:p w:rsidR="00000000" w:rsidRDefault="00000000">
      <w:pPr>
        <w:pStyle w:val="SingleTxtG"/>
        <w:rPr>
          <w:lang w:val="fr-FR"/>
        </w:rPr>
      </w:pPr>
      <w:r>
        <w:rPr>
          <w:lang w:val="fr-FR"/>
        </w:rPr>
        <w:t>653.</w:t>
      </w:r>
      <w:r>
        <w:rPr>
          <w:lang w:val="fr-FR"/>
        </w:rPr>
        <w:tab/>
        <w:t xml:space="preserve">L’article 16 du décret </w:t>
      </w:r>
      <w:r>
        <w:rPr>
          <w:rFonts w:eastAsia="MS Mincho"/>
          <w:lang w:val="fr-FR"/>
        </w:rPr>
        <w:t>n</w:t>
      </w:r>
      <w:r>
        <w:rPr>
          <w:rFonts w:eastAsia="MS Mincho"/>
          <w:vertAlign w:val="superscript"/>
          <w:lang w:val="fr-FR"/>
        </w:rPr>
        <w:t>o</w:t>
      </w:r>
      <w:r>
        <w:rPr>
          <w:lang w:val="fr-FR"/>
        </w:rPr>
        <w:t xml:space="preserve"> 2006-015 interdit au personnel pénitentiaire et aux personnes ayant accès dans les établissements pénitentiaires de se livrer à des mauvais traitements aux enfants détenus dans les locaux de détention ou placés dans des centres de rééducation.</w:t>
      </w:r>
    </w:p>
    <w:p w:rsidR="00000000" w:rsidRDefault="00000000">
      <w:pPr>
        <w:pStyle w:val="SingleTxtG"/>
        <w:rPr>
          <w:lang w:val="fr-FR"/>
        </w:rPr>
      </w:pPr>
      <w:r>
        <w:rPr>
          <w:lang w:val="fr-FR"/>
        </w:rPr>
        <w:t>654.</w:t>
      </w:r>
      <w:r>
        <w:rPr>
          <w:lang w:val="fr-FR"/>
        </w:rPr>
        <w:tab/>
        <w:t xml:space="preserve">En outre ce même texte garantit aux personnes privées de liberté en ses articles 65 à 75 un droit à l’hygiène, à la salubrité ainsi qu’à une alimentation variée et préparée, et d’avoir un espace suffisant pour dormir. </w:t>
      </w:r>
    </w:p>
    <w:p w:rsidR="00000000" w:rsidRDefault="00000000">
      <w:pPr>
        <w:pStyle w:val="SingleTxtG"/>
        <w:rPr>
          <w:lang w:val="fr-FR"/>
        </w:rPr>
      </w:pPr>
      <w:r>
        <w:rPr>
          <w:lang w:val="fr-FR"/>
        </w:rPr>
        <w:t>655.</w:t>
      </w:r>
      <w:r>
        <w:rPr>
          <w:lang w:val="fr-FR"/>
        </w:rPr>
        <w:tab/>
        <w:t xml:space="preserve">Le Code de conduite du personnel de l’administration pénitentiaire, objet de l’arrêté </w:t>
      </w:r>
      <w:r>
        <w:rPr>
          <w:rFonts w:eastAsia="MS Mincho"/>
          <w:lang w:val="fr-FR"/>
        </w:rPr>
        <w:t>n</w:t>
      </w:r>
      <w:r>
        <w:rPr>
          <w:rFonts w:eastAsia="MS Mincho"/>
          <w:vertAlign w:val="superscript"/>
          <w:lang w:val="fr-FR"/>
        </w:rPr>
        <w:t>o</w:t>
      </w:r>
      <w:r>
        <w:rPr>
          <w:lang w:val="fr-FR"/>
        </w:rPr>
        <w:t xml:space="preserve"> 10 340/2007 interdit tout traitement inhumain et dégradant envers les personnes détenues y compris les enfants privés de liberté.</w:t>
      </w:r>
    </w:p>
    <w:p w:rsidR="00000000" w:rsidRDefault="00000000">
      <w:pPr>
        <w:pStyle w:val="SingleTxtG"/>
        <w:rPr>
          <w:lang w:val="fr-FR"/>
        </w:rPr>
      </w:pPr>
      <w:r>
        <w:rPr>
          <w:lang w:val="fr-FR"/>
        </w:rPr>
        <w:t>656.</w:t>
      </w:r>
      <w:r>
        <w:rPr>
          <w:lang w:val="fr-FR"/>
        </w:rPr>
        <w:tab/>
        <w:t>En cas de mauvais traitement, la possibilité de présenter des plaintes conformément à l’article 123 dudit décret est reconnue aux enfants. Cette garantie sera étendue aux profits des enfants placés dans des centres de rééducation, après l’adoption d’un projet de décret conçu dans ce sens.</w:t>
      </w:r>
    </w:p>
    <w:p w:rsidR="00000000" w:rsidRDefault="00000000">
      <w:pPr>
        <w:pStyle w:val="SingleTxtG"/>
        <w:rPr>
          <w:lang w:val="fr-FR"/>
        </w:rPr>
      </w:pPr>
      <w:r>
        <w:rPr>
          <w:lang w:val="fr-FR"/>
        </w:rPr>
        <w:t>657.</w:t>
      </w:r>
      <w:r>
        <w:rPr>
          <w:lang w:val="fr-FR"/>
        </w:rPr>
        <w:tab/>
        <w:t xml:space="preserve">Le Ministère de la justice en collaboration avec le PNUD a édité et diffusé un «Guide pratique de respect des droits humains» destinés aux responsables de l’application des lois (magistrats, policiers, gendarmes, personnel pénitentiaire). Ce guide reprend entre autres, les principes généraux interdisant les maltraitances envers les enfants détenus. </w:t>
      </w:r>
    </w:p>
    <w:p w:rsidR="00000000" w:rsidRDefault="00000000">
      <w:pPr>
        <w:pStyle w:val="SingleTxtG"/>
        <w:rPr>
          <w:lang w:val="fr-FR"/>
        </w:rPr>
      </w:pPr>
      <w:r>
        <w:rPr>
          <w:lang w:val="fr-FR"/>
        </w:rPr>
        <w:t>658.</w:t>
      </w:r>
      <w:r>
        <w:rPr>
          <w:lang w:val="fr-FR"/>
        </w:rPr>
        <w:tab/>
        <w:t>Depuis 2006, 400 responsables de l’application des lois dans huit juridictions ont été formés aux fins d’une appropriation et d’une application effective de la Convention. Ces formations seront poursuivies dans d’autres juridictions.</w:t>
      </w:r>
    </w:p>
    <w:p w:rsidR="00000000" w:rsidRDefault="00000000">
      <w:pPr>
        <w:pStyle w:val="H56G"/>
        <w:rPr>
          <w:lang w:val="fr-FR"/>
        </w:rPr>
      </w:pPr>
      <w:r>
        <w:rPr>
          <w:lang w:val="fr-FR"/>
        </w:rPr>
        <w:tab/>
      </w:r>
      <w:r>
        <w:rPr>
          <w:lang w:val="fr-FR"/>
        </w:rPr>
        <w:tab/>
      </w:r>
      <w:r>
        <w:rPr>
          <w:lang w:val="fr-FR"/>
        </w:rPr>
        <w:tab/>
        <w:t>Conditions de détention des enfants en conflit avec la loi</w:t>
      </w:r>
    </w:p>
    <w:p w:rsidR="00000000" w:rsidRDefault="00000000">
      <w:pPr>
        <w:pStyle w:val="SingleTxtG"/>
        <w:rPr>
          <w:lang w:val="fr-FR"/>
        </w:rPr>
      </w:pPr>
      <w:r>
        <w:rPr>
          <w:lang w:val="fr-FR"/>
        </w:rPr>
        <w:t>659.</w:t>
      </w:r>
      <w:r>
        <w:rPr>
          <w:lang w:val="fr-FR"/>
        </w:rPr>
        <w:tab/>
      </w:r>
      <w:r>
        <w:rPr>
          <w:b/>
          <w:lang w:val="fr-FR"/>
        </w:rPr>
        <w:t xml:space="preserve">Séparation des mineurs avec les personnes détenues adultes. </w:t>
      </w:r>
      <w:r>
        <w:rPr>
          <w:lang w:val="fr-FR"/>
        </w:rPr>
        <w:t xml:space="preserve">Comme il a été déjà mentionné plus haut, le but est de procéder à la séparation progressive des mineurs avec les personnes détenues adultes. </w:t>
      </w:r>
    </w:p>
    <w:p w:rsidR="00000000" w:rsidRDefault="00000000">
      <w:pPr>
        <w:pStyle w:val="SingleTxtG"/>
        <w:rPr>
          <w:lang w:val="fr-FR"/>
        </w:rPr>
      </w:pPr>
      <w:r>
        <w:rPr>
          <w:lang w:val="fr-FR"/>
        </w:rPr>
        <w:t>660.</w:t>
      </w:r>
      <w:r>
        <w:rPr>
          <w:lang w:val="fr-FR"/>
        </w:rPr>
        <w:tab/>
        <w:t>Dans les établissements pénitentiaires la séparation des enfants avec les adultes n’est pas encore effective. Faute d’infrastructures suffisantes, certains enfants en conflit avec la loi sont placés dans des établissements pénitentiaires.</w:t>
      </w:r>
    </w:p>
    <w:p w:rsidR="00000000" w:rsidRDefault="00000000">
      <w:pPr>
        <w:pStyle w:val="SingleTxtG"/>
        <w:rPr>
          <w:lang w:val="fr-FR"/>
        </w:rPr>
      </w:pPr>
      <w:r>
        <w:rPr>
          <w:lang w:val="fr-FR"/>
        </w:rPr>
        <w:t>661.</w:t>
      </w:r>
      <w:r>
        <w:rPr>
          <w:lang w:val="fr-FR"/>
        </w:rPr>
        <w:tab/>
        <w:t xml:space="preserve">Des mesures réglementaires ont été adoptées pour la réalisation progressive de la séparation des quartiers des mineurs avec ceux des adultes dont le décret </w:t>
      </w:r>
      <w:r>
        <w:rPr>
          <w:rFonts w:eastAsia="MS Mincho"/>
          <w:lang w:val="fr-FR"/>
        </w:rPr>
        <w:t>n</w:t>
      </w:r>
      <w:r>
        <w:rPr>
          <w:rFonts w:eastAsia="MS Mincho"/>
          <w:vertAlign w:val="superscript"/>
          <w:lang w:val="fr-FR"/>
        </w:rPr>
        <w:t>o</w:t>
      </w:r>
      <w:r>
        <w:rPr>
          <w:lang w:val="fr-FR"/>
        </w:rPr>
        <w:t xml:space="preserve"> 2006- 015 du 17 janvier 2007 qui prévoit en son article 28 la séparation des personnes détenues, hommes, femmes, et enfants dans des établissements ou des quartiers séparés.</w:t>
      </w:r>
    </w:p>
    <w:p w:rsidR="00000000" w:rsidRDefault="00000000">
      <w:pPr>
        <w:pStyle w:val="SingleTxtG"/>
        <w:rPr>
          <w:lang w:val="fr-FR"/>
        </w:rPr>
      </w:pPr>
      <w:r>
        <w:rPr>
          <w:lang w:val="fr-FR"/>
        </w:rPr>
        <w:t>662.</w:t>
      </w:r>
      <w:r>
        <w:rPr>
          <w:lang w:val="fr-FR"/>
        </w:rPr>
        <w:tab/>
        <w:t xml:space="preserve">Des quartiers séparés, réservés aux mineurs ont été réalisés à Antanimora/Antananarivo, Vatomandry, Taolagnaro, Toliara, Toamasina. Celui d’Antanimora est totalement excentré des quartiers réservés aux adultes, ce qui exclut tout risque de promiscuité avec les détenus majeurs. La mise en œuvre de ces mesures est poursuivie pour les autres centres de détention dans la limite des possibilités budgétaires après détermination des priorités. En effet, dans cinq pénitentiaires du nord de Madagascar, les enfants sont en contact permanent avec les adultes dans la cour, aux toilettes, aux points d’eau. </w:t>
      </w:r>
    </w:p>
    <w:p w:rsidR="00000000" w:rsidRDefault="00000000">
      <w:pPr>
        <w:pStyle w:val="SingleTxtG"/>
        <w:rPr>
          <w:lang w:val="fr-FR"/>
        </w:rPr>
      </w:pPr>
      <w:r>
        <w:rPr>
          <w:lang w:val="fr-FR"/>
        </w:rPr>
        <w:t>663.</w:t>
      </w:r>
      <w:r>
        <w:rPr>
          <w:lang w:val="fr-FR"/>
        </w:rPr>
        <w:tab/>
        <w:t>La séparation d’avec les adultes n’est pas effective pour les filles, puisqu’il n’existe pas de quartier de mineur de sexe féminin dans les établissements pénitentiaires. Les mineures sont placées dans les quartiers réservés aux femmes.</w:t>
      </w:r>
    </w:p>
    <w:p w:rsidR="00000000" w:rsidRDefault="00000000">
      <w:pPr>
        <w:pStyle w:val="SingleTxtG"/>
        <w:rPr>
          <w:lang w:val="fr-FR"/>
        </w:rPr>
      </w:pPr>
      <w:r>
        <w:rPr>
          <w:lang w:val="fr-FR"/>
        </w:rPr>
        <w:t>664.</w:t>
      </w:r>
      <w:r>
        <w:rPr>
          <w:lang w:val="fr-FR"/>
        </w:rPr>
        <w:tab/>
        <w:t>La séparation des prévenus avec les condamnés n’est pas encore atteinte.</w:t>
      </w:r>
    </w:p>
    <w:p w:rsidR="00000000" w:rsidRDefault="00000000">
      <w:pPr>
        <w:pStyle w:val="SingleTxtG"/>
        <w:rPr>
          <w:lang w:val="fr-FR"/>
        </w:rPr>
      </w:pPr>
      <w:r>
        <w:rPr>
          <w:lang w:val="fr-FR"/>
        </w:rPr>
        <w:t>665.</w:t>
      </w:r>
      <w:r>
        <w:rPr>
          <w:lang w:val="fr-FR"/>
        </w:rPr>
        <w:tab/>
      </w:r>
      <w:r>
        <w:rPr>
          <w:b/>
          <w:lang w:val="fr-FR"/>
        </w:rPr>
        <w:t xml:space="preserve">Contact avec la famille. </w:t>
      </w:r>
      <w:r>
        <w:rPr>
          <w:lang w:val="fr-FR"/>
        </w:rPr>
        <w:t xml:space="preserve">Le décret </w:t>
      </w:r>
      <w:r>
        <w:rPr>
          <w:rFonts w:eastAsia="MS Mincho"/>
          <w:lang w:val="fr-FR"/>
        </w:rPr>
        <w:t>n</w:t>
      </w:r>
      <w:r>
        <w:rPr>
          <w:rFonts w:eastAsia="MS Mincho"/>
          <w:vertAlign w:val="superscript"/>
          <w:lang w:val="fr-FR"/>
        </w:rPr>
        <w:t>o</w:t>
      </w:r>
      <w:r>
        <w:rPr>
          <w:lang w:val="fr-FR"/>
        </w:rPr>
        <w:t xml:space="preserve"> 2006-015 portant organisation générale de l’Administration pénitentiaire en ses articles 93 à 97 et ses articles 98 à 99 octroie aux enfants détenus le droit d’avoir des contacts avec leurs proches ou défenseurs par la correspondance et les visites.</w:t>
      </w:r>
    </w:p>
    <w:p w:rsidR="00000000" w:rsidRDefault="00000000">
      <w:pPr>
        <w:pStyle w:val="SingleTxtG"/>
        <w:rPr>
          <w:lang w:val="fr-FR"/>
        </w:rPr>
      </w:pPr>
      <w:r>
        <w:rPr>
          <w:lang w:val="fr-FR"/>
        </w:rPr>
        <w:t>666.</w:t>
      </w:r>
      <w:r>
        <w:rPr>
          <w:lang w:val="fr-FR"/>
        </w:rPr>
        <w:tab/>
        <w:t xml:space="preserve">Des journées visites sont organisées, deux fois par semaine, dans tous les établissements pénitentiaires de Madagascar. Les règlements intérieurs régissant ces établissements prévoient systématiquement, conformément au décret </w:t>
      </w:r>
      <w:r>
        <w:rPr>
          <w:rFonts w:eastAsia="MS Mincho"/>
          <w:lang w:val="fr-FR"/>
        </w:rPr>
        <w:t>n</w:t>
      </w:r>
      <w:r>
        <w:rPr>
          <w:rFonts w:eastAsia="MS Mincho"/>
          <w:vertAlign w:val="superscript"/>
          <w:lang w:val="fr-FR"/>
        </w:rPr>
        <w:t>o</w:t>
      </w:r>
      <w:r>
        <w:rPr>
          <w:lang w:val="fr-FR"/>
        </w:rPr>
        <w:t xml:space="preserve"> 2006-015 ces visites. Ces visites ne peuvent être suspendues qu’en cas de circonstances exceptionnelles (à la suite d’une évasion ou risque d’évasion…) Il en est de même pour les centres de rééducation.</w:t>
      </w:r>
    </w:p>
    <w:p w:rsidR="00000000" w:rsidRDefault="00000000">
      <w:pPr>
        <w:pStyle w:val="SingleTxtG"/>
        <w:rPr>
          <w:lang w:val="fr-FR"/>
        </w:rPr>
      </w:pPr>
      <w:r>
        <w:rPr>
          <w:lang w:val="fr-FR"/>
        </w:rPr>
        <w:t>667.</w:t>
      </w:r>
      <w:r>
        <w:rPr>
          <w:lang w:val="fr-FR"/>
        </w:rPr>
        <w:tab/>
        <w:t>Les enfants détenus bénéficient également des visites des travailleurs sociaux.</w:t>
      </w:r>
    </w:p>
    <w:p w:rsidR="00000000" w:rsidRDefault="00000000">
      <w:pPr>
        <w:pStyle w:val="SingleTxtG"/>
        <w:rPr>
          <w:lang w:val="fr-FR"/>
        </w:rPr>
      </w:pPr>
      <w:r>
        <w:rPr>
          <w:lang w:val="fr-FR"/>
        </w:rPr>
        <w:t>668.</w:t>
      </w:r>
      <w:r>
        <w:rPr>
          <w:lang w:val="fr-FR"/>
        </w:rPr>
        <w:tab/>
      </w:r>
      <w:r>
        <w:rPr>
          <w:b/>
          <w:lang w:val="fr-FR"/>
        </w:rPr>
        <w:t xml:space="preserve">Mécanisme indépendant de contrôle. </w:t>
      </w:r>
      <w:r>
        <w:rPr>
          <w:lang w:val="fr-FR"/>
        </w:rPr>
        <w:t>Un service central chargé de l’éducation surveillée a été mis en place en 2004 au niveau du Ministère de la justice. Ce service est chargé de procéder à des inspections ou visites de tous les établissements pénitentiaires accueillant des enfants détenus ou des tous les centres de rééducation. Compte-tenu des moyens limités, tous les centres n’ont pas encore pu bénéficier de ces visites. Sont priorisés, la visite des centres dénoncés pour des cas de maltraitance d’enfants.</w:t>
      </w:r>
    </w:p>
    <w:p w:rsidR="00000000" w:rsidRDefault="00000000">
      <w:pPr>
        <w:pStyle w:val="SingleTxtG"/>
        <w:rPr>
          <w:lang w:val="fr-FR"/>
        </w:rPr>
      </w:pPr>
      <w:r>
        <w:rPr>
          <w:lang w:val="fr-FR"/>
        </w:rPr>
        <w:t>669.</w:t>
      </w:r>
      <w:r>
        <w:rPr>
          <w:lang w:val="fr-FR"/>
        </w:rPr>
        <w:tab/>
        <w:t xml:space="preserve">En outre, le décret </w:t>
      </w:r>
      <w:r>
        <w:rPr>
          <w:rFonts w:eastAsia="MS Mincho"/>
          <w:lang w:val="fr-FR"/>
        </w:rPr>
        <w:t>n</w:t>
      </w:r>
      <w:r>
        <w:rPr>
          <w:rFonts w:eastAsia="MS Mincho"/>
          <w:vertAlign w:val="superscript"/>
          <w:lang w:val="fr-FR"/>
        </w:rPr>
        <w:t>o</w:t>
      </w:r>
      <w:r>
        <w:rPr>
          <w:lang w:val="fr-FR"/>
        </w:rPr>
        <w:t xml:space="preserve"> 2006-015 du 17 janvier 2006 prévoit la mise en place des Commissions de surveillance chargées du contrôle de l’Établissement de son ressort en tout ce qui concerne la salubrité, la sécurité, la nourriture, l’organisation des soins, le travail, la discipline, l’observation des règlements, la tenue des greffes, l’enseignement et la préparation au retour à la société des personnes détenues. </w:t>
      </w:r>
    </w:p>
    <w:p w:rsidR="00000000" w:rsidRDefault="00000000">
      <w:pPr>
        <w:pStyle w:val="SingleTxtG"/>
        <w:rPr>
          <w:lang w:val="fr-FR"/>
        </w:rPr>
      </w:pPr>
      <w:r>
        <w:rPr>
          <w:lang w:val="fr-FR"/>
        </w:rPr>
        <w:t>670.</w:t>
      </w:r>
      <w:r>
        <w:rPr>
          <w:lang w:val="fr-FR"/>
        </w:rPr>
        <w:tab/>
        <w:t>Le Ministère de la justice développe actuellement un partenariat avec la société civile active dans la recherche de meilleures conditions de détention. L’objectif visé est d’établir un partage périodique des visites pour assurer le suivi des conditions de détention des mineurs.</w:t>
      </w:r>
    </w:p>
    <w:p w:rsidR="00000000" w:rsidRDefault="00000000">
      <w:pPr>
        <w:pStyle w:val="SingleTxtG"/>
        <w:rPr>
          <w:lang w:val="fr-FR"/>
        </w:rPr>
      </w:pPr>
      <w:r>
        <w:rPr>
          <w:lang w:val="fr-FR"/>
        </w:rPr>
        <w:t>671.</w:t>
      </w:r>
      <w:r>
        <w:rPr>
          <w:lang w:val="fr-FR"/>
        </w:rPr>
        <w:tab/>
      </w:r>
      <w:r>
        <w:rPr>
          <w:b/>
          <w:lang w:val="fr-FR"/>
        </w:rPr>
        <w:t xml:space="preserve">Procédures de plainte. </w:t>
      </w:r>
      <w:r>
        <w:rPr>
          <w:lang w:val="fr-FR"/>
        </w:rPr>
        <w:t xml:space="preserve">L’article 123 du décret </w:t>
      </w:r>
      <w:r>
        <w:rPr>
          <w:rFonts w:eastAsia="MS Mincho"/>
          <w:lang w:val="fr-FR"/>
        </w:rPr>
        <w:t>n</w:t>
      </w:r>
      <w:r>
        <w:rPr>
          <w:rFonts w:eastAsia="MS Mincho"/>
          <w:vertAlign w:val="superscript"/>
          <w:lang w:val="fr-FR"/>
        </w:rPr>
        <w:t xml:space="preserve">o </w:t>
      </w:r>
      <w:r>
        <w:rPr>
          <w:lang w:val="fr-FR"/>
        </w:rPr>
        <w:t xml:space="preserve">2006-015 permet aux enfants privés de liberté comme toute personne détenue de présenter des requêtes ou des plaintes relatives à la vie en détention, au chef d’établissement. </w:t>
      </w:r>
    </w:p>
    <w:p w:rsidR="00000000" w:rsidRDefault="00000000">
      <w:pPr>
        <w:pStyle w:val="SingleTxtG"/>
        <w:rPr>
          <w:lang w:val="fr-FR"/>
        </w:rPr>
      </w:pPr>
      <w:r>
        <w:rPr>
          <w:lang w:val="fr-FR"/>
        </w:rPr>
        <w:t>672.</w:t>
      </w:r>
      <w:r>
        <w:rPr>
          <w:lang w:val="fr-FR"/>
        </w:rPr>
        <w:tab/>
        <w:t>L’enfant détenu peut demander à être entendue par les magistrats et fonctionnaires chargés de l’inspection ou de la visite de l’établissement, hors la présence de tout membre du personnel de l’établissement pénitentiaire.</w:t>
      </w:r>
    </w:p>
    <w:p w:rsidR="00000000" w:rsidRDefault="00000000">
      <w:pPr>
        <w:pStyle w:val="SingleTxtG"/>
        <w:rPr>
          <w:lang w:val="fr-FR"/>
        </w:rPr>
      </w:pPr>
      <w:r>
        <w:rPr>
          <w:lang w:val="fr-FR"/>
        </w:rPr>
        <w:t>673.</w:t>
      </w:r>
      <w:r>
        <w:rPr>
          <w:lang w:val="fr-FR"/>
        </w:rPr>
        <w:tab/>
        <w:t>L’article 124 précise qu’il peut, à tout moment adresser des lettres aux autorités judiciaires.</w:t>
      </w:r>
    </w:p>
    <w:p w:rsidR="00000000" w:rsidRDefault="00000000">
      <w:pPr>
        <w:pStyle w:val="SingleTxtG"/>
        <w:rPr>
          <w:lang w:val="fr-FR"/>
        </w:rPr>
      </w:pPr>
      <w:r>
        <w:rPr>
          <w:lang w:val="fr-FR"/>
        </w:rPr>
        <w:t>674.</w:t>
      </w:r>
      <w:r>
        <w:rPr>
          <w:lang w:val="fr-FR"/>
        </w:rPr>
        <w:tab/>
        <w:t xml:space="preserve">Scolarisation des enfants en conflit avec la loi. Selon l’article 7 du décret </w:t>
      </w:r>
      <w:r>
        <w:rPr>
          <w:rFonts w:eastAsia="MS Mincho"/>
          <w:lang w:val="fr-FR"/>
        </w:rPr>
        <w:t>n</w:t>
      </w:r>
      <w:r>
        <w:rPr>
          <w:rFonts w:eastAsia="MS Mincho"/>
          <w:vertAlign w:val="superscript"/>
          <w:lang w:val="fr-FR"/>
        </w:rPr>
        <w:t>o</w:t>
      </w:r>
      <w:r>
        <w:rPr>
          <w:rFonts w:eastAsia="MS Mincho"/>
          <w:lang w:val="fr-FR"/>
        </w:rPr>
        <w:t> </w:t>
      </w:r>
      <w:r>
        <w:rPr>
          <w:lang w:val="fr-FR"/>
        </w:rPr>
        <w:t>2006</w:t>
      </w:r>
      <w:r>
        <w:rPr>
          <w:lang w:val="fr-FR"/>
        </w:rPr>
        <w:noBreakHyphen/>
        <w:t>901, «L’enseignement primaire est assuré dans les établissements pénitentiaires.». L’article 8 précise en substance que les enfants détenus peuvent se présenter aux examens officiels.</w:t>
      </w:r>
    </w:p>
    <w:p w:rsidR="00000000" w:rsidRDefault="00000000">
      <w:pPr>
        <w:pStyle w:val="SingleTxtG"/>
        <w:rPr>
          <w:lang w:val="fr-FR"/>
        </w:rPr>
      </w:pPr>
      <w:r>
        <w:rPr>
          <w:lang w:val="fr-FR"/>
        </w:rPr>
        <w:t>675.</w:t>
      </w:r>
      <w:r>
        <w:rPr>
          <w:lang w:val="fr-FR"/>
        </w:rPr>
        <w:tab/>
        <w:t>Dans ce sens des cours conformes au programme officiel du Ministère de l’éducation nationale sont dispensés par des instituteurs désignés par la circonscription scolaire.</w:t>
      </w:r>
    </w:p>
    <w:p w:rsidR="00000000" w:rsidRDefault="00000000">
      <w:pPr>
        <w:pStyle w:val="SingleTxtG"/>
        <w:rPr>
          <w:lang w:val="fr-FR"/>
        </w:rPr>
      </w:pPr>
      <w:r>
        <w:rPr>
          <w:lang w:val="fr-FR"/>
        </w:rPr>
        <w:t>676.</w:t>
      </w:r>
      <w:r>
        <w:rPr>
          <w:lang w:val="fr-FR"/>
        </w:rPr>
        <w:tab/>
        <w:t>Certains centres de rééducation bénéficient d’appuis externes privés pour la réalisation du programme scolaire.</w:t>
      </w:r>
    </w:p>
    <w:p w:rsidR="00000000" w:rsidRDefault="00000000">
      <w:pPr>
        <w:pStyle w:val="SingleTxtG"/>
        <w:rPr>
          <w:lang w:val="fr-FR"/>
        </w:rPr>
      </w:pPr>
      <w:r>
        <w:rPr>
          <w:lang w:val="fr-FR"/>
        </w:rPr>
        <w:t>677.</w:t>
      </w:r>
      <w:r>
        <w:rPr>
          <w:lang w:val="fr-FR"/>
        </w:rPr>
        <w:tab/>
        <w:t>Outre l’éducation de base, dans le centre de rééducation d’Anjanamasina Antananarivo, des séances d’alphabétisation sont tenus à l’endroit des enfants qui n’ont jamais été scolarisés. À Mahajanga, des personnes ressources bénévoles interviennent pour des cours d’apprentissage et formation professionnelle en matière mécanique ou agricole, et ce dans le but de préparer la réinsertion sociale de ces enfants.</w:t>
      </w:r>
    </w:p>
    <w:p w:rsidR="00000000" w:rsidRDefault="00000000">
      <w:pPr>
        <w:pStyle w:val="SingleTxtG"/>
        <w:rPr>
          <w:lang w:val="fr-FR"/>
        </w:rPr>
      </w:pPr>
      <w:r>
        <w:rPr>
          <w:lang w:val="fr-FR"/>
        </w:rPr>
        <w:t>678.</w:t>
      </w:r>
      <w:r>
        <w:rPr>
          <w:lang w:val="fr-FR"/>
        </w:rPr>
        <w:tab/>
        <w:t xml:space="preserve">Les Maisons centrales d’Antananarivo, de Mahajanga et certains centres de rééducation disposent d’un centre de lecture. Les mineurs en détention peuvent également visionner des émissions éducatives télévisées. </w:t>
      </w:r>
    </w:p>
    <w:p w:rsidR="00000000" w:rsidRDefault="00000000">
      <w:pPr>
        <w:pStyle w:val="SingleTxtG"/>
        <w:rPr>
          <w:lang w:val="fr-FR"/>
        </w:rPr>
      </w:pPr>
      <w:r>
        <w:rPr>
          <w:lang w:val="fr-FR"/>
        </w:rPr>
        <w:t>679.</w:t>
      </w:r>
      <w:r>
        <w:rPr>
          <w:lang w:val="fr-FR"/>
        </w:rPr>
        <w:tab/>
      </w:r>
      <w:r>
        <w:rPr>
          <w:b/>
          <w:lang w:val="fr-FR"/>
        </w:rPr>
        <w:t xml:space="preserve">Services et soins médicaux. </w:t>
      </w:r>
      <w:r>
        <w:rPr>
          <w:lang w:val="fr-FR"/>
        </w:rPr>
        <w:t xml:space="preserve">Selon le décret </w:t>
      </w:r>
      <w:r>
        <w:rPr>
          <w:rFonts w:eastAsia="MS Mincho"/>
          <w:lang w:val="fr-FR"/>
        </w:rPr>
        <w:t>n</w:t>
      </w:r>
      <w:r>
        <w:rPr>
          <w:rFonts w:eastAsia="MS Mincho"/>
          <w:vertAlign w:val="superscript"/>
          <w:lang w:val="fr-FR"/>
        </w:rPr>
        <w:t xml:space="preserve">o </w:t>
      </w:r>
      <w:r>
        <w:rPr>
          <w:lang w:val="fr-FR"/>
        </w:rPr>
        <w:t>2006-015, chaque établissement pénitentiaire doit disposer au moins d’un médecin, d’un dentiste et/ou d’un infirmier (art. 76) le médecin doit faire des inspections régulières en ce qui concerne l’alimentation, l’hygiène, la salubrité et la propreté (art. 80) et pour les maladies qui ont besoin de soins spéciaux, il faut prévoir l’admission dans un établissement hospitalier (art. 81).</w:t>
      </w:r>
    </w:p>
    <w:p w:rsidR="00000000" w:rsidRDefault="00000000">
      <w:pPr>
        <w:pStyle w:val="SingleTxtG"/>
        <w:rPr>
          <w:lang w:val="fr-FR"/>
        </w:rPr>
      </w:pPr>
      <w:r>
        <w:rPr>
          <w:lang w:val="fr-FR"/>
        </w:rPr>
        <w:t>680.</w:t>
      </w:r>
      <w:r>
        <w:rPr>
          <w:lang w:val="fr-FR"/>
        </w:rPr>
        <w:tab/>
        <w:t xml:space="preserve">Soixante pour cent des établissements pénitentiaires sont pourvus d’infirmerie. L’Administration pénitentiaire dote actuellement les établissements dans la mesure du possible d’un poste d’infirmerie et affecte des Agents infirmiers diplômés. En outre, des ONG nationales et internationales (Médecins du monde, Médicap International, Sentinelle, SAF-FJKM, Aumônerie catholique des prisons,…) collaborent avec le Ministère de la justice pour l’amélioration des soins médicaux donnés aux personnes détenues. </w:t>
      </w:r>
    </w:p>
    <w:p w:rsidR="00000000" w:rsidRDefault="00000000">
      <w:pPr>
        <w:pStyle w:val="SingleTxtG"/>
        <w:rPr>
          <w:lang w:val="fr-FR"/>
        </w:rPr>
      </w:pPr>
      <w:r>
        <w:rPr>
          <w:lang w:val="fr-FR"/>
        </w:rPr>
        <w:t>681.</w:t>
      </w:r>
      <w:r>
        <w:rPr>
          <w:lang w:val="fr-FR"/>
        </w:rPr>
        <w:tab/>
      </w:r>
      <w:r>
        <w:rPr>
          <w:b/>
          <w:bCs/>
          <w:lang w:val="fr-FR"/>
        </w:rPr>
        <w:t>Réinsertion</w:t>
      </w:r>
      <w:r>
        <w:rPr>
          <w:b/>
          <w:lang w:val="fr-FR"/>
        </w:rPr>
        <w:t xml:space="preserve"> sociale des mineurs. </w:t>
      </w:r>
      <w:r>
        <w:rPr>
          <w:lang w:val="fr-FR"/>
        </w:rPr>
        <w:t xml:space="preserve">La loi </w:t>
      </w:r>
      <w:r>
        <w:rPr>
          <w:rFonts w:eastAsia="MS Mincho"/>
          <w:lang w:val="fr-FR"/>
        </w:rPr>
        <w:t>n</w:t>
      </w:r>
      <w:r>
        <w:rPr>
          <w:rFonts w:eastAsia="MS Mincho"/>
          <w:vertAlign w:val="superscript"/>
          <w:lang w:val="fr-FR"/>
        </w:rPr>
        <w:t>o</w:t>
      </w:r>
      <w:r>
        <w:rPr>
          <w:lang w:val="fr-FR"/>
        </w:rPr>
        <w:t xml:space="preserve"> 95-010 du 10 juillet 1995 portant statut du personnel du corps de l’Administration Pénitentiaire, en son article 25, prévoit deux catégories d’agents spécialisés (éducateurs spécialisés, encadreurs) chargés des mesures de rééducation et de socialisation des mineurs détenus.</w:t>
      </w:r>
    </w:p>
    <w:p w:rsidR="00000000" w:rsidRDefault="00000000">
      <w:pPr>
        <w:pStyle w:val="SingleTxtG"/>
        <w:rPr>
          <w:lang w:val="fr-FR"/>
        </w:rPr>
      </w:pPr>
      <w:r>
        <w:rPr>
          <w:lang w:val="fr-FR"/>
        </w:rPr>
        <w:t>682.</w:t>
      </w:r>
      <w:r>
        <w:rPr>
          <w:lang w:val="fr-FR"/>
        </w:rPr>
        <w:tab/>
        <w:t xml:space="preserve">La préparation à la réinsertion sociale, familiale et professionnelle des personnes détenues y compris les enfants en conflit avec la loi est organisée par le décret </w:t>
      </w:r>
      <w:r>
        <w:rPr>
          <w:rFonts w:eastAsia="MS Mincho"/>
          <w:lang w:val="fr-FR"/>
        </w:rPr>
        <w:t>n</w:t>
      </w:r>
      <w:r>
        <w:rPr>
          <w:rFonts w:eastAsia="MS Mincho"/>
          <w:vertAlign w:val="superscript"/>
          <w:lang w:val="fr-FR"/>
        </w:rPr>
        <w:t>o</w:t>
      </w:r>
      <w:r>
        <w:rPr>
          <w:lang w:val="fr-FR"/>
        </w:rPr>
        <w:t xml:space="preserve"> 2006-901 du 19 décembre 2006. </w:t>
      </w:r>
    </w:p>
    <w:p w:rsidR="00000000" w:rsidRDefault="00000000">
      <w:pPr>
        <w:pStyle w:val="SingleTxtG"/>
        <w:rPr>
          <w:lang w:val="fr-FR"/>
        </w:rPr>
      </w:pPr>
      <w:r>
        <w:rPr>
          <w:lang w:val="fr-FR"/>
        </w:rPr>
        <w:t>683.</w:t>
      </w:r>
      <w:r>
        <w:rPr>
          <w:lang w:val="fr-FR"/>
        </w:rPr>
        <w:tab/>
        <w:t>Dans le cadre du 9</w:t>
      </w:r>
      <w:r>
        <w:rPr>
          <w:vertAlign w:val="superscript"/>
          <w:lang w:val="fr-FR"/>
        </w:rPr>
        <w:t>e</w:t>
      </w:r>
      <w:r>
        <w:rPr>
          <w:lang w:val="fr-FR"/>
        </w:rPr>
        <w:t xml:space="preserve"> FED, l’Union européenne a appuyé trois centres de rééducation à Antananarivo et le centre de Mahajanga en vue de la préparation à la réinsertion sociale des mineurs notamment en les dotant des moyens de réinsertion et de réadaptation des enfants, et à renforcer les capacités des éducateurs en matière de resocialisation.</w:t>
      </w:r>
    </w:p>
    <w:p w:rsidR="00000000" w:rsidRDefault="00000000">
      <w:pPr>
        <w:pStyle w:val="SingleTxtG"/>
        <w:rPr>
          <w:lang w:val="fr-FR"/>
        </w:rPr>
      </w:pPr>
      <w:r>
        <w:rPr>
          <w:lang w:val="fr-FR"/>
        </w:rPr>
        <w:t>684.</w:t>
      </w:r>
      <w:r>
        <w:rPr>
          <w:lang w:val="fr-FR"/>
        </w:rPr>
        <w:tab/>
        <w:t xml:space="preserve">De même, Médicap International, l’ONG Sentinelle, Association Bethlehem, Association pour la sauvegarde et la protection de l’enfance, Association FIVE…apportent leurs contributions dans le même sens </w:t>
      </w:r>
    </w:p>
    <w:p w:rsidR="00000000" w:rsidRDefault="00000000">
      <w:pPr>
        <w:pStyle w:val="SingleTxtG"/>
        <w:rPr>
          <w:lang w:val="fr-FR"/>
        </w:rPr>
      </w:pPr>
      <w:r>
        <w:rPr>
          <w:lang w:val="fr-FR"/>
        </w:rPr>
        <w:t>685.</w:t>
      </w:r>
      <w:r>
        <w:rPr>
          <w:lang w:val="fr-FR"/>
        </w:rPr>
        <w:tab/>
        <w:t>Pour mieux assurer cette mission de réinsertion, la DGAP a procédé récemment au recrutement des 10 éducateurs spécialisés et des 10 encadreurs lesquels suivent actuellement une formation de 18 mois à l’École nationale de l’Administration pénitentiaire sise à Toamasina.</w:t>
      </w:r>
    </w:p>
    <w:p w:rsidR="00000000" w:rsidRDefault="00000000">
      <w:pPr>
        <w:pStyle w:val="H1G"/>
        <w:rPr>
          <w:lang w:val="fr-FR"/>
        </w:rPr>
      </w:pPr>
      <w:bookmarkStart w:id="1382" w:name="_Toc206414630"/>
      <w:bookmarkStart w:id="1383" w:name="_Toc206460471"/>
      <w:bookmarkStart w:id="1384" w:name="_Toc206460805"/>
      <w:bookmarkStart w:id="1385" w:name="_Toc206461527"/>
      <w:bookmarkStart w:id="1386" w:name="_Toc206476321"/>
      <w:bookmarkStart w:id="1387" w:name="_Toc207788856"/>
      <w:bookmarkStart w:id="1388" w:name="_Toc211835525"/>
      <w:bookmarkStart w:id="1389" w:name="_Toc211926832"/>
      <w:r>
        <w:rPr>
          <w:lang w:val="fr-FR"/>
        </w:rPr>
        <w:tab/>
      </w:r>
      <w:bookmarkStart w:id="1390" w:name="_Toc260298286"/>
      <w:r>
        <w:rPr>
          <w:lang w:val="fr-FR"/>
        </w:rPr>
        <w:t>C.</w:t>
      </w:r>
      <w:r>
        <w:rPr>
          <w:lang w:val="fr-FR"/>
        </w:rPr>
        <w:tab/>
        <w:t>Les enfants en situation d’exploitation, y compris leur réadaptation physique, psychologique et leur réinsertion sociale</w:t>
      </w:r>
      <w:bookmarkEnd w:id="1382"/>
      <w:bookmarkEnd w:id="1383"/>
      <w:bookmarkEnd w:id="1384"/>
      <w:bookmarkEnd w:id="1385"/>
      <w:bookmarkEnd w:id="1386"/>
      <w:bookmarkEnd w:id="1387"/>
      <w:bookmarkEnd w:id="1388"/>
      <w:bookmarkEnd w:id="1389"/>
      <w:bookmarkEnd w:id="1390"/>
    </w:p>
    <w:p w:rsidR="00000000" w:rsidRDefault="00000000">
      <w:pPr>
        <w:pStyle w:val="H23G"/>
        <w:rPr>
          <w:lang w:val="fr-FR"/>
        </w:rPr>
      </w:pPr>
      <w:bookmarkStart w:id="1391" w:name="_Toc206414631"/>
      <w:bookmarkStart w:id="1392" w:name="_Toc206460472"/>
      <w:bookmarkStart w:id="1393" w:name="_Toc206460806"/>
      <w:bookmarkStart w:id="1394" w:name="_Toc206461528"/>
      <w:bookmarkStart w:id="1395" w:name="_Toc206476322"/>
      <w:bookmarkStart w:id="1396" w:name="_Toc207788857"/>
      <w:bookmarkStart w:id="1397" w:name="_Toc211835526"/>
      <w:bookmarkStart w:id="1398" w:name="_Toc211926833"/>
      <w:r>
        <w:rPr>
          <w:lang w:val="fr-FR"/>
        </w:rPr>
        <w:tab/>
        <w:t>1.</w:t>
      </w:r>
      <w:r>
        <w:rPr>
          <w:lang w:val="fr-FR"/>
        </w:rPr>
        <w:tab/>
        <w:t>Exploitation économique des enfants</w:t>
      </w:r>
      <w:bookmarkEnd w:id="1391"/>
      <w:bookmarkEnd w:id="1392"/>
      <w:bookmarkEnd w:id="1393"/>
      <w:bookmarkEnd w:id="1394"/>
      <w:bookmarkEnd w:id="1395"/>
      <w:bookmarkEnd w:id="1396"/>
      <w:bookmarkEnd w:id="1397"/>
      <w:bookmarkEnd w:id="1398"/>
    </w:p>
    <w:p w:rsidR="00000000" w:rsidRDefault="00000000">
      <w:pPr>
        <w:pStyle w:val="SingleTxtG"/>
        <w:rPr>
          <w:lang w:val="fr-FR"/>
        </w:rPr>
      </w:pPr>
      <w:r>
        <w:rPr>
          <w:lang w:val="fr-FR"/>
        </w:rPr>
        <w:t>686.</w:t>
      </w:r>
      <w:r>
        <w:rPr>
          <w:lang w:val="fr-FR"/>
        </w:rPr>
        <w:tab/>
        <w:t>L’OIT estime qu’environ un enfant sur trois de 7 à 17 ans travaille à Madagascar, soit 1 377 800 enfants.</w:t>
      </w:r>
    </w:p>
    <w:p w:rsidR="00000000" w:rsidRDefault="00000000">
      <w:pPr>
        <w:pStyle w:val="SingleTxtG"/>
        <w:rPr>
          <w:lang w:val="fr-FR"/>
        </w:rPr>
      </w:pPr>
      <w:r>
        <w:rPr>
          <w:lang w:val="fr-FR"/>
        </w:rPr>
        <w:t>687.</w:t>
      </w:r>
      <w:r>
        <w:rPr>
          <w:lang w:val="fr-FR"/>
        </w:rPr>
        <w:tab/>
        <w:t xml:space="preserve">En 2001 environ un million d’enfants (935 000) âgés de moins de 15 ans (6-14 ans) étaient engagés dans une activité productive. On a enregistré une baisse de 23 % en 2005 comparée à la situation de 2001. </w:t>
      </w:r>
    </w:p>
    <w:p w:rsidR="00000000" w:rsidRDefault="00000000">
      <w:pPr>
        <w:pStyle w:val="SingleTxtG"/>
        <w:rPr>
          <w:lang w:val="fr-FR"/>
        </w:rPr>
      </w:pPr>
      <w:r>
        <w:rPr>
          <w:lang w:val="fr-FR"/>
        </w:rPr>
        <w:t>688.</w:t>
      </w:r>
      <w:r>
        <w:rPr>
          <w:lang w:val="fr-FR"/>
        </w:rPr>
        <w:tab/>
        <w:t>Selon les tranches d’âge, le taux a diminué de:</w:t>
      </w:r>
    </w:p>
    <w:p w:rsidR="00000000" w:rsidRDefault="00000000">
      <w:pPr>
        <w:pStyle w:val="Bullet1G"/>
        <w:rPr>
          <w:lang w:val="fr-FR"/>
        </w:rPr>
      </w:pPr>
      <w:r>
        <w:rPr>
          <w:lang w:val="fr-FR"/>
        </w:rPr>
        <w:t xml:space="preserve">Dix-neuf pour cent en 2001 à 13 % en 2005 pour le cas la tranche d’âge de 6 à 9 ans, </w:t>
      </w:r>
    </w:p>
    <w:p w:rsidR="00000000" w:rsidRDefault="00000000">
      <w:pPr>
        <w:pStyle w:val="Bullet1G"/>
        <w:rPr>
          <w:lang w:val="fr-FR"/>
        </w:rPr>
      </w:pPr>
      <w:r>
        <w:rPr>
          <w:lang w:val="fr-FR"/>
        </w:rPr>
        <w:t>Trente et un à 24 % pour la tranche d’âge de 10 à 14 ans.</w:t>
      </w:r>
    </w:p>
    <w:p w:rsidR="00000000" w:rsidRDefault="00000000">
      <w:pPr>
        <w:pStyle w:val="SingleTxtG"/>
        <w:rPr>
          <w:lang w:val="fr-FR"/>
        </w:rPr>
      </w:pPr>
      <w:r>
        <w:rPr>
          <w:lang w:val="fr-FR"/>
        </w:rPr>
        <w:t>689.</w:t>
      </w:r>
      <w:r>
        <w:rPr>
          <w:lang w:val="fr-FR"/>
        </w:rPr>
        <w:tab/>
        <w:t>Ce recul résulte de l’évolution des conditions économiques des ménages, des actions de scolarisation et de la lutte contre le travail des enfants.</w:t>
      </w:r>
    </w:p>
    <w:p w:rsidR="00000000" w:rsidRDefault="00000000">
      <w:pPr>
        <w:pStyle w:val="SingleTxtG"/>
        <w:rPr>
          <w:lang w:val="fr-FR"/>
        </w:rPr>
      </w:pPr>
      <w:r>
        <w:rPr>
          <w:lang w:val="fr-FR"/>
        </w:rPr>
        <w:t>690.</w:t>
      </w:r>
      <w:r>
        <w:rPr>
          <w:lang w:val="fr-FR"/>
        </w:rPr>
        <w:tab/>
        <w:t>Toutefois, il est à noter que le cas de Toliara demeure préoccupant, où en 2005, 33 % des enfants de 6 à 14 ans travaillaient. On a estimé que respectivement 35 % sont des garçons et 30 % des filles).</w:t>
      </w:r>
    </w:p>
    <w:p w:rsidR="00000000" w:rsidRDefault="00000000">
      <w:pPr>
        <w:pStyle w:val="SingleTxtG"/>
        <w:rPr>
          <w:lang w:val="fr-FR"/>
        </w:rPr>
      </w:pPr>
      <w:r>
        <w:rPr>
          <w:lang w:val="fr-FR"/>
        </w:rPr>
        <w:t>691.</w:t>
      </w:r>
      <w:r>
        <w:rPr>
          <w:lang w:val="fr-FR"/>
        </w:rPr>
        <w:tab/>
        <w:t>Le cas de Toliara demeure préoccupant, où en 2005, 33 % des enfants de 6 à 14 ans sont des enfants travailleurs dont 35 % des garçons et 30 % des filles.</w:t>
      </w:r>
    </w:p>
    <w:p w:rsidR="00000000" w:rsidRDefault="00000000">
      <w:pPr>
        <w:pStyle w:val="SingleTxtG"/>
        <w:rPr>
          <w:lang w:val="fr-FR"/>
        </w:rPr>
      </w:pPr>
      <w:r>
        <w:rPr>
          <w:lang w:val="fr-FR"/>
        </w:rPr>
        <w:t>692.</w:t>
      </w:r>
      <w:r>
        <w:rPr>
          <w:lang w:val="fr-FR"/>
        </w:rPr>
        <w:tab/>
        <w:t>La grande majorité des enfants travaillent dans l’agriculture (94 % en 2001), dans les exploitations de type familial. En conséquence, dans les zones rurales 1 enfant de moins de 15 ans sur 5 travaille.</w:t>
      </w:r>
    </w:p>
    <w:p w:rsidR="00000000" w:rsidRDefault="00000000">
      <w:pPr>
        <w:pStyle w:val="SingleTxtG"/>
        <w:rPr>
          <w:lang w:val="fr-FR"/>
        </w:rPr>
      </w:pPr>
      <w:r>
        <w:rPr>
          <w:lang w:val="fr-FR"/>
        </w:rPr>
        <w:t>693.</w:t>
      </w:r>
      <w:r>
        <w:rPr>
          <w:lang w:val="fr-FR"/>
        </w:rPr>
        <w:tab/>
        <w:t xml:space="preserve">L’élimination du travail des enfants exige des efforts soutenus à long terme. L’éradication des pires formes de travail des enfants est une priorité. </w:t>
      </w:r>
    </w:p>
    <w:p w:rsidR="00000000" w:rsidRDefault="00000000">
      <w:pPr>
        <w:pStyle w:val="Bullet1G"/>
        <w:rPr>
          <w:lang w:val="fr-FR"/>
        </w:rPr>
      </w:pPr>
      <w:r>
        <w:rPr>
          <w:lang w:val="fr-FR"/>
        </w:rPr>
        <w:t>L’exploitation sexuelle à des fins commerciales (ESEC);</w:t>
      </w:r>
    </w:p>
    <w:p w:rsidR="00000000" w:rsidRDefault="00000000">
      <w:pPr>
        <w:pStyle w:val="Bullet1G"/>
        <w:rPr>
          <w:lang w:val="fr-FR"/>
        </w:rPr>
      </w:pPr>
      <w:r>
        <w:rPr>
          <w:lang w:val="fr-FR"/>
        </w:rPr>
        <w:t>Le travail domestique;</w:t>
      </w:r>
    </w:p>
    <w:p w:rsidR="00000000" w:rsidRDefault="00000000">
      <w:pPr>
        <w:pStyle w:val="Bullet1G"/>
        <w:rPr>
          <w:lang w:val="fr-FR"/>
        </w:rPr>
      </w:pPr>
      <w:r>
        <w:rPr>
          <w:lang w:val="fr-FR"/>
        </w:rPr>
        <w:t>Le travail dans les mines et les carrières;</w:t>
      </w:r>
    </w:p>
    <w:p w:rsidR="00000000" w:rsidRDefault="00000000">
      <w:pPr>
        <w:pStyle w:val="Bullet1G"/>
        <w:rPr>
          <w:lang w:val="fr-FR"/>
        </w:rPr>
      </w:pPr>
      <w:r>
        <w:rPr>
          <w:lang w:val="fr-FR"/>
        </w:rPr>
        <w:t>Le travail dans les salines et la pêche.</w:t>
      </w:r>
    </w:p>
    <w:p w:rsidR="00000000" w:rsidRDefault="00000000">
      <w:pPr>
        <w:pStyle w:val="SingleTxtG"/>
        <w:rPr>
          <w:lang w:val="fr-FR"/>
        </w:rPr>
      </w:pPr>
      <w:r>
        <w:rPr>
          <w:lang w:val="fr-FR"/>
        </w:rPr>
        <w:t>694.</w:t>
      </w:r>
      <w:r>
        <w:rPr>
          <w:lang w:val="fr-FR"/>
        </w:rPr>
        <w:tab/>
        <w:t>Une première enquête nationale sur le travail des enfants (ENTE) est en cours. Elle est menée par l’INSTAT avec l’appui du BIT et l’UNICEF.</w:t>
      </w:r>
    </w:p>
    <w:p w:rsidR="00000000" w:rsidRDefault="00000000">
      <w:pPr>
        <w:pStyle w:val="H23G"/>
        <w:rPr>
          <w:lang w:val="fr-FR"/>
        </w:rPr>
      </w:pPr>
      <w:bookmarkStart w:id="1399" w:name="_Toc206414632"/>
      <w:bookmarkStart w:id="1400" w:name="_Toc206460473"/>
      <w:bookmarkStart w:id="1401" w:name="_Toc206460807"/>
      <w:bookmarkStart w:id="1402" w:name="_Toc206461529"/>
      <w:bookmarkStart w:id="1403" w:name="_Toc206476323"/>
      <w:bookmarkStart w:id="1404" w:name="_Toc207788858"/>
      <w:bookmarkStart w:id="1405" w:name="_Toc211835527"/>
      <w:bookmarkStart w:id="1406" w:name="_Toc211926834"/>
      <w:r>
        <w:rPr>
          <w:lang w:val="fr-FR"/>
        </w:rPr>
        <w:tab/>
        <w:t>2.</w:t>
      </w:r>
      <w:r>
        <w:rPr>
          <w:lang w:val="fr-FR"/>
        </w:rPr>
        <w:tab/>
        <w:t>Mesure d’ordre législatif</w:t>
      </w:r>
      <w:bookmarkEnd w:id="1399"/>
      <w:bookmarkEnd w:id="1400"/>
      <w:bookmarkEnd w:id="1401"/>
      <w:bookmarkEnd w:id="1402"/>
      <w:bookmarkEnd w:id="1403"/>
      <w:bookmarkEnd w:id="1404"/>
      <w:bookmarkEnd w:id="1405"/>
      <w:bookmarkEnd w:id="1406"/>
      <w:r>
        <w:rPr>
          <w:lang w:val="fr-FR"/>
        </w:rPr>
        <w:t xml:space="preserve"> </w:t>
      </w:r>
    </w:p>
    <w:p w:rsidR="00000000" w:rsidRDefault="00000000">
      <w:pPr>
        <w:pStyle w:val="SingleTxtG"/>
        <w:rPr>
          <w:lang w:val="fr-FR"/>
        </w:rPr>
      </w:pPr>
      <w:r>
        <w:rPr>
          <w:lang w:val="fr-FR"/>
        </w:rPr>
        <w:t>695.</w:t>
      </w:r>
      <w:r>
        <w:rPr>
          <w:lang w:val="fr-FR"/>
        </w:rPr>
        <w:tab/>
        <w:t>En 2000 et en 2001, Madagascar a ratifié la Convention 138 de l’OIT sur l’âge minimum et la Convention 182 de l’OIT sur les pires formes de travail.</w:t>
      </w:r>
    </w:p>
    <w:p w:rsidR="00000000" w:rsidRDefault="00000000">
      <w:pPr>
        <w:pStyle w:val="SingleTxtG"/>
        <w:rPr>
          <w:lang w:val="fr-FR"/>
        </w:rPr>
      </w:pPr>
      <w:r>
        <w:rPr>
          <w:lang w:val="fr-FR"/>
        </w:rPr>
        <w:t>696.</w:t>
      </w:r>
      <w:r>
        <w:rPr>
          <w:lang w:val="fr-FR"/>
        </w:rPr>
        <w:tab/>
        <w:t xml:space="preserve">Dans le cadre de l’application de la Convention de l’OIT relatives au travail des enfants, une réforme a été réalisée par l’adoption de la loi </w:t>
      </w:r>
      <w:r>
        <w:rPr>
          <w:rFonts w:eastAsia="MS Mincho"/>
          <w:lang w:val="fr-FR"/>
        </w:rPr>
        <w:t>n</w:t>
      </w:r>
      <w:r>
        <w:rPr>
          <w:rFonts w:eastAsia="MS Mincho"/>
          <w:vertAlign w:val="superscript"/>
          <w:lang w:val="fr-FR"/>
        </w:rPr>
        <w:t>o</w:t>
      </w:r>
      <w:r>
        <w:rPr>
          <w:lang w:val="fr-FR"/>
        </w:rPr>
        <w:t xml:space="preserve"> 2003-044 du 28 juillet 2004 portant nouveau Code du travail a été adoptée, abrogeant la loi </w:t>
      </w:r>
      <w:r>
        <w:rPr>
          <w:rFonts w:eastAsia="MS Mincho"/>
          <w:lang w:val="fr-FR"/>
        </w:rPr>
        <w:t>n</w:t>
      </w:r>
      <w:r>
        <w:rPr>
          <w:rFonts w:eastAsia="MS Mincho"/>
          <w:vertAlign w:val="superscript"/>
          <w:lang w:val="fr-FR"/>
        </w:rPr>
        <w:t>o</w:t>
      </w:r>
      <w:r>
        <w:rPr>
          <w:lang w:val="fr-FR"/>
        </w:rPr>
        <w:t xml:space="preserve"> 94-029 du 25 août 1995. Les articles 100 à 103 énoncent les dispositions nouvelles sur le travail des enfants.</w:t>
      </w:r>
    </w:p>
    <w:p w:rsidR="00000000" w:rsidRDefault="00000000">
      <w:pPr>
        <w:pStyle w:val="H23G"/>
        <w:rPr>
          <w:lang w:val="fr-FR"/>
        </w:rPr>
      </w:pPr>
      <w:bookmarkStart w:id="1407" w:name="_Toc206414633"/>
      <w:bookmarkStart w:id="1408" w:name="_Toc206460474"/>
      <w:bookmarkStart w:id="1409" w:name="_Toc206460808"/>
      <w:bookmarkStart w:id="1410" w:name="_Toc206461530"/>
      <w:bookmarkStart w:id="1411" w:name="_Toc206476324"/>
      <w:bookmarkStart w:id="1412" w:name="_Toc207788859"/>
      <w:bookmarkStart w:id="1413" w:name="_Toc211835528"/>
      <w:bookmarkStart w:id="1414" w:name="_Toc211926835"/>
      <w:r>
        <w:rPr>
          <w:lang w:val="fr-FR"/>
        </w:rPr>
        <w:tab/>
        <w:t>3.</w:t>
      </w:r>
      <w:r>
        <w:rPr>
          <w:lang w:val="fr-FR"/>
        </w:rPr>
        <w:tab/>
        <w:t>Mesures réglementaires et administratives</w:t>
      </w:r>
      <w:bookmarkEnd w:id="1407"/>
      <w:bookmarkEnd w:id="1408"/>
      <w:bookmarkEnd w:id="1409"/>
      <w:bookmarkEnd w:id="1410"/>
      <w:bookmarkEnd w:id="1411"/>
      <w:bookmarkEnd w:id="1412"/>
      <w:bookmarkEnd w:id="1413"/>
      <w:bookmarkEnd w:id="1414"/>
    </w:p>
    <w:p w:rsidR="00000000" w:rsidRDefault="00000000">
      <w:pPr>
        <w:pStyle w:val="Bullet1G"/>
        <w:rPr>
          <w:lang w:val="fr-FR"/>
        </w:rPr>
      </w:pPr>
      <w:r>
        <w:rPr>
          <w:lang w:val="fr-FR"/>
        </w:rPr>
        <w:t xml:space="preserve">Les textes réglementaires d’application visent; </w:t>
      </w:r>
    </w:p>
    <w:p w:rsidR="00000000" w:rsidRDefault="00000000">
      <w:pPr>
        <w:pStyle w:val="Bullet1G"/>
        <w:rPr>
          <w:lang w:val="fr-FR"/>
        </w:rPr>
      </w:pPr>
      <w:r>
        <w:rPr>
          <w:lang w:val="fr-FR"/>
        </w:rPr>
        <w:t>À interdire l’emploi des enfants de moins de 18 ans dans les pires formes de travail incluant:</w:t>
      </w:r>
    </w:p>
    <w:p w:rsidR="00000000" w:rsidRDefault="00000000">
      <w:pPr>
        <w:pStyle w:val="Bullet2G"/>
        <w:rPr>
          <w:lang w:val="fr-FR"/>
        </w:rPr>
      </w:pPr>
      <w:r>
        <w:rPr>
          <w:lang w:val="fr-FR"/>
        </w:rPr>
        <w:t>Les travaux immoraux;</w:t>
      </w:r>
    </w:p>
    <w:p w:rsidR="00000000" w:rsidRDefault="00000000">
      <w:pPr>
        <w:pStyle w:val="Bullet2G"/>
        <w:rPr>
          <w:lang w:val="fr-FR"/>
        </w:rPr>
      </w:pPr>
      <w:r>
        <w:rPr>
          <w:lang w:val="fr-FR"/>
        </w:rPr>
        <w:t>Les travaux excédant leur force et les travaux forcés;</w:t>
      </w:r>
    </w:p>
    <w:p w:rsidR="00000000" w:rsidRDefault="00000000">
      <w:pPr>
        <w:pStyle w:val="Bullet2G"/>
        <w:rPr>
          <w:lang w:val="fr-FR"/>
        </w:rPr>
      </w:pPr>
      <w:r>
        <w:rPr>
          <w:lang w:val="fr-FR"/>
        </w:rPr>
        <w:t>Les travaux dangereux ou insalubres;</w:t>
      </w:r>
    </w:p>
    <w:p w:rsidR="00000000" w:rsidRDefault="00000000">
      <w:pPr>
        <w:pStyle w:val="Bullet2G"/>
        <w:rPr>
          <w:lang w:val="fr-FR"/>
        </w:rPr>
      </w:pPr>
      <w:r>
        <w:rPr>
          <w:lang w:val="fr-FR"/>
        </w:rPr>
        <w:t>L’emploi des enfants comme domestiques ou gens de maison</w:t>
      </w:r>
      <w:r>
        <w:rPr>
          <w:rStyle w:val="FootnoteReference"/>
        </w:rPr>
        <w:footnoteReference w:id="17"/>
      </w:r>
      <w:r>
        <w:rPr>
          <w:lang w:val="fr-FR"/>
        </w:rPr>
        <w:t xml:space="preserve"> </w:t>
      </w:r>
    </w:p>
    <w:p w:rsidR="00000000" w:rsidRDefault="00000000">
      <w:pPr>
        <w:pStyle w:val="Bullet2G"/>
        <w:rPr>
          <w:lang w:val="fr-FR"/>
        </w:rPr>
      </w:pPr>
      <w:r>
        <w:rPr>
          <w:lang w:val="fr-FR"/>
        </w:rPr>
        <w:t>Le travail des enfants au-delà de 18 heures.</w:t>
      </w:r>
    </w:p>
    <w:p w:rsidR="00000000" w:rsidRDefault="00000000">
      <w:pPr>
        <w:pStyle w:val="SingleTxtG"/>
        <w:rPr>
          <w:lang w:val="fr-FR"/>
        </w:rPr>
      </w:pPr>
      <w:r>
        <w:rPr>
          <w:lang w:val="fr-FR"/>
        </w:rPr>
        <w:t>697.</w:t>
      </w:r>
      <w:r>
        <w:rPr>
          <w:lang w:val="fr-FR"/>
        </w:rPr>
        <w:tab/>
        <w:t xml:space="preserve">Par décret </w:t>
      </w:r>
      <w:r>
        <w:rPr>
          <w:rFonts w:eastAsia="MS Mincho"/>
          <w:lang w:val="fr-FR"/>
        </w:rPr>
        <w:t>n</w:t>
      </w:r>
      <w:r>
        <w:rPr>
          <w:rFonts w:eastAsia="MS Mincho"/>
          <w:vertAlign w:val="superscript"/>
          <w:lang w:val="fr-FR"/>
        </w:rPr>
        <w:t>o</w:t>
      </w:r>
      <w:r>
        <w:rPr>
          <w:lang w:val="fr-FR"/>
        </w:rPr>
        <w:t xml:space="preserve"> 2004-985 du 12 octobre 2004, il a été mis en place un comité national de lutte contre le travail des enfants ou CNLTE. </w:t>
      </w:r>
    </w:p>
    <w:p w:rsidR="00000000" w:rsidRDefault="00000000">
      <w:pPr>
        <w:pStyle w:val="SingleTxtG"/>
        <w:rPr>
          <w:lang w:val="fr-FR"/>
        </w:rPr>
      </w:pPr>
      <w:r>
        <w:rPr>
          <w:lang w:val="fr-FR"/>
        </w:rPr>
        <w:t>698.</w:t>
      </w:r>
      <w:r>
        <w:rPr>
          <w:lang w:val="fr-FR"/>
        </w:rPr>
        <w:tab/>
        <w:t>De même l’arrêté 13520/2007 du 17 août 2007 a créé l’Observatoire régional du travail des enfants (ORTE) au sein de chaque comité régional de lutte contre le travail des enfants (CRLTE).</w:t>
      </w:r>
    </w:p>
    <w:p w:rsidR="00000000" w:rsidRDefault="00000000">
      <w:pPr>
        <w:pStyle w:val="SingleTxtG"/>
        <w:rPr>
          <w:lang w:val="fr-FR"/>
        </w:rPr>
      </w:pPr>
      <w:r>
        <w:rPr>
          <w:lang w:val="fr-FR"/>
        </w:rPr>
        <w:t>699.</w:t>
      </w:r>
      <w:r>
        <w:rPr>
          <w:lang w:val="fr-FR"/>
        </w:rPr>
        <w:tab/>
        <w:t>En 2001, suite à la ratification de la Convention 182, un Groupe de travail interdisciplinaire de coordination ou GTIC, composé d’experts techniques provenant de différents Ministères, a été mis en place pour donner suite a la lutte contre les pires formes du travail des enfants.</w:t>
      </w:r>
    </w:p>
    <w:p w:rsidR="00000000" w:rsidRDefault="00000000">
      <w:pPr>
        <w:pStyle w:val="SingleTxtG"/>
        <w:rPr>
          <w:lang w:val="fr-FR"/>
        </w:rPr>
      </w:pPr>
      <w:r>
        <w:rPr>
          <w:lang w:val="fr-FR"/>
        </w:rPr>
        <w:t>700.</w:t>
      </w:r>
      <w:r>
        <w:rPr>
          <w:lang w:val="fr-FR"/>
        </w:rPr>
        <w:tab/>
        <w:t>En 2004, le GTIC a fait des consultations régionales qui ont abouti à l’élaboration du Plan national d’action contre le travail des enfants (PNALTE). Le Plan s’étale sur 15 ans. Les interventions prévues sont établies en articulation avec les autres programmes contribuant à la réduction de la pauvreté. Les résultats attendus sont étroitement liés et interdépendants de l’atteinte des objectifs de la politique d’éducation et de protection sociale.</w:t>
      </w:r>
    </w:p>
    <w:p w:rsidR="00000000" w:rsidRDefault="00000000">
      <w:pPr>
        <w:pStyle w:val="SingleTxtG"/>
        <w:rPr>
          <w:lang w:val="fr-FR"/>
        </w:rPr>
      </w:pPr>
      <w:r>
        <w:rPr>
          <w:lang w:val="fr-FR"/>
        </w:rPr>
        <w:t>701.</w:t>
      </w:r>
      <w:r>
        <w:rPr>
          <w:lang w:val="fr-FR"/>
        </w:rPr>
        <w:tab/>
        <w:t>Le PNALTE fournit les orientations stratégiques, le cadre de mise en œuvre et de suivi, ainsi que les perspectives de financement du programme national pour i) prévenir prioritairement la pratique des PFTE par les enfants ii) soustraire et réinsérer ceux qui sont déjà engagés dans ces activités et iii) protéger tous les enfants travailleurs au dessus de l’âge minimum d’admission à l’emploi contre l’exploitation et le travail dangereux.</w:t>
      </w:r>
    </w:p>
    <w:p w:rsidR="00000000" w:rsidRDefault="00000000">
      <w:pPr>
        <w:pStyle w:val="SingleTxtG"/>
        <w:keepNext/>
        <w:rPr>
          <w:lang w:val="fr-FR"/>
        </w:rPr>
      </w:pPr>
      <w:r>
        <w:rPr>
          <w:lang w:val="fr-FR"/>
        </w:rPr>
        <w:t>702.</w:t>
      </w:r>
      <w:r>
        <w:rPr>
          <w:lang w:val="fr-FR"/>
        </w:rPr>
        <w:tab/>
        <w:t>Les axes stratégiques du PNALTE sont:</w:t>
      </w:r>
    </w:p>
    <w:p w:rsidR="00000000" w:rsidRDefault="00000000">
      <w:pPr>
        <w:pStyle w:val="Bullet1G"/>
        <w:rPr>
          <w:lang w:val="fr-FR"/>
        </w:rPr>
      </w:pPr>
      <w:r>
        <w:rPr>
          <w:lang w:val="fr-FR"/>
        </w:rPr>
        <w:t>Le renforcement et mise en application du cadre légal et juridique;</w:t>
      </w:r>
    </w:p>
    <w:p w:rsidR="00000000" w:rsidRDefault="00000000">
      <w:pPr>
        <w:pStyle w:val="Bullet1G"/>
        <w:rPr>
          <w:lang w:val="fr-FR"/>
        </w:rPr>
      </w:pPr>
      <w:r>
        <w:rPr>
          <w:lang w:val="fr-FR"/>
        </w:rPr>
        <w:t>La création d’opportunités de formation, éducation et assistance aux victimes;</w:t>
      </w:r>
    </w:p>
    <w:p w:rsidR="00000000" w:rsidRDefault="00000000">
      <w:pPr>
        <w:pStyle w:val="Bullet1G"/>
        <w:rPr>
          <w:lang w:val="fr-FR"/>
        </w:rPr>
      </w:pPr>
      <w:r>
        <w:rPr>
          <w:lang w:val="fr-FR"/>
        </w:rPr>
        <w:t>L’amélioration des revenus du ménage;</w:t>
      </w:r>
    </w:p>
    <w:p w:rsidR="00000000" w:rsidRDefault="00000000">
      <w:pPr>
        <w:pStyle w:val="Bullet1G"/>
        <w:rPr>
          <w:lang w:val="fr-FR"/>
        </w:rPr>
      </w:pPr>
      <w:r>
        <w:rPr>
          <w:lang w:val="fr-FR"/>
        </w:rPr>
        <w:t>La sensibilisation.</w:t>
      </w:r>
    </w:p>
    <w:p w:rsidR="00000000" w:rsidRDefault="00000000">
      <w:pPr>
        <w:pStyle w:val="SingleTxtG"/>
        <w:rPr>
          <w:lang w:val="fr-FR"/>
        </w:rPr>
      </w:pPr>
      <w:r>
        <w:rPr>
          <w:lang w:val="fr-FR"/>
        </w:rPr>
        <w:t>703.</w:t>
      </w:r>
      <w:r>
        <w:rPr>
          <w:lang w:val="fr-FR"/>
        </w:rPr>
        <w:tab/>
        <w:t>La phase I actuelle (2004-2008) couvre le renforcement et l’établissement d’un cadre juridique et réglementaire à tous les niveaux, l’élaboration d’un programme national de formation et d’éducation pour les PFTE et le lancement de la première vague des programmes d’action dans les régions ciblées. Les phases II (2009-2013) et III (2013-2017) auront trait à l’extension des actions entreprises, aussi bien en termes de population cible que de zones d’intervention et de consolidation des acquis. L’objectif est de réduire de manière significative le taux d’incidence des PFTE, respectivement de 30 % à la fin de la première phase, à 5 % à la fin de la seconde phase, et à moins de 1 % en fin de programme.</w:t>
      </w:r>
    </w:p>
    <w:p w:rsidR="00000000" w:rsidRDefault="00000000">
      <w:pPr>
        <w:pStyle w:val="SingleTxtG"/>
        <w:rPr>
          <w:lang w:val="fr-FR"/>
        </w:rPr>
      </w:pPr>
      <w:r>
        <w:rPr>
          <w:lang w:val="fr-FR"/>
        </w:rPr>
        <w:t>704.</w:t>
      </w:r>
      <w:r>
        <w:rPr>
          <w:lang w:val="fr-FR"/>
        </w:rPr>
        <w:tab/>
        <w:t>Au début de l’année 2004, le Ministère chargé du travail a créé un service de la promotion des droits fondamentaux et une division spéciale pour la prévention, abolition et contrôle du travail des enfants, en abrégé PACTE, pour s’attaquer aux problèmes du travail des enfants.</w:t>
      </w:r>
    </w:p>
    <w:p w:rsidR="00000000" w:rsidRDefault="00000000">
      <w:pPr>
        <w:pStyle w:val="SingleTxtG"/>
        <w:rPr>
          <w:lang w:val="fr-FR"/>
        </w:rPr>
      </w:pPr>
      <w:r>
        <w:rPr>
          <w:lang w:val="fr-FR"/>
        </w:rPr>
        <w:t>705.</w:t>
      </w:r>
      <w:r>
        <w:rPr>
          <w:lang w:val="fr-FR"/>
        </w:rPr>
        <w:tab/>
        <w:t>Au stade actuel, la division PACTE dispose de six personnels au niveau national et de sept au niveau des différentes Directions régionales (02 DIANA, 02 Atsimo Andrefana, 01 Atsinanana et 02 Analamanga).</w:t>
      </w:r>
    </w:p>
    <w:p w:rsidR="00000000" w:rsidRDefault="00000000">
      <w:pPr>
        <w:pStyle w:val="H23G"/>
        <w:rPr>
          <w:lang w:val="fr-FR"/>
        </w:rPr>
      </w:pPr>
      <w:bookmarkStart w:id="1415" w:name="_Toc206414634"/>
      <w:bookmarkStart w:id="1416" w:name="_Toc206460475"/>
      <w:bookmarkStart w:id="1417" w:name="_Toc206460809"/>
      <w:bookmarkStart w:id="1418" w:name="_Toc206461531"/>
      <w:bookmarkStart w:id="1419" w:name="_Toc206476325"/>
      <w:bookmarkStart w:id="1420" w:name="_Toc207788860"/>
      <w:bookmarkStart w:id="1421" w:name="_Toc211835529"/>
      <w:bookmarkStart w:id="1422" w:name="_Toc211926836"/>
      <w:r>
        <w:rPr>
          <w:lang w:val="fr-FR"/>
        </w:rPr>
        <w:tab/>
        <w:t>4.</w:t>
      </w:r>
      <w:r>
        <w:rPr>
          <w:lang w:val="fr-FR"/>
        </w:rPr>
        <w:tab/>
        <w:t>Activités de sensibilisation, d’éducation et de formation</w:t>
      </w:r>
      <w:bookmarkEnd w:id="1415"/>
      <w:bookmarkEnd w:id="1416"/>
      <w:bookmarkEnd w:id="1417"/>
      <w:bookmarkEnd w:id="1418"/>
      <w:bookmarkEnd w:id="1419"/>
      <w:bookmarkEnd w:id="1420"/>
      <w:bookmarkEnd w:id="1421"/>
      <w:bookmarkEnd w:id="1422"/>
    </w:p>
    <w:p w:rsidR="00000000" w:rsidRDefault="00000000">
      <w:pPr>
        <w:pStyle w:val="SingleTxtG"/>
        <w:rPr>
          <w:lang w:val="fr-FR"/>
        </w:rPr>
      </w:pPr>
      <w:r>
        <w:rPr>
          <w:lang w:val="fr-FR"/>
        </w:rPr>
        <w:t>706.</w:t>
      </w:r>
      <w:r>
        <w:rPr>
          <w:lang w:val="fr-FR"/>
        </w:rPr>
        <w:tab/>
        <w:t xml:space="preserve">Dans le cadre des activités de sensibilisation pour la réduction du travail des enfants, le Ministère du travail, en partenariat avec IPEC/BIT, a produit de différents outils de sensibilisation </w:t>
      </w:r>
    </w:p>
    <w:p w:rsidR="00000000" w:rsidRDefault="00000000">
      <w:pPr>
        <w:pStyle w:val="Bullet1G"/>
        <w:rPr>
          <w:lang w:val="fr-FR"/>
        </w:rPr>
      </w:pPr>
      <w:r>
        <w:rPr>
          <w:lang w:val="fr-FR"/>
        </w:rPr>
        <w:t>2000 calendriers biennaux 2005-2006 comportant des messages interdisant le travail des enfants:</w:t>
      </w:r>
    </w:p>
    <w:p w:rsidR="00000000" w:rsidRDefault="00000000">
      <w:pPr>
        <w:pStyle w:val="Bullet1G"/>
        <w:rPr>
          <w:lang w:val="fr-FR"/>
        </w:rPr>
      </w:pPr>
      <w:r>
        <w:rPr>
          <w:lang w:val="fr-FR"/>
        </w:rPr>
        <w:t>Des spots radiotélévisés;</w:t>
      </w:r>
    </w:p>
    <w:p w:rsidR="00000000" w:rsidRDefault="00000000">
      <w:pPr>
        <w:pStyle w:val="Bullet1G"/>
        <w:rPr>
          <w:lang w:val="fr-FR"/>
        </w:rPr>
      </w:pPr>
      <w:r>
        <w:rPr>
          <w:lang w:val="fr-FR"/>
        </w:rPr>
        <w:t>Des autocollants;</w:t>
      </w:r>
    </w:p>
    <w:p w:rsidR="00000000" w:rsidRDefault="00000000">
      <w:pPr>
        <w:pStyle w:val="Bullet1G"/>
        <w:rPr>
          <w:lang w:val="fr-FR"/>
        </w:rPr>
      </w:pPr>
      <w:r>
        <w:rPr>
          <w:lang w:val="fr-FR"/>
        </w:rPr>
        <w:t>Des dépliants;</w:t>
      </w:r>
    </w:p>
    <w:p w:rsidR="00000000" w:rsidRDefault="00000000">
      <w:pPr>
        <w:pStyle w:val="Bullet1G"/>
        <w:rPr>
          <w:lang w:val="fr-FR"/>
        </w:rPr>
      </w:pPr>
      <w:r>
        <w:rPr>
          <w:lang w:val="fr-FR"/>
        </w:rPr>
        <w:t>Des manuels d’information à l’usage des Chefs des régions sur le rôle des régions dans la lutte contre le travail des enfants;</w:t>
      </w:r>
    </w:p>
    <w:p w:rsidR="00000000" w:rsidRDefault="00000000">
      <w:pPr>
        <w:pStyle w:val="Bullet1G"/>
        <w:rPr>
          <w:lang w:val="fr-FR"/>
        </w:rPr>
      </w:pPr>
      <w:r>
        <w:rPr>
          <w:lang w:val="fr-FR"/>
        </w:rPr>
        <w:t>Une compilation des textes pour les parlementaires et les intervenants dans les programmes d’action.</w:t>
      </w:r>
    </w:p>
    <w:p w:rsidR="00000000" w:rsidRDefault="00000000">
      <w:pPr>
        <w:pStyle w:val="SingleTxtG"/>
        <w:rPr>
          <w:lang w:val="fr-FR"/>
        </w:rPr>
      </w:pPr>
      <w:r>
        <w:rPr>
          <w:lang w:val="fr-FR"/>
        </w:rPr>
        <w:t>707.</w:t>
      </w:r>
      <w:r>
        <w:rPr>
          <w:lang w:val="fr-FR"/>
        </w:rPr>
        <w:tab/>
        <w:t>Le CNLTE et la PACTE, appuyé par BIT/IPEC, ont mené des activités de plaidoyer auprès des décideurs et des autorités locales, de communication et de sensibilisation des autorités nationales et régionales, des opérateurs économiques et des organisations de la société civile, en particulier à l’occasion de la célébration de la Journée mondiale de lutte contre le travail des enfants (12 juin).</w:t>
      </w:r>
    </w:p>
    <w:p w:rsidR="00000000" w:rsidRDefault="00000000">
      <w:pPr>
        <w:pStyle w:val="SingleTxtG"/>
        <w:rPr>
          <w:lang w:val="fr-FR"/>
        </w:rPr>
      </w:pPr>
      <w:r>
        <w:rPr>
          <w:lang w:val="fr-FR"/>
        </w:rPr>
        <w:t>708.</w:t>
      </w:r>
      <w:r>
        <w:rPr>
          <w:lang w:val="fr-FR"/>
        </w:rPr>
        <w:tab/>
        <w:t>En 2005, le Premier ministre et des représentants parlementaires ont participé à la campagne contre le travail des enfants, en tant qu’acteurs dans un spot télévisé, faisant apparaître l’usage du «carton rouge» «Stop au travail des enfants».</w:t>
      </w:r>
    </w:p>
    <w:p w:rsidR="00000000" w:rsidRDefault="00000000">
      <w:pPr>
        <w:pStyle w:val="SingleTxtG"/>
        <w:rPr>
          <w:lang w:val="fr-FR"/>
        </w:rPr>
      </w:pPr>
      <w:r>
        <w:rPr>
          <w:lang w:val="fr-FR"/>
        </w:rPr>
        <w:t>709.</w:t>
      </w:r>
      <w:r>
        <w:rPr>
          <w:lang w:val="fr-FR"/>
        </w:rPr>
        <w:tab/>
        <w:t>En 2007, ce clip a été réactualisé en regroupant les différents artistes nationaux.</w:t>
      </w:r>
    </w:p>
    <w:p w:rsidR="00000000" w:rsidRDefault="00000000">
      <w:pPr>
        <w:pStyle w:val="SingleTxtG"/>
        <w:rPr>
          <w:lang w:val="fr-FR"/>
        </w:rPr>
      </w:pPr>
      <w:r>
        <w:rPr>
          <w:lang w:val="fr-FR"/>
        </w:rPr>
        <w:t>710.</w:t>
      </w:r>
      <w:r>
        <w:rPr>
          <w:lang w:val="fr-FR"/>
        </w:rPr>
        <w:tab/>
        <w:t>La Fédération malagasy de football a également pris part à la campagne à travers la pose des panneaux «Carton rouge au travail des enfants» lors des grands matchs tant dans la capitale que dans quelques régions.</w:t>
      </w:r>
    </w:p>
    <w:p w:rsidR="00000000" w:rsidRDefault="00000000">
      <w:pPr>
        <w:pStyle w:val="SingleTxtG"/>
        <w:rPr>
          <w:lang w:val="fr-FR"/>
        </w:rPr>
      </w:pPr>
      <w:r>
        <w:rPr>
          <w:lang w:val="fr-FR"/>
        </w:rPr>
        <w:t>711.</w:t>
      </w:r>
      <w:r>
        <w:rPr>
          <w:lang w:val="fr-FR"/>
        </w:rPr>
        <w:tab/>
        <w:t>Chaque année, des milliers de teeshirts portant le message stop au travail des enfants ont été également produits et distribués.</w:t>
      </w:r>
    </w:p>
    <w:p w:rsidR="00000000" w:rsidRDefault="00000000">
      <w:pPr>
        <w:pStyle w:val="H23G"/>
        <w:rPr>
          <w:lang w:val="fr-FR"/>
        </w:rPr>
      </w:pPr>
      <w:bookmarkStart w:id="1423" w:name="_Toc206414635"/>
      <w:bookmarkStart w:id="1424" w:name="_Toc206460476"/>
      <w:bookmarkStart w:id="1425" w:name="_Toc206460810"/>
      <w:bookmarkStart w:id="1426" w:name="_Toc206461532"/>
      <w:bookmarkStart w:id="1427" w:name="_Toc206476326"/>
      <w:bookmarkStart w:id="1428" w:name="_Toc207788861"/>
      <w:bookmarkStart w:id="1429" w:name="_Toc211835530"/>
      <w:bookmarkStart w:id="1430" w:name="_Toc211926837"/>
      <w:r>
        <w:rPr>
          <w:lang w:val="fr-FR"/>
        </w:rPr>
        <w:tab/>
        <w:t>5.</w:t>
      </w:r>
      <w:r>
        <w:rPr>
          <w:lang w:val="fr-FR"/>
        </w:rPr>
        <w:tab/>
        <w:t>Progrès réalisés</w:t>
      </w:r>
      <w:bookmarkEnd w:id="1423"/>
      <w:bookmarkEnd w:id="1424"/>
      <w:bookmarkEnd w:id="1425"/>
      <w:bookmarkEnd w:id="1426"/>
      <w:bookmarkEnd w:id="1427"/>
      <w:bookmarkEnd w:id="1428"/>
      <w:bookmarkEnd w:id="1429"/>
      <w:bookmarkEnd w:id="1430"/>
    </w:p>
    <w:p w:rsidR="00000000" w:rsidRDefault="00000000">
      <w:pPr>
        <w:pStyle w:val="SingleTxtG"/>
        <w:rPr>
          <w:lang w:val="fr-FR"/>
        </w:rPr>
      </w:pPr>
      <w:r>
        <w:rPr>
          <w:lang w:val="fr-FR"/>
        </w:rPr>
        <w:t>712.</w:t>
      </w:r>
      <w:r>
        <w:rPr>
          <w:lang w:val="fr-FR"/>
        </w:rPr>
        <w:tab/>
        <w:t>Le progrès réalisé est manifesté par la réforme législative entreprise et la mise en place de structures d’application ainsi que la mise en œuvre des différents programmes. En 2008:</w:t>
      </w:r>
    </w:p>
    <w:p w:rsidR="00000000" w:rsidRDefault="00000000">
      <w:pPr>
        <w:pStyle w:val="Bullet1G"/>
        <w:rPr>
          <w:lang w:val="fr-FR"/>
        </w:rPr>
      </w:pPr>
      <w:r>
        <w:rPr>
          <w:lang w:val="fr-FR"/>
        </w:rPr>
        <w:t xml:space="preserve">Vingt-neuf programmes d’action sont en cours de mise en œuvre dans le cadre du programme IPEC/BIT. </w:t>
      </w:r>
    </w:p>
    <w:p w:rsidR="00000000" w:rsidRDefault="00000000">
      <w:pPr>
        <w:pStyle w:val="Bullet1G"/>
        <w:rPr>
          <w:lang w:val="fr-FR"/>
        </w:rPr>
      </w:pPr>
      <w:r>
        <w:rPr>
          <w:lang w:val="fr-FR"/>
        </w:rPr>
        <w:t>Mille sept cent quatre-vingt-douze enfants (source Evaluation indépendante à mi-parcours, novembre 2007) ont été retirés des pires formes de travail et bénéficient de réinsertion scolaire et de formation professionnelle.</w:t>
      </w:r>
    </w:p>
    <w:p w:rsidR="00000000" w:rsidRDefault="00000000">
      <w:pPr>
        <w:pStyle w:val="Bullet1G"/>
        <w:rPr>
          <w:lang w:val="fr-FR"/>
        </w:rPr>
      </w:pPr>
      <w:r>
        <w:rPr>
          <w:lang w:val="fr-FR"/>
        </w:rPr>
        <w:t>Cent vingt enfants ont bénéficié de rattrapage scolaire et de réinsertion dans des écoles primaires publiques dans le cadre du Projet «Manjary Soa»</w:t>
      </w:r>
    </w:p>
    <w:p w:rsidR="00000000" w:rsidRDefault="00000000">
      <w:pPr>
        <w:pStyle w:val="Bullet1G"/>
        <w:rPr>
          <w:lang w:val="fr-FR"/>
        </w:rPr>
      </w:pPr>
      <w:r>
        <w:rPr>
          <w:lang w:val="fr-FR"/>
        </w:rPr>
        <w:t>Quatre-vingt-dix pour cent des 130 enfants ayant reçu une formation professionnelle dans la filière confection ont été placés.</w:t>
      </w:r>
    </w:p>
    <w:p w:rsidR="00000000" w:rsidRDefault="00000000">
      <w:pPr>
        <w:pStyle w:val="Bullet1G"/>
        <w:rPr>
          <w:lang w:val="fr-FR"/>
        </w:rPr>
      </w:pPr>
      <w:r>
        <w:rPr>
          <w:lang w:val="fr-FR"/>
        </w:rPr>
        <w:t>Soixante enfants des trois centres d’Antananarivo, Toliara et Toamasina sont bénéficiaires de mesures de réinsertion scolaire et 20 autres enfants de formation professionnelle dans le centre d’Antananarivo.</w:t>
      </w:r>
    </w:p>
    <w:p w:rsidR="00000000" w:rsidRDefault="00000000">
      <w:pPr>
        <w:pStyle w:val="H23G"/>
        <w:rPr>
          <w:lang w:val="fr-FR"/>
        </w:rPr>
      </w:pPr>
      <w:bookmarkStart w:id="1431" w:name="_Toc206414636"/>
      <w:bookmarkStart w:id="1432" w:name="_Toc206460477"/>
      <w:bookmarkStart w:id="1433" w:name="_Toc206460811"/>
      <w:bookmarkStart w:id="1434" w:name="_Toc206461533"/>
      <w:bookmarkStart w:id="1435" w:name="_Toc206476327"/>
      <w:bookmarkStart w:id="1436" w:name="_Toc207788862"/>
      <w:bookmarkStart w:id="1437" w:name="_Toc211835531"/>
      <w:bookmarkStart w:id="1438" w:name="_Toc211926838"/>
      <w:r>
        <w:rPr>
          <w:lang w:val="fr-FR"/>
        </w:rPr>
        <w:tab/>
        <w:t>6.</w:t>
      </w:r>
      <w:r>
        <w:rPr>
          <w:lang w:val="fr-FR"/>
        </w:rPr>
        <w:tab/>
        <w:t>Difficultés rencontrées</w:t>
      </w:r>
      <w:bookmarkEnd w:id="1431"/>
      <w:bookmarkEnd w:id="1432"/>
      <w:bookmarkEnd w:id="1433"/>
      <w:bookmarkEnd w:id="1434"/>
      <w:bookmarkEnd w:id="1435"/>
      <w:bookmarkEnd w:id="1436"/>
      <w:bookmarkEnd w:id="1437"/>
      <w:bookmarkEnd w:id="1438"/>
    </w:p>
    <w:p w:rsidR="00000000" w:rsidRDefault="00000000">
      <w:pPr>
        <w:pStyle w:val="SingleTxtG"/>
        <w:rPr>
          <w:lang w:val="fr-FR"/>
        </w:rPr>
      </w:pPr>
      <w:r>
        <w:rPr>
          <w:lang w:val="fr-FR"/>
        </w:rPr>
        <w:t>713.</w:t>
      </w:r>
      <w:r>
        <w:rPr>
          <w:lang w:val="fr-FR"/>
        </w:rPr>
        <w:tab/>
        <w:t xml:space="preserve">La mise en place des structures régionales a connu des retards à cause de manque des structures appropriées au sein de services régionaux du travail et d’insuffisances en nombre des Inspecteurs du Travail spécialisés dans la lutte contre le travail des enfants. La systématisation de la collecte des données statistiques est en cours de conception. </w:t>
      </w:r>
    </w:p>
    <w:p w:rsidR="00000000" w:rsidRDefault="00000000">
      <w:pPr>
        <w:pStyle w:val="SingleTxtG"/>
        <w:rPr>
          <w:lang w:val="fr-FR"/>
        </w:rPr>
      </w:pPr>
      <w:r>
        <w:rPr>
          <w:lang w:val="fr-FR"/>
        </w:rPr>
        <w:t>714.</w:t>
      </w:r>
      <w:r>
        <w:rPr>
          <w:lang w:val="fr-FR"/>
        </w:rPr>
        <w:tab/>
        <w:t xml:space="preserve">L’acceptation sociale, l’indifférence de l’opinion publique et la connivence des parents et des familles constituent des obstacles pour des résultats immédiats et satisfaisants en matière de lutte contre le travail des enfants. </w:t>
      </w:r>
    </w:p>
    <w:p w:rsidR="00000000" w:rsidRDefault="00000000">
      <w:pPr>
        <w:pStyle w:val="H23G"/>
        <w:rPr>
          <w:lang w:val="fr-FR"/>
        </w:rPr>
      </w:pPr>
      <w:bookmarkStart w:id="1439" w:name="_Toc206414637"/>
      <w:bookmarkStart w:id="1440" w:name="_Toc206460478"/>
      <w:bookmarkStart w:id="1441" w:name="_Toc206460812"/>
      <w:bookmarkStart w:id="1442" w:name="_Toc206461534"/>
      <w:bookmarkStart w:id="1443" w:name="_Toc206476328"/>
      <w:bookmarkStart w:id="1444" w:name="_Toc207788863"/>
      <w:bookmarkStart w:id="1445" w:name="_Toc211835532"/>
      <w:bookmarkStart w:id="1446" w:name="_Toc211926839"/>
      <w:r>
        <w:rPr>
          <w:lang w:val="fr-FR"/>
        </w:rPr>
        <w:tab/>
        <w:t>7.</w:t>
      </w:r>
      <w:r>
        <w:rPr>
          <w:lang w:val="fr-FR"/>
        </w:rPr>
        <w:tab/>
        <w:t>Respect des principes généraux</w:t>
      </w:r>
      <w:bookmarkEnd w:id="1439"/>
      <w:bookmarkEnd w:id="1440"/>
      <w:bookmarkEnd w:id="1441"/>
      <w:bookmarkEnd w:id="1442"/>
      <w:bookmarkEnd w:id="1443"/>
      <w:bookmarkEnd w:id="1444"/>
      <w:bookmarkEnd w:id="1445"/>
      <w:bookmarkEnd w:id="1446"/>
    </w:p>
    <w:p w:rsidR="00000000" w:rsidRDefault="00000000">
      <w:pPr>
        <w:pStyle w:val="SingleTxtG"/>
        <w:rPr>
          <w:lang w:val="fr-FR"/>
        </w:rPr>
      </w:pPr>
      <w:r>
        <w:rPr>
          <w:lang w:val="fr-FR"/>
        </w:rPr>
        <w:t>715.</w:t>
      </w:r>
      <w:r>
        <w:rPr>
          <w:lang w:val="fr-FR"/>
        </w:rPr>
        <w:tab/>
        <w:t>L’interdiction de l’un et de l’autre sexe au travail des enfants marque déjà le respect du principe de non-discrimination.</w:t>
      </w:r>
    </w:p>
    <w:p w:rsidR="00000000" w:rsidRDefault="00000000">
      <w:pPr>
        <w:pStyle w:val="H23G"/>
        <w:rPr>
          <w:lang w:val="fr-FR"/>
        </w:rPr>
      </w:pPr>
      <w:bookmarkStart w:id="1447" w:name="_Toc206414638"/>
      <w:bookmarkStart w:id="1448" w:name="_Toc206460479"/>
      <w:bookmarkStart w:id="1449" w:name="_Toc206460813"/>
      <w:bookmarkStart w:id="1450" w:name="_Toc206461535"/>
      <w:bookmarkStart w:id="1451" w:name="_Toc206476329"/>
      <w:bookmarkStart w:id="1452" w:name="_Toc207788864"/>
      <w:bookmarkStart w:id="1453" w:name="_Toc211835533"/>
      <w:bookmarkStart w:id="1454" w:name="_Toc211926840"/>
      <w:r>
        <w:rPr>
          <w:lang w:val="fr-FR"/>
        </w:rPr>
        <w:tab/>
        <w:t>8.</w:t>
      </w:r>
      <w:r>
        <w:rPr>
          <w:lang w:val="fr-FR"/>
        </w:rPr>
        <w:tab/>
        <w:t>Peines ou autres sanctions appropriées</w:t>
      </w:r>
      <w:bookmarkEnd w:id="1447"/>
      <w:bookmarkEnd w:id="1448"/>
      <w:bookmarkEnd w:id="1449"/>
      <w:bookmarkEnd w:id="1450"/>
      <w:bookmarkEnd w:id="1451"/>
      <w:bookmarkEnd w:id="1452"/>
      <w:bookmarkEnd w:id="1453"/>
      <w:bookmarkEnd w:id="1454"/>
    </w:p>
    <w:p w:rsidR="00000000" w:rsidRDefault="00000000">
      <w:pPr>
        <w:pStyle w:val="SingleTxtG"/>
        <w:rPr>
          <w:lang w:val="fr-FR"/>
        </w:rPr>
      </w:pPr>
      <w:r>
        <w:rPr>
          <w:lang w:val="fr-FR"/>
        </w:rPr>
        <w:t>716.</w:t>
      </w:r>
      <w:r>
        <w:rPr>
          <w:lang w:val="fr-FR"/>
        </w:rPr>
        <w:tab/>
        <w:t xml:space="preserve">La loi </w:t>
      </w:r>
      <w:r>
        <w:rPr>
          <w:rFonts w:eastAsia="MS Mincho"/>
          <w:lang w:val="fr-FR"/>
        </w:rPr>
        <w:t>n</w:t>
      </w:r>
      <w:r>
        <w:rPr>
          <w:rFonts w:eastAsia="MS Mincho"/>
          <w:vertAlign w:val="superscript"/>
          <w:lang w:val="fr-FR"/>
        </w:rPr>
        <w:t>o</w:t>
      </w:r>
      <w:r>
        <w:rPr>
          <w:lang w:val="fr-FR"/>
        </w:rPr>
        <w:t xml:space="preserve"> 2003-044 du 28 juillet 2004 portant Code du travail punit, en son article 261, d’une amende de 1 million d’ariary à 3 millions d’ariary et d’un emprisonnement de un an à trois ans ou de l’une de ces deux peines seulement, les auteurs d’infractions aux articles 100, 101, 102 et 103. </w:t>
      </w:r>
    </w:p>
    <w:p w:rsidR="00000000" w:rsidRDefault="00000000">
      <w:pPr>
        <w:pStyle w:val="SingleTxtG"/>
        <w:rPr>
          <w:lang w:val="fr-FR"/>
        </w:rPr>
      </w:pPr>
      <w:r>
        <w:rPr>
          <w:lang w:val="fr-FR"/>
        </w:rPr>
        <w:t>717.</w:t>
      </w:r>
      <w:r>
        <w:rPr>
          <w:lang w:val="fr-FR"/>
        </w:rPr>
        <w:tab/>
        <w:t>Les amendes ont connu une augmentation de 150 à 200 fois plus et les peines d’emprisonnement de quinze jours à un mois sont passées de un  mois à trois ans.</w:t>
      </w:r>
    </w:p>
    <w:p w:rsidR="00000000" w:rsidRDefault="00000000">
      <w:pPr>
        <w:pStyle w:val="H23G"/>
        <w:rPr>
          <w:lang w:val="fr-FR"/>
        </w:rPr>
      </w:pPr>
      <w:bookmarkStart w:id="1455" w:name="_Toc206414639"/>
      <w:bookmarkStart w:id="1456" w:name="_Toc206460480"/>
      <w:bookmarkStart w:id="1457" w:name="_Toc206460814"/>
      <w:bookmarkStart w:id="1458" w:name="_Toc206461536"/>
      <w:bookmarkStart w:id="1459" w:name="_Toc206476330"/>
      <w:bookmarkStart w:id="1460" w:name="_Toc207788865"/>
      <w:bookmarkStart w:id="1461" w:name="_Toc211835534"/>
      <w:bookmarkStart w:id="1462" w:name="_Toc211926841"/>
      <w:r>
        <w:rPr>
          <w:lang w:val="fr-FR"/>
        </w:rPr>
        <w:tab/>
        <w:t>9.</w:t>
      </w:r>
      <w:r>
        <w:rPr>
          <w:lang w:val="fr-FR"/>
        </w:rPr>
        <w:tab/>
        <w:t>Mécanismes d’inspection</w:t>
      </w:r>
      <w:bookmarkEnd w:id="1455"/>
      <w:bookmarkEnd w:id="1456"/>
      <w:bookmarkEnd w:id="1457"/>
      <w:bookmarkEnd w:id="1458"/>
      <w:bookmarkEnd w:id="1459"/>
      <w:bookmarkEnd w:id="1460"/>
      <w:bookmarkEnd w:id="1461"/>
      <w:bookmarkEnd w:id="1462"/>
    </w:p>
    <w:p w:rsidR="00000000" w:rsidRDefault="00000000">
      <w:pPr>
        <w:pStyle w:val="SingleTxtG"/>
        <w:rPr>
          <w:lang w:val="fr-FR"/>
        </w:rPr>
      </w:pPr>
      <w:r>
        <w:rPr>
          <w:lang w:val="fr-FR"/>
        </w:rPr>
        <w:t>718.</w:t>
      </w:r>
      <w:r>
        <w:rPr>
          <w:lang w:val="fr-FR"/>
        </w:rPr>
        <w:tab/>
        <w:t>En 2008, une formation sur la lutte contre le travail des enfants est programmée par le Ministère chargé du travail avec l’équipe PACTE, à l’intention des 68 inspecteurs du travail.</w:t>
      </w:r>
    </w:p>
    <w:p w:rsidR="00000000" w:rsidRDefault="00000000">
      <w:pPr>
        <w:pStyle w:val="H23G"/>
        <w:rPr>
          <w:lang w:val="fr-FR"/>
        </w:rPr>
      </w:pPr>
      <w:bookmarkStart w:id="1463" w:name="_Toc206414640"/>
      <w:bookmarkStart w:id="1464" w:name="_Toc206460481"/>
      <w:bookmarkStart w:id="1465" w:name="_Toc206460815"/>
      <w:bookmarkStart w:id="1466" w:name="_Toc206461537"/>
      <w:bookmarkStart w:id="1467" w:name="_Toc206476331"/>
      <w:bookmarkStart w:id="1468" w:name="_Toc207788866"/>
      <w:bookmarkStart w:id="1469" w:name="_Toc211835535"/>
      <w:bookmarkStart w:id="1470" w:name="_Toc211926842"/>
      <w:r>
        <w:rPr>
          <w:lang w:val="fr-FR"/>
        </w:rPr>
        <w:tab/>
        <w:t>10.</w:t>
      </w:r>
      <w:r>
        <w:rPr>
          <w:lang w:val="fr-FR"/>
        </w:rPr>
        <w:tab/>
        <w:t>Politique nationale ou stratégie</w:t>
      </w:r>
      <w:bookmarkEnd w:id="1463"/>
      <w:bookmarkEnd w:id="1464"/>
      <w:bookmarkEnd w:id="1465"/>
      <w:bookmarkEnd w:id="1466"/>
      <w:bookmarkEnd w:id="1467"/>
      <w:bookmarkEnd w:id="1468"/>
      <w:bookmarkEnd w:id="1469"/>
      <w:bookmarkEnd w:id="1470"/>
    </w:p>
    <w:p w:rsidR="00000000" w:rsidRDefault="00000000">
      <w:pPr>
        <w:pStyle w:val="SingleTxtG"/>
        <w:rPr>
          <w:lang w:val="fr-FR"/>
        </w:rPr>
      </w:pPr>
      <w:r>
        <w:rPr>
          <w:lang w:val="fr-FR"/>
        </w:rPr>
        <w:t>719.</w:t>
      </w:r>
      <w:r>
        <w:rPr>
          <w:lang w:val="fr-FR"/>
        </w:rPr>
        <w:tab/>
        <w:t xml:space="preserve">La lutte contre le travail des enfants figure dans l’engagement </w:t>
      </w:r>
      <w:r>
        <w:rPr>
          <w:rFonts w:eastAsia="MS Mincho"/>
          <w:lang w:val="fr-FR"/>
        </w:rPr>
        <w:t>n</w:t>
      </w:r>
      <w:r>
        <w:rPr>
          <w:rFonts w:eastAsia="MS Mincho"/>
          <w:vertAlign w:val="superscript"/>
          <w:lang w:val="fr-FR"/>
        </w:rPr>
        <w:t>o</w:t>
      </w:r>
      <w:r>
        <w:rPr>
          <w:lang w:val="fr-FR"/>
        </w:rPr>
        <w:t xml:space="preserve"> 8 et défi 4 du MAP. Ce qui témoigne de la détermination de l’État à s’attaquer à ce fléau.</w:t>
      </w:r>
    </w:p>
    <w:p w:rsidR="00000000" w:rsidRDefault="00000000">
      <w:pPr>
        <w:pStyle w:val="SingleTxtG"/>
        <w:rPr>
          <w:lang w:val="fr-FR"/>
        </w:rPr>
      </w:pPr>
      <w:r>
        <w:rPr>
          <w:lang w:val="fr-FR"/>
        </w:rPr>
        <w:t>720.</w:t>
      </w:r>
      <w:r>
        <w:rPr>
          <w:lang w:val="fr-FR"/>
        </w:rPr>
        <w:tab/>
        <w:t>Les principales composantes de la stratégie du Plan national d’action de lutte contre le travail des enfants (PNALTE) consistent à éradiquer le travail des enfants en priorisant la lutte contre les pires formes de travail des enfants par la création d’un cadre juridique et d’un environnement institutionnel, économique et éducationnel favorable à l’épanouissement de l’enfant et pour le libérer de toutes contraintes de survie.</w:t>
      </w:r>
    </w:p>
    <w:p w:rsidR="00000000" w:rsidRDefault="00000000">
      <w:pPr>
        <w:pStyle w:val="SingleTxtG"/>
        <w:rPr>
          <w:lang w:val="fr-FR"/>
        </w:rPr>
      </w:pPr>
      <w:r>
        <w:rPr>
          <w:lang w:val="fr-FR"/>
        </w:rPr>
        <w:t>721.</w:t>
      </w:r>
      <w:r>
        <w:rPr>
          <w:lang w:val="fr-FR"/>
        </w:rPr>
        <w:tab/>
        <w:t>En outre, le Ministère de la justice en partenariat avec l’UNICEF, a élaboré en décembre 2007, un Plan d’action national de la lutte contre la violence à l’égard des enfants ou PANVE, incluant l’éradication des pires formes de travail des enfants.</w:t>
      </w:r>
    </w:p>
    <w:p w:rsidR="00000000" w:rsidRDefault="00000000">
      <w:pPr>
        <w:pStyle w:val="H23G"/>
        <w:rPr>
          <w:lang w:val="fr-FR"/>
        </w:rPr>
      </w:pPr>
      <w:bookmarkStart w:id="1471" w:name="_Toc206414641"/>
      <w:bookmarkStart w:id="1472" w:name="_Toc206460482"/>
      <w:bookmarkStart w:id="1473" w:name="_Toc206460816"/>
      <w:bookmarkStart w:id="1474" w:name="_Toc206461538"/>
      <w:bookmarkStart w:id="1475" w:name="_Toc206476332"/>
      <w:bookmarkStart w:id="1476" w:name="_Toc207788867"/>
      <w:bookmarkStart w:id="1477" w:name="_Toc211835536"/>
      <w:bookmarkStart w:id="1478" w:name="_Toc211926843"/>
      <w:r>
        <w:rPr>
          <w:lang w:val="fr-FR"/>
        </w:rPr>
        <w:tab/>
        <w:t>11.</w:t>
      </w:r>
      <w:r>
        <w:rPr>
          <w:lang w:val="fr-FR"/>
        </w:rPr>
        <w:tab/>
        <w:t>Mécanisme de coordination et de surveillance</w:t>
      </w:r>
      <w:bookmarkEnd w:id="1471"/>
      <w:bookmarkEnd w:id="1472"/>
      <w:bookmarkEnd w:id="1473"/>
      <w:bookmarkEnd w:id="1474"/>
      <w:bookmarkEnd w:id="1475"/>
      <w:bookmarkEnd w:id="1476"/>
      <w:bookmarkEnd w:id="1477"/>
      <w:bookmarkEnd w:id="1478"/>
    </w:p>
    <w:p w:rsidR="00000000" w:rsidRDefault="00000000">
      <w:pPr>
        <w:pStyle w:val="SingleTxtG"/>
        <w:rPr>
          <w:lang w:val="fr-FR"/>
        </w:rPr>
      </w:pPr>
      <w:r>
        <w:rPr>
          <w:lang w:val="fr-FR"/>
        </w:rPr>
        <w:t>722.</w:t>
      </w:r>
      <w:r>
        <w:rPr>
          <w:lang w:val="fr-FR"/>
        </w:rPr>
        <w:tab/>
        <w:t>Madagascar figure parmi les pays africains disposant d’une structure nationale de lutte contre le travail des enfants, dénommée CNLTE.</w:t>
      </w:r>
    </w:p>
    <w:p w:rsidR="00000000" w:rsidRDefault="00000000">
      <w:pPr>
        <w:pStyle w:val="SingleTxtG"/>
        <w:rPr>
          <w:lang w:val="fr-FR"/>
        </w:rPr>
      </w:pPr>
      <w:r>
        <w:rPr>
          <w:lang w:val="fr-FR"/>
        </w:rPr>
        <w:t>723.</w:t>
      </w:r>
      <w:r>
        <w:rPr>
          <w:lang w:val="fr-FR"/>
        </w:rPr>
        <w:tab/>
        <w:t>Ce CNLTE est une structure charnière dans la mise en œuvre du PNALTE. Il est chargé:</w:t>
      </w:r>
    </w:p>
    <w:p w:rsidR="00000000" w:rsidRDefault="00000000">
      <w:pPr>
        <w:pStyle w:val="Bullet1G"/>
        <w:rPr>
          <w:lang w:val="fr-FR"/>
        </w:rPr>
      </w:pPr>
      <w:r>
        <w:rPr>
          <w:lang w:val="fr-FR"/>
        </w:rPr>
        <w:t>D’assurer la mise en œuvre et le suivi du PNALTE;</w:t>
      </w:r>
    </w:p>
    <w:p w:rsidR="00000000" w:rsidRDefault="00000000">
      <w:pPr>
        <w:pStyle w:val="Bullet1G"/>
        <w:rPr>
          <w:lang w:val="fr-FR"/>
        </w:rPr>
      </w:pPr>
      <w:r>
        <w:rPr>
          <w:lang w:val="fr-FR"/>
        </w:rPr>
        <w:t>D’orienter et de suivre les activités de IPEC/BIT à Madagascar;</w:t>
      </w:r>
    </w:p>
    <w:p w:rsidR="00000000" w:rsidRDefault="00000000">
      <w:pPr>
        <w:pStyle w:val="Bullet1G"/>
        <w:rPr>
          <w:lang w:val="fr-FR"/>
        </w:rPr>
      </w:pPr>
      <w:r>
        <w:rPr>
          <w:lang w:val="fr-FR"/>
        </w:rPr>
        <w:t>De donner son avis sur les textes législatifs et réglementaires en matière de lutte contre le travail des enfants;</w:t>
      </w:r>
    </w:p>
    <w:p w:rsidR="00000000" w:rsidRDefault="00000000">
      <w:pPr>
        <w:pStyle w:val="Bullet1G"/>
        <w:rPr>
          <w:lang w:val="fr-FR"/>
        </w:rPr>
      </w:pPr>
      <w:r>
        <w:rPr>
          <w:lang w:val="fr-FR"/>
        </w:rPr>
        <w:t>D’appuyer l’élaboration, de valider et de suivre les programmes d’action des sociétés civiles et des ONGs sur ces questions.</w:t>
      </w:r>
    </w:p>
    <w:p w:rsidR="00000000" w:rsidRDefault="00000000">
      <w:pPr>
        <w:pStyle w:val="SingleTxtG"/>
        <w:rPr>
          <w:lang w:val="fr-FR"/>
        </w:rPr>
      </w:pPr>
      <w:r>
        <w:rPr>
          <w:lang w:val="fr-FR"/>
        </w:rPr>
        <w:t>724.</w:t>
      </w:r>
      <w:r>
        <w:rPr>
          <w:lang w:val="fr-FR"/>
        </w:rPr>
        <w:tab/>
        <w:t xml:space="preserve">Au niveau régional, le décret </w:t>
      </w:r>
      <w:r>
        <w:rPr>
          <w:rFonts w:eastAsia="MS Mincho"/>
          <w:lang w:val="fr-FR"/>
        </w:rPr>
        <w:t>n</w:t>
      </w:r>
      <w:r>
        <w:rPr>
          <w:rFonts w:eastAsia="MS Mincho"/>
          <w:vertAlign w:val="superscript"/>
          <w:lang w:val="fr-FR"/>
        </w:rPr>
        <w:t>o</w:t>
      </w:r>
      <w:r>
        <w:rPr>
          <w:lang w:val="fr-FR"/>
        </w:rPr>
        <w:t xml:space="preserve"> 2005-523 du 9 août 2005 attribue au CRLTE les missions dévolues au CNLTE au niveau national. </w:t>
      </w:r>
    </w:p>
    <w:p w:rsidR="00000000" w:rsidRDefault="00000000">
      <w:pPr>
        <w:pStyle w:val="SingleTxtG"/>
        <w:rPr>
          <w:lang w:val="fr-FR"/>
        </w:rPr>
      </w:pPr>
      <w:r>
        <w:rPr>
          <w:lang w:val="fr-FR"/>
        </w:rPr>
        <w:t>725.</w:t>
      </w:r>
      <w:r>
        <w:rPr>
          <w:lang w:val="fr-FR"/>
        </w:rPr>
        <w:tab/>
        <w:t>En outre il est chargé de l’exécution de toutes les directives émanant du CNLTE.</w:t>
      </w:r>
    </w:p>
    <w:p w:rsidR="00000000" w:rsidRDefault="00000000">
      <w:pPr>
        <w:pStyle w:val="SingleTxtG"/>
        <w:rPr>
          <w:lang w:val="fr-FR"/>
        </w:rPr>
      </w:pPr>
      <w:r>
        <w:rPr>
          <w:lang w:val="fr-FR"/>
        </w:rPr>
        <w:t>726.</w:t>
      </w:r>
      <w:r>
        <w:rPr>
          <w:lang w:val="fr-FR"/>
        </w:rPr>
        <w:tab/>
        <w:t>La PACTE au sein du Ministère du travail apporte son appui au CNLTE notamment dans la collecte d’informations sur le travail des enfants et des initiatives destinées à combattre ce fléau et dans la constitution d’une banque de base de données pour assurer le suivi sur l’évolution du travail des enfants dans le pays.</w:t>
      </w:r>
    </w:p>
    <w:p w:rsidR="00000000" w:rsidRDefault="00000000">
      <w:pPr>
        <w:pStyle w:val="SingleTxtG"/>
        <w:rPr>
          <w:lang w:val="fr-FR"/>
        </w:rPr>
      </w:pPr>
      <w:r>
        <w:rPr>
          <w:lang w:val="fr-FR"/>
        </w:rPr>
        <w:t>727.</w:t>
      </w:r>
      <w:r>
        <w:rPr>
          <w:lang w:val="fr-FR"/>
        </w:rPr>
        <w:tab/>
        <w:t xml:space="preserve">Au niveau régional, l’ORTE est chargée de l’exécution des missions de la PACTE dans l’appui du CRLTE. </w:t>
      </w:r>
    </w:p>
    <w:p w:rsidR="00000000" w:rsidRDefault="00000000">
      <w:pPr>
        <w:pStyle w:val="H23G"/>
        <w:rPr>
          <w:lang w:val="fr-FR"/>
        </w:rPr>
      </w:pPr>
      <w:bookmarkStart w:id="1479" w:name="_Toc206414642"/>
      <w:bookmarkStart w:id="1480" w:name="_Toc206460483"/>
      <w:bookmarkStart w:id="1481" w:name="_Toc206460817"/>
      <w:bookmarkStart w:id="1482" w:name="_Toc206461539"/>
      <w:bookmarkStart w:id="1483" w:name="_Toc206476333"/>
      <w:bookmarkStart w:id="1484" w:name="_Toc207788868"/>
      <w:bookmarkStart w:id="1485" w:name="_Toc211835537"/>
      <w:bookmarkStart w:id="1486" w:name="_Toc211926844"/>
      <w:r>
        <w:rPr>
          <w:lang w:val="fr-FR"/>
        </w:rPr>
        <w:tab/>
        <w:t>12.</w:t>
      </w:r>
      <w:r>
        <w:rPr>
          <w:lang w:val="fr-FR"/>
        </w:rPr>
        <w:tab/>
        <w:t>Les indicateurs arrêtés et utilisés</w:t>
      </w:r>
      <w:bookmarkEnd w:id="1479"/>
      <w:bookmarkEnd w:id="1480"/>
      <w:bookmarkEnd w:id="1481"/>
      <w:bookmarkEnd w:id="1482"/>
      <w:bookmarkEnd w:id="1483"/>
      <w:bookmarkEnd w:id="1484"/>
      <w:bookmarkEnd w:id="1485"/>
      <w:bookmarkEnd w:id="1486"/>
    </w:p>
    <w:p w:rsidR="00000000" w:rsidRDefault="00000000">
      <w:pPr>
        <w:pStyle w:val="SingleTxtG"/>
        <w:rPr>
          <w:lang w:val="fr-FR"/>
        </w:rPr>
      </w:pPr>
      <w:r>
        <w:rPr>
          <w:lang w:val="fr-FR"/>
        </w:rPr>
        <w:t>728.</w:t>
      </w:r>
      <w:r>
        <w:rPr>
          <w:lang w:val="fr-FR"/>
        </w:rPr>
        <w:tab/>
        <w:t xml:space="preserve">Malgré quelques données éparses provenant de quelques enquêtes, avant l’année 2007, il n’existe aucun système de collecte automatique des données qualitatives sur le travail des enfants dans tous les secteurs d’activités. C’est pourquoi l’État a procédé, toujours avec l’appui de l’IPEC/BIT, à la première grande étude nationale sur le travail des enfants (ENTE), financé par l’USDOL. </w:t>
      </w:r>
    </w:p>
    <w:p w:rsidR="00000000" w:rsidRDefault="00000000">
      <w:pPr>
        <w:pStyle w:val="SingleTxtG"/>
        <w:rPr>
          <w:lang w:val="fr-FR"/>
        </w:rPr>
      </w:pPr>
      <w:r>
        <w:rPr>
          <w:lang w:val="fr-FR"/>
        </w:rPr>
        <w:t>729.</w:t>
      </w:r>
      <w:r>
        <w:rPr>
          <w:lang w:val="fr-FR"/>
        </w:rPr>
        <w:tab/>
        <w:t>Pour faire face à la carence de données sur le travail des enfants, l’État a procédé avec l’appui de l’IPEC/BIT, à l’étude nationale sur le travail des enfants (ENTE), financée par l’USDOL. Cette étude a déjà été engagée en mois de mai 2007 par la formation des agents de l’INSTAT sur le travail des enfants. Les résultats permettront de disposer des informations pouvant aider à l’amélioration de la stratégie de la lutte contre le travail des enfants.</w:t>
      </w:r>
    </w:p>
    <w:p w:rsidR="00000000" w:rsidRDefault="00000000">
      <w:pPr>
        <w:pStyle w:val="H23G"/>
        <w:rPr>
          <w:lang w:val="fr-FR"/>
        </w:rPr>
      </w:pPr>
      <w:bookmarkStart w:id="1487" w:name="_Toc206414643"/>
      <w:bookmarkStart w:id="1488" w:name="_Toc206460484"/>
      <w:bookmarkStart w:id="1489" w:name="_Toc206460818"/>
      <w:bookmarkStart w:id="1490" w:name="_Toc206461540"/>
      <w:bookmarkStart w:id="1491" w:name="_Toc206476334"/>
      <w:bookmarkStart w:id="1492" w:name="_Toc207788869"/>
      <w:bookmarkStart w:id="1493" w:name="_Toc211835538"/>
      <w:bookmarkStart w:id="1494" w:name="_Toc211926845"/>
      <w:r>
        <w:rPr>
          <w:lang w:val="fr-FR"/>
        </w:rPr>
        <w:tab/>
        <w:t>13.</w:t>
      </w:r>
      <w:r>
        <w:rPr>
          <w:lang w:val="fr-FR"/>
        </w:rPr>
        <w:tab/>
        <w:t>Programmes de coopération technique et d’assistance internationale</w:t>
      </w:r>
      <w:bookmarkEnd w:id="1487"/>
      <w:bookmarkEnd w:id="1488"/>
      <w:bookmarkEnd w:id="1489"/>
      <w:bookmarkEnd w:id="1490"/>
      <w:bookmarkEnd w:id="1491"/>
      <w:bookmarkEnd w:id="1492"/>
      <w:bookmarkEnd w:id="1493"/>
      <w:bookmarkEnd w:id="1494"/>
    </w:p>
    <w:p w:rsidR="00000000" w:rsidRDefault="00000000">
      <w:pPr>
        <w:pStyle w:val="SingleTxtG"/>
        <w:rPr>
          <w:lang w:val="fr-FR"/>
        </w:rPr>
      </w:pPr>
      <w:r>
        <w:rPr>
          <w:lang w:val="fr-FR"/>
        </w:rPr>
        <w:t>730.</w:t>
      </w:r>
      <w:r>
        <w:rPr>
          <w:lang w:val="fr-FR"/>
        </w:rPr>
        <w:tab/>
        <w:t xml:space="preserve">Compte tenu de ses moyens limités, Madagascar a besoin d’assistance en matière technique et financière pour l’accompagner dans la mise en œuvre de la Convention relative aux droits de l’enfant. Dans ce sens il bénéficie de l’appui de l’UNICEF dans le cadre du Programme «Bonne gouvernance pour les droits de l’enfant», de IPEC/BIT dans le cadre de l’activité «Lutte contre les pires formes de travail des enfants» l’État malgache et du PNUD dans le cadre du Projet «Volontariat contre la violence». </w:t>
      </w:r>
    </w:p>
    <w:p w:rsidR="00000000" w:rsidRDefault="00000000">
      <w:pPr>
        <w:pStyle w:val="H1G"/>
        <w:rPr>
          <w:lang w:val="fr-FR"/>
        </w:rPr>
      </w:pPr>
      <w:bookmarkStart w:id="1495" w:name="_Toc206414644"/>
      <w:bookmarkStart w:id="1496" w:name="_Toc206460485"/>
      <w:bookmarkStart w:id="1497" w:name="_Toc206460819"/>
      <w:bookmarkStart w:id="1498" w:name="_Toc206461541"/>
      <w:bookmarkStart w:id="1499" w:name="_Toc206476335"/>
      <w:bookmarkStart w:id="1500" w:name="_Toc207788870"/>
      <w:bookmarkStart w:id="1501" w:name="_Toc211835539"/>
      <w:bookmarkStart w:id="1502" w:name="_Toc211926846"/>
      <w:bookmarkStart w:id="1503" w:name="_Toc260298287"/>
      <w:r>
        <w:rPr>
          <w:lang w:val="fr-FR"/>
        </w:rPr>
        <w:tab/>
        <w:t>D.</w:t>
      </w:r>
      <w:r>
        <w:rPr>
          <w:lang w:val="fr-FR"/>
        </w:rPr>
        <w:tab/>
        <w:t>Usage des stupéfiants</w:t>
      </w:r>
      <w:bookmarkEnd w:id="1495"/>
      <w:bookmarkEnd w:id="1496"/>
      <w:bookmarkEnd w:id="1497"/>
      <w:bookmarkEnd w:id="1498"/>
      <w:bookmarkEnd w:id="1499"/>
      <w:bookmarkEnd w:id="1500"/>
      <w:bookmarkEnd w:id="1501"/>
      <w:bookmarkEnd w:id="1502"/>
      <w:bookmarkEnd w:id="1503"/>
    </w:p>
    <w:p w:rsidR="00000000" w:rsidRDefault="00000000">
      <w:pPr>
        <w:pStyle w:val="H23G"/>
        <w:rPr>
          <w:i/>
          <w:lang w:val="fr-FR"/>
        </w:rPr>
      </w:pPr>
      <w:bookmarkStart w:id="1504" w:name="_Toc206414645"/>
      <w:bookmarkStart w:id="1505" w:name="_Toc206460486"/>
      <w:bookmarkStart w:id="1506" w:name="_Toc206460820"/>
      <w:bookmarkStart w:id="1507" w:name="_Toc206461542"/>
      <w:bookmarkStart w:id="1508" w:name="_Toc206476336"/>
      <w:bookmarkStart w:id="1509" w:name="_Toc207788871"/>
      <w:bookmarkStart w:id="1510" w:name="_Toc211835540"/>
      <w:bookmarkStart w:id="1511" w:name="_Toc211926847"/>
      <w:r>
        <w:rPr>
          <w:lang w:val="fr-FR"/>
        </w:rPr>
        <w:tab/>
        <w:t>1.</w:t>
      </w:r>
      <w:r>
        <w:rPr>
          <w:lang w:val="fr-FR"/>
        </w:rPr>
        <w:tab/>
        <w:t>Instruments</w:t>
      </w:r>
      <w:r>
        <w:rPr>
          <w:i/>
          <w:lang w:val="fr-FR"/>
        </w:rPr>
        <w:t xml:space="preserve"> </w:t>
      </w:r>
      <w:r>
        <w:rPr>
          <w:lang w:val="fr-FR"/>
        </w:rPr>
        <w:t>internationaux</w:t>
      </w:r>
      <w:bookmarkEnd w:id="1504"/>
      <w:bookmarkEnd w:id="1505"/>
      <w:bookmarkEnd w:id="1506"/>
      <w:bookmarkEnd w:id="1507"/>
      <w:bookmarkEnd w:id="1508"/>
      <w:bookmarkEnd w:id="1509"/>
      <w:bookmarkEnd w:id="1510"/>
      <w:bookmarkEnd w:id="1511"/>
    </w:p>
    <w:p w:rsidR="00000000" w:rsidRDefault="00000000">
      <w:pPr>
        <w:pStyle w:val="SingleTxtG"/>
        <w:rPr>
          <w:lang w:val="fr-FR"/>
        </w:rPr>
      </w:pPr>
      <w:r>
        <w:rPr>
          <w:lang w:val="fr-FR"/>
        </w:rPr>
        <w:t>731.</w:t>
      </w:r>
      <w:r>
        <w:rPr>
          <w:lang w:val="fr-FR"/>
        </w:rPr>
        <w:tab/>
        <w:t xml:space="preserve">Madagascar a ratifié: </w:t>
      </w:r>
    </w:p>
    <w:p w:rsidR="00000000" w:rsidRDefault="00000000">
      <w:pPr>
        <w:pStyle w:val="Bullet1G"/>
        <w:rPr>
          <w:lang w:val="fr-FR"/>
        </w:rPr>
      </w:pPr>
      <w:r>
        <w:rPr>
          <w:lang w:val="fr-FR"/>
        </w:rPr>
        <w:t>La Convention de Genève du 26 juin 2006 sur la répression du trafic illicite des drogues nuisibles;</w:t>
      </w:r>
    </w:p>
    <w:p w:rsidR="00000000" w:rsidRDefault="00000000">
      <w:pPr>
        <w:pStyle w:val="Bullet1G"/>
        <w:rPr>
          <w:lang w:val="fr-FR"/>
        </w:rPr>
      </w:pPr>
      <w:r>
        <w:rPr>
          <w:lang w:val="fr-FR"/>
        </w:rPr>
        <w:t>La Convention de Genève de 1961 sur les stupéfiants;</w:t>
      </w:r>
    </w:p>
    <w:p w:rsidR="00000000" w:rsidRDefault="00000000">
      <w:pPr>
        <w:pStyle w:val="Bullet1G"/>
        <w:rPr>
          <w:lang w:val="fr-FR"/>
        </w:rPr>
      </w:pPr>
      <w:r>
        <w:rPr>
          <w:lang w:val="fr-FR"/>
        </w:rPr>
        <w:t>La Convention de Vienne de 21 février 1971 sur les substances psychotropes;</w:t>
      </w:r>
    </w:p>
    <w:p w:rsidR="00000000" w:rsidRDefault="00000000">
      <w:pPr>
        <w:pStyle w:val="Bullet1G"/>
        <w:rPr>
          <w:lang w:val="fr-FR"/>
        </w:rPr>
      </w:pPr>
      <w:r>
        <w:rPr>
          <w:lang w:val="fr-FR"/>
        </w:rPr>
        <w:t>La Convention contre le trafic illicite de stupéfiants et de matières psychotropes de 1988.</w:t>
      </w:r>
    </w:p>
    <w:p w:rsidR="00000000" w:rsidRDefault="00000000">
      <w:pPr>
        <w:pStyle w:val="H23G"/>
        <w:rPr>
          <w:i/>
          <w:lang w:val="fr-FR"/>
        </w:rPr>
      </w:pPr>
      <w:bookmarkStart w:id="1512" w:name="_Toc206414646"/>
      <w:bookmarkStart w:id="1513" w:name="_Toc206460487"/>
      <w:bookmarkStart w:id="1514" w:name="_Toc206460821"/>
      <w:bookmarkStart w:id="1515" w:name="_Toc206461543"/>
      <w:bookmarkStart w:id="1516" w:name="_Toc206476337"/>
      <w:bookmarkStart w:id="1517" w:name="_Toc207788872"/>
      <w:bookmarkStart w:id="1518" w:name="_Toc211835541"/>
      <w:bookmarkStart w:id="1519" w:name="_Toc211926848"/>
      <w:r>
        <w:rPr>
          <w:lang w:val="fr-FR"/>
        </w:rPr>
        <w:tab/>
        <w:t>2.</w:t>
      </w:r>
      <w:r>
        <w:rPr>
          <w:lang w:val="fr-FR"/>
        </w:rPr>
        <w:tab/>
        <w:t>Coopération</w:t>
      </w:r>
      <w:r>
        <w:rPr>
          <w:i/>
          <w:lang w:val="fr-FR"/>
        </w:rPr>
        <w:t xml:space="preserve"> </w:t>
      </w:r>
      <w:r>
        <w:rPr>
          <w:lang w:val="fr-FR"/>
        </w:rPr>
        <w:t>internationale</w:t>
      </w:r>
      <w:bookmarkEnd w:id="1512"/>
      <w:bookmarkEnd w:id="1513"/>
      <w:bookmarkEnd w:id="1514"/>
      <w:bookmarkEnd w:id="1515"/>
      <w:bookmarkEnd w:id="1516"/>
      <w:bookmarkEnd w:id="1517"/>
      <w:bookmarkEnd w:id="1518"/>
      <w:bookmarkEnd w:id="1519"/>
    </w:p>
    <w:p w:rsidR="00000000" w:rsidRDefault="00000000">
      <w:pPr>
        <w:pStyle w:val="SingleTxtG"/>
        <w:rPr>
          <w:lang w:val="fr-FR"/>
        </w:rPr>
      </w:pPr>
      <w:r>
        <w:rPr>
          <w:lang w:val="fr-FR"/>
        </w:rPr>
        <w:t>732.</w:t>
      </w:r>
      <w:r>
        <w:rPr>
          <w:lang w:val="fr-FR"/>
        </w:rPr>
        <w:tab/>
        <w:t>Dans le cadre de la coopération internationale, différents accords ont été signés par Madagascar en vue de la lutte contre la drogue:</w:t>
      </w:r>
    </w:p>
    <w:p w:rsidR="00000000" w:rsidRDefault="00000000">
      <w:pPr>
        <w:pStyle w:val="Bullet1G"/>
        <w:rPr>
          <w:lang w:val="fr-FR"/>
        </w:rPr>
      </w:pPr>
      <w:r>
        <w:rPr>
          <w:lang w:val="fr-FR"/>
        </w:rPr>
        <w:t>Arrangement administratif et opérationnel en matière de lutte contre le trafic illicite de drogue entre Madagascar et la République islamique des Comores;</w:t>
      </w:r>
    </w:p>
    <w:p w:rsidR="00000000" w:rsidRDefault="00000000">
      <w:pPr>
        <w:pStyle w:val="Bullet1G"/>
        <w:rPr>
          <w:lang w:val="fr-FR"/>
        </w:rPr>
      </w:pPr>
      <w:r>
        <w:rPr>
          <w:lang w:val="fr-FR"/>
        </w:rPr>
        <w:t>Accord de coopération concernant l’entraide judiciaire entre Madagascar et la France. Cet accord concerne l’extradition des trafiquants de drogues;</w:t>
      </w:r>
    </w:p>
    <w:p w:rsidR="00000000" w:rsidRDefault="00000000">
      <w:pPr>
        <w:pStyle w:val="Bullet1G"/>
        <w:rPr>
          <w:lang w:val="fr-FR"/>
        </w:rPr>
      </w:pPr>
      <w:r>
        <w:rPr>
          <w:lang w:val="fr-FR"/>
        </w:rPr>
        <w:t>Convention d’assistance administrative mutuelle en matière douanière entre Madagascar et la France.</w:t>
      </w:r>
    </w:p>
    <w:p w:rsidR="00000000" w:rsidRDefault="00000000">
      <w:pPr>
        <w:pStyle w:val="H23G"/>
        <w:rPr>
          <w:lang w:val="fr-FR"/>
        </w:rPr>
      </w:pPr>
      <w:bookmarkStart w:id="1520" w:name="_Toc206414647"/>
      <w:bookmarkStart w:id="1521" w:name="_Toc206460488"/>
      <w:bookmarkStart w:id="1522" w:name="_Toc206460822"/>
      <w:bookmarkStart w:id="1523" w:name="_Toc206461544"/>
      <w:bookmarkStart w:id="1524" w:name="_Toc206476338"/>
      <w:bookmarkStart w:id="1525" w:name="_Toc207788873"/>
      <w:bookmarkStart w:id="1526" w:name="_Toc211835542"/>
      <w:bookmarkStart w:id="1527" w:name="_Toc211926849"/>
      <w:r>
        <w:rPr>
          <w:lang w:val="fr-FR"/>
        </w:rPr>
        <w:tab/>
        <w:t>3.</w:t>
      </w:r>
      <w:r>
        <w:rPr>
          <w:lang w:val="fr-FR"/>
        </w:rPr>
        <w:tab/>
        <w:t>Mesures législatives</w:t>
      </w:r>
      <w:bookmarkEnd w:id="1520"/>
      <w:bookmarkEnd w:id="1521"/>
      <w:bookmarkEnd w:id="1522"/>
      <w:bookmarkEnd w:id="1523"/>
      <w:bookmarkEnd w:id="1524"/>
      <w:bookmarkEnd w:id="1525"/>
      <w:bookmarkEnd w:id="1526"/>
      <w:bookmarkEnd w:id="1527"/>
    </w:p>
    <w:p w:rsidR="00000000" w:rsidRDefault="00000000">
      <w:pPr>
        <w:pStyle w:val="SingleTxtG"/>
        <w:rPr>
          <w:i/>
          <w:iCs/>
          <w:lang w:val="fr-FR"/>
        </w:rPr>
      </w:pPr>
      <w:r>
        <w:rPr>
          <w:lang w:val="fr-FR"/>
        </w:rPr>
        <w:t>733.</w:t>
      </w:r>
      <w:r>
        <w:rPr>
          <w:lang w:val="fr-FR"/>
        </w:rPr>
        <w:tab/>
        <w:t xml:space="preserve">La loi </w:t>
      </w:r>
      <w:r>
        <w:rPr>
          <w:rFonts w:eastAsia="MS Mincho"/>
          <w:lang w:val="fr-FR"/>
        </w:rPr>
        <w:t>n</w:t>
      </w:r>
      <w:r>
        <w:rPr>
          <w:rFonts w:eastAsia="MS Mincho"/>
          <w:vertAlign w:val="superscript"/>
          <w:lang w:val="fr-FR"/>
        </w:rPr>
        <w:t>o</w:t>
      </w:r>
      <w:r>
        <w:rPr>
          <w:lang w:val="fr-FR"/>
        </w:rPr>
        <w:t xml:space="preserve"> 97-039 du 4 novembre 1997 détermine les modalités de contrôle des stupéfiants, des substances psychotropes et des précurseurs à Madagascar.</w:t>
      </w:r>
    </w:p>
    <w:p w:rsidR="00000000" w:rsidRDefault="00000000">
      <w:pPr>
        <w:pStyle w:val="SingleTxtG"/>
        <w:rPr>
          <w:lang w:val="fr-FR"/>
        </w:rPr>
      </w:pPr>
      <w:r>
        <w:rPr>
          <w:lang w:val="fr-FR"/>
        </w:rPr>
        <w:t>734.</w:t>
      </w:r>
      <w:r>
        <w:rPr>
          <w:lang w:val="fr-FR"/>
        </w:rPr>
        <w:tab/>
        <w:t xml:space="preserve">Afin de mieux protéger les enfants contre l’usage illicite des stupéfiants, </w:t>
      </w:r>
      <w:r>
        <w:t>l’article 108</w:t>
      </w:r>
      <w:r>
        <w:rPr>
          <w:lang w:val="fr-FR"/>
        </w:rPr>
        <w:t xml:space="preserve"> de cette loi a retenu comme cause d’aggravation des peines la localisation de la commission des infractions visées aux articles 95 à 103 «…dans un établissement d’enseignement ou d’éducation…un centre de services sociaux ou d’autres lieux où des écoliers et des étudiants se livrent à des activités éducatives, sportives ou sociales ou dans le voisinage immédiat de ces établissements et de ces lieux»</w:t>
      </w:r>
      <w:r>
        <w:rPr>
          <w:i/>
          <w:iCs/>
          <w:lang w:val="fr-FR"/>
        </w:rPr>
        <w:t xml:space="preserve">. </w:t>
      </w:r>
      <w:r>
        <w:rPr>
          <w:lang w:val="fr-FR"/>
        </w:rPr>
        <w:t xml:space="preserve">Il en est de même le fait de fournir des inhalant chimiques toxiques à un mineur </w:t>
      </w:r>
    </w:p>
    <w:p w:rsidR="00000000" w:rsidRDefault="00000000">
      <w:pPr>
        <w:pStyle w:val="SingleTxtG"/>
        <w:rPr>
          <w:i/>
          <w:iCs/>
          <w:lang w:val="fr-FR"/>
        </w:rPr>
      </w:pPr>
      <w:r>
        <w:rPr>
          <w:lang w:val="fr-FR"/>
        </w:rPr>
        <w:t>735.</w:t>
      </w:r>
      <w:r>
        <w:rPr>
          <w:lang w:val="fr-FR"/>
        </w:rPr>
        <w:tab/>
        <w:t>Par ailleurs, des mesures de traitements favorables également applicables aux mineurs sont spécifiées à l’article 116 qui stipule que «le tribunal pourra en remplacement ou en complément de la peine, inviter l’enfant à se soumettre au traitement et aux soins approprié à son état»</w:t>
      </w:r>
    </w:p>
    <w:p w:rsidR="00000000" w:rsidRDefault="00000000">
      <w:pPr>
        <w:pStyle w:val="H23G"/>
        <w:rPr>
          <w:lang w:val="fr-FR"/>
        </w:rPr>
      </w:pPr>
      <w:bookmarkStart w:id="1528" w:name="_Toc206414648"/>
      <w:bookmarkStart w:id="1529" w:name="_Toc206460489"/>
      <w:bookmarkStart w:id="1530" w:name="_Toc206460823"/>
      <w:bookmarkStart w:id="1531" w:name="_Toc206461545"/>
      <w:bookmarkStart w:id="1532" w:name="_Toc206476339"/>
      <w:bookmarkStart w:id="1533" w:name="_Toc207788874"/>
      <w:bookmarkStart w:id="1534" w:name="_Toc211835543"/>
      <w:bookmarkStart w:id="1535" w:name="_Toc211926850"/>
      <w:r>
        <w:rPr>
          <w:lang w:val="fr-FR"/>
        </w:rPr>
        <w:tab/>
        <w:t>4.</w:t>
      </w:r>
      <w:r>
        <w:rPr>
          <w:lang w:val="fr-FR"/>
        </w:rPr>
        <w:tab/>
        <w:t>Mesures d’ordre structurel</w:t>
      </w:r>
      <w:bookmarkEnd w:id="1528"/>
      <w:bookmarkEnd w:id="1529"/>
      <w:bookmarkEnd w:id="1530"/>
      <w:bookmarkEnd w:id="1531"/>
      <w:bookmarkEnd w:id="1532"/>
      <w:bookmarkEnd w:id="1533"/>
      <w:bookmarkEnd w:id="1534"/>
      <w:bookmarkEnd w:id="1535"/>
    </w:p>
    <w:p w:rsidR="00000000" w:rsidRDefault="00000000">
      <w:pPr>
        <w:pStyle w:val="SingleTxtG"/>
        <w:rPr>
          <w:lang w:val="fr-FR"/>
        </w:rPr>
      </w:pPr>
      <w:r>
        <w:rPr>
          <w:lang w:val="fr-FR"/>
        </w:rPr>
        <w:t>736.</w:t>
      </w:r>
      <w:r>
        <w:rPr>
          <w:lang w:val="fr-FR"/>
        </w:rPr>
        <w:tab/>
        <w:t>Madagascar dispose d’une Commission interministérielle de coordination de la lutte contre la drogue (OICLD).</w:t>
      </w:r>
    </w:p>
    <w:p w:rsidR="00000000" w:rsidRDefault="00000000">
      <w:pPr>
        <w:pStyle w:val="SingleTxtG"/>
        <w:rPr>
          <w:lang w:val="fr-FR"/>
        </w:rPr>
      </w:pPr>
      <w:r>
        <w:rPr>
          <w:lang w:val="fr-FR"/>
        </w:rPr>
        <w:t>737.</w:t>
      </w:r>
      <w:r>
        <w:rPr>
          <w:lang w:val="fr-FR"/>
        </w:rPr>
        <w:tab/>
        <w:t xml:space="preserve">Le Service central des stupéfiants centralise tous les renseignements pouvant faciliter la recherche et la prévention du trafic illicite et coordonne tant sur le plan national qu’international, toutes les opérations tendant à la répression de ce trafic. </w:t>
      </w:r>
    </w:p>
    <w:p w:rsidR="00000000" w:rsidRDefault="00000000">
      <w:pPr>
        <w:pStyle w:val="SingleTxtG"/>
        <w:rPr>
          <w:lang w:val="fr-FR"/>
        </w:rPr>
      </w:pPr>
      <w:r>
        <w:rPr>
          <w:lang w:val="fr-FR"/>
        </w:rPr>
        <w:t>738.</w:t>
      </w:r>
      <w:r>
        <w:rPr>
          <w:lang w:val="fr-FR"/>
        </w:rPr>
        <w:tab/>
        <w:t>Au sein du Secrétariat d’État chargé de la sécurité publique il existe au niveau de la Police, le Service central de lutte contre les stupéfiants et les substances psychotropes et du côté de la Gendarmerie nationale le service des stupéfiants.</w:t>
      </w:r>
    </w:p>
    <w:p w:rsidR="00000000" w:rsidRDefault="00000000">
      <w:pPr>
        <w:pStyle w:val="SingleTxtG"/>
        <w:rPr>
          <w:lang w:val="fr-FR"/>
        </w:rPr>
      </w:pPr>
      <w:r>
        <w:rPr>
          <w:lang w:val="fr-FR"/>
        </w:rPr>
        <w:t>739.</w:t>
      </w:r>
      <w:r>
        <w:rPr>
          <w:lang w:val="fr-FR"/>
        </w:rPr>
        <w:tab/>
        <w:t xml:space="preserve">Le décret </w:t>
      </w:r>
      <w:r>
        <w:rPr>
          <w:rFonts w:eastAsia="MS Mincho"/>
          <w:lang w:val="fr-FR"/>
        </w:rPr>
        <w:t>n</w:t>
      </w:r>
      <w:r>
        <w:rPr>
          <w:rFonts w:eastAsia="MS Mincho"/>
          <w:vertAlign w:val="superscript"/>
          <w:lang w:val="fr-FR"/>
        </w:rPr>
        <w:t xml:space="preserve">o </w:t>
      </w:r>
      <w:r>
        <w:rPr>
          <w:lang w:val="fr-FR"/>
        </w:rPr>
        <w:t xml:space="preserve">2003-164 du 25 février 2003 définit la politique et les stratégies de la mise en œuvre de la lutte d’où l’élaboration du Plan directeur national de lutte contre la drogue et les activités criminelles connexes. </w:t>
      </w:r>
    </w:p>
    <w:p w:rsidR="00000000" w:rsidRDefault="00000000">
      <w:pPr>
        <w:pStyle w:val="H23G"/>
        <w:rPr>
          <w:lang w:val="fr-FR"/>
        </w:rPr>
      </w:pPr>
      <w:bookmarkStart w:id="1536" w:name="_Toc206414649"/>
      <w:bookmarkStart w:id="1537" w:name="_Toc206460490"/>
      <w:bookmarkStart w:id="1538" w:name="_Toc206460824"/>
      <w:bookmarkStart w:id="1539" w:name="_Toc206461546"/>
      <w:bookmarkStart w:id="1540" w:name="_Toc206476340"/>
      <w:bookmarkStart w:id="1541" w:name="_Toc207788875"/>
      <w:bookmarkStart w:id="1542" w:name="_Toc211835544"/>
      <w:bookmarkStart w:id="1543" w:name="_Toc211926851"/>
      <w:r>
        <w:rPr>
          <w:lang w:val="fr-FR"/>
        </w:rPr>
        <w:tab/>
        <w:t>5.</w:t>
      </w:r>
      <w:r>
        <w:rPr>
          <w:lang w:val="fr-FR"/>
        </w:rPr>
        <w:tab/>
        <w:t>Mesures sociales et éducatives</w:t>
      </w:r>
      <w:bookmarkEnd w:id="1536"/>
      <w:bookmarkEnd w:id="1537"/>
      <w:bookmarkEnd w:id="1538"/>
      <w:bookmarkEnd w:id="1539"/>
      <w:bookmarkEnd w:id="1540"/>
      <w:bookmarkEnd w:id="1541"/>
      <w:bookmarkEnd w:id="1542"/>
      <w:bookmarkEnd w:id="1543"/>
    </w:p>
    <w:p w:rsidR="00000000" w:rsidRDefault="00000000">
      <w:pPr>
        <w:pStyle w:val="SingleTxtG"/>
        <w:rPr>
          <w:lang w:val="fr-FR"/>
        </w:rPr>
      </w:pPr>
      <w:r>
        <w:rPr>
          <w:lang w:val="fr-FR"/>
        </w:rPr>
        <w:t>740.</w:t>
      </w:r>
      <w:r>
        <w:rPr>
          <w:lang w:val="fr-FR"/>
        </w:rPr>
        <w:tab/>
        <w:t>Par le biais des Services centraux des stupéfiants, des campagnes de sensibilisation ont été menées au niveau des écoles et des établissements scolaires.</w:t>
      </w:r>
    </w:p>
    <w:p w:rsidR="00000000" w:rsidRDefault="00000000">
      <w:pPr>
        <w:pStyle w:val="SingleTxtG"/>
        <w:rPr>
          <w:lang w:val="fr-FR"/>
        </w:rPr>
      </w:pPr>
      <w:r>
        <w:rPr>
          <w:lang w:val="fr-FR"/>
        </w:rPr>
        <w:t>741.</w:t>
      </w:r>
      <w:r>
        <w:rPr>
          <w:lang w:val="fr-FR"/>
        </w:rPr>
        <w:tab/>
        <w:t>Par ailleurs, les Chefs Fokontany ont été formés en matière de lutte contre la drogue lors de la formation en leadership tenue en 2007. Ils sont chargés de sensibiliser la population dans leurs circonscriptions, afin de détecter les cas d’usage, de culture, de production ou de trafic des drogues et d’en signaler aux autorités compétentes.</w:t>
      </w:r>
    </w:p>
    <w:p w:rsidR="00000000" w:rsidRDefault="00000000">
      <w:pPr>
        <w:pStyle w:val="SingleTxtG"/>
        <w:rPr>
          <w:lang w:val="fr-FR"/>
        </w:rPr>
      </w:pPr>
      <w:r>
        <w:rPr>
          <w:lang w:val="fr-FR"/>
        </w:rPr>
        <w:t>742.</w:t>
      </w:r>
      <w:r>
        <w:rPr>
          <w:lang w:val="fr-FR"/>
        </w:rPr>
        <w:tab/>
        <w:t>Les activités réalisées par l’Office de l’éducation de masse et du civisme (OEMC) du MENRS incluent la sensibilisation des jeunes sur les dangers causés par l’usage de stupéfiants.</w:t>
      </w:r>
    </w:p>
    <w:p w:rsidR="00000000" w:rsidRDefault="00000000">
      <w:pPr>
        <w:pStyle w:val="H23G"/>
        <w:rPr>
          <w:lang w:val="fr-FR"/>
        </w:rPr>
      </w:pPr>
      <w:bookmarkStart w:id="1544" w:name="_Toc206414650"/>
      <w:bookmarkStart w:id="1545" w:name="_Toc206460491"/>
      <w:bookmarkStart w:id="1546" w:name="_Toc206460825"/>
      <w:bookmarkStart w:id="1547" w:name="_Toc206461547"/>
      <w:bookmarkStart w:id="1548" w:name="_Toc206476341"/>
      <w:bookmarkStart w:id="1549" w:name="_Toc207788876"/>
      <w:bookmarkStart w:id="1550" w:name="_Toc211835545"/>
      <w:bookmarkStart w:id="1551" w:name="_Toc211926852"/>
      <w:r>
        <w:rPr>
          <w:lang w:val="fr-FR"/>
        </w:rPr>
        <w:tab/>
        <w:t>6.</w:t>
      </w:r>
      <w:r>
        <w:rPr>
          <w:lang w:val="fr-FR"/>
        </w:rPr>
        <w:tab/>
        <w:t>Réinsertion sociale</w:t>
      </w:r>
      <w:bookmarkEnd w:id="1544"/>
      <w:bookmarkEnd w:id="1545"/>
      <w:bookmarkEnd w:id="1546"/>
      <w:bookmarkEnd w:id="1547"/>
      <w:bookmarkEnd w:id="1548"/>
      <w:bookmarkEnd w:id="1549"/>
      <w:bookmarkEnd w:id="1550"/>
      <w:bookmarkEnd w:id="1551"/>
    </w:p>
    <w:p w:rsidR="00000000" w:rsidRDefault="00000000">
      <w:pPr>
        <w:pStyle w:val="SingleTxtG"/>
        <w:rPr>
          <w:lang w:val="fr-FR"/>
        </w:rPr>
      </w:pPr>
      <w:r>
        <w:rPr>
          <w:lang w:val="fr-FR"/>
        </w:rPr>
        <w:t>743.</w:t>
      </w:r>
      <w:r>
        <w:rPr>
          <w:lang w:val="fr-FR"/>
        </w:rPr>
        <w:tab/>
        <w:t>La réinsertion sociale des enfants toxicomanes se fait par le biais de la cure de désintoxication dans le centre de rééducation d’Anjanamasina où ils bénéficient d’un soutien physique et psychologique.</w:t>
      </w:r>
    </w:p>
    <w:p w:rsidR="00000000" w:rsidRDefault="00000000">
      <w:pPr>
        <w:pStyle w:val="SingleTxtG"/>
        <w:rPr>
          <w:lang w:val="fr-FR"/>
        </w:rPr>
      </w:pPr>
      <w:r>
        <w:rPr>
          <w:lang w:val="fr-FR"/>
        </w:rPr>
        <w:t>744.</w:t>
      </w:r>
      <w:r>
        <w:rPr>
          <w:lang w:val="fr-FR"/>
        </w:rPr>
        <w:tab/>
        <w:t>Les familles des enfants des périphéries peuvent s’adresser à des centres sociaux ou ONG qui peuvent les orienter aux médecins référents ou centre hospitalier et leur apporter un soutien dont la prise en charge financière.</w:t>
      </w:r>
    </w:p>
    <w:p w:rsidR="00000000" w:rsidRDefault="00000000">
      <w:pPr>
        <w:pStyle w:val="H23G"/>
        <w:rPr>
          <w:lang w:val="fr-FR"/>
        </w:rPr>
      </w:pPr>
      <w:bookmarkStart w:id="1552" w:name="_Toc206414651"/>
      <w:bookmarkStart w:id="1553" w:name="_Toc206460492"/>
      <w:bookmarkStart w:id="1554" w:name="_Toc206460826"/>
      <w:bookmarkStart w:id="1555" w:name="_Toc206461548"/>
      <w:bookmarkStart w:id="1556" w:name="_Toc206476342"/>
      <w:bookmarkStart w:id="1557" w:name="_Toc207788877"/>
      <w:bookmarkStart w:id="1558" w:name="_Toc211835546"/>
      <w:bookmarkStart w:id="1559" w:name="_Toc211926853"/>
      <w:r>
        <w:rPr>
          <w:lang w:val="fr-FR"/>
        </w:rPr>
        <w:tab/>
        <w:t>7.</w:t>
      </w:r>
      <w:r>
        <w:rPr>
          <w:lang w:val="fr-FR"/>
        </w:rPr>
        <w:tab/>
        <w:t>Surveillance de l’usage des stupéfiants sur les enfants</w:t>
      </w:r>
      <w:bookmarkEnd w:id="1552"/>
      <w:bookmarkEnd w:id="1553"/>
      <w:bookmarkEnd w:id="1554"/>
      <w:bookmarkEnd w:id="1555"/>
      <w:bookmarkEnd w:id="1556"/>
      <w:bookmarkEnd w:id="1557"/>
      <w:bookmarkEnd w:id="1558"/>
      <w:bookmarkEnd w:id="1559"/>
    </w:p>
    <w:p w:rsidR="00000000" w:rsidRDefault="00000000">
      <w:pPr>
        <w:pStyle w:val="SingleTxtG"/>
        <w:rPr>
          <w:i/>
          <w:iCs/>
          <w:lang w:val="fr-FR"/>
        </w:rPr>
      </w:pPr>
      <w:r>
        <w:rPr>
          <w:lang w:val="fr-FR"/>
        </w:rPr>
        <w:t>745.</w:t>
      </w:r>
      <w:r>
        <w:rPr>
          <w:lang w:val="fr-FR"/>
        </w:rPr>
        <w:tab/>
        <w:t xml:space="preserve">En vertu de l’article 14 du décret </w:t>
      </w:r>
      <w:r>
        <w:rPr>
          <w:rFonts w:eastAsia="MS Mincho"/>
          <w:lang w:val="fr-FR"/>
        </w:rPr>
        <w:t>n</w:t>
      </w:r>
      <w:r>
        <w:rPr>
          <w:rFonts w:eastAsia="MS Mincho"/>
          <w:vertAlign w:val="superscript"/>
          <w:lang w:val="fr-FR"/>
        </w:rPr>
        <w:t>o</w:t>
      </w:r>
      <w:r>
        <w:rPr>
          <w:lang w:val="fr-FR"/>
        </w:rPr>
        <w:t xml:space="preserve"> 2007-563 du 3 juillet 2007 relatif au travail des enfants: «Le recrutement, l’utilisation, l’offre et l’emploi des enfants de l’un ou de l’autre sexe à la production et au trafic de stupéfiants sont interdits.»</w:t>
      </w:r>
    </w:p>
    <w:p w:rsidR="00000000" w:rsidRDefault="00000000">
      <w:pPr>
        <w:pStyle w:val="SingleTxtG"/>
        <w:rPr>
          <w:lang w:val="fr-FR"/>
        </w:rPr>
      </w:pPr>
      <w:r>
        <w:rPr>
          <w:lang w:val="fr-FR"/>
        </w:rPr>
        <w:t>746.</w:t>
      </w:r>
      <w:r>
        <w:rPr>
          <w:lang w:val="fr-FR"/>
        </w:rPr>
        <w:tab/>
        <w:t>On entend par «trafic de stupéfiants», toute offre, mise en vente, distribution, courtage, vente, livraison à quelque titre que ce soit, envoi, expédition, transport, achat, détention ou emploi de drogues.</w:t>
      </w:r>
    </w:p>
    <w:p w:rsidR="00000000" w:rsidRDefault="00000000">
      <w:pPr>
        <w:pStyle w:val="SingleTxtG"/>
        <w:rPr>
          <w:b/>
          <w:lang w:val="fr-FR"/>
        </w:rPr>
      </w:pPr>
      <w:r>
        <w:rPr>
          <w:lang w:val="fr-FR"/>
        </w:rPr>
        <w:t>La Police assure la répression dans le cadre de leurs travaux de surveillance.</w:t>
      </w:r>
    </w:p>
    <w:p w:rsidR="00000000" w:rsidRDefault="00000000">
      <w:pPr>
        <w:pStyle w:val="H23G"/>
        <w:rPr>
          <w:i/>
          <w:lang w:val="fr-FR"/>
        </w:rPr>
      </w:pPr>
      <w:bookmarkStart w:id="1560" w:name="_Toc206414652"/>
      <w:bookmarkStart w:id="1561" w:name="_Toc206460493"/>
      <w:bookmarkStart w:id="1562" w:name="_Toc206460827"/>
      <w:bookmarkStart w:id="1563" w:name="_Toc206461549"/>
      <w:bookmarkStart w:id="1564" w:name="_Toc206476343"/>
      <w:bookmarkStart w:id="1565" w:name="_Toc207788878"/>
      <w:bookmarkStart w:id="1566" w:name="_Toc211835547"/>
      <w:bookmarkStart w:id="1567" w:name="_Toc211926854"/>
      <w:r>
        <w:rPr>
          <w:lang w:val="fr-FR"/>
        </w:rPr>
        <w:tab/>
        <w:t>8.</w:t>
      </w:r>
      <w:r>
        <w:rPr>
          <w:lang w:val="fr-FR"/>
        </w:rPr>
        <w:tab/>
        <w:t>Protection des enfants contre la consommation d’alcool, du tabac et des stupéfiants</w:t>
      </w:r>
      <w:bookmarkEnd w:id="1560"/>
      <w:bookmarkEnd w:id="1561"/>
      <w:bookmarkEnd w:id="1562"/>
      <w:bookmarkEnd w:id="1563"/>
      <w:bookmarkEnd w:id="1564"/>
      <w:bookmarkEnd w:id="1565"/>
      <w:bookmarkEnd w:id="1566"/>
      <w:bookmarkEnd w:id="1567"/>
    </w:p>
    <w:p w:rsidR="00000000" w:rsidRDefault="00000000">
      <w:pPr>
        <w:pStyle w:val="SingleTxtG"/>
        <w:rPr>
          <w:lang w:val="fr-FR"/>
        </w:rPr>
      </w:pPr>
      <w:r>
        <w:rPr>
          <w:lang w:val="fr-FR"/>
        </w:rPr>
        <w:t>747.</w:t>
      </w:r>
      <w:r>
        <w:rPr>
          <w:lang w:val="fr-FR"/>
        </w:rPr>
        <w:tab/>
        <w:t xml:space="preserve">La loi </w:t>
      </w:r>
      <w:r>
        <w:rPr>
          <w:rFonts w:eastAsia="MS Mincho"/>
          <w:lang w:val="fr-FR"/>
        </w:rPr>
        <w:t>n</w:t>
      </w:r>
      <w:r>
        <w:rPr>
          <w:rFonts w:eastAsia="MS Mincho"/>
          <w:vertAlign w:val="superscript"/>
          <w:lang w:val="fr-FR"/>
        </w:rPr>
        <w:t>o</w:t>
      </w:r>
      <w:r>
        <w:rPr>
          <w:lang w:val="fr-FR"/>
        </w:rPr>
        <w:t xml:space="preserve"> 61-053 du 13 décembre 1961 sur la lutte contre l’alcoolisme interdit la consommation d’alcool et de drogues dans les établissements scolaires. La transgression à la discipline peut dans certains cas entraîner la révocation de l’école notamment lorsque le comportement incriminé risque d’avoir des effets collatéraux à l’endroit d’autres élèves.</w:t>
      </w:r>
    </w:p>
    <w:p w:rsidR="00000000" w:rsidRDefault="00000000">
      <w:pPr>
        <w:pStyle w:val="SingleTxtG"/>
        <w:rPr>
          <w:lang w:val="fr-FR"/>
        </w:rPr>
      </w:pPr>
      <w:r>
        <w:rPr>
          <w:lang w:val="fr-FR"/>
        </w:rPr>
        <w:t>748.</w:t>
      </w:r>
      <w:r>
        <w:rPr>
          <w:lang w:val="fr-FR"/>
        </w:rPr>
        <w:tab/>
        <w:t xml:space="preserve">De même, la vente par et aux mineurs de 18 ans des produits du tabac est interdite (arrêté interministériel </w:t>
      </w:r>
      <w:r>
        <w:rPr>
          <w:rFonts w:eastAsia="MS Mincho"/>
          <w:lang w:val="fr-FR"/>
        </w:rPr>
        <w:t>n</w:t>
      </w:r>
      <w:r>
        <w:rPr>
          <w:rFonts w:eastAsia="MS Mincho"/>
          <w:vertAlign w:val="superscript"/>
          <w:lang w:val="fr-FR"/>
        </w:rPr>
        <w:t>o</w:t>
      </w:r>
      <w:r>
        <w:rPr>
          <w:lang w:val="fr-FR"/>
        </w:rPr>
        <w:t xml:space="preserve"> 18.171/2003 du 22 octobre 2003).</w:t>
      </w:r>
    </w:p>
    <w:p w:rsidR="00000000" w:rsidRDefault="00000000">
      <w:pPr>
        <w:pStyle w:val="SingleTxtG"/>
        <w:rPr>
          <w:lang w:val="fr-FR"/>
        </w:rPr>
      </w:pPr>
      <w:r>
        <w:rPr>
          <w:lang w:val="fr-FR"/>
        </w:rPr>
        <w:t>749.</w:t>
      </w:r>
      <w:r>
        <w:rPr>
          <w:lang w:val="fr-FR"/>
        </w:rPr>
        <w:tab/>
        <w:t>Les ONG participent à la protection des enfants contre la consommation d’alcool, de tabac et de stupéfiants à travers l’organisation de diverses activités de sensibilisation et mobilisation.</w:t>
      </w:r>
    </w:p>
    <w:p w:rsidR="00000000" w:rsidRDefault="00000000">
      <w:pPr>
        <w:pStyle w:val="H1G"/>
        <w:rPr>
          <w:lang w:val="fr-FR"/>
        </w:rPr>
      </w:pPr>
      <w:bookmarkStart w:id="1568" w:name="_Toc206414653"/>
      <w:bookmarkStart w:id="1569" w:name="_Toc206460494"/>
      <w:bookmarkStart w:id="1570" w:name="_Toc206460828"/>
      <w:bookmarkStart w:id="1571" w:name="_Toc206461550"/>
      <w:bookmarkStart w:id="1572" w:name="_Toc206476344"/>
      <w:bookmarkStart w:id="1573" w:name="_Toc207788879"/>
      <w:bookmarkStart w:id="1574" w:name="_Toc211835548"/>
      <w:bookmarkStart w:id="1575" w:name="_Toc211926855"/>
      <w:r>
        <w:rPr>
          <w:lang w:val="fr-FR"/>
        </w:rPr>
        <w:tab/>
      </w:r>
      <w:bookmarkStart w:id="1576" w:name="_Toc260298288"/>
      <w:r>
        <w:rPr>
          <w:lang w:val="fr-FR"/>
        </w:rPr>
        <w:t>E.</w:t>
      </w:r>
      <w:r>
        <w:rPr>
          <w:lang w:val="fr-FR"/>
        </w:rPr>
        <w:tab/>
        <w:t>Exploitation sexuelle et violence sexuelle</w:t>
      </w:r>
      <w:bookmarkEnd w:id="1568"/>
      <w:bookmarkEnd w:id="1569"/>
      <w:bookmarkEnd w:id="1570"/>
      <w:bookmarkEnd w:id="1571"/>
      <w:bookmarkEnd w:id="1572"/>
      <w:bookmarkEnd w:id="1573"/>
      <w:bookmarkEnd w:id="1574"/>
      <w:bookmarkEnd w:id="1575"/>
      <w:bookmarkEnd w:id="1576"/>
    </w:p>
    <w:p w:rsidR="00000000" w:rsidRDefault="00000000">
      <w:pPr>
        <w:pStyle w:val="SingleTxtG"/>
        <w:rPr>
          <w:lang w:val="fr-FR"/>
        </w:rPr>
      </w:pPr>
      <w:r>
        <w:rPr>
          <w:lang w:val="fr-FR"/>
        </w:rPr>
        <w:t>750.</w:t>
      </w:r>
      <w:r>
        <w:rPr>
          <w:lang w:val="fr-FR"/>
        </w:rPr>
        <w:tab/>
        <w:t>Selon la Convention 182 de l’OIT, l’exploitation sexuelle des enfants à des fins commerciales (ESEC) est une des pires formes du travail des enfants (PFTE) et comme telle, elle entraîne des conséquences néfastes au développement physique et psychologique des enfants. Elle touche en majorité les filles. L’exploitation sexuelle des garçons existe mais elle est moins visible étant considérée comme un sujet tabou.</w:t>
      </w:r>
    </w:p>
    <w:p w:rsidR="00000000" w:rsidRDefault="00000000">
      <w:pPr>
        <w:pStyle w:val="SingleTxtG"/>
        <w:spacing w:after="0"/>
      </w:pPr>
      <w:bookmarkStart w:id="1577" w:name="_Toc260298289"/>
      <w:r>
        <w:t>Tableau 35</w:t>
      </w:r>
    </w:p>
    <w:p w:rsidR="00000000" w:rsidRDefault="00000000">
      <w:pPr>
        <w:pStyle w:val="SingleTxtG"/>
        <w:rPr>
          <w:b/>
        </w:rPr>
      </w:pPr>
      <w:r>
        <w:rPr>
          <w:b/>
        </w:rPr>
        <w:t>Cas de violence liée au sexe concernant les enfants traités par la DPMPM dans la période de janvier à décembre 2006 par type de violence et par sexe</w:t>
      </w:r>
      <w:bookmarkEnd w:id="1577"/>
    </w:p>
    <w:tbl>
      <w:tblPr>
        <w:tblW w:w="7371" w:type="dxa"/>
        <w:tblInd w:w="1134" w:type="dxa"/>
        <w:tblCellMar>
          <w:left w:w="0" w:type="dxa"/>
          <w:right w:w="0" w:type="dxa"/>
        </w:tblCellMar>
        <w:tblLook w:val="0000" w:firstRow="0" w:lastRow="0" w:firstColumn="0" w:lastColumn="0" w:noHBand="0" w:noVBand="0"/>
      </w:tblPr>
      <w:tblGrid>
        <w:gridCol w:w="1816"/>
        <w:gridCol w:w="837"/>
        <w:gridCol w:w="984"/>
        <w:gridCol w:w="1022"/>
        <w:gridCol w:w="891"/>
        <w:gridCol w:w="930"/>
        <w:gridCol w:w="891"/>
      </w:tblGrid>
      <w:tr w:rsidR="00000000">
        <w:trPr>
          <w:trHeight w:val="623"/>
        </w:trPr>
        <w:tc>
          <w:tcPr>
            <w:tcW w:w="2139" w:type="dxa"/>
            <w:tcBorders>
              <w:top w:val="single" w:sz="4" w:space="0" w:color="auto"/>
              <w:bottom w:val="single" w:sz="12" w:space="0" w:color="auto"/>
            </w:tcBorders>
            <w:shd w:val="clear" w:color="auto" w:fill="auto"/>
            <w:vAlign w:val="bottom"/>
          </w:tcPr>
          <w:p w:rsidR="00000000" w:rsidRDefault="00000000">
            <w:pPr>
              <w:spacing w:before="80" w:after="80" w:line="200" w:lineRule="exact"/>
              <w:rPr>
                <w:bCs/>
                <w:i/>
                <w:sz w:val="16"/>
                <w:szCs w:val="16"/>
              </w:rPr>
            </w:pPr>
          </w:p>
        </w:tc>
        <w:tc>
          <w:tcPr>
            <w:tcW w:w="969"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bCs/>
                <w:i/>
                <w:sz w:val="16"/>
                <w:szCs w:val="16"/>
              </w:rPr>
            </w:pPr>
            <w:r>
              <w:rPr>
                <w:bCs/>
                <w:i/>
                <w:sz w:val="16"/>
                <w:szCs w:val="16"/>
              </w:rPr>
              <w:t>Nombre de cas</w:t>
            </w:r>
          </w:p>
        </w:tc>
        <w:tc>
          <w:tcPr>
            <w:tcW w:w="1110"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bCs/>
                <w:i/>
                <w:sz w:val="16"/>
                <w:szCs w:val="16"/>
              </w:rPr>
            </w:pPr>
            <w:r>
              <w:rPr>
                <w:bCs/>
                <w:i/>
                <w:sz w:val="16"/>
                <w:szCs w:val="16"/>
              </w:rPr>
              <w:t xml:space="preserve"> % du total de cas</w:t>
            </w:r>
          </w:p>
        </w:tc>
        <w:tc>
          <w:tcPr>
            <w:tcW w:w="1230"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bCs/>
                <w:i/>
                <w:sz w:val="16"/>
                <w:szCs w:val="16"/>
              </w:rPr>
            </w:pPr>
            <w:r>
              <w:rPr>
                <w:bCs/>
                <w:i/>
                <w:sz w:val="16"/>
                <w:szCs w:val="16"/>
              </w:rPr>
              <w:t>Nombre de cas Filles</w:t>
            </w:r>
          </w:p>
        </w:tc>
        <w:tc>
          <w:tcPr>
            <w:tcW w:w="979"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bCs/>
                <w:i/>
                <w:sz w:val="16"/>
                <w:szCs w:val="16"/>
              </w:rPr>
            </w:pPr>
            <w:r>
              <w:rPr>
                <w:bCs/>
                <w:i/>
                <w:sz w:val="16"/>
                <w:szCs w:val="16"/>
              </w:rPr>
              <w:t xml:space="preserve"> % filles</w:t>
            </w:r>
          </w:p>
        </w:tc>
        <w:tc>
          <w:tcPr>
            <w:tcW w:w="1099"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bCs/>
                <w:i/>
                <w:sz w:val="16"/>
                <w:szCs w:val="16"/>
              </w:rPr>
            </w:pPr>
            <w:r>
              <w:rPr>
                <w:bCs/>
                <w:i/>
                <w:sz w:val="16"/>
                <w:szCs w:val="16"/>
              </w:rPr>
              <w:t>Nombre de cas garçons</w:t>
            </w:r>
          </w:p>
        </w:tc>
        <w:tc>
          <w:tcPr>
            <w:tcW w:w="979"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bCs/>
                <w:i/>
                <w:sz w:val="16"/>
                <w:szCs w:val="16"/>
              </w:rPr>
            </w:pPr>
            <w:r>
              <w:rPr>
                <w:bCs/>
                <w:i/>
                <w:sz w:val="16"/>
                <w:szCs w:val="16"/>
              </w:rPr>
              <w:t xml:space="preserve"> % garçons</w:t>
            </w:r>
          </w:p>
        </w:tc>
      </w:tr>
      <w:tr w:rsidR="00000000">
        <w:trPr>
          <w:trHeight w:val="20"/>
        </w:trPr>
        <w:tc>
          <w:tcPr>
            <w:tcW w:w="2139" w:type="dxa"/>
            <w:tcBorders>
              <w:top w:val="single" w:sz="12" w:space="0" w:color="auto"/>
            </w:tcBorders>
            <w:shd w:val="clear" w:color="auto" w:fill="auto"/>
            <w:vAlign w:val="bottom"/>
          </w:tcPr>
          <w:p w:rsidR="00000000" w:rsidRDefault="00000000">
            <w:pPr>
              <w:spacing w:before="40" w:after="40" w:line="220" w:lineRule="exact"/>
              <w:rPr>
                <w:bCs/>
                <w:sz w:val="18"/>
                <w:szCs w:val="18"/>
              </w:rPr>
            </w:pPr>
            <w:r>
              <w:rPr>
                <w:bCs/>
                <w:sz w:val="18"/>
                <w:szCs w:val="18"/>
              </w:rPr>
              <w:t>Détournement de mineur</w:t>
            </w:r>
          </w:p>
        </w:tc>
        <w:tc>
          <w:tcPr>
            <w:tcW w:w="969" w:type="dxa"/>
            <w:tcBorders>
              <w:top w:val="single" w:sz="12" w:space="0" w:color="auto"/>
            </w:tcBorders>
            <w:shd w:val="clear" w:color="auto" w:fill="auto"/>
            <w:vAlign w:val="bottom"/>
          </w:tcPr>
          <w:p w:rsidR="00000000" w:rsidRDefault="00000000">
            <w:pPr>
              <w:spacing w:before="40" w:after="40" w:line="220" w:lineRule="exact"/>
              <w:jc w:val="right"/>
              <w:rPr>
                <w:bCs/>
                <w:sz w:val="18"/>
                <w:szCs w:val="18"/>
              </w:rPr>
            </w:pPr>
            <w:r>
              <w:rPr>
                <w:bCs/>
                <w:sz w:val="18"/>
                <w:szCs w:val="18"/>
              </w:rPr>
              <w:t>89</w:t>
            </w:r>
          </w:p>
        </w:tc>
        <w:tc>
          <w:tcPr>
            <w:tcW w:w="1110" w:type="dxa"/>
            <w:tcBorders>
              <w:top w:val="single" w:sz="12" w:space="0" w:color="auto"/>
            </w:tcBorders>
            <w:shd w:val="clear" w:color="auto" w:fill="auto"/>
            <w:vAlign w:val="bottom"/>
          </w:tcPr>
          <w:p w:rsidR="00000000" w:rsidRDefault="00000000">
            <w:pPr>
              <w:spacing w:before="40" w:after="40" w:line="220" w:lineRule="exact"/>
              <w:jc w:val="right"/>
              <w:rPr>
                <w:bCs/>
                <w:sz w:val="18"/>
                <w:szCs w:val="18"/>
              </w:rPr>
            </w:pPr>
            <w:r>
              <w:rPr>
                <w:bCs/>
                <w:sz w:val="18"/>
                <w:szCs w:val="18"/>
              </w:rPr>
              <w:t>51,15%</w:t>
            </w:r>
          </w:p>
        </w:tc>
        <w:tc>
          <w:tcPr>
            <w:tcW w:w="1230" w:type="dxa"/>
            <w:tcBorders>
              <w:top w:val="single" w:sz="12" w:space="0" w:color="auto"/>
            </w:tcBorders>
            <w:shd w:val="clear" w:color="auto" w:fill="auto"/>
            <w:vAlign w:val="bottom"/>
          </w:tcPr>
          <w:p w:rsidR="00000000" w:rsidRDefault="00000000">
            <w:pPr>
              <w:spacing w:before="40" w:after="40" w:line="220" w:lineRule="exact"/>
              <w:jc w:val="right"/>
              <w:rPr>
                <w:bCs/>
                <w:sz w:val="18"/>
                <w:szCs w:val="18"/>
              </w:rPr>
            </w:pPr>
            <w:r>
              <w:rPr>
                <w:bCs/>
                <w:sz w:val="18"/>
                <w:szCs w:val="18"/>
              </w:rPr>
              <w:t>87</w:t>
            </w:r>
          </w:p>
        </w:tc>
        <w:tc>
          <w:tcPr>
            <w:tcW w:w="979" w:type="dxa"/>
            <w:tcBorders>
              <w:top w:val="single" w:sz="12" w:space="0" w:color="auto"/>
            </w:tcBorders>
            <w:shd w:val="clear" w:color="auto" w:fill="auto"/>
            <w:vAlign w:val="bottom"/>
          </w:tcPr>
          <w:p w:rsidR="00000000" w:rsidRDefault="00000000">
            <w:pPr>
              <w:spacing w:before="40" w:after="40" w:line="220" w:lineRule="exact"/>
              <w:jc w:val="right"/>
              <w:rPr>
                <w:bCs/>
                <w:sz w:val="18"/>
                <w:szCs w:val="18"/>
              </w:rPr>
            </w:pPr>
            <w:r>
              <w:rPr>
                <w:bCs/>
                <w:sz w:val="18"/>
                <w:szCs w:val="18"/>
              </w:rPr>
              <w:t>51,18%</w:t>
            </w:r>
          </w:p>
        </w:tc>
        <w:tc>
          <w:tcPr>
            <w:tcW w:w="1099" w:type="dxa"/>
            <w:tcBorders>
              <w:top w:val="single" w:sz="12" w:space="0" w:color="auto"/>
            </w:tcBorders>
            <w:shd w:val="clear" w:color="auto" w:fill="auto"/>
            <w:vAlign w:val="bottom"/>
          </w:tcPr>
          <w:p w:rsidR="00000000" w:rsidRDefault="00000000">
            <w:pPr>
              <w:spacing w:before="40" w:after="40" w:line="220" w:lineRule="exact"/>
              <w:jc w:val="right"/>
              <w:rPr>
                <w:bCs/>
                <w:sz w:val="18"/>
                <w:szCs w:val="18"/>
              </w:rPr>
            </w:pPr>
            <w:r>
              <w:rPr>
                <w:bCs/>
                <w:sz w:val="18"/>
                <w:szCs w:val="18"/>
              </w:rPr>
              <w:t>2</w:t>
            </w:r>
          </w:p>
        </w:tc>
        <w:tc>
          <w:tcPr>
            <w:tcW w:w="979" w:type="dxa"/>
            <w:tcBorders>
              <w:top w:val="single" w:sz="12" w:space="0" w:color="auto"/>
            </w:tcBorders>
            <w:shd w:val="clear" w:color="auto" w:fill="auto"/>
            <w:vAlign w:val="bottom"/>
          </w:tcPr>
          <w:p w:rsidR="00000000" w:rsidRDefault="00000000">
            <w:pPr>
              <w:spacing w:before="40" w:after="40" w:line="220" w:lineRule="exact"/>
              <w:jc w:val="right"/>
              <w:rPr>
                <w:bCs/>
                <w:sz w:val="18"/>
                <w:szCs w:val="18"/>
              </w:rPr>
            </w:pPr>
            <w:r>
              <w:rPr>
                <w:bCs/>
                <w:sz w:val="18"/>
                <w:szCs w:val="18"/>
              </w:rPr>
              <w:t>50,00%</w:t>
            </w:r>
          </w:p>
        </w:tc>
      </w:tr>
      <w:tr w:rsidR="00000000">
        <w:trPr>
          <w:trHeight w:val="20"/>
        </w:trPr>
        <w:tc>
          <w:tcPr>
            <w:tcW w:w="2139" w:type="dxa"/>
            <w:shd w:val="clear" w:color="auto" w:fill="auto"/>
            <w:vAlign w:val="bottom"/>
          </w:tcPr>
          <w:p w:rsidR="00000000" w:rsidRDefault="00000000">
            <w:pPr>
              <w:spacing w:before="40" w:after="40" w:line="220" w:lineRule="exact"/>
              <w:rPr>
                <w:bCs/>
                <w:sz w:val="18"/>
                <w:szCs w:val="18"/>
              </w:rPr>
            </w:pPr>
            <w:r>
              <w:rPr>
                <w:bCs/>
                <w:sz w:val="18"/>
                <w:szCs w:val="18"/>
              </w:rPr>
              <w:t>Viol</w:t>
            </w:r>
          </w:p>
        </w:tc>
        <w:tc>
          <w:tcPr>
            <w:tcW w:w="969" w:type="dxa"/>
            <w:shd w:val="clear" w:color="auto" w:fill="auto"/>
            <w:vAlign w:val="bottom"/>
          </w:tcPr>
          <w:p w:rsidR="00000000" w:rsidRDefault="00000000">
            <w:pPr>
              <w:spacing w:before="40" w:after="40" w:line="220" w:lineRule="exact"/>
              <w:jc w:val="right"/>
              <w:rPr>
                <w:bCs/>
                <w:sz w:val="18"/>
                <w:szCs w:val="18"/>
              </w:rPr>
            </w:pPr>
            <w:r>
              <w:rPr>
                <w:bCs/>
                <w:sz w:val="18"/>
                <w:szCs w:val="18"/>
              </w:rPr>
              <w:t>65</w:t>
            </w:r>
          </w:p>
        </w:tc>
        <w:tc>
          <w:tcPr>
            <w:tcW w:w="1110" w:type="dxa"/>
            <w:shd w:val="clear" w:color="auto" w:fill="auto"/>
            <w:vAlign w:val="bottom"/>
          </w:tcPr>
          <w:p w:rsidR="00000000" w:rsidRDefault="00000000">
            <w:pPr>
              <w:spacing w:before="40" w:after="40" w:line="220" w:lineRule="exact"/>
              <w:jc w:val="right"/>
              <w:rPr>
                <w:bCs/>
                <w:sz w:val="18"/>
                <w:szCs w:val="18"/>
              </w:rPr>
            </w:pPr>
            <w:r>
              <w:rPr>
                <w:bCs/>
                <w:sz w:val="18"/>
                <w:szCs w:val="18"/>
              </w:rPr>
              <w:t>37,36%</w:t>
            </w:r>
          </w:p>
        </w:tc>
        <w:tc>
          <w:tcPr>
            <w:tcW w:w="1230" w:type="dxa"/>
            <w:shd w:val="clear" w:color="auto" w:fill="auto"/>
            <w:vAlign w:val="bottom"/>
          </w:tcPr>
          <w:p w:rsidR="00000000" w:rsidRDefault="00000000">
            <w:pPr>
              <w:spacing w:before="40" w:after="40" w:line="220" w:lineRule="exact"/>
              <w:jc w:val="right"/>
              <w:rPr>
                <w:bCs/>
                <w:sz w:val="18"/>
                <w:szCs w:val="18"/>
              </w:rPr>
            </w:pPr>
            <w:r>
              <w:rPr>
                <w:bCs/>
                <w:sz w:val="18"/>
                <w:szCs w:val="18"/>
              </w:rPr>
              <w:t>65</w:t>
            </w:r>
          </w:p>
        </w:tc>
        <w:tc>
          <w:tcPr>
            <w:tcW w:w="979" w:type="dxa"/>
            <w:shd w:val="clear" w:color="auto" w:fill="auto"/>
            <w:vAlign w:val="bottom"/>
          </w:tcPr>
          <w:p w:rsidR="00000000" w:rsidRDefault="00000000">
            <w:pPr>
              <w:spacing w:before="40" w:after="40" w:line="220" w:lineRule="exact"/>
              <w:jc w:val="right"/>
              <w:rPr>
                <w:bCs/>
                <w:sz w:val="18"/>
                <w:szCs w:val="18"/>
              </w:rPr>
            </w:pPr>
            <w:r>
              <w:rPr>
                <w:bCs/>
                <w:sz w:val="18"/>
                <w:szCs w:val="18"/>
              </w:rPr>
              <w:t>38,24%</w:t>
            </w:r>
          </w:p>
        </w:tc>
        <w:tc>
          <w:tcPr>
            <w:tcW w:w="1099" w:type="dxa"/>
            <w:shd w:val="clear" w:color="auto" w:fill="auto"/>
            <w:vAlign w:val="bottom"/>
          </w:tcPr>
          <w:p w:rsidR="00000000" w:rsidRDefault="00000000">
            <w:pPr>
              <w:spacing w:before="40" w:after="40" w:line="220" w:lineRule="exact"/>
              <w:jc w:val="right"/>
              <w:rPr>
                <w:bCs/>
                <w:sz w:val="18"/>
                <w:szCs w:val="18"/>
              </w:rPr>
            </w:pPr>
          </w:p>
        </w:tc>
        <w:tc>
          <w:tcPr>
            <w:tcW w:w="979" w:type="dxa"/>
            <w:shd w:val="clear" w:color="auto" w:fill="auto"/>
            <w:vAlign w:val="bottom"/>
          </w:tcPr>
          <w:p w:rsidR="00000000" w:rsidRDefault="00000000">
            <w:pPr>
              <w:spacing w:before="40" w:after="40" w:line="220" w:lineRule="exact"/>
              <w:jc w:val="right"/>
              <w:rPr>
                <w:bCs/>
                <w:sz w:val="18"/>
                <w:szCs w:val="18"/>
              </w:rPr>
            </w:pPr>
          </w:p>
        </w:tc>
      </w:tr>
      <w:tr w:rsidR="00000000">
        <w:trPr>
          <w:trHeight w:val="20"/>
        </w:trPr>
        <w:tc>
          <w:tcPr>
            <w:tcW w:w="2139" w:type="dxa"/>
            <w:shd w:val="clear" w:color="auto" w:fill="auto"/>
            <w:vAlign w:val="bottom"/>
          </w:tcPr>
          <w:p w:rsidR="00000000" w:rsidRDefault="00000000">
            <w:pPr>
              <w:spacing w:before="40" w:after="40" w:line="220" w:lineRule="exact"/>
              <w:rPr>
                <w:bCs/>
                <w:sz w:val="18"/>
                <w:szCs w:val="18"/>
              </w:rPr>
            </w:pPr>
            <w:r>
              <w:rPr>
                <w:bCs/>
                <w:sz w:val="18"/>
                <w:szCs w:val="18"/>
              </w:rPr>
              <w:t>Attentat à la pudeur</w:t>
            </w:r>
          </w:p>
        </w:tc>
        <w:tc>
          <w:tcPr>
            <w:tcW w:w="969" w:type="dxa"/>
            <w:shd w:val="clear" w:color="auto" w:fill="auto"/>
            <w:vAlign w:val="bottom"/>
          </w:tcPr>
          <w:p w:rsidR="00000000" w:rsidRDefault="00000000">
            <w:pPr>
              <w:spacing w:before="40" w:after="40" w:line="220" w:lineRule="exact"/>
              <w:jc w:val="right"/>
              <w:rPr>
                <w:bCs/>
                <w:sz w:val="18"/>
                <w:szCs w:val="18"/>
              </w:rPr>
            </w:pPr>
            <w:r>
              <w:rPr>
                <w:bCs/>
                <w:sz w:val="18"/>
                <w:szCs w:val="18"/>
              </w:rPr>
              <w:t>15</w:t>
            </w:r>
          </w:p>
        </w:tc>
        <w:tc>
          <w:tcPr>
            <w:tcW w:w="1110" w:type="dxa"/>
            <w:shd w:val="clear" w:color="auto" w:fill="auto"/>
            <w:vAlign w:val="bottom"/>
          </w:tcPr>
          <w:p w:rsidR="00000000" w:rsidRDefault="00000000">
            <w:pPr>
              <w:spacing w:before="40" w:after="40" w:line="220" w:lineRule="exact"/>
              <w:jc w:val="right"/>
              <w:rPr>
                <w:bCs/>
                <w:sz w:val="18"/>
                <w:szCs w:val="18"/>
              </w:rPr>
            </w:pPr>
            <w:r>
              <w:rPr>
                <w:bCs/>
                <w:sz w:val="18"/>
                <w:szCs w:val="18"/>
              </w:rPr>
              <w:t>8,62%</w:t>
            </w:r>
          </w:p>
        </w:tc>
        <w:tc>
          <w:tcPr>
            <w:tcW w:w="1230" w:type="dxa"/>
            <w:shd w:val="clear" w:color="auto" w:fill="auto"/>
            <w:vAlign w:val="bottom"/>
          </w:tcPr>
          <w:p w:rsidR="00000000" w:rsidRDefault="00000000">
            <w:pPr>
              <w:spacing w:before="40" w:after="40" w:line="220" w:lineRule="exact"/>
              <w:jc w:val="right"/>
              <w:rPr>
                <w:bCs/>
                <w:sz w:val="18"/>
                <w:szCs w:val="18"/>
              </w:rPr>
            </w:pPr>
            <w:r>
              <w:rPr>
                <w:bCs/>
                <w:sz w:val="18"/>
                <w:szCs w:val="18"/>
              </w:rPr>
              <w:t>13</w:t>
            </w:r>
          </w:p>
        </w:tc>
        <w:tc>
          <w:tcPr>
            <w:tcW w:w="979" w:type="dxa"/>
            <w:shd w:val="clear" w:color="auto" w:fill="auto"/>
            <w:vAlign w:val="bottom"/>
          </w:tcPr>
          <w:p w:rsidR="00000000" w:rsidRDefault="00000000">
            <w:pPr>
              <w:spacing w:before="40" w:after="40" w:line="220" w:lineRule="exact"/>
              <w:jc w:val="right"/>
              <w:rPr>
                <w:bCs/>
                <w:sz w:val="18"/>
                <w:szCs w:val="18"/>
              </w:rPr>
            </w:pPr>
            <w:r>
              <w:rPr>
                <w:bCs/>
                <w:sz w:val="18"/>
                <w:szCs w:val="18"/>
              </w:rPr>
              <w:t>7,65%</w:t>
            </w:r>
          </w:p>
        </w:tc>
        <w:tc>
          <w:tcPr>
            <w:tcW w:w="1099" w:type="dxa"/>
            <w:shd w:val="clear" w:color="auto" w:fill="auto"/>
            <w:vAlign w:val="bottom"/>
          </w:tcPr>
          <w:p w:rsidR="00000000" w:rsidRDefault="00000000">
            <w:pPr>
              <w:spacing w:before="40" w:after="40" w:line="220" w:lineRule="exact"/>
              <w:jc w:val="right"/>
              <w:rPr>
                <w:bCs/>
                <w:sz w:val="18"/>
                <w:szCs w:val="18"/>
              </w:rPr>
            </w:pPr>
            <w:r>
              <w:rPr>
                <w:bCs/>
                <w:sz w:val="18"/>
                <w:szCs w:val="18"/>
              </w:rPr>
              <w:t>2</w:t>
            </w:r>
          </w:p>
        </w:tc>
        <w:tc>
          <w:tcPr>
            <w:tcW w:w="979" w:type="dxa"/>
            <w:shd w:val="clear" w:color="auto" w:fill="auto"/>
            <w:vAlign w:val="bottom"/>
          </w:tcPr>
          <w:p w:rsidR="00000000" w:rsidRDefault="00000000">
            <w:pPr>
              <w:spacing w:before="40" w:after="40" w:line="220" w:lineRule="exact"/>
              <w:jc w:val="right"/>
              <w:rPr>
                <w:bCs/>
                <w:sz w:val="18"/>
                <w:szCs w:val="18"/>
              </w:rPr>
            </w:pPr>
            <w:r>
              <w:rPr>
                <w:bCs/>
                <w:sz w:val="18"/>
                <w:szCs w:val="18"/>
              </w:rPr>
              <w:t>50,00%</w:t>
            </w:r>
          </w:p>
        </w:tc>
      </w:tr>
      <w:tr w:rsidR="00000000">
        <w:trPr>
          <w:trHeight w:val="20"/>
        </w:trPr>
        <w:tc>
          <w:tcPr>
            <w:tcW w:w="2139" w:type="dxa"/>
            <w:tcBorders>
              <w:bottom w:val="single" w:sz="4" w:space="0" w:color="auto"/>
            </w:tcBorders>
            <w:shd w:val="clear" w:color="auto" w:fill="auto"/>
            <w:vAlign w:val="bottom"/>
          </w:tcPr>
          <w:p w:rsidR="00000000" w:rsidRDefault="00000000">
            <w:pPr>
              <w:spacing w:before="40" w:after="40" w:line="220" w:lineRule="exact"/>
              <w:rPr>
                <w:bCs/>
                <w:sz w:val="18"/>
                <w:szCs w:val="18"/>
              </w:rPr>
            </w:pPr>
            <w:r>
              <w:rPr>
                <w:bCs/>
                <w:sz w:val="18"/>
                <w:szCs w:val="18"/>
              </w:rPr>
              <w:t>Inceste</w:t>
            </w:r>
          </w:p>
        </w:tc>
        <w:tc>
          <w:tcPr>
            <w:tcW w:w="969" w:type="dxa"/>
            <w:tcBorders>
              <w:bottom w:val="single" w:sz="4" w:space="0" w:color="auto"/>
            </w:tcBorders>
            <w:shd w:val="clear" w:color="auto" w:fill="auto"/>
            <w:vAlign w:val="bottom"/>
          </w:tcPr>
          <w:p w:rsidR="00000000" w:rsidRDefault="00000000">
            <w:pPr>
              <w:spacing w:before="40" w:after="40" w:line="220" w:lineRule="exact"/>
              <w:jc w:val="right"/>
              <w:rPr>
                <w:bCs/>
                <w:sz w:val="18"/>
                <w:szCs w:val="18"/>
              </w:rPr>
            </w:pPr>
            <w:r>
              <w:rPr>
                <w:bCs/>
                <w:sz w:val="18"/>
                <w:szCs w:val="18"/>
              </w:rPr>
              <w:t>5</w:t>
            </w:r>
          </w:p>
        </w:tc>
        <w:tc>
          <w:tcPr>
            <w:tcW w:w="1110" w:type="dxa"/>
            <w:tcBorders>
              <w:bottom w:val="single" w:sz="4" w:space="0" w:color="auto"/>
            </w:tcBorders>
            <w:shd w:val="clear" w:color="auto" w:fill="auto"/>
            <w:vAlign w:val="bottom"/>
          </w:tcPr>
          <w:p w:rsidR="00000000" w:rsidRDefault="00000000">
            <w:pPr>
              <w:spacing w:before="40" w:after="40" w:line="220" w:lineRule="exact"/>
              <w:jc w:val="right"/>
              <w:rPr>
                <w:bCs/>
                <w:sz w:val="18"/>
                <w:szCs w:val="18"/>
              </w:rPr>
            </w:pPr>
            <w:r>
              <w:rPr>
                <w:bCs/>
                <w:sz w:val="18"/>
                <w:szCs w:val="18"/>
              </w:rPr>
              <w:t>2,87%</w:t>
            </w:r>
          </w:p>
        </w:tc>
        <w:tc>
          <w:tcPr>
            <w:tcW w:w="1230" w:type="dxa"/>
            <w:tcBorders>
              <w:bottom w:val="single" w:sz="4" w:space="0" w:color="auto"/>
            </w:tcBorders>
            <w:shd w:val="clear" w:color="auto" w:fill="auto"/>
            <w:vAlign w:val="bottom"/>
          </w:tcPr>
          <w:p w:rsidR="00000000" w:rsidRDefault="00000000">
            <w:pPr>
              <w:spacing w:before="40" w:after="40" w:line="220" w:lineRule="exact"/>
              <w:jc w:val="right"/>
              <w:rPr>
                <w:bCs/>
                <w:sz w:val="18"/>
                <w:szCs w:val="18"/>
              </w:rPr>
            </w:pPr>
            <w:r>
              <w:rPr>
                <w:bCs/>
                <w:sz w:val="18"/>
                <w:szCs w:val="18"/>
              </w:rPr>
              <w:t>5</w:t>
            </w:r>
          </w:p>
        </w:tc>
        <w:tc>
          <w:tcPr>
            <w:tcW w:w="979" w:type="dxa"/>
            <w:tcBorders>
              <w:bottom w:val="single" w:sz="4" w:space="0" w:color="auto"/>
            </w:tcBorders>
            <w:shd w:val="clear" w:color="auto" w:fill="auto"/>
            <w:vAlign w:val="bottom"/>
          </w:tcPr>
          <w:p w:rsidR="00000000" w:rsidRDefault="00000000">
            <w:pPr>
              <w:spacing w:before="40" w:after="40" w:line="220" w:lineRule="exact"/>
              <w:jc w:val="right"/>
              <w:rPr>
                <w:bCs/>
                <w:sz w:val="18"/>
                <w:szCs w:val="18"/>
              </w:rPr>
            </w:pPr>
            <w:r>
              <w:rPr>
                <w:bCs/>
                <w:sz w:val="18"/>
                <w:szCs w:val="18"/>
              </w:rPr>
              <w:t>2,94%</w:t>
            </w:r>
          </w:p>
        </w:tc>
        <w:tc>
          <w:tcPr>
            <w:tcW w:w="1099" w:type="dxa"/>
            <w:tcBorders>
              <w:bottom w:val="single" w:sz="4" w:space="0" w:color="auto"/>
            </w:tcBorders>
            <w:shd w:val="clear" w:color="auto" w:fill="auto"/>
            <w:vAlign w:val="bottom"/>
          </w:tcPr>
          <w:p w:rsidR="00000000" w:rsidRDefault="00000000">
            <w:pPr>
              <w:spacing w:before="40" w:after="40" w:line="220" w:lineRule="exact"/>
              <w:jc w:val="right"/>
              <w:rPr>
                <w:bCs/>
                <w:sz w:val="18"/>
                <w:szCs w:val="18"/>
              </w:rPr>
            </w:pPr>
          </w:p>
        </w:tc>
        <w:tc>
          <w:tcPr>
            <w:tcW w:w="979" w:type="dxa"/>
            <w:tcBorders>
              <w:bottom w:val="single" w:sz="4" w:space="0" w:color="auto"/>
            </w:tcBorders>
            <w:shd w:val="clear" w:color="auto" w:fill="auto"/>
            <w:vAlign w:val="bottom"/>
          </w:tcPr>
          <w:p w:rsidR="00000000" w:rsidRDefault="00000000">
            <w:pPr>
              <w:spacing w:before="40" w:after="40" w:line="220" w:lineRule="exact"/>
              <w:jc w:val="right"/>
              <w:rPr>
                <w:bCs/>
                <w:sz w:val="18"/>
                <w:szCs w:val="18"/>
              </w:rPr>
            </w:pPr>
          </w:p>
        </w:tc>
      </w:tr>
      <w:tr w:rsidR="00000000">
        <w:trPr>
          <w:trHeight w:val="20"/>
        </w:trPr>
        <w:tc>
          <w:tcPr>
            <w:tcW w:w="2139" w:type="dxa"/>
            <w:tcBorders>
              <w:top w:val="single" w:sz="4" w:space="0" w:color="auto"/>
              <w:bottom w:val="single" w:sz="12" w:space="0" w:color="auto"/>
            </w:tcBorders>
            <w:shd w:val="clear" w:color="auto" w:fill="auto"/>
            <w:vAlign w:val="bottom"/>
          </w:tcPr>
          <w:p w:rsidR="00000000" w:rsidRDefault="00000000">
            <w:pPr>
              <w:spacing w:before="40" w:after="40" w:line="220" w:lineRule="exact"/>
              <w:ind w:firstLine="170"/>
              <w:rPr>
                <w:b/>
                <w:bCs/>
                <w:sz w:val="18"/>
                <w:szCs w:val="18"/>
              </w:rPr>
            </w:pPr>
            <w:r>
              <w:rPr>
                <w:b/>
                <w:bCs/>
                <w:sz w:val="18"/>
                <w:szCs w:val="18"/>
              </w:rPr>
              <w:t>Total</w:t>
            </w:r>
          </w:p>
        </w:tc>
        <w:tc>
          <w:tcPr>
            <w:tcW w:w="969" w:type="dxa"/>
            <w:tcBorders>
              <w:top w:val="single" w:sz="4" w:space="0" w:color="auto"/>
              <w:bottom w:val="single" w:sz="12" w:space="0" w:color="auto"/>
            </w:tcBorders>
            <w:shd w:val="clear" w:color="auto" w:fill="auto"/>
            <w:vAlign w:val="bottom"/>
          </w:tcPr>
          <w:p w:rsidR="00000000" w:rsidRDefault="00000000">
            <w:pPr>
              <w:spacing w:before="40" w:after="40" w:line="220" w:lineRule="exact"/>
              <w:jc w:val="right"/>
              <w:rPr>
                <w:b/>
                <w:bCs/>
                <w:sz w:val="18"/>
                <w:szCs w:val="18"/>
              </w:rPr>
            </w:pPr>
            <w:r>
              <w:rPr>
                <w:b/>
                <w:bCs/>
                <w:sz w:val="18"/>
                <w:szCs w:val="18"/>
              </w:rPr>
              <w:t>174</w:t>
            </w:r>
          </w:p>
        </w:tc>
        <w:tc>
          <w:tcPr>
            <w:tcW w:w="1110" w:type="dxa"/>
            <w:tcBorders>
              <w:top w:val="single" w:sz="4" w:space="0" w:color="auto"/>
              <w:bottom w:val="single" w:sz="12" w:space="0" w:color="auto"/>
            </w:tcBorders>
            <w:shd w:val="clear" w:color="auto" w:fill="auto"/>
            <w:vAlign w:val="bottom"/>
          </w:tcPr>
          <w:p w:rsidR="00000000" w:rsidRDefault="00000000">
            <w:pPr>
              <w:spacing w:before="40" w:after="40" w:line="220" w:lineRule="exact"/>
              <w:jc w:val="right"/>
              <w:rPr>
                <w:b/>
                <w:bCs/>
                <w:sz w:val="18"/>
                <w:szCs w:val="18"/>
              </w:rPr>
            </w:pPr>
            <w:r>
              <w:rPr>
                <w:b/>
                <w:bCs/>
                <w:sz w:val="18"/>
                <w:szCs w:val="18"/>
              </w:rPr>
              <w:t>100,00%</w:t>
            </w:r>
          </w:p>
        </w:tc>
        <w:tc>
          <w:tcPr>
            <w:tcW w:w="1230" w:type="dxa"/>
            <w:tcBorders>
              <w:top w:val="single" w:sz="4" w:space="0" w:color="auto"/>
              <w:bottom w:val="single" w:sz="12" w:space="0" w:color="auto"/>
            </w:tcBorders>
            <w:shd w:val="clear" w:color="auto" w:fill="auto"/>
            <w:vAlign w:val="bottom"/>
          </w:tcPr>
          <w:p w:rsidR="00000000" w:rsidRDefault="00000000">
            <w:pPr>
              <w:spacing w:before="40" w:after="40" w:line="220" w:lineRule="exact"/>
              <w:jc w:val="right"/>
              <w:rPr>
                <w:b/>
                <w:bCs/>
                <w:sz w:val="18"/>
                <w:szCs w:val="18"/>
              </w:rPr>
            </w:pPr>
            <w:r>
              <w:rPr>
                <w:b/>
                <w:bCs/>
                <w:sz w:val="18"/>
                <w:szCs w:val="18"/>
              </w:rPr>
              <w:t>170</w:t>
            </w:r>
          </w:p>
        </w:tc>
        <w:tc>
          <w:tcPr>
            <w:tcW w:w="979" w:type="dxa"/>
            <w:tcBorders>
              <w:top w:val="single" w:sz="4" w:space="0" w:color="auto"/>
              <w:bottom w:val="single" w:sz="12" w:space="0" w:color="auto"/>
            </w:tcBorders>
            <w:shd w:val="clear" w:color="auto" w:fill="auto"/>
            <w:vAlign w:val="bottom"/>
          </w:tcPr>
          <w:p w:rsidR="00000000" w:rsidRDefault="00000000">
            <w:pPr>
              <w:spacing w:before="40" w:after="40" w:line="220" w:lineRule="exact"/>
              <w:jc w:val="right"/>
              <w:rPr>
                <w:b/>
                <w:bCs/>
                <w:sz w:val="18"/>
                <w:szCs w:val="18"/>
              </w:rPr>
            </w:pPr>
            <w:r>
              <w:rPr>
                <w:b/>
                <w:bCs/>
                <w:sz w:val="18"/>
                <w:szCs w:val="18"/>
              </w:rPr>
              <w:t>100,00%</w:t>
            </w:r>
          </w:p>
        </w:tc>
        <w:tc>
          <w:tcPr>
            <w:tcW w:w="1099" w:type="dxa"/>
            <w:tcBorders>
              <w:top w:val="single" w:sz="4" w:space="0" w:color="auto"/>
              <w:bottom w:val="single" w:sz="12" w:space="0" w:color="auto"/>
            </w:tcBorders>
            <w:shd w:val="clear" w:color="auto" w:fill="auto"/>
            <w:vAlign w:val="bottom"/>
          </w:tcPr>
          <w:p w:rsidR="00000000" w:rsidRDefault="00000000">
            <w:pPr>
              <w:spacing w:before="40" w:after="40" w:line="220" w:lineRule="exact"/>
              <w:jc w:val="right"/>
              <w:rPr>
                <w:b/>
                <w:bCs/>
                <w:sz w:val="18"/>
                <w:szCs w:val="18"/>
              </w:rPr>
            </w:pPr>
            <w:r>
              <w:rPr>
                <w:b/>
                <w:bCs/>
                <w:sz w:val="18"/>
                <w:szCs w:val="18"/>
              </w:rPr>
              <w:t>4</w:t>
            </w:r>
          </w:p>
        </w:tc>
        <w:tc>
          <w:tcPr>
            <w:tcW w:w="979" w:type="dxa"/>
            <w:tcBorders>
              <w:top w:val="single" w:sz="4" w:space="0" w:color="auto"/>
              <w:bottom w:val="single" w:sz="12" w:space="0" w:color="auto"/>
            </w:tcBorders>
            <w:shd w:val="clear" w:color="auto" w:fill="auto"/>
            <w:vAlign w:val="bottom"/>
          </w:tcPr>
          <w:p w:rsidR="00000000" w:rsidRDefault="00000000">
            <w:pPr>
              <w:spacing w:before="40" w:after="40" w:line="220" w:lineRule="exact"/>
              <w:jc w:val="right"/>
              <w:rPr>
                <w:b/>
                <w:bCs/>
                <w:sz w:val="18"/>
                <w:szCs w:val="18"/>
              </w:rPr>
            </w:pPr>
            <w:r>
              <w:rPr>
                <w:b/>
                <w:bCs/>
                <w:sz w:val="18"/>
                <w:szCs w:val="18"/>
              </w:rPr>
              <w:t>100,00%</w:t>
            </w:r>
          </w:p>
        </w:tc>
      </w:tr>
    </w:tbl>
    <w:p w:rsidR="00000000" w:rsidRDefault="00000000">
      <w:pPr>
        <w:pStyle w:val="SingleTxtG"/>
        <w:spacing w:before="240"/>
        <w:rPr>
          <w:lang w:val="fr-FR"/>
        </w:rPr>
      </w:pPr>
      <w:r>
        <w:rPr>
          <w:lang w:val="fr-FR"/>
        </w:rPr>
        <w:t>751.</w:t>
      </w:r>
      <w:r>
        <w:rPr>
          <w:lang w:val="fr-FR"/>
        </w:rPr>
        <w:tab/>
        <w:t xml:space="preserve">En 2006, sur 344 cas traités par la DPMPM, 174 soit 50,58 % des cas, ont concerné des délits relatifs à la sexualité des enfants </w:t>
      </w:r>
    </w:p>
    <w:p w:rsidR="00000000" w:rsidRDefault="00000000">
      <w:pPr>
        <w:pStyle w:val="SingleTxtG"/>
        <w:rPr>
          <w:lang w:val="fr-FR"/>
        </w:rPr>
      </w:pPr>
      <w:r>
        <w:rPr>
          <w:lang w:val="fr-FR"/>
        </w:rPr>
        <w:t>752.</w:t>
      </w:r>
      <w:r>
        <w:rPr>
          <w:lang w:val="fr-FR"/>
        </w:rPr>
        <w:tab/>
        <w:t>La violence sexuelle contre un enfant est tout acte de nature sexuelle et/ou toute tentative d’obtenir un acte sexuel, par la force, l’intimidation, la menace ou la persuasion, y compris les commentaires ou avances de nature sexuelle à l’égard de l’enfant. La violence sexuelle englobe le viol, le harcèlement sexuel, l’attentat à la pudeur, le détournement, l’incitation à la débauche, l’inceste qui sont érigés en infractions pénalement répréhensibles</w:t>
      </w:r>
    </w:p>
    <w:p w:rsidR="00000000" w:rsidRDefault="00000000">
      <w:pPr>
        <w:pStyle w:val="H23G"/>
        <w:rPr>
          <w:i/>
          <w:lang w:val="fr-FR"/>
        </w:rPr>
      </w:pPr>
      <w:bookmarkStart w:id="1578" w:name="_Toc206414654"/>
      <w:bookmarkStart w:id="1579" w:name="_Toc206460495"/>
      <w:bookmarkStart w:id="1580" w:name="_Toc206460829"/>
      <w:bookmarkStart w:id="1581" w:name="_Toc206461551"/>
      <w:bookmarkStart w:id="1582" w:name="_Toc206476345"/>
      <w:bookmarkStart w:id="1583" w:name="_Toc207788880"/>
      <w:bookmarkStart w:id="1584" w:name="_Toc211835549"/>
      <w:bookmarkStart w:id="1585" w:name="_Toc211926856"/>
      <w:r>
        <w:rPr>
          <w:lang w:val="fr-FR"/>
        </w:rPr>
        <w:tab/>
        <w:t>1.</w:t>
      </w:r>
      <w:r>
        <w:rPr>
          <w:lang w:val="fr-FR"/>
        </w:rPr>
        <w:tab/>
        <w:t>Cadre</w:t>
      </w:r>
      <w:r>
        <w:rPr>
          <w:i/>
          <w:lang w:val="fr-FR"/>
        </w:rPr>
        <w:t xml:space="preserve"> </w:t>
      </w:r>
      <w:r>
        <w:rPr>
          <w:lang w:val="fr-FR"/>
        </w:rPr>
        <w:t>normatif</w:t>
      </w:r>
      <w:bookmarkEnd w:id="1578"/>
      <w:bookmarkEnd w:id="1579"/>
      <w:bookmarkEnd w:id="1580"/>
      <w:bookmarkEnd w:id="1581"/>
      <w:bookmarkEnd w:id="1582"/>
      <w:bookmarkEnd w:id="1583"/>
      <w:bookmarkEnd w:id="1584"/>
      <w:bookmarkEnd w:id="1585"/>
    </w:p>
    <w:p w:rsidR="00000000" w:rsidRDefault="00000000">
      <w:pPr>
        <w:pStyle w:val="SingleTxtG"/>
        <w:rPr>
          <w:lang w:val="fr-FR"/>
        </w:rPr>
      </w:pPr>
      <w:r>
        <w:rPr>
          <w:lang w:val="fr-FR"/>
        </w:rPr>
        <w:t>753.</w:t>
      </w:r>
      <w:r>
        <w:rPr>
          <w:lang w:val="fr-FR"/>
        </w:rPr>
        <w:tab/>
        <w:t xml:space="preserve">Le volet répressif a été renforcé par la loi </w:t>
      </w:r>
      <w:r>
        <w:rPr>
          <w:rFonts w:eastAsia="MS Mincho"/>
          <w:lang w:val="fr-FR"/>
        </w:rPr>
        <w:t>n</w:t>
      </w:r>
      <w:r>
        <w:rPr>
          <w:rFonts w:eastAsia="MS Mincho"/>
          <w:vertAlign w:val="superscript"/>
          <w:lang w:val="fr-FR"/>
        </w:rPr>
        <w:t>o</w:t>
      </w:r>
      <w:r>
        <w:rPr>
          <w:lang w:val="fr-FR"/>
        </w:rPr>
        <w:t xml:space="preserve"> 2007-038 du 17 décembre 2007 modifiant et complétant certaines dispositions du Code pénal sur la lutte contre la traite des personnes et le tourisme sexuel. Cette loi impose une obligation légale de dénonciation des cas de proxénétisme, d’exploitation sexuelle ou de tourisme sexuel. </w:t>
      </w:r>
    </w:p>
    <w:p w:rsidR="00000000" w:rsidRDefault="00000000">
      <w:pPr>
        <w:pStyle w:val="SingleTxtG"/>
        <w:rPr>
          <w:lang w:val="fr-FR"/>
        </w:rPr>
      </w:pPr>
      <w:r>
        <w:rPr>
          <w:lang w:val="fr-FR"/>
        </w:rPr>
        <w:t>754.</w:t>
      </w:r>
      <w:r>
        <w:rPr>
          <w:lang w:val="fr-FR"/>
        </w:rPr>
        <w:tab/>
        <w:t xml:space="preserve">À défaut de dénonciation, sera considéré comme complice quiconque connaissant l’existence de proxénétisme, d’exploitation sexuelle ou de tourisme sexuel touchant les mineurs, ne l’a pas dénoncé aux autorités compétentes. </w:t>
      </w:r>
    </w:p>
    <w:p w:rsidR="00000000" w:rsidRDefault="00000000">
      <w:pPr>
        <w:pStyle w:val="SingleTxtG"/>
        <w:rPr>
          <w:lang w:val="fr-FR"/>
        </w:rPr>
      </w:pPr>
      <w:r>
        <w:rPr>
          <w:lang w:val="fr-FR"/>
        </w:rPr>
        <w:t>755.</w:t>
      </w:r>
      <w:r>
        <w:rPr>
          <w:lang w:val="fr-FR"/>
        </w:rPr>
        <w:tab/>
        <w:t xml:space="preserve">En outre, pour mieux protéger les enfants victimes des abus sexuels sous toutes ses formes, le délai de prescription de l’action publique ne commence à courir qu’à compter de la majorité de l’enfant fixé à 18 ans </w:t>
      </w:r>
    </w:p>
    <w:p w:rsidR="00000000" w:rsidRDefault="00000000">
      <w:pPr>
        <w:pStyle w:val="SingleTxtG"/>
        <w:rPr>
          <w:lang w:val="fr-FR"/>
        </w:rPr>
      </w:pPr>
      <w:r>
        <w:rPr>
          <w:lang w:val="fr-FR"/>
        </w:rPr>
        <w:t>756.</w:t>
      </w:r>
      <w:r>
        <w:rPr>
          <w:lang w:val="fr-FR"/>
        </w:rPr>
        <w:tab/>
        <w:t>Les peines prononcées pour les délits relatifs aux infractions sur la traite, l’exploitation sexuelle, le tourisme sexuel et l’inceste commis sur la personne d’un enfant ne peuvent être assorties de sursis</w:t>
      </w:r>
    </w:p>
    <w:p w:rsidR="00000000" w:rsidRDefault="00000000">
      <w:pPr>
        <w:pStyle w:val="SingleTxtG"/>
        <w:rPr>
          <w:lang w:val="fr-FR"/>
        </w:rPr>
      </w:pPr>
      <w:r>
        <w:rPr>
          <w:lang w:val="fr-FR"/>
        </w:rPr>
        <w:t>757.</w:t>
      </w:r>
      <w:r>
        <w:rPr>
          <w:lang w:val="fr-FR"/>
        </w:rPr>
        <w:tab/>
        <w:t>La nouvelle loi sur le mariage vise aussi à combattre la coutume néfaste du mariage précoce, envisagée comme une des manifestations de violence perpétrée à l’encontre des enfants.</w:t>
      </w:r>
    </w:p>
    <w:p w:rsidR="00000000" w:rsidRDefault="00000000">
      <w:pPr>
        <w:pStyle w:val="SingleTxtG"/>
        <w:rPr>
          <w:lang w:val="fr-FR"/>
        </w:rPr>
      </w:pPr>
      <w:r>
        <w:rPr>
          <w:lang w:val="fr-FR"/>
        </w:rPr>
        <w:t>758.</w:t>
      </w:r>
      <w:r>
        <w:rPr>
          <w:lang w:val="fr-FR"/>
        </w:rPr>
        <w:tab/>
        <w:t xml:space="preserve">Le décret </w:t>
      </w:r>
      <w:r>
        <w:rPr>
          <w:rFonts w:eastAsia="MS Mincho"/>
          <w:lang w:val="fr-FR"/>
        </w:rPr>
        <w:t>n</w:t>
      </w:r>
      <w:r>
        <w:rPr>
          <w:rFonts w:eastAsia="MS Mincho"/>
          <w:vertAlign w:val="superscript"/>
          <w:lang w:val="fr-FR"/>
        </w:rPr>
        <w:t>o</w:t>
      </w:r>
      <w:r>
        <w:rPr>
          <w:lang w:val="fr-FR"/>
        </w:rPr>
        <w:t xml:space="preserve"> 2007-563 du 3 juillet 2007 relatif au travail des enfants définit l’exploitation sexuelle comme le recrutement, l’utilisation, l’offre et l’emploi des enfants de l’un et de l’autre sexe à des fins de prostitution, de production de matériel pornographique ou de spectacles pornographiques, l’exploitation sexuelle à des fins commerciales.</w:t>
      </w:r>
    </w:p>
    <w:p w:rsidR="00000000" w:rsidRDefault="00000000">
      <w:pPr>
        <w:pStyle w:val="SingleTxtG"/>
        <w:rPr>
          <w:lang w:val="fr-FR"/>
        </w:rPr>
      </w:pPr>
      <w:r>
        <w:rPr>
          <w:lang w:val="fr-FR"/>
        </w:rPr>
        <w:t>759.</w:t>
      </w:r>
      <w:r>
        <w:rPr>
          <w:lang w:val="fr-FR"/>
        </w:rPr>
        <w:tab/>
        <w:t xml:space="preserve">L’arrêté </w:t>
      </w:r>
      <w:r>
        <w:rPr>
          <w:rFonts w:eastAsia="MS Mincho"/>
          <w:lang w:val="fr-FR"/>
        </w:rPr>
        <w:t>n</w:t>
      </w:r>
      <w:r>
        <w:rPr>
          <w:rFonts w:eastAsia="MS Mincho"/>
          <w:vertAlign w:val="superscript"/>
          <w:lang w:val="fr-FR"/>
        </w:rPr>
        <w:t>o</w:t>
      </w:r>
      <w:r>
        <w:rPr>
          <w:lang w:val="fr-FR"/>
        </w:rPr>
        <w:t xml:space="preserve"> 1111 du 28 mars 1966 interdit l’accès des jeunes gens et jeunes filles aux cabarets, dancings et autres établissements de même nature, s’ils ne sont pas accompagnés de leurs parents, donnant ainsi plus d’effet à une protection des enfants contre l’exploitation et la violence sexuelles.</w:t>
      </w:r>
    </w:p>
    <w:p w:rsidR="00000000" w:rsidRDefault="00000000">
      <w:pPr>
        <w:pStyle w:val="SingleTxtG"/>
        <w:rPr>
          <w:lang w:val="fr-FR"/>
        </w:rPr>
      </w:pPr>
      <w:r>
        <w:rPr>
          <w:lang w:val="fr-FR"/>
        </w:rPr>
        <w:t>760.</w:t>
      </w:r>
      <w:r>
        <w:rPr>
          <w:lang w:val="fr-FR"/>
        </w:rPr>
        <w:tab/>
        <w:t>La loi pénale sur le proxénétisme est applicable aux parents si la fréquentation de ces lieux a pour but la prostitution de leurs enfants et qu’ils en tirent profit.</w:t>
      </w:r>
    </w:p>
    <w:p w:rsidR="00000000" w:rsidRDefault="00000000">
      <w:pPr>
        <w:pStyle w:val="H23G"/>
        <w:rPr>
          <w:lang w:val="fr-FR"/>
        </w:rPr>
      </w:pPr>
      <w:bookmarkStart w:id="1586" w:name="_Toc206414655"/>
      <w:bookmarkStart w:id="1587" w:name="_Toc206460496"/>
      <w:bookmarkStart w:id="1588" w:name="_Toc206460830"/>
      <w:bookmarkStart w:id="1589" w:name="_Toc206461552"/>
      <w:bookmarkStart w:id="1590" w:name="_Toc206476346"/>
      <w:bookmarkStart w:id="1591" w:name="_Toc207788881"/>
      <w:bookmarkStart w:id="1592" w:name="_Toc211835550"/>
      <w:bookmarkStart w:id="1593" w:name="_Toc211926857"/>
      <w:r>
        <w:rPr>
          <w:lang w:val="fr-FR"/>
        </w:rPr>
        <w:tab/>
        <w:t>2.</w:t>
      </w:r>
      <w:r>
        <w:rPr>
          <w:lang w:val="fr-FR"/>
        </w:rPr>
        <w:tab/>
        <w:t>Autres mesures</w:t>
      </w:r>
      <w:bookmarkEnd w:id="1586"/>
      <w:bookmarkEnd w:id="1587"/>
      <w:bookmarkEnd w:id="1588"/>
      <w:bookmarkEnd w:id="1589"/>
      <w:bookmarkEnd w:id="1590"/>
      <w:bookmarkEnd w:id="1591"/>
      <w:bookmarkEnd w:id="1592"/>
      <w:bookmarkEnd w:id="1593"/>
    </w:p>
    <w:p w:rsidR="00000000" w:rsidRDefault="00000000">
      <w:pPr>
        <w:pStyle w:val="SingleTxtG"/>
        <w:rPr>
          <w:lang w:val="fr-FR"/>
        </w:rPr>
      </w:pPr>
      <w:r>
        <w:rPr>
          <w:lang w:val="fr-FR"/>
        </w:rPr>
        <w:t>761.</w:t>
      </w:r>
      <w:r>
        <w:rPr>
          <w:lang w:val="fr-FR"/>
        </w:rPr>
        <w:tab/>
        <w:t>Outre les mesures concernant l’exploitation économique des enfants ou travail des enfants, le gouvernement a pris d’autres mesures afin d’assurer et de coordonner la lutte contre l’exploitation et la violence sexuelles.</w:t>
      </w:r>
    </w:p>
    <w:p w:rsidR="00000000" w:rsidRDefault="00000000">
      <w:pPr>
        <w:pStyle w:val="SingleTxtG"/>
        <w:rPr>
          <w:lang w:val="fr-FR"/>
        </w:rPr>
      </w:pPr>
      <w:r>
        <w:rPr>
          <w:lang w:val="fr-FR"/>
        </w:rPr>
        <w:t>762.</w:t>
      </w:r>
      <w:r>
        <w:rPr>
          <w:lang w:val="fr-FR"/>
        </w:rPr>
        <w:tab/>
        <w:t>À noter la mise en place de Centres d’écoute et de conseil au niveau de chaque Centre de santé de la reproduction des adolescents (SRA) pour prendre en charge les cas de viol, de maltraitance et de rapports incestueux.</w:t>
      </w:r>
    </w:p>
    <w:p w:rsidR="00000000" w:rsidRDefault="00000000">
      <w:pPr>
        <w:pStyle w:val="SingleTxtG"/>
        <w:rPr>
          <w:lang w:val="fr-FR"/>
        </w:rPr>
      </w:pPr>
      <w:r>
        <w:rPr>
          <w:lang w:val="fr-FR"/>
        </w:rPr>
        <w:t>763.</w:t>
      </w:r>
      <w:r>
        <w:rPr>
          <w:lang w:val="fr-FR"/>
        </w:rPr>
        <w:tab/>
        <w:t>Les «réseaux multisectoriels» de la protection des droits de l’enfant dans les 14 localités conduisent des actions de prévention et réhabilitation des victimes d’exploitation et violence sexuelle.</w:t>
      </w:r>
    </w:p>
    <w:p w:rsidR="00000000" w:rsidRDefault="00000000">
      <w:pPr>
        <w:pStyle w:val="SingleTxtG"/>
        <w:rPr>
          <w:lang w:val="fr-FR"/>
        </w:rPr>
      </w:pPr>
      <w:r>
        <w:rPr>
          <w:lang w:val="fr-FR"/>
        </w:rPr>
        <w:t>764.</w:t>
      </w:r>
      <w:r>
        <w:rPr>
          <w:lang w:val="fr-FR"/>
        </w:rPr>
        <w:tab/>
        <w:t>Les réseaux prennent en charge:</w:t>
      </w:r>
    </w:p>
    <w:p w:rsidR="00000000" w:rsidRDefault="00000000">
      <w:pPr>
        <w:pStyle w:val="Bullet1G"/>
        <w:rPr>
          <w:lang w:val="fr-FR"/>
        </w:rPr>
      </w:pPr>
      <w:r>
        <w:rPr>
          <w:lang w:val="fr-FR"/>
        </w:rPr>
        <w:t>Le soutien psychosocial des enfants victimes par la cellule d’écoute et de soutien;</w:t>
      </w:r>
    </w:p>
    <w:p w:rsidR="00000000" w:rsidRDefault="00000000">
      <w:pPr>
        <w:pStyle w:val="Bullet1G"/>
        <w:rPr>
          <w:lang w:val="fr-FR"/>
        </w:rPr>
      </w:pPr>
      <w:r>
        <w:rPr>
          <w:lang w:val="fr-FR"/>
        </w:rPr>
        <w:t>La prise en charge médicale;</w:t>
      </w:r>
    </w:p>
    <w:p w:rsidR="00000000" w:rsidRDefault="00000000">
      <w:pPr>
        <w:pStyle w:val="Bullet1G"/>
        <w:rPr>
          <w:lang w:val="fr-FR"/>
        </w:rPr>
      </w:pPr>
      <w:r>
        <w:rPr>
          <w:lang w:val="fr-FR"/>
        </w:rPr>
        <w:t>Le suivi de dossier au niveau des instances judiciaires;</w:t>
      </w:r>
    </w:p>
    <w:p w:rsidR="00000000" w:rsidRDefault="00000000">
      <w:pPr>
        <w:pStyle w:val="Bullet1G"/>
        <w:rPr>
          <w:lang w:val="fr-FR"/>
        </w:rPr>
      </w:pPr>
      <w:r>
        <w:rPr>
          <w:lang w:val="fr-FR"/>
        </w:rPr>
        <w:t>La prise en charge matérielle et scolaire.</w:t>
      </w:r>
    </w:p>
    <w:p w:rsidR="00000000" w:rsidRDefault="00000000">
      <w:pPr>
        <w:pStyle w:val="SingleTxtG"/>
        <w:rPr>
          <w:lang w:val="fr-FR"/>
        </w:rPr>
      </w:pPr>
      <w:r>
        <w:rPr>
          <w:lang w:val="fr-FR"/>
        </w:rPr>
        <w:t>765.</w:t>
      </w:r>
      <w:r>
        <w:rPr>
          <w:lang w:val="fr-FR"/>
        </w:rPr>
        <w:tab/>
        <w:t>Le Ministère en charge de la protection sociale, avec l’appui de l’UNICEF, a mené des campagnes de sensibilisation en produisant des affichettes, des autocollants et des dépliants. Le Ministère de la justice a aussi mené des campagnes pour la répression du proxénétisme et tous les crimes sexuels.</w:t>
      </w:r>
    </w:p>
    <w:p w:rsidR="00000000" w:rsidRDefault="00000000">
      <w:pPr>
        <w:pStyle w:val="SingleTxtG"/>
        <w:rPr>
          <w:lang w:val="fr-FR"/>
        </w:rPr>
      </w:pPr>
      <w:r>
        <w:rPr>
          <w:lang w:val="fr-FR"/>
        </w:rPr>
        <w:t>766.</w:t>
      </w:r>
      <w:r>
        <w:rPr>
          <w:lang w:val="fr-FR"/>
        </w:rPr>
        <w:tab/>
        <w:t>En application de l’arrêté 1111 du 28 mars 1966, des descentes et des contrôles systématique et périodique ont été effectués par des policiers dans les boîtes de nuit.</w:t>
      </w:r>
    </w:p>
    <w:p w:rsidR="00000000" w:rsidRDefault="00000000">
      <w:pPr>
        <w:pStyle w:val="SingleTxtG"/>
        <w:rPr>
          <w:lang w:val="fr-FR"/>
        </w:rPr>
      </w:pPr>
      <w:r>
        <w:rPr>
          <w:lang w:val="fr-FR"/>
        </w:rPr>
        <w:t>767.</w:t>
      </w:r>
      <w:r>
        <w:rPr>
          <w:lang w:val="fr-FR"/>
        </w:rPr>
        <w:tab/>
        <w:t>Un accord de partenariat entre la Gendarmerie nationale et l’ONG Groupe Développement a été établi en 2005, dans le cadre de la prévention et de la protection des enfants face à la maltraitance en général et à l’exploitation et violence sexuelle en particulier. D’une part, Groupe Développement produit les matériels pédagogiques et de sensibilisation et les fournit à la Gendarmerie nationale. D’autre part, la Gendarmerie nationale s’engage à introduire dans les programmes de formation à l’École supérieure de la Gendarmerie nationale à Moramanga (ESGN) et à l’École de la Gendarmerie nationale à Ambositra (EGN) des séminaires de formation pour le personnel en activité.</w:t>
      </w:r>
    </w:p>
    <w:p w:rsidR="00000000" w:rsidRDefault="00000000">
      <w:pPr>
        <w:pStyle w:val="SingleTxtG"/>
        <w:rPr>
          <w:lang w:val="fr-FR"/>
        </w:rPr>
      </w:pPr>
      <w:r>
        <w:rPr>
          <w:lang w:val="fr-FR"/>
        </w:rPr>
        <w:t>768.</w:t>
      </w:r>
      <w:r>
        <w:rPr>
          <w:lang w:val="fr-FR"/>
        </w:rPr>
        <w:tab/>
        <w:t>En 2005 et 2006, quatre formations ont été déjà dispensées aux formateurs de l’ESGN, de l’EGN, les gendarmes des brigades territoriales périphériques d’Antananarivo et les brigades de Moramanga et d’Ambositra dont deux concernent l’exploitation sexuelle des enfants et deux sur l’écoute de l’enfant victime de l’exploitation sexuelle (voir tableaux).</w:t>
      </w:r>
    </w:p>
    <w:p w:rsidR="00000000" w:rsidRDefault="00000000">
      <w:pPr>
        <w:pStyle w:val="SingleTxtG"/>
        <w:rPr>
          <w:lang w:val="fr-FR"/>
        </w:rPr>
      </w:pPr>
      <w:r>
        <w:rPr>
          <w:lang w:val="fr-FR"/>
        </w:rPr>
        <w:t>769.</w:t>
      </w:r>
      <w:r>
        <w:rPr>
          <w:lang w:val="fr-FR"/>
        </w:rPr>
        <w:tab/>
        <w:t>Des matériaux de formation sur la législation, procédures, techniques d’écoute et audition sur la maltraitance ont été produit avec l’appui de l’UNICEF pour servir de document de base à des formations de la police, des magistrats et des gendarmes.</w:t>
      </w:r>
    </w:p>
    <w:p w:rsidR="00000000" w:rsidRDefault="00000000">
      <w:pPr>
        <w:pStyle w:val="SingleTxtG"/>
        <w:rPr>
          <w:lang w:val="fr-FR"/>
        </w:rPr>
      </w:pPr>
      <w:r>
        <w:rPr>
          <w:lang w:val="fr-FR"/>
        </w:rPr>
        <w:t>770.</w:t>
      </w:r>
      <w:r>
        <w:rPr>
          <w:lang w:val="fr-FR"/>
        </w:rPr>
        <w:tab/>
        <w:t>D’autres matériaux de formation sur le thème de l’exploitation sexuelle ont été produits par Groupe Développement à l’intention du professionnel du tourisme, des jeunes, enseignants et leaders communautaires.</w:t>
      </w:r>
    </w:p>
    <w:p w:rsidR="00000000" w:rsidRDefault="00000000">
      <w:pPr>
        <w:pStyle w:val="SingleTxtG"/>
        <w:rPr>
          <w:lang w:val="fr-FR"/>
        </w:rPr>
      </w:pPr>
      <w:r>
        <w:rPr>
          <w:lang w:val="fr-FR"/>
        </w:rPr>
        <w:t>771.</w:t>
      </w:r>
      <w:r>
        <w:rPr>
          <w:lang w:val="fr-FR"/>
        </w:rPr>
        <w:tab/>
        <w:t>Le combat contre l’exploitation sexuelle des enfants a mobilisé les plus hautes sphères politiques du pays. Vers la fin de l’année 2007, le Président et le Premier Ministre se sont déplacés à Nosy Be, considéré comme un des principaux centres pour le tourisme sexuel, pour discuter avec les autorités locales les mesures prendre pour combattre ce fléau. Suite à cela, il y a eu attribution de moyens, mouvement du personnel de la police et des arrestations de quelques ressortissants étrangers.</w:t>
      </w:r>
    </w:p>
    <w:p w:rsidR="00000000" w:rsidRDefault="00000000">
      <w:pPr>
        <w:pStyle w:val="SingleTxtG"/>
        <w:rPr>
          <w:lang w:val="fr-FR"/>
        </w:rPr>
      </w:pPr>
      <w:r>
        <w:rPr>
          <w:lang w:val="fr-FR"/>
        </w:rPr>
        <w:t>772.</w:t>
      </w:r>
      <w:r>
        <w:rPr>
          <w:lang w:val="fr-FR"/>
        </w:rPr>
        <w:tab/>
        <w:t>Les femmes ont un rôle primordial dans la lutte contre la violence et l’exploitation sexuelle. Au cours de l’année 2007, sur initiative du Président de la République, une formation en leadership est organisée à l’intention de 1 500 femmes. Un des messages clés adressés fut axé sur le combat contre l’exploitation de la prostitution des enfants à des fins commerciales et de tourisme sexuel.</w:t>
      </w:r>
    </w:p>
    <w:p w:rsidR="00000000" w:rsidRDefault="00000000">
      <w:pPr>
        <w:pStyle w:val="H23G"/>
        <w:rPr>
          <w:lang w:val="fr-FR"/>
        </w:rPr>
      </w:pPr>
      <w:bookmarkStart w:id="1594" w:name="_Toc206414656"/>
      <w:bookmarkStart w:id="1595" w:name="_Toc206460497"/>
      <w:bookmarkStart w:id="1596" w:name="_Toc206460831"/>
      <w:bookmarkStart w:id="1597" w:name="_Toc206461553"/>
      <w:bookmarkStart w:id="1598" w:name="_Toc206476347"/>
      <w:bookmarkStart w:id="1599" w:name="_Toc207788882"/>
      <w:bookmarkStart w:id="1600" w:name="_Toc211835551"/>
      <w:bookmarkStart w:id="1601" w:name="_Toc211926858"/>
      <w:r>
        <w:rPr>
          <w:lang w:val="fr-FR"/>
        </w:rPr>
        <w:tab/>
        <w:t>3.</w:t>
      </w:r>
      <w:r>
        <w:rPr>
          <w:lang w:val="fr-FR"/>
        </w:rPr>
        <w:tab/>
        <w:t>Stratégie nationale pour garantir la protection</w:t>
      </w:r>
      <w:bookmarkEnd w:id="1594"/>
      <w:bookmarkEnd w:id="1595"/>
      <w:bookmarkEnd w:id="1596"/>
      <w:bookmarkEnd w:id="1597"/>
      <w:bookmarkEnd w:id="1598"/>
      <w:bookmarkEnd w:id="1599"/>
      <w:bookmarkEnd w:id="1600"/>
      <w:bookmarkEnd w:id="1601"/>
    </w:p>
    <w:p w:rsidR="00000000" w:rsidRDefault="00000000">
      <w:pPr>
        <w:pStyle w:val="SingleTxtG"/>
        <w:rPr>
          <w:lang w:val="fr-FR"/>
        </w:rPr>
      </w:pPr>
      <w:r>
        <w:rPr>
          <w:lang w:val="fr-FR"/>
        </w:rPr>
        <w:t>773.</w:t>
      </w:r>
      <w:r>
        <w:rPr>
          <w:lang w:val="fr-FR"/>
        </w:rPr>
        <w:tab/>
        <w:t>En plus du PNALTE, document de référence pour la lutte contre le formes les plus intolérables du travail des enfants (PFTE) y compris l’exploitation sexuelle, le gouvernement malgache, par le biais du Ministère de la justice, en partenariat avec l’UNICEF, a adopté, le 7 décembre 2007, un Plan d’action national de lutte contre la violence à l’égard des enfants (PANVE) dont la lutte contre l’exploitation sexuelle et la violence sexuelle est parmi des ses axes stratégiques.</w:t>
      </w:r>
    </w:p>
    <w:p w:rsidR="00000000" w:rsidRDefault="00000000">
      <w:pPr>
        <w:pStyle w:val="SingleTxtG"/>
        <w:rPr>
          <w:lang w:val="fr-FR"/>
        </w:rPr>
      </w:pPr>
      <w:r>
        <w:rPr>
          <w:lang w:val="fr-FR"/>
        </w:rPr>
        <w:t>774.</w:t>
      </w:r>
      <w:r>
        <w:rPr>
          <w:lang w:val="fr-FR"/>
        </w:rPr>
        <w:tab/>
        <w:t>L’enquête nationale sur le travail des enfants (SIMPOC) a intégré le volet exploitation sexuelle à des fins commerciales en tant que PFTE.</w:t>
      </w:r>
    </w:p>
    <w:p w:rsidR="00000000" w:rsidRDefault="00000000">
      <w:pPr>
        <w:pStyle w:val="H23G"/>
        <w:rPr>
          <w:i/>
          <w:lang w:val="fr-FR"/>
        </w:rPr>
      </w:pPr>
      <w:bookmarkStart w:id="1602" w:name="_Toc206414657"/>
      <w:bookmarkStart w:id="1603" w:name="_Toc206460498"/>
      <w:bookmarkStart w:id="1604" w:name="_Toc206460832"/>
      <w:bookmarkStart w:id="1605" w:name="_Toc206461554"/>
      <w:bookmarkStart w:id="1606" w:name="_Toc206476348"/>
      <w:bookmarkStart w:id="1607" w:name="_Toc207788883"/>
      <w:bookmarkStart w:id="1608" w:name="_Toc211835552"/>
      <w:bookmarkStart w:id="1609" w:name="_Toc211926859"/>
      <w:r>
        <w:rPr>
          <w:lang w:val="fr-FR"/>
        </w:rPr>
        <w:tab/>
        <w:t>4.</w:t>
      </w:r>
      <w:r>
        <w:rPr>
          <w:lang w:val="fr-FR"/>
        </w:rPr>
        <w:tab/>
        <w:t xml:space="preserve"> Mécanisme de</w:t>
      </w:r>
      <w:r>
        <w:rPr>
          <w:i/>
          <w:lang w:val="fr-FR"/>
        </w:rPr>
        <w:t xml:space="preserve"> </w:t>
      </w:r>
      <w:r>
        <w:rPr>
          <w:lang w:val="fr-FR"/>
        </w:rPr>
        <w:t>coordination</w:t>
      </w:r>
      <w:bookmarkEnd w:id="1602"/>
      <w:bookmarkEnd w:id="1603"/>
      <w:bookmarkEnd w:id="1604"/>
      <w:bookmarkEnd w:id="1605"/>
      <w:bookmarkEnd w:id="1606"/>
      <w:bookmarkEnd w:id="1607"/>
      <w:bookmarkEnd w:id="1608"/>
      <w:bookmarkEnd w:id="1609"/>
    </w:p>
    <w:p w:rsidR="00000000" w:rsidRDefault="00000000">
      <w:pPr>
        <w:pStyle w:val="SingleTxtG"/>
        <w:rPr>
          <w:lang w:val="fr-FR"/>
        </w:rPr>
      </w:pPr>
      <w:r>
        <w:rPr>
          <w:lang w:val="fr-FR"/>
        </w:rPr>
        <w:t>775.</w:t>
      </w:r>
      <w:r>
        <w:rPr>
          <w:lang w:val="fr-FR"/>
        </w:rPr>
        <w:tab/>
        <w:t xml:space="preserve">En plus du CNLTE, le PANVE prévoit aussi dans son objectif stratégie </w:t>
      </w:r>
      <w:r>
        <w:rPr>
          <w:rFonts w:eastAsia="MS Mincho"/>
          <w:lang w:val="fr-FR"/>
        </w:rPr>
        <w:t>n</w:t>
      </w:r>
      <w:r>
        <w:rPr>
          <w:rFonts w:eastAsia="MS Mincho"/>
          <w:vertAlign w:val="superscript"/>
          <w:lang w:val="fr-FR"/>
        </w:rPr>
        <w:t>o</w:t>
      </w:r>
      <w:r>
        <w:rPr>
          <w:lang w:val="fr-FR"/>
        </w:rPr>
        <w:t xml:space="preserve"> 6, la mise en place du mécanisme de coordination. </w:t>
      </w:r>
    </w:p>
    <w:p w:rsidR="00000000" w:rsidRDefault="00000000">
      <w:pPr>
        <w:pStyle w:val="H23G"/>
        <w:rPr>
          <w:lang w:val="fr-FR"/>
        </w:rPr>
      </w:pPr>
      <w:bookmarkStart w:id="1610" w:name="_Toc206414658"/>
      <w:bookmarkStart w:id="1611" w:name="_Toc206460499"/>
      <w:bookmarkStart w:id="1612" w:name="_Toc206460833"/>
      <w:bookmarkStart w:id="1613" w:name="_Toc206461555"/>
      <w:bookmarkStart w:id="1614" w:name="_Toc206476349"/>
      <w:bookmarkStart w:id="1615" w:name="_Toc207788884"/>
      <w:bookmarkStart w:id="1616" w:name="_Toc211835553"/>
      <w:bookmarkStart w:id="1617" w:name="_Toc211926860"/>
      <w:r>
        <w:rPr>
          <w:lang w:val="fr-FR"/>
        </w:rPr>
        <w:tab/>
        <w:t>5.</w:t>
      </w:r>
      <w:r>
        <w:rPr>
          <w:lang w:val="fr-FR"/>
        </w:rPr>
        <w:tab/>
        <w:t>Législation assurant l’assistance juridique ou autre assistance appropriée</w:t>
      </w:r>
      <w:bookmarkEnd w:id="1610"/>
      <w:bookmarkEnd w:id="1611"/>
      <w:bookmarkEnd w:id="1612"/>
      <w:bookmarkEnd w:id="1613"/>
      <w:bookmarkEnd w:id="1614"/>
      <w:bookmarkEnd w:id="1615"/>
      <w:bookmarkEnd w:id="1616"/>
      <w:bookmarkEnd w:id="1617"/>
    </w:p>
    <w:p w:rsidR="00000000" w:rsidRDefault="00000000">
      <w:pPr>
        <w:pStyle w:val="SingleTxtG"/>
        <w:rPr>
          <w:lang w:val="fr-FR"/>
        </w:rPr>
      </w:pPr>
      <w:r>
        <w:rPr>
          <w:lang w:val="fr-FR"/>
        </w:rPr>
        <w:t>776.</w:t>
      </w:r>
      <w:r>
        <w:rPr>
          <w:lang w:val="fr-FR"/>
        </w:rPr>
        <w:tab/>
        <w:t xml:space="preserve">La loi </w:t>
      </w:r>
      <w:r>
        <w:rPr>
          <w:rFonts w:eastAsia="MS Mincho"/>
          <w:lang w:val="fr-FR"/>
        </w:rPr>
        <w:t>n</w:t>
      </w:r>
      <w:r>
        <w:rPr>
          <w:rFonts w:eastAsia="MS Mincho"/>
          <w:vertAlign w:val="superscript"/>
          <w:lang w:val="fr-FR"/>
        </w:rPr>
        <w:t>o</w:t>
      </w:r>
      <w:r>
        <w:rPr>
          <w:lang w:val="fr-FR"/>
        </w:rPr>
        <w:t xml:space="preserve"> 2007-023 du 20 août 2007 sur les droits et la protection de l’enfant en son article 76 mentionnent que «</w:t>
      </w:r>
      <w:r>
        <w:rPr>
          <w:i/>
          <w:lang w:val="fr-FR"/>
        </w:rPr>
        <w:t>l’avis d’ouverture de procédure et les convocations adressées aux père et mère, au tuteur, à la personne ou au représentant du service à qui l’enfant a été confié et à l’enfant capable de discernement, mentionnent les droits des parties de faire choix d’un conseil ou de demander qu’il leur soit commis un d’office»</w:t>
      </w:r>
      <w:r>
        <w:rPr>
          <w:lang w:val="fr-FR"/>
        </w:rPr>
        <w:t xml:space="preserve"> et que </w:t>
      </w:r>
      <w:r>
        <w:rPr>
          <w:i/>
          <w:lang w:val="fr-FR"/>
        </w:rPr>
        <w:t>«l’avis et les convocations informent également les parties de la possibilité de consulter le dossier.</w:t>
      </w:r>
      <w:r>
        <w:rPr>
          <w:lang w:val="fr-FR"/>
        </w:rPr>
        <w:t>».</w:t>
      </w:r>
    </w:p>
    <w:p w:rsidR="00000000" w:rsidRDefault="00000000">
      <w:pPr>
        <w:pStyle w:val="H23G"/>
        <w:rPr>
          <w:lang w:val="fr-FR"/>
        </w:rPr>
      </w:pPr>
      <w:bookmarkStart w:id="1618" w:name="_Toc206414659"/>
      <w:bookmarkStart w:id="1619" w:name="_Toc206460500"/>
      <w:bookmarkStart w:id="1620" w:name="_Toc206460834"/>
      <w:bookmarkStart w:id="1621" w:name="_Toc206461556"/>
      <w:bookmarkStart w:id="1622" w:name="_Toc206476350"/>
      <w:bookmarkStart w:id="1623" w:name="_Toc207788885"/>
      <w:bookmarkStart w:id="1624" w:name="_Toc211835554"/>
      <w:bookmarkStart w:id="1625" w:name="_Toc211926861"/>
      <w:r>
        <w:rPr>
          <w:lang w:val="fr-FR"/>
        </w:rPr>
        <w:tab/>
        <w:t>6.</w:t>
      </w:r>
      <w:r>
        <w:rPr>
          <w:lang w:val="fr-FR"/>
        </w:rPr>
        <w:tab/>
        <w:t>Infractions pénales</w:t>
      </w:r>
      <w:bookmarkEnd w:id="1618"/>
      <w:bookmarkEnd w:id="1619"/>
      <w:bookmarkEnd w:id="1620"/>
      <w:bookmarkEnd w:id="1621"/>
      <w:bookmarkEnd w:id="1622"/>
      <w:bookmarkEnd w:id="1623"/>
      <w:bookmarkEnd w:id="1624"/>
      <w:bookmarkEnd w:id="1625"/>
    </w:p>
    <w:p w:rsidR="00000000" w:rsidRDefault="00000000">
      <w:pPr>
        <w:pStyle w:val="SingleTxtG"/>
        <w:rPr>
          <w:lang w:val="fr-FR"/>
        </w:rPr>
      </w:pPr>
      <w:r>
        <w:rPr>
          <w:lang w:val="fr-FR"/>
        </w:rPr>
        <w:t>777.</w:t>
      </w:r>
      <w:r>
        <w:rPr>
          <w:lang w:val="fr-FR"/>
        </w:rPr>
        <w:tab/>
        <w:t xml:space="preserve">La loi </w:t>
      </w:r>
      <w:r>
        <w:rPr>
          <w:rFonts w:eastAsia="MS Mincho"/>
          <w:lang w:val="fr-FR"/>
        </w:rPr>
        <w:t>n</w:t>
      </w:r>
      <w:r>
        <w:rPr>
          <w:rFonts w:eastAsia="MS Mincho"/>
          <w:vertAlign w:val="superscript"/>
          <w:lang w:val="fr-FR"/>
        </w:rPr>
        <w:t>o</w:t>
      </w:r>
      <w:r>
        <w:rPr>
          <w:lang w:val="fr-FR"/>
        </w:rPr>
        <w:t xml:space="preserve"> 2007-038 stipule en son article 333 </w:t>
      </w:r>
      <w:r>
        <w:rPr>
          <w:i/>
          <w:lang w:val="fr-FR"/>
        </w:rPr>
        <w:t>quater</w:t>
      </w:r>
      <w:r>
        <w:rPr>
          <w:lang w:val="fr-FR"/>
        </w:rPr>
        <w:t xml:space="preserve"> que </w:t>
      </w:r>
      <w:r>
        <w:rPr>
          <w:iCs/>
          <w:lang w:val="fr-FR"/>
        </w:rPr>
        <w:t>«</w:t>
      </w:r>
      <w:r>
        <w:rPr>
          <w:i/>
          <w:iCs/>
          <w:lang w:val="fr-FR"/>
        </w:rPr>
        <w:t>la traite des personnes, y compris des enfants ainsi que le tourisme sexuel et l’inceste constituent des infractions.</w:t>
      </w:r>
      <w:r>
        <w:rPr>
          <w:iCs/>
          <w:lang w:val="fr-FR"/>
        </w:rPr>
        <w:t>».</w:t>
      </w:r>
      <w:r>
        <w:rPr>
          <w:lang w:val="fr-FR"/>
        </w:rPr>
        <w:t xml:space="preserve"> </w:t>
      </w:r>
    </w:p>
    <w:p w:rsidR="00000000" w:rsidRDefault="00000000">
      <w:pPr>
        <w:pStyle w:val="SingleTxtG"/>
        <w:rPr>
          <w:lang w:val="fr-FR"/>
        </w:rPr>
      </w:pPr>
      <w:r>
        <w:rPr>
          <w:lang w:val="fr-FR"/>
        </w:rPr>
        <w:t>778.</w:t>
      </w:r>
      <w:r>
        <w:rPr>
          <w:lang w:val="fr-FR"/>
        </w:rPr>
        <w:tab/>
        <w:t xml:space="preserve">L’article 334 </w:t>
      </w:r>
      <w:r>
        <w:rPr>
          <w:i/>
          <w:lang w:val="fr-FR"/>
        </w:rPr>
        <w:t>ter</w:t>
      </w:r>
      <w:r>
        <w:rPr>
          <w:lang w:val="fr-FR"/>
        </w:rPr>
        <w:t xml:space="preserve"> de ladite loi dispose que «</w:t>
      </w:r>
      <w:r>
        <w:rPr>
          <w:i/>
          <w:lang w:val="fr-FR"/>
        </w:rPr>
        <w:t>quiconque embauche, entraîne ou détourne en vue de la prostitution, une personne même consentante est punie de la peine de deux (2) à cinq (5) ans et d’une amende de 1 000 000 Ar à 10 000 000 Ar. Si l’infraction a été commise sur la personne d’un enfant, de l’un et de l’autre sexe, au dessous de l’âge de quinze ans, l’auteur est puni des travaux forcés à temps</w:t>
      </w:r>
      <w:r>
        <w:rPr>
          <w:lang w:val="fr-FR"/>
        </w:rPr>
        <w:t xml:space="preserve">.». </w:t>
      </w:r>
    </w:p>
    <w:p w:rsidR="00000000" w:rsidRDefault="00000000">
      <w:pPr>
        <w:pStyle w:val="SingleTxtG"/>
        <w:rPr>
          <w:lang w:val="fr-FR"/>
        </w:rPr>
      </w:pPr>
      <w:r>
        <w:rPr>
          <w:lang w:val="fr-FR"/>
        </w:rPr>
        <w:t>779.</w:t>
      </w:r>
      <w:r>
        <w:rPr>
          <w:lang w:val="fr-FR"/>
        </w:rPr>
        <w:tab/>
        <w:t xml:space="preserve">Selon l’article 334 </w:t>
      </w:r>
      <w:r>
        <w:rPr>
          <w:i/>
          <w:lang w:val="fr-FR"/>
        </w:rPr>
        <w:t>quater</w:t>
      </w:r>
      <w:r>
        <w:rPr>
          <w:lang w:val="fr-FR"/>
        </w:rPr>
        <w:t xml:space="preserve"> «</w:t>
      </w:r>
      <w:r>
        <w:rPr>
          <w:i/>
          <w:lang w:val="fr-FR"/>
        </w:rPr>
        <w:t>l’exploitation sexuelle, définie par l’article 333 ter, est punie de la peine de cinq (5) à dix (10) ans d’emprisonnement et d’une amende de 4 000 000 Ar à 20 000 000 Ar</w:t>
      </w:r>
      <w:r>
        <w:rPr>
          <w:lang w:val="fr-FR"/>
        </w:rPr>
        <w:t>.</w:t>
      </w:r>
    </w:p>
    <w:p w:rsidR="00000000" w:rsidRDefault="00000000">
      <w:pPr>
        <w:pStyle w:val="SingleTxtG"/>
        <w:rPr>
          <w:lang w:val="fr-FR"/>
        </w:rPr>
      </w:pPr>
      <w:r>
        <w:rPr>
          <w:lang w:val="fr-FR"/>
        </w:rPr>
        <w:t>780.</w:t>
      </w:r>
      <w:r>
        <w:rPr>
          <w:lang w:val="fr-FR"/>
        </w:rPr>
        <w:tab/>
      </w:r>
      <w:r>
        <w:rPr>
          <w:i/>
          <w:lang w:val="fr-FR"/>
        </w:rPr>
        <w:t>L’exploitation sexuelle est punie des travaux forcés à temps si elle a été commise sur la personne d’un enfant, de l’un et de l’autre sexe, au dessous de l’âge de 15 ans accomplis.</w:t>
      </w:r>
    </w:p>
    <w:p w:rsidR="00000000" w:rsidRDefault="00000000">
      <w:pPr>
        <w:pStyle w:val="SingleTxtG"/>
        <w:rPr>
          <w:lang w:val="fr-FR"/>
        </w:rPr>
      </w:pPr>
      <w:r>
        <w:rPr>
          <w:lang w:val="fr-FR"/>
        </w:rPr>
        <w:t>781.</w:t>
      </w:r>
      <w:r>
        <w:rPr>
          <w:lang w:val="fr-FR"/>
        </w:rPr>
        <w:tab/>
      </w:r>
      <w:r>
        <w:rPr>
          <w:i/>
          <w:lang w:val="fr-FR"/>
        </w:rPr>
        <w:t>Et si l’exploitation sexuelle a été commise à des fins commerciales sur un enfant de dix huit ans, l’auteur est puni des travaux forcés à temps</w:t>
      </w:r>
      <w:r>
        <w:rPr>
          <w:lang w:val="fr-FR"/>
        </w:rPr>
        <w:t>.»</w:t>
      </w:r>
    </w:p>
    <w:p w:rsidR="00000000" w:rsidRDefault="00000000">
      <w:pPr>
        <w:pStyle w:val="SingleTxtG"/>
        <w:rPr>
          <w:lang w:val="fr-FR"/>
        </w:rPr>
      </w:pPr>
      <w:r>
        <w:rPr>
          <w:lang w:val="fr-FR"/>
        </w:rPr>
        <w:t>782.</w:t>
      </w:r>
      <w:r>
        <w:rPr>
          <w:lang w:val="fr-FR"/>
        </w:rPr>
        <w:tab/>
        <w:t>L’article 334 quinto dispose que «</w:t>
      </w:r>
      <w:r>
        <w:rPr>
          <w:i/>
          <w:lang w:val="fr-FR"/>
        </w:rPr>
        <w:t>quiconque aura consommé des rapports sexuels avec un enfant contre toute forme de rémunération ou tout autre avantage est puni de la peine d’emprisonnement de deux (2) ans à cinq (5) ans d’emprisonnement et d’une amende de 1 000 000 à 10 000 000 ariary ou l’une de ces deux peines seulement</w:t>
      </w:r>
      <w:r>
        <w:rPr>
          <w:lang w:val="fr-FR"/>
        </w:rPr>
        <w:t>.»</w:t>
      </w:r>
    </w:p>
    <w:p w:rsidR="00000000" w:rsidRDefault="00000000">
      <w:pPr>
        <w:pStyle w:val="H23G"/>
        <w:rPr>
          <w:i/>
          <w:lang w:val="fr-FR"/>
        </w:rPr>
      </w:pPr>
      <w:bookmarkStart w:id="1626" w:name="_Toc206414660"/>
      <w:bookmarkStart w:id="1627" w:name="_Toc206460501"/>
      <w:bookmarkStart w:id="1628" w:name="_Toc206460835"/>
      <w:bookmarkStart w:id="1629" w:name="_Toc206461557"/>
      <w:bookmarkStart w:id="1630" w:name="_Toc206476351"/>
      <w:bookmarkStart w:id="1631" w:name="_Toc207788886"/>
      <w:bookmarkStart w:id="1632" w:name="_Toc211835555"/>
      <w:bookmarkStart w:id="1633" w:name="_Toc211926862"/>
      <w:r>
        <w:rPr>
          <w:lang w:val="fr-FR"/>
        </w:rPr>
        <w:tab/>
        <w:t>7.</w:t>
      </w:r>
      <w:r>
        <w:rPr>
          <w:lang w:val="fr-FR"/>
        </w:rPr>
        <w:tab/>
        <w:t>Extraterritorialité</w:t>
      </w:r>
      <w:bookmarkEnd w:id="1626"/>
      <w:bookmarkEnd w:id="1627"/>
      <w:bookmarkEnd w:id="1628"/>
      <w:bookmarkEnd w:id="1629"/>
      <w:bookmarkEnd w:id="1630"/>
      <w:bookmarkEnd w:id="1631"/>
      <w:bookmarkEnd w:id="1632"/>
      <w:bookmarkEnd w:id="1633"/>
    </w:p>
    <w:p w:rsidR="00000000" w:rsidRDefault="00000000">
      <w:pPr>
        <w:pStyle w:val="SingleTxtG"/>
        <w:rPr>
          <w:lang w:val="fr-FR"/>
        </w:rPr>
      </w:pPr>
      <w:r>
        <w:rPr>
          <w:lang w:val="fr-FR"/>
        </w:rPr>
        <w:t>783.</w:t>
      </w:r>
      <w:r>
        <w:rPr>
          <w:lang w:val="fr-FR"/>
        </w:rPr>
        <w:tab/>
        <w:t xml:space="preserve">La loi </w:t>
      </w:r>
      <w:r>
        <w:rPr>
          <w:rFonts w:eastAsia="MS Mincho"/>
          <w:lang w:val="fr-FR"/>
        </w:rPr>
        <w:t>n</w:t>
      </w:r>
      <w:r>
        <w:rPr>
          <w:rFonts w:eastAsia="MS Mincho"/>
          <w:vertAlign w:val="superscript"/>
          <w:lang w:val="fr-FR"/>
        </w:rPr>
        <w:t>o</w:t>
      </w:r>
      <w:r>
        <w:rPr>
          <w:lang w:val="fr-FR"/>
        </w:rPr>
        <w:t xml:space="preserve"> 2007-038 sur la lutte contre la traite des personnes et le tourisme sexuel prévoit le principe d’extradition, en ses articles 335 </w:t>
      </w:r>
      <w:r>
        <w:rPr>
          <w:i/>
          <w:lang w:val="fr-FR"/>
        </w:rPr>
        <w:t>ter</w:t>
      </w:r>
      <w:r>
        <w:rPr>
          <w:lang w:val="fr-FR"/>
        </w:rPr>
        <w:t xml:space="preserve">, que </w:t>
      </w:r>
      <w:r>
        <w:rPr>
          <w:i/>
          <w:iCs/>
          <w:lang w:val="fr-FR"/>
        </w:rPr>
        <w:t>«les nationaux et les personnes ayant leur résidence habituelle à Madagascar qui se livrent à la traite, à l’exploitation sexuelle, au tourisme sexuel dans d’autres pays sont poursuivis et sanctionnés conformément aux dispositions du Code pénal».</w:t>
      </w:r>
    </w:p>
    <w:p w:rsidR="00000000" w:rsidRDefault="00000000">
      <w:pPr>
        <w:pStyle w:val="SingleTxtG"/>
        <w:rPr>
          <w:lang w:val="fr-FR"/>
        </w:rPr>
      </w:pPr>
      <w:r>
        <w:rPr>
          <w:lang w:val="fr-FR"/>
        </w:rPr>
        <w:t>784.</w:t>
      </w:r>
      <w:r>
        <w:rPr>
          <w:lang w:val="fr-FR"/>
        </w:rPr>
        <w:tab/>
        <w:t xml:space="preserve">L’article 335 </w:t>
      </w:r>
      <w:r>
        <w:rPr>
          <w:i/>
          <w:lang w:val="fr-FR"/>
        </w:rPr>
        <w:t>quater</w:t>
      </w:r>
      <w:r>
        <w:rPr>
          <w:lang w:val="fr-FR"/>
        </w:rPr>
        <w:t xml:space="preserve"> de la même loi prévoit également les demandes d’extradition des personnes recherchées dans un État étranger, les procédures et les principes prévus par le traité d’extradition en vigueur entre l’État requérant et Madagascar.</w:t>
      </w:r>
    </w:p>
    <w:p w:rsidR="00000000" w:rsidRDefault="00000000">
      <w:pPr>
        <w:pStyle w:val="SingleTxtG"/>
        <w:rPr>
          <w:lang w:val="fr-FR"/>
        </w:rPr>
      </w:pPr>
      <w:r>
        <w:rPr>
          <w:lang w:val="fr-FR"/>
        </w:rPr>
        <w:t>785.</w:t>
      </w:r>
      <w:r>
        <w:rPr>
          <w:lang w:val="fr-FR"/>
        </w:rPr>
        <w:tab/>
        <w:t>Le dernier alinéa de cet article stipule que «</w:t>
      </w:r>
      <w:r>
        <w:rPr>
          <w:i/>
          <w:lang w:val="fr-FR"/>
        </w:rPr>
        <w:t>en l’absence de traité d’extradition ou des dispositions législatives, l’extradition est exécutée selon la procédure et dans le respect des principes définis par le traité type d’extradition adopté par l’Assemblée générale des Nations Unies dans sa résolution 45/116</w:t>
      </w:r>
      <w:r>
        <w:rPr>
          <w:lang w:val="fr-FR"/>
        </w:rPr>
        <w:t>».</w:t>
      </w:r>
    </w:p>
    <w:p w:rsidR="00000000" w:rsidRDefault="00000000">
      <w:pPr>
        <w:pStyle w:val="H23G"/>
        <w:rPr>
          <w:lang w:val="fr-FR"/>
        </w:rPr>
      </w:pPr>
      <w:bookmarkStart w:id="1634" w:name="_Toc206414661"/>
      <w:bookmarkStart w:id="1635" w:name="_Toc206460502"/>
      <w:bookmarkStart w:id="1636" w:name="_Toc206460836"/>
      <w:bookmarkStart w:id="1637" w:name="_Toc206461558"/>
      <w:bookmarkStart w:id="1638" w:name="_Toc206476352"/>
      <w:bookmarkStart w:id="1639" w:name="_Toc207788887"/>
      <w:bookmarkStart w:id="1640" w:name="_Toc211835556"/>
      <w:bookmarkStart w:id="1641" w:name="_Toc211926863"/>
      <w:r>
        <w:rPr>
          <w:lang w:val="fr-FR"/>
        </w:rPr>
        <w:tab/>
        <w:t>8.</w:t>
      </w:r>
      <w:r>
        <w:rPr>
          <w:lang w:val="fr-FR"/>
        </w:rPr>
        <w:tab/>
        <w:t>Données ventilées sur les réalités</w:t>
      </w:r>
      <w:bookmarkEnd w:id="1634"/>
      <w:bookmarkEnd w:id="1635"/>
      <w:bookmarkEnd w:id="1636"/>
      <w:bookmarkEnd w:id="1637"/>
      <w:bookmarkEnd w:id="1638"/>
      <w:bookmarkEnd w:id="1639"/>
      <w:bookmarkEnd w:id="1640"/>
      <w:bookmarkEnd w:id="1641"/>
    </w:p>
    <w:p w:rsidR="00000000" w:rsidRDefault="00000000">
      <w:pPr>
        <w:pStyle w:val="SingleTxtG"/>
        <w:rPr>
          <w:lang w:val="fr-FR"/>
        </w:rPr>
      </w:pPr>
      <w:r>
        <w:rPr>
          <w:lang w:val="fr-FR"/>
        </w:rPr>
        <w:t>786.</w:t>
      </w:r>
      <w:r>
        <w:rPr>
          <w:lang w:val="fr-FR"/>
        </w:rPr>
        <w:tab/>
        <w:t>Le phénomène de l’exploitation sexuelle est une réalité alarmante dans certaines localités de Madagascar. Malgré cette visibilité croissante, il n’est pas encore possible d’estimer l’ampleur de ce phénomène à cause du manque d’instruments quantitatifs fiables au niveau national.</w:t>
      </w:r>
    </w:p>
    <w:p w:rsidR="00000000" w:rsidRDefault="00000000">
      <w:pPr>
        <w:pStyle w:val="SingleTxtG"/>
        <w:rPr>
          <w:lang w:val="fr-FR"/>
        </w:rPr>
      </w:pPr>
      <w:r>
        <w:rPr>
          <w:lang w:val="fr-FR"/>
        </w:rPr>
        <w:t>787.</w:t>
      </w:r>
      <w:r>
        <w:rPr>
          <w:lang w:val="fr-FR"/>
        </w:rPr>
        <w:tab/>
        <w:t>Les données provenant des études réalisées sur l’exploitation sexuelle à des fins commerciales sont éparses mais donnent un aperçu de la situation. En 2000, on estimait entre 1 309 et 2 217 sur les 170 000 habitants de Toamasina et entre 700 et 800 sur 50 000 habitants à Nosy Be le nombre d’enfants victimes d’exploitation sexuelle. En 2005, 19 000 sur 21 000 enfants travaillaient à Ilakaka dont environ 70 % des filles âgées de 12 à 18 ans étaient victimes de l’exploitation sexuelle à des fins commerciales. En 2006, un quart sur un total de 2 640 enfants âgés de 6 à 17 ans qui travaillent à Antsiranana sont victimes d’exploitation sexuelle. (Cf. BIT). Dans la région Atsimo Andrefana (Toliara I et Ifaty), 28 % des enfants travailleurs âgés de 12 à 17 ans sont victimes de l’ESEC</w:t>
      </w:r>
      <w:r>
        <w:rPr>
          <w:rStyle w:val="FootnoteReference"/>
        </w:rPr>
        <w:footnoteReference w:id="18"/>
      </w:r>
      <w:r>
        <w:rPr>
          <w:lang w:val="fr-FR"/>
        </w:rPr>
        <w:t xml:space="preserve"> </w:t>
      </w:r>
    </w:p>
    <w:p w:rsidR="00000000" w:rsidRDefault="00000000">
      <w:pPr>
        <w:pStyle w:val="SingleTxtG"/>
        <w:rPr>
          <w:lang w:val="fr-FR"/>
        </w:rPr>
      </w:pPr>
      <w:r>
        <w:rPr>
          <w:lang w:val="fr-FR"/>
        </w:rPr>
        <w:t>788.</w:t>
      </w:r>
      <w:r>
        <w:rPr>
          <w:lang w:val="fr-FR"/>
        </w:rPr>
        <w:tab/>
        <w:t>Les résultats de la ENTE apportera de nouvelles connaissances et indiquera les actions pour combattre ce fléau.</w:t>
      </w:r>
    </w:p>
    <w:p w:rsidR="00000000" w:rsidRDefault="00000000">
      <w:pPr>
        <w:pStyle w:val="SingleTxtG"/>
        <w:rPr>
          <w:lang w:val="fr-FR"/>
        </w:rPr>
      </w:pPr>
      <w:r>
        <w:rPr>
          <w:lang w:val="fr-FR"/>
        </w:rPr>
        <w:t>789.</w:t>
      </w:r>
      <w:r>
        <w:rPr>
          <w:lang w:val="fr-FR"/>
        </w:rPr>
        <w:tab/>
        <w:t>En ce qui concerne la violence sexuelle, les statistiques de la Police nationale de 2005 à 2007 font état du détournement de mineur, le viol et l’attentat à la pudeur, parmi les infractions les plus fréquentes commises à l’encontre des enfants. La majorité écrasante des victimes de la violence sexuelle ce sont les filles: sur 174 cas d’infraction de nature sexuelle recensés par la DPMPM en 2006 (la moitié des toutes les infractions contre des enfants), 172 concernaient des filles de tous âges</w:t>
      </w:r>
      <w:r>
        <w:rPr>
          <w:rStyle w:val="FootnoteReference"/>
        </w:rPr>
        <w:footnoteReference w:id="19"/>
      </w:r>
      <w:r>
        <w:rPr>
          <w:lang w:val="fr-FR"/>
        </w:rPr>
        <w:t>. Les jeunes fillettes ne sont pas épargnées de ce type de violence: 20 % des violences sexuelles ont été commises contre des jeunes enfants entre 0 et 6 ans.</w:t>
      </w:r>
    </w:p>
    <w:p w:rsidR="00000000" w:rsidRDefault="00000000">
      <w:pPr>
        <w:pStyle w:val="SingleTxtG"/>
        <w:rPr>
          <w:lang w:val="fr-FR"/>
        </w:rPr>
      </w:pPr>
      <w:r>
        <w:rPr>
          <w:lang w:val="fr-FR"/>
        </w:rPr>
        <w:t>790.</w:t>
      </w:r>
      <w:r>
        <w:rPr>
          <w:lang w:val="fr-FR"/>
        </w:rPr>
        <w:tab/>
        <w:t>Les cas d’inceste ne font généralement pas l’objet de signalement, cependant, les statistiques de la police nationale de 2006 commencent à faire état de ce type de crime (cinq cas de dénonciation d’inceste), indiquant peut être des changements collectifs de mentalité quant à cette violation grave</w:t>
      </w:r>
      <w:r>
        <w:rPr>
          <w:rStyle w:val="FootnoteReference"/>
        </w:rPr>
        <w:footnoteReference w:id="20"/>
      </w:r>
    </w:p>
    <w:p w:rsidR="00000000" w:rsidRDefault="00000000">
      <w:pPr>
        <w:pStyle w:val="SingleTxtG"/>
        <w:rPr>
          <w:lang w:val="fr-FR"/>
        </w:rPr>
      </w:pPr>
      <w:r>
        <w:rPr>
          <w:lang w:val="fr-FR"/>
        </w:rPr>
        <w:t>791.</w:t>
      </w:r>
      <w:r>
        <w:rPr>
          <w:lang w:val="fr-FR"/>
        </w:rPr>
        <w:tab/>
        <w:t>Cette prépondérance de la violence sexuelle est attestée aussi au niveau local. Presque moitié des 331 nouveaux cas traités par la cellule de soutien et d’accompagnement des enfants victimes de maltraitance de la ville de Mahajanga concernaient des violences sexuelles. Les victimes étaient en grande majorité des filles (69 %) et l’âge moyen des victimes était de 10 ans.</w:t>
      </w:r>
    </w:p>
    <w:p w:rsidR="00000000" w:rsidRDefault="00000000">
      <w:pPr>
        <w:pStyle w:val="SingleTxtG"/>
        <w:rPr>
          <w:lang w:val="fr-FR"/>
        </w:rPr>
      </w:pPr>
      <w:r>
        <w:rPr>
          <w:lang w:val="fr-FR"/>
        </w:rPr>
        <w:t>792.</w:t>
      </w:r>
      <w:r>
        <w:rPr>
          <w:lang w:val="fr-FR"/>
        </w:rPr>
        <w:tab/>
        <w:t xml:space="preserve">Le mariage forcé est une forme de violence sexuelle contre les fillettes puisque les enfants concernés sont incapables de donner ou refuser leur consentement (OMS, 2002). Le mariage forcé et/ou précoce résulte parfois d’une coutume ancestrale admettant la possibilité d’offrir en mariage une femme contre son gré. La pratique du «moletry» peut astreindre une femme ou un enfant à contracter une union ou pré-mariage. </w:t>
      </w:r>
    </w:p>
    <w:p w:rsidR="00000000" w:rsidRDefault="00000000">
      <w:pPr>
        <w:pStyle w:val="SingleTxtG"/>
        <w:rPr>
          <w:lang w:val="fr-FR"/>
        </w:rPr>
      </w:pPr>
      <w:r>
        <w:rPr>
          <w:lang w:val="fr-FR"/>
        </w:rPr>
        <w:t>793.</w:t>
      </w:r>
      <w:r>
        <w:rPr>
          <w:lang w:val="fr-FR"/>
        </w:rPr>
        <w:tab/>
        <w:t xml:space="preserve">En vue de l’abandon de cette pratique discriminatoire, le Ministère de la justice en partenariat avec le PNUD a fait procéder à une étude sur le «moletry» afin de cerner avec exactitude cette coutume pratiquée dans le nord-ouest du pays. Les résultats de cette étude vont servir de document de base lors d’un atelier de dialogue local, régional et national, en vue d’un changement de comportement dans ce domaine. </w:t>
      </w:r>
    </w:p>
    <w:p w:rsidR="00000000" w:rsidRDefault="00000000">
      <w:pPr>
        <w:pStyle w:val="SingleTxtG"/>
        <w:rPr>
          <w:lang w:val="fr-FR"/>
        </w:rPr>
      </w:pPr>
      <w:r>
        <w:rPr>
          <w:lang w:val="fr-FR"/>
        </w:rPr>
        <w:t>794.</w:t>
      </w:r>
      <w:r>
        <w:rPr>
          <w:lang w:val="fr-FR"/>
        </w:rPr>
        <w:tab/>
        <w:t>Le dialogue devra associer les responsables de la société civile, les églises et les responsables étatiques à tous les niveaux. La stratégie adoptée est la mise en œuvre des observations finales du Comité des droits de l’homme à l’issue de l’examen du rapport périodique de Madagascar sur l’application du Pacte International relatif aux droit civil et politique examiné en février 2007 à New-York.</w:t>
      </w:r>
    </w:p>
    <w:p w:rsidR="00000000" w:rsidRDefault="00000000">
      <w:pPr>
        <w:pStyle w:val="H23G"/>
        <w:rPr>
          <w:lang w:val="fr-FR"/>
        </w:rPr>
      </w:pPr>
      <w:bookmarkStart w:id="1642" w:name="_Toc206414662"/>
      <w:bookmarkStart w:id="1643" w:name="_Toc206460503"/>
      <w:bookmarkStart w:id="1644" w:name="_Toc206460837"/>
      <w:bookmarkStart w:id="1645" w:name="_Toc206461559"/>
      <w:bookmarkStart w:id="1646" w:name="_Toc206476353"/>
      <w:bookmarkStart w:id="1647" w:name="_Toc207788888"/>
      <w:bookmarkStart w:id="1648" w:name="_Toc211835557"/>
      <w:bookmarkStart w:id="1649" w:name="_Toc211926864"/>
      <w:r>
        <w:rPr>
          <w:lang w:val="fr-FR"/>
        </w:rPr>
        <w:tab/>
        <w:t>9.</w:t>
      </w:r>
      <w:r>
        <w:rPr>
          <w:lang w:val="fr-FR"/>
        </w:rPr>
        <w:tab/>
        <w:t>Progrès réalisés</w:t>
      </w:r>
      <w:bookmarkEnd w:id="1642"/>
      <w:bookmarkEnd w:id="1643"/>
      <w:bookmarkEnd w:id="1644"/>
      <w:bookmarkEnd w:id="1645"/>
      <w:bookmarkEnd w:id="1646"/>
      <w:bookmarkEnd w:id="1647"/>
      <w:bookmarkEnd w:id="1648"/>
      <w:bookmarkEnd w:id="1649"/>
    </w:p>
    <w:p w:rsidR="00000000" w:rsidRDefault="00000000">
      <w:pPr>
        <w:pStyle w:val="SingleTxtG"/>
        <w:rPr>
          <w:lang w:val="fr-FR"/>
        </w:rPr>
      </w:pPr>
      <w:r>
        <w:rPr>
          <w:lang w:val="fr-FR"/>
        </w:rPr>
        <w:t>795.</w:t>
      </w:r>
      <w:r>
        <w:rPr>
          <w:lang w:val="fr-FR"/>
        </w:rPr>
        <w:tab/>
        <w:t>Le Ministère chargé de la population en partenariat avec l’UNICEF a produit un film contre l’exploitation sexuelle des enfants et a fait la diffusion à la Télévision nationale dans plusieurs grandes villes dont Toliara en 2006 en présence de 12 000 enfants.</w:t>
      </w:r>
    </w:p>
    <w:p w:rsidR="00000000" w:rsidRDefault="00000000">
      <w:pPr>
        <w:pStyle w:val="SingleTxtG"/>
        <w:rPr>
          <w:lang w:val="fr-FR"/>
        </w:rPr>
      </w:pPr>
      <w:r>
        <w:rPr>
          <w:lang w:val="fr-FR"/>
        </w:rPr>
        <w:t>796.</w:t>
      </w:r>
      <w:r>
        <w:rPr>
          <w:lang w:val="fr-FR"/>
        </w:rPr>
        <w:tab/>
        <w:t>Dans le cadre de la célébration du 8 mars 2006, une équipe interministérielle a organisé des manifestations à Ambalavao Fianarantsoa pour sensibiliser la population sur le danger de l’existence du «Tsenan’ampela» ou marché de jeunes filles pendant lequel des jeunes adolescentes se prostituent.</w:t>
      </w:r>
    </w:p>
    <w:p w:rsidR="00000000" w:rsidRDefault="00000000">
      <w:pPr>
        <w:pStyle w:val="SingleTxtG"/>
        <w:rPr>
          <w:lang w:val="fr-FR"/>
        </w:rPr>
      </w:pPr>
      <w:r>
        <w:rPr>
          <w:lang w:val="fr-FR"/>
        </w:rPr>
        <w:t>797.</w:t>
      </w:r>
      <w:r>
        <w:rPr>
          <w:lang w:val="fr-FR"/>
        </w:rPr>
        <w:tab/>
        <w:t>En outre, par l’intermédiaire des réseaux multisectoriels, le Ministère réalise des activités de sensibilisation et de mobilisation des communautés à travers l’organisation d’événements consacrés à la lutte contre la violence:</w:t>
      </w:r>
    </w:p>
    <w:p w:rsidR="00000000" w:rsidRDefault="00000000">
      <w:pPr>
        <w:pStyle w:val="Bullet1G"/>
        <w:rPr>
          <w:lang w:val="fr-FR"/>
        </w:rPr>
      </w:pPr>
      <w:r>
        <w:rPr>
          <w:lang w:val="fr-FR"/>
        </w:rPr>
        <w:t xml:space="preserve">Festival à Antananarivo et Toamasina et spectacles de marionnettes dans les quartiers; </w:t>
      </w:r>
    </w:p>
    <w:p w:rsidR="00000000" w:rsidRDefault="00000000">
      <w:pPr>
        <w:pStyle w:val="Bullet1G"/>
        <w:rPr>
          <w:lang w:val="fr-FR"/>
        </w:rPr>
      </w:pPr>
      <w:r>
        <w:rPr>
          <w:lang w:val="fr-FR"/>
        </w:rPr>
        <w:t xml:space="preserve">Production et diffusion d’affiches, cartes conseils, roman-photo; </w:t>
      </w:r>
    </w:p>
    <w:p w:rsidR="00000000" w:rsidRDefault="00000000">
      <w:pPr>
        <w:pStyle w:val="Bullet1G"/>
        <w:rPr>
          <w:lang w:val="fr-FR"/>
        </w:rPr>
      </w:pPr>
      <w:r>
        <w:rPr>
          <w:lang w:val="fr-FR"/>
        </w:rPr>
        <w:t>Théâtre radiophonique et de 100 000 dépliants sur les droits de l’enfant et particulièrement sur la lutte contre l’exploitation.</w:t>
      </w:r>
    </w:p>
    <w:p w:rsidR="00000000" w:rsidRDefault="00000000">
      <w:pPr>
        <w:pStyle w:val="SingleTxtG"/>
        <w:rPr>
          <w:lang w:val="fr-FR"/>
        </w:rPr>
      </w:pPr>
      <w:r>
        <w:rPr>
          <w:lang w:val="fr-FR"/>
        </w:rPr>
        <w:t>798.</w:t>
      </w:r>
      <w:r>
        <w:rPr>
          <w:lang w:val="fr-FR"/>
        </w:rPr>
        <w:tab/>
        <w:t>Le Ministère assure également la formation de réseaux multisectoriels sur la Convention relative aux droits de l’enfant, à raison de 30 animateurs communautaires par réseau.</w:t>
      </w:r>
    </w:p>
    <w:p w:rsidR="00000000" w:rsidRDefault="00000000">
      <w:pPr>
        <w:pStyle w:val="H23G"/>
        <w:rPr>
          <w:lang w:val="fr-FR"/>
        </w:rPr>
      </w:pPr>
      <w:bookmarkStart w:id="1650" w:name="_Toc206414663"/>
      <w:bookmarkStart w:id="1651" w:name="_Toc206460504"/>
      <w:bookmarkStart w:id="1652" w:name="_Toc206460838"/>
      <w:bookmarkStart w:id="1653" w:name="_Toc206461560"/>
      <w:bookmarkStart w:id="1654" w:name="_Toc206476354"/>
      <w:bookmarkStart w:id="1655" w:name="_Toc207788889"/>
      <w:bookmarkStart w:id="1656" w:name="_Toc211835558"/>
      <w:bookmarkStart w:id="1657" w:name="_Toc211926865"/>
      <w:r>
        <w:rPr>
          <w:lang w:val="fr-FR"/>
        </w:rPr>
        <w:tab/>
        <w:t>10.</w:t>
      </w:r>
      <w:r>
        <w:rPr>
          <w:lang w:val="fr-FR"/>
        </w:rPr>
        <w:tab/>
        <w:t>Difficultés rencontrées</w:t>
      </w:r>
      <w:bookmarkEnd w:id="1650"/>
      <w:bookmarkEnd w:id="1651"/>
      <w:bookmarkEnd w:id="1652"/>
      <w:bookmarkEnd w:id="1653"/>
      <w:bookmarkEnd w:id="1654"/>
      <w:bookmarkEnd w:id="1655"/>
      <w:bookmarkEnd w:id="1656"/>
      <w:bookmarkEnd w:id="1657"/>
    </w:p>
    <w:p w:rsidR="00000000" w:rsidRDefault="00000000">
      <w:pPr>
        <w:pStyle w:val="SingleTxtG"/>
        <w:rPr>
          <w:lang w:val="fr-FR"/>
        </w:rPr>
      </w:pPr>
      <w:r>
        <w:rPr>
          <w:lang w:val="fr-FR"/>
        </w:rPr>
        <w:t>799.</w:t>
      </w:r>
      <w:r>
        <w:rPr>
          <w:lang w:val="fr-FR"/>
        </w:rPr>
        <w:tab/>
        <w:t>Les principales difficultés rencontrées ont été:</w:t>
      </w:r>
    </w:p>
    <w:p w:rsidR="00000000" w:rsidRDefault="00000000">
      <w:pPr>
        <w:pStyle w:val="Bullet1G"/>
        <w:rPr>
          <w:lang w:val="fr-FR"/>
        </w:rPr>
      </w:pPr>
      <w:r>
        <w:rPr>
          <w:lang w:val="fr-FR"/>
        </w:rPr>
        <w:t>Insuffisance en quantité et en qualité des personnes ressources dans le domaine de la protection des droits de l’enfant;</w:t>
      </w:r>
    </w:p>
    <w:p w:rsidR="00000000" w:rsidRDefault="00000000">
      <w:pPr>
        <w:pStyle w:val="Bullet1G"/>
        <w:rPr>
          <w:lang w:val="fr-FR"/>
        </w:rPr>
      </w:pPr>
      <w:r>
        <w:rPr>
          <w:lang w:val="fr-FR"/>
        </w:rPr>
        <w:t>Faible couverture géographique des actions;</w:t>
      </w:r>
    </w:p>
    <w:p w:rsidR="00000000" w:rsidRDefault="00000000">
      <w:pPr>
        <w:pStyle w:val="Bullet1G"/>
        <w:rPr>
          <w:lang w:val="fr-FR"/>
        </w:rPr>
      </w:pPr>
      <w:r>
        <w:rPr>
          <w:lang w:val="fr-FR"/>
        </w:rPr>
        <w:t>Bas professionnalisme ou spécialisation des interventions des services de prise en charge, de réadaptation et de réinsertion des enfants victimes;</w:t>
      </w:r>
    </w:p>
    <w:p w:rsidR="00000000" w:rsidRDefault="00000000">
      <w:pPr>
        <w:pStyle w:val="Bullet1G"/>
        <w:rPr>
          <w:lang w:val="fr-FR"/>
        </w:rPr>
      </w:pPr>
      <w:r>
        <w:rPr>
          <w:lang w:val="fr-FR"/>
        </w:rPr>
        <w:t>Problèmes inhérents à la pérennisation des actions initiées dans le cadre des programmes ou projet de coopération;</w:t>
      </w:r>
    </w:p>
    <w:p w:rsidR="00000000" w:rsidRDefault="00000000">
      <w:pPr>
        <w:pStyle w:val="Bullet1G"/>
        <w:rPr>
          <w:lang w:val="fr-FR"/>
        </w:rPr>
      </w:pPr>
      <w:r>
        <w:rPr>
          <w:lang w:val="fr-FR"/>
        </w:rPr>
        <w:t>Manque d’un système de collecte et de traitement des données en matière des droits de l’enfant, y compris la violence sexuelle.</w:t>
      </w:r>
    </w:p>
    <w:p w:rsidR="00000000" w:rsidRDefault="00000000">
      <w:pPr>
        <w:pStyle w:val="H1G"/>
        <w:rPr>
          <w:lang w:val="fr-FR"/>
        </w:rPr>
      </w:pPr>
      <w:bookmarkStart w:id="1658" w:name="_Toc206414664"/>
      <w:bookmarkStart w:id="1659" w:name="_Toc206460505"/>
      <w:bookmarkStart w:id="1660" w:name="_Toc206460839"/>
      <w:bookmarkStart w:id="1661" w:name="_Toc206461561"/>
      <w:bookmarkStart w:id="1662" w:name="_Toc206476355"/>
      <w:bookmarkStart w:id="1663" w:name="_Toc207788890"/>
      <w:bookmarkStart w:id="1664" w:name="_Toc211835559"/>
      <w:bookmarkStart w:id="1665" w:name="_Toc211926866"/>
      <w:r>
        <w:rPr>
          <w:lang w:val="fr-FR"/>
        </w:rPr>
        <w:tab/>
      </w:r>
      <w:bookmarkStart w:id="1666" w:name="_Toc260298290"/>
      <w:r>
        <w:rPr>
          <w:lang w:val="fr-FR"/>
        </w:rPr>
        <w:t>F.</w:t>
      </w:r>
      <w:r>
        <w:rPr>
          <w:lang w:val="fr-FR"/>
        </w:rPr>
        <w:tab/>
        <w:t>Vente, traite et enlèvement d’enfant</w:t>
      </w:r>
      <w:bookmarkEnd w:id="1658"/>
      <w:bookmarkEnd w:id="1659"/>
      <w:bookmarkEnd w:id="1660"/>
      <w:bookmarkEnd w:id="1661"/>
      <w:bookmarkEnd w:id="1662"/>
      <w:bookmarkEnd w:id="1663"/>
      <w:bookmarkEnd w:id="1664"/>
      <w:bookmarkEnd w:id="1665"/>
      <w:bookmarkEnd w:id="1666"/>
    </w:p>
    <w:p w:rsidR="00000000" w:rsidRDefault="00000000">
      <w:pPr>
        <w:pStyle w:val="SingleTxtG"/>
        <w:rPr>
          <w:lang w:val="fr-FR"/>
        </w:rPr>
      </w:pPr>
      <w:r>
        <w:rPr>
          <w:lang w:val="fr-FR"/>
        </w:rPr>
        <w:t>800.</w:t>
      </w:r>
      <w:r>
        <w:rPr>
          <w:lang w:val="fr-FR"/>
        </w:rPr>
        <w:tab/>
        <w:t>Comme tous les pays du monde, Madagascar n’échappe pas aux pratiques illicites de traite des personnes, en particulier des enfants et des femmes. L’exploitation dont la finalité est lucrative, peut s’opérer tant au-delà des frontières de la grande île qu’à l’intérieur même du pays. Les milieux sources sont généralement le milieu rural.</w:t>
      </w:r>
    </w:p>
    <w:p w:rsidR="00000000" w:rsidRDefault="00000000">
      <w:pPr>
        <w:pStyle w:val="SingleTxtG"/>
        <w:rPr>
          <w:b/>
          <w:lang w:val="fr-FR"/>
        </w:rPr>
      </w:pPr>
      <w:r>
        <w:rPr>
          <w:lang w:val="fr-FR"/>
        </w:rPr>
        <w:t>801.</w:t>
      </w:r>
      <w:r>
        <w:rPr>
          <w:lang w:val="fr-FR"/>
        </w:rPr>
        <w:tab/>
        <w:t>Différents types de facteurs dont l’accroissement de la demande d’adoption internationale, la politique d’expansion du tourisme, la mondialisation, la faiblesse de l’économie malgache et la pauvreté exposent les enfants, les jeunes et les femmes, dont la majorité a un taux de pauvreté dépassant 75 %, au risque de vente, traite et enlèvement.</w:t>
      </w:r>
    </w:p>
    <w:p w:rsidR="00000000" w:rsidRDefault="00000000">
      <w:pPr>
        <w:pStyle w:val="H23G"/>
        <w:rPr>
          <w:lang w:val="fr-FR"/>
        </w:rPr>
      </w:pPr>
      <w:bookmarkStart w:id="1667" w:name="_Toc206414665"/>
      <w:bookmarkStart w:id="1668" w:name="_Toc206460506"/>
      <w:bookmarkStart w:id="1669" w:name="_Toc206460840"/>
      <w:bookmarkStart w:id="1670" w:name="_Toc206461562"/>
      <w:bookmarkStart w:id="1671" w:name="_Toc206476356"/>
      <w:bookmarkStart w:id="1672" w:name="_Toc207788891"/>
      <w:bookmarkStart w:id="1673" w:name="_Toc211835560"/>
      <w:bookmarkStart w:id="1674" w:name="_Toc211926867"/>
      <w:r>
        <w:rPr>
          <w:lang w:val="fr-FR"/>
        </w:rPr>
        <w:tab/>
        <w:t>1.</w:t>
      </w:r>
      <w:r>
        <w:rPr>
          <w:lang w:val="fr-FR"/>
        </w:rPr>
        <w:tab/>
        <w:t>Mesures d’ordre législatif</w:t>
      </w:r>
      <w:bookmarkEnd w:id="1667"/>
      <w:bookmarkEnd w:id="1668"/>
      <w:bookmarkEnd w:id="1669"/>
      <w:bookmarkEnd w:id="1670"/>
      <w:bookmarkEnd w:id="1671"/>
      <w:bookmarkEnd w:id="1672"/>
      <w:bookmarkEnd w:id="1673"/>
      <w:bookmarkEnd w:id="1674"/>
    </w:p>
    <w:p w:rsidR="00000000" w:rsidRDefault="00000000">
      <w:pPr>
        <w:pStyle w:val="SingleTxtG"/>
        <w:rPr>
          <w:lang w:val="fr-FR"/>
        </w:rPr>
      </w:pPr>
      <w:r>
        <w:rPr>
          <w:lang w:val="fr-FR"/>
        </w:rPr>
        <w:t>802.</w:t>
      </w:r>
      <w:r>
        <w:rPr>
          <w:lang w:val="fr-FR"/>
        </w:rPr>
        <w:tab/>
        <w:t>Madagascar est partie à la Convention des Nations Unies contre le crime organisé transnational et ses protocoles additionnels visant à prévenir, réprimer et punir la traite des personnes, en particulier des femmes et des enfants.</w:t>
      </w:r>
    </w:p>
    <w:p w:rsidR="00000000" w:rsidRDefault="00000000">
      <w:pPr>
        <w:pStyle w:val="SingleTxtG"/>
        <w:rPr>
          <w:lang w:val="fr-FR"/>
        </w:rPr>
      </w:pPr>
      <w:r>
        <w:rPr>
          <w:lang w:val="fr-FR"/>
        </w:rPr>
        <w:t>803.</w:t>
      </w:r>
      <w:r>
        <w:rPr>
          <w:lang w:val="fr-FR"/>
        </w:rPr>
        <w:tab/>
        <w:t>Dans le but de protéger les droits et le bienêtre de l’enfant ainsi que pour prévenir la traite, l’État malgache a ratifié aussi la Convention de La Haye sur l’adoption internationale (le 14 septembre 2004), et la Charte africaine des droits et du bienêtre de l’enfant (le 30 mars 2005).</w:t>
      </w:r>
    </w:p>
    <w:p w:rsidR="00000000" w:rsidRDefault="00000000">
      <w:pPr>
        <w:pStyle w:val="SingleTxtG"/>
        <w:rPr>
          <w:lang w:val="fr-FR"/>
        </w:rPr>
      </w:pPr>
      <w:r>
        <w:rPr>
          <w:lang w:val="fr-FR"/>
        </w:rPr>
        <w:t>804.</w:t>
      </w:r>
      <w:r>
        <w:rPr>
          <w:lang w:val="fr-FR"/>
        </w:rPr>
        <w:tab/>
        <w:t>Pour la mise en œuvre de ces Conventions, Madagascar a révisé sa législation:</w:t>
      </w:r>
    </w:p>
    <w:p w:rsidR="00000000" w:rsidRDefault="00000000">
      <w:pPr>
        <w:pStyle w:val="Bullet1G"/>
        <w:rPr>
          <w:lang w:val="fr-FR"/>
        </w:rPr>
      </w:pPr>
      <w:r>
        <w:rPr>
          <w:lang w:val="fr-FR"/>
        </w:rPr>
        <w:t>La Constitution de Madagascar en incorporant la CDE dans son droit positif accorde une importance particulière à la protection des droits de l’enfant;</w:t>
      </w:r>
    </w:p>
    <w:p w:rsidR="00000000" w:rsidRDefault="00000000">
      <w:pPr>
        <w:pStyle w:val="Bullet1G"/>
        <w:rPr>
          <w:lang w:val="fr-FR"/>
        </w:rPr>
      </w:pPr>
      <w:r>
        <w:rPr>
          <w:lang w:val="fr-FR"/>
        </w:rPr>
        <w:t>Certaines infractions stipulées dans le Protocole additionnel sont déjà incorporées dans la législation pénale malgache.</w:t>
      </w:r>
    </w:p>
    <w:p w:rsidR="00000000" w:rsidRDefault="00000000">
      <w:pPr>
        <w:pStyle w:val="SingleTxtG"/>
        <w:rPr>
          <w:lang w:val="fr-FR"/>
        </w:rPr>
      </w:pPr>
      <w:r>
        <w:rPr>
          <w:lang w:val="fr-FR"/>
        </w:rPr>
        <w:t>805.</w:t>
      </w:r>
      <w:r>
        <w:rPr>
          <w:lang w:val="fr-FR"/>
        </w:rPr>
        <w:tab/>
        <w:t xml:space="preserve">L’État a adopté la loi </w:t>
      </w:r>
      <w:r>
        <w:rPr>
          <w:rFonts w:eastAsia="MS Mincho"/>
          <w:lang w:val="fr-FR"/>
        </w:rPr>
        <w:t>n</w:t>
      </w:r>
      <w:r>
        <w:rPr>
          <w:rFonts w:eastAsia="MS Mincho"/>
          <w:vertAlign w:val="superscript"/>
          <w:lang w:val="fr-FR"/>
        </w:rPr>
        <w:t xml:space="preserve">o </w:t>
      </w:r>
      <w:r>
        <w:rPr>
          <w:lang w:val="fr-FR"/>
        </w:rPr>
        <w:t>2005-014 relative à l’adoption simple et l’adoption plénière tant nationale qu’internationale, ayant pour objet la mise en conformité de la législation malgache avec les instruments internationaux.</w:t>
      </w:r>
    </w:p>
    <w:p w:rsidR="00000000" w:rsidRDefault="00000000">
      <w:pPr>
        <w:pStyle w:val="SingleTxtG"/>
        <w:rPr>
          <w:lang w:val="fr-FR"/>
        </w:rPr>
      </w:pPr>
      <w:r>
        <w:rPr>
          <w:lang w:val="fr-FR"/>
        </w:rPr>
        <w:t>806.</w:t>
      </w:r>
      <w:r>
        <w:rPr>
          <w:lang w:val="fr-FR"/>
        </w:rPr>
        <w:tab/>
        <w:t xml:space="preserve">Loi </w:t>
      </w:r>
      <w:r>
        <w:rPr>
          <w:rFonts w:eastAsia="MS Mincho"/>
          <w:lang w:val="fr-FR"/>
        </w:rPr>
        <w:t>n</w:t>
      </w:r>
      <w:r>
        <w:rPr>
          <w:rFonts w:eastAsia="MS Mincho"/>
          <w:vertAlign w:val="superscript"/>
          <w:lang w:val="fr-FR"/>
        </w:rPr>
        <w:t>o</w:t>
      </w:r>
      <w:r>
        <w:rPr>
          <w:lang w:val="fr-FR"/>
        </w:rPr>
        <w:t xml:space="preserve"> 2007-038 du 17 décembre 2007 modifiant et complétant certaines dispositions du Code pénal sur la lutte contre la traite des personnes et le tourisme sexuel définit la traite des personnes dans son article 333 </w:t>
      </w:r>
      <w:r>
        <w:rPr>
          <w:i/>
          <w:lang w:val="fr-FR"/>
        </w:rPr>
        <w:t>ter</w:t>
      </w:r>
      <w:r>
        <w:rPr>
          <w:lang w:val="fr-FR"/>
        </w:rPr>
        <w:t>.2 que «</w:t>
      </w:r>
      <w:r>
        <w:rPr>
          <w:i/>
          <w:lang w:val="fr-FR"/>
        </w:rPr>
        <w:t>l’expression traite ou trafic des personnes désigne le recrutement, le transport, le transfert, l’hébergement ou l’accueil des personnes, par la menace de recours ou le recours à la force ou à d’autres formes de contrainte, par enlèvement, fraude, tromperie, abus d’autorité ou d’une situation de vulnérabilité, ou par l’offre ou l’acceptation de paiements ou d’avantages pour obtenir le consentement d’une personne ayant autorité sur une autre aux fins d’exploitation ou d’adoption plénière illégale d’un enfant par une personne dite trafiquant</w:t>
      </w:r>
      <w:r>
        <w:rPr>
          <w:lang w:val="fr-FR"/>
        </w:rPr>
        <w:t>.».</w:t>
      </w:r>
    </w:p>
    <w:p w:rsidR="00000000" w:rsidRDefault="00000000">
      <w:pPr>
        <w:pStyle w:val="H23G"/>
        <w:rPr>
          <w:i/>
          <w:lang w:val="fr-FR"/>
        </w:rPr>
      </w:pPr>
      <w:bookmarkStart w:id="1675" w:name="_Toc206414666"/>
      <w:bookmarkStart w:id="1676" w:name="_Toc206460507"/>
      <w:bookmarkStart w:id="1677" w:name="_Toc206460841"/>
      <w:bookmarkStart w:id="1678" w:name="_Toc206461563"/>
      <w:bookmarkStart w:id="1679" w:name="_Toc206476357"/>
      <w:bookmarkStart w:id="1680" w:name="_Toc207788892"/>
      <w:bookmarkStart w:id="1681" w:name="_Toc211835561"/>
      <w:bookmarkStart w:id="1682" w:name="_Toc211926868"/>
      <w:r>
        <w:rPr>
          <w:lang w:val="fr-FR"/>
        </w:rPr>
        <w:tab/>
        <w:t>2.</w:t>
      </w:r>
      <w:r>
        <w:rPr>
          <w:lang w:val="fr-FR"/>
        </w:rPr>
        <w:tab/>
        <w:t>Mesure d’ordre</w:t>
      </w:r>
      <w:r>
        <w:rPr>
          <w:i/>
          <w:lang w:val="fr-FR"/>
        </w:rPr>
        <w:t xml:space="preserve"> </w:t>
      </w:r>
      <w:r>
        <w:rPr>
          <w:lang w:val="fr-FR"/>
        </w:rPr>
        <w:t>réglementaire</w:t>
      </w:r>
      <w:bookmarkEnd w:id="1675"/>
      <w:bookmarkEnd w:id="1676"/>
      <w:bookmarkEnd w:id="1677"/>
      <w:bookmarkEnd w:id="1678"/>
      <w:bookmarkEnd w:id="1679"/>
      <w:bookmarkEnd w:id="1680"/>
      <w:bookmarkEnd w:id="1681"/>
      <w:bookmarkEnd w:id="1682"/>
    </w:p>
    <w:p w:rsidR="00000000" w:rsidRDefault="00000000">
      <w:pPr>
        <w:pStyle w:val="SingleTxtG"/>
        <w:rPr>
          <w:lang w:val="fr-FR"/>
        </w:rPr>
      </w:pPr>
      <w:r>
        <w:rPr>
          <w:lang w:val="fr-FR"/>
        </w:rPr>
        <w:t>807.</w:t>
      </w:r>
      <w:r>
        <w:rPr>
          <w:lang w:val="fr-FR"/>
        </w:rPr>
        <w:tab/>
        <w:t xml:space="preserve">En application de la loi </w:t>
      </w:r>
      <w:r>
        <w:rPr>
          <w:rFonts w:eastAsia="MS Mincho"/>
          <w:lang w:val="fr-FR"/>
        </w:rPr>
        <w:t>n</w:t>
      </w:r>
      <w:r>
        <w:rPr>
          <w:rFonts w:eastAsia="MS Mincho"/>
          <w:vertAlign w:val="superscript"/>
          <w:lang w:val="fr-FR"/>
        </w:rPr>
        <w:t>o</w:t>
      </w:r>
      <w:r>
        <w:rPr>
          <w:lang w:val="fr-FR"/>
        </w:rPr>
        <w:t xml:space="preserve"> 2005-014 du 7 septembre 2005, deux décrets ont été pris:</w:t>
      </w:r>
    </w:p>
    <w:p w:rsidR="00000000" w:rsidRDefault="00000000">
      <w:pPr>
        <w:pStyle w:val="Bullet1G"/>
        <w:rPr>
          <w:lang w:val="fr-FR"/>
        </w:rPr>
      </w:pPr>
      <w:r>
        <w:rPr>
          <w:lang w:val="fr-FR"/>
        </w:rPr>
        <w:t xml:space="preserve">décret </w:t>
      </w:r>
      <w:r>
        <w:rPr>
          <w:rFonts w:eastAsia="MS Mincho"/>
          <w:lang w:val="fr-FR"/>
        </w:rPr>
        <w:t>n</w:t>
      </w:r>
      <w:r>
        <w:rPr>
          <w:rFonts w:eastAsia="MS Mincho"/>
          <w:vertAlign w:val="superscript"/>
          <w:lang w:val="fr-FR"/>
        </w:rPr>
        <w:t>o</w:t>
      </w:r>
      <w:r>
        <w:rPr>
          <w:lang w:val="fr-FR"/>
        </w:rPr>
        <w:t xml:space="preserve"> 2006-596 du 10 août 2006 fixant les modalités d’application de la loi </w:t>
      </w:r>
      <w:r>
        <w:rPr>
          <w:rFonts w:eastAsia="MS Mincho"/>
          <w:lang w:val="fr-FR"/>
        </w:rPr>
        <w:t>n</w:t>
      </w:r>
      <w:r>
        <w:rPr>
          <w:rFonts w:eastAsia="MS Mincho"/>
          <w:vertAlign w:val="superscript"/>
          <w:lang w:val="fr-FR"/>
        </w:rPr>
        <w:t>o </w:t>
      </w:r>
      <w:r>
        <w:rPr>
          <w:lang w:val="fr-FR"/>
        </w:rPr>
        <w:t>2005-014 du 7 septembre 2005, qui a pour objet:</w:t>
      </w:r>
    </w:p>
    <w:p w:rsidR="00000000" w:rsidRDefault="00000000">
      <w:pPr>
        <w:pStyle w:val="Bullet1G"/>
        <w:rPr>
          <w:lang w:val="fr-FR"/>
        </w:rPr>
      </w:pPr>
      <w:r>
        <w:rPr>
          <w:lang w:val="fr-FR"/>
        </w:rPr>
        <w:t>La mise en place de l'autorité centrale;</w:t>
      </w:r>
    </w:p>
    <w:p w:rsidR="00000000" w:rsidRDefault="00000000">
      <w:pPr>
        <w:pStyle w:val="Bullet1G"/>
        <w:rPr>
          <w:lang w:val="fr-FR"/>
        </w:rPr>
      </w:pPr>
      <w:r>
        <w:rPr>
          <w:lang w:val="fr-FR"/>
        </w:rPr>
        <w:t>La réglementation des centres d’accueil agréés à vocation sociale et pour adoption;</w:t>
      </w:r>
    </w:p>
    <w:p w:rsidR="00000000" w:rsidRDefault="00000000">
      <w:pPr>
        <w:pStyle w:val="Bullet1G"/>
        <w:rPr>
          <w:lang w:val="fr-FR"/>
        </w:rPr>
      </w:pPr>
      <w:r>
        <w:rPr>
          <w:lang w:val="fr-FR"/>
        </w:rPr>
        <w:t>Les pièces requises;</w:t>
      </w:r>
    </w:p>
    <w:p w:rsidR="00000000" w:rsidRDefault="00000000">
      <w:pPr>
        <w:pStyle w:val="Bullet1G"/>
        <w:rPr>
          <w:lang w:val="fr-FR"/>
        </w:rPr>
      </w:pPr>
      <w:r>
        <w:rPr>
          <w:lang w:val="fr-FR"/>
        </w:rPr>
        <w:t>Le montant de la contribution financière des parents adoptifs;</w:t>
      </w:r>
    </w:p>
    <w:p w:rsidR="00000000" w:rsidRDefault="00000000">
      <w:pPr>
        <w:pStyle w:val="Bullet1G"/>
        <w:rPr>
          <w:lang w:val="fr-FR"/>
        </w:rPr>
      </w:pPr>
      <w:r>
        <w:rPr>
          <w:lang w:val="fr-FR"/>
        </w:rPr>
        <w:t xml:space="preserve">décret </w:t>
      </w:r>
      <w:r>
        <w:rPr>
          <w:rFonts w:eastAsia="MS Mincho"/>
          <w:lang w:val="fr-FR"/>
        </w:rPr>
        <w:t>n</w:t>
      </w:r>
      <w:r>
        <w:rPr>
          <w:rFonts w:eastAsia="MS Mincho"/>
          <w:vertAlign w:val="superscript"/>
          <w:lang w:val="fr-FR"/>
        </w:rPr>
        <w:t>o</w:t>
      </w:r>
      <w:r>
        <w:rPr>
          <w:lang w:val="fr-FR"/>
        </w:rPr>
        <w:t xml:space="preserve"> 2006-885 du 5 décembre 2006 réglemente la famille d’accueil. L’objet de ce texte comporte:</w:t>
      </w:r>
    </w:p>
    <w:p w:rsidR="00000000" w:rsidRDefault="00000000">
      <w:pPr>
        <w:pStyle w:val="Bullet2G"/>
        <w:rPr>
          <w:lang w:val="fr-FR"/>
        </w:rPr>
      </w:pPr>
      <w:r>
        <w:rPr>
          <w:lang w:val="fr-FR"/>
        </w:rPr>
        <w:t>Le recours au placement de l’enfant;</w:t>
      </w:r>
    </w:p>
    <w:p w:rsidR="00000000" w:rsidRDefault="00000000">
      <w:pPr>
        <w:pStyle w:val="Bullet2G"/>
        <w:rPr>
          <w:lang w:val="fr-FR"/>
        </w:rPr>
      </w:pPr>
      <w:r>
        <w:rPr>
          <w:lang w:val="fr-FR"/>
        </w:rPr>
        <w:t>La compétence exclusive du juge des enfants pour prendre toute décision de placement;</w:t>
      </w:r>
    </w:p>
    <w:p w:rsidR="00000000" w:rsidRDefault="00000000">
      <w:pPr>
        <w:pStyle w:val="Bullet2G"/>
        <w:rPr>
          <w:lang w:val="fr-FR"/>
        </w:rPr>
      </w:pPr>
      <w:r>
        <w:rPr>
          <w:lang w:val="fr-FR"/>
        </w:rPr>
        <w:t>Les conditions et durée de placement de la famille d’accueil;</w:t>
      </w:r>
    </w:p>
    <w:p w:rsidR="00000000" w:rsidRDefault="00000000">
      <w:pPr>
        <w:pStyle w:val="Bullet2G"/>
        <w:rPr>
          <w:lang w:val="fr-FR"/>
        </w:rPr>
      </w:pPr>
      <w:r>
        <w:rPr>
          <w:lang w:val="fr-FR"/>
        </w:rPr>
        <w:t>Les caractéristiques et obligations de la famille d’accueil;</w:t>
      </w:r>
    </w:p>
    <w:p w:rsidR="00000000" w:rsidRDefault="00000000">
      <w:pPr>
        <w:pStyle w:val="Bullet2G"/>
        <w:rPr>
          <w:lang w:val="fr-FR"/>
        </w:rPr>
      </w:pPr>
      <w:r>
        <w:rPr>
          <w:lang w:val="fr-FR"/>
        </w:rPr>
        <w:t>Les droits et obligations de la famille d’origine;</w:t>
      </w:r>
    </w:p>
    <w:p w:rsidR="00000000" w:rsidRDefault="00000000">
      <w:pPr>
        <w:pStyle w:val="Bullet2G"/>
        <w:rPr>
          <w:lang w:val="fr-FR"/>
        </w:rPr>
      </w:pPr>
      <w:r>
        <w:rPr>
          <w:lang w:val="fr-FR"/>
        </w:rPr>
        <w:t>Le contrôle et le suivi de la famille d’accueil.</w:t>
      </w:r>
    </w:p>
    <w:p w:rsidR="00000000" w:rsidRDefault="00000000">
      <w:pPr>
        <w:pStyle w:val="H23G"/>
        <w:rPr>
          <w:i/>
          <w:lang w:val="fr-FR"/>
        </w:rPr>
      </w:pPr>
      <w:bookmarkStart w:id="1683" w:name="_Toc206414667"/>
      <w:bookmarkStart w:id="1684" w:name="_Toc206460508"/>
      <w:bookmarkStart w:id="1685" w:name="_Toc206460842"/>
      <w:bookmarkStart w:id="1686" w:name="_Toc206461564"/>
      <w:bookmarkStart w:id="1687" w:name="_Toc206476358"/>
      <w:bookmarkStart w:id="1688" w:name="_Toc207788893"/>
      <w:bookmarkStart w:id="1689" w:name="_Toc211835562"/>
      <w:bookmarkStart w:id="1690" w:name="_Toc211926869"/>
      <w:r>
        <w:rPr>
          <w:lang w:val="fr-FR"/>
        </w:rPr>
        <w:tab/>
        <w:t>3.</w:t>
      </w:r>
      <w:r>
        <w:rPr>
          <w:lang w:val="fr-FR"/>
        </w:rPr>
        <w:tab/>
        <w:t>Ordre</w:t>
      </w:r>
      <w:r>
        <w:rPr>
          <w:i/>
          <w:lang w:val="fr-FR"/>
        </w:rPr>
        <w:t xml:space="preserve"> </w:t>
      </w:r>
      <w:r>
        <w:rPr>
          <w:lang w:val="fr-FR"/>
        </w:rPr>
        <w:t>administratif</w:t>
      </w:r>
      <w:bookmarkEnd w:id="1683"/>
      <w:bookmarkEnd w:id="1684"/>
      <w:bookmarkEnd w:id="1685"/>
      <w:bookmarkEnd w:id="1686"/>
      <w:bookmarkEnd w:id="1687"/>
      <w:bookmarkEnd w:id="1688"/>
      <w:bookmarkEnd w:id="1689"/>
      <w:bookmarkEnd w:id="1690"/>
    </w:p>
    <w:p w:rsidR="00000000" w:rsidRDefault="00000000">
      <w:pPr>
        <w:pStyle w:val="SingleTxtG"/>
        <w:rPr>
          <w:lang w:val="fr-FR"/>
        </w:rPr>
      </w:pPr>
      <w:r>
        <w:rPr>
          <w:lang w:val="fr-FR"/>
        </w:rPr>
        <w:t>808.</w:t>
      </w:r>
      <w:r>
        <w:rPr>
          <w:lang w:val="fr-FR"/>
        </w:rPr>
        <w:tab/>
        <w:t xml:space="preserve">Afin d’assurer et de coordonner la lutte contre la vente, la traite et l’enlèvement d’enfants, par le biais d’une adoption internationale, ont été créés: </w:t>
      </w:r>
    </w:p>
    <w:p w:rsidR="00000000" w:rsidRDefault="00000000">
      <w:pPr>
        <w:pStyle w:val="Bullet1G"/>
        <w:rPr>
          <w:lang w:val="fr-FR"/>
        </w:rPr>
      </w:pPr>
      <w:r>
        <w:rPr>
          <w:lang w:val="fr-FR"/>
        </w:rPr>
        <w:t xml:space="preserve">L’autorité centrale; </w:t>
      </w:r>
    </w:p>
    <w:p w:rsidR="00000000" w:rsidRDefault="00000000">
      <w:pPr>
        <w:pStyle w:val="Bullet1G"/>
        <w:rPr>
          <w:lang w:val="fr-FR"/>
        </w:rPr>
      </w:pPr>
      <w:r>
        <w:rPr>
          <w:lang w:val="fr-FR"/>
        </w:rPr>
        <w:t>l’Office de l’éducation de masse et du civisme (OEMC) au sein du MENRS pour la vulgarisation des textes sur les droits humains dont les droits de l’enfant ainsi que la sensibilisation de la communauté éducative sur le respect de ces droits. Cette institution dispose de structures déconcentrées au niveau des régions et de chaque district.</w:t>
      </w:r>
    </w:p>
    <w:p w:rsidR="00000000" w:rsidRDefault="00000000">
      <w:pPr>
        <w:pStyle w:val="Bullet1G"/>
        <w:rPr>
          <w:lang w:val="fr-FR"/>
        </w:rPr>
      </w:pPr>
      <w:r>
        <w:rPr>
          <w:lang w:val="fr-FR"/>
        </w:rPr>
        <w:t xml:space="preserve">la Commission de réforme des droits de l’enfant, par décret </w:t>
      </w:r>
      <w:r>
        <w:rPr>
          <w:rFonts w:eastAsia="MS Mincho"/>
          <w:lang w:val="fr-FR"/>
        </w:rPr>
        <w:t>n</w:t>
      </w:r>
      <w:r>
        <w:rPr>
          <w:rFonts w:eastAsia="MS Mincho"/>
          <w:vertAlign w:val="superscript"/>
          <w:lang w:val="fr-FR"/>
        </w:rPr>
        <w:t>o</w:t>
      </w:r>
      <w:r>
        <w:rPr>
          <w:lang w:val="fr-FR"/>
        </w:rPr>
        <w:t xml:space="preserve"> 2005-025 du 18 janvier 2005, pour la concrétisation des recommandations du Comité pour la protection juridique des droits de l’enfant.</w:t>
      </w:r>
    </w:p>
    <w:p w:rsidR="00000000" w:rsidRDefault="00000000">
      <w:pPr>
        <w:pStyle w:val="SingleTxtG"/>
        <w:rPr>
          <w:lang w:val="fr-FR"/>
        </w:rPr>
      </w:pPr>
      <w:r>
        <w:rPr>
          <w:lang w:val="fr-FR"/>
        </w:rPr>
        <w:t>809.</w:t>
      </w:r>
      <w:r>
        <w:rPr>
          <w:lang w:val="fr-FR"/>
        </w:rPr>
        <w:tab/>
        <w:t>Le Service central de la police des mœurs et de la protection des mineurs, au sein du Secrétariat d’État chargé de la sécurité publique pour:</w:t>
      </w:r>
    </w:p>
    <w:p w:rsidR="00000000" w:rsidRDefault="00000000">
      <w:pPr>
        <w:pStyle w:val="Bullet1G"/>
        <w:rPr>
          <w:lang w:val="fr-FR"/>
        </w:rPr>
      </w:pPr>
      <w:r>
        <w:rPr>
          <w:lang w:val="fr-FR"/>
        </w:rPr>
        <w:t xml:space="preserve">Prévenir la vente d’enfants, la prostitution d’enfants et la pornographie mettant en scène des enfants; </w:t>
      </w:r>
    </w:p>
    <w:p w:rsidR="00000000" w:rsidRDefault="00000000">
      <w:pPr>
        <w:pStyle w:val="Bullet1G"/>
        <w:rPr>
          <w:lang w:val="fr-FR"/>
        </w:rPr>
      </w:pPr>
      <w:r>
        <w:rPr>
          <w:lang w:val="fr-FR"/>
        </w:rPr>
        <w:t>Lutter contre ces fléaux en engageant des poursuites contre l’auteur d’infractions en matière de pornographie, de vente et de prostitution d’enfants;</w:t>
      </w:r>
    </w:p>
    <w:p w:rsidR="00000000" w:rsidRDefault="00000000">
      <w:pPr>
        <w:pStyle w:val="Bullet1G"/>
        <w:rPr>
          <w:lang w:val="fr-FR"/>
        </w:rPr>
      </w:pPr>
      <w:r>
        <w:rPr>
          <w:lang w:val="fr-FR"/>
        </w:rPr>
        <w:t>Réaliser des activités de sensibilisation dans les établissements scolaires et pendant les réunions de Fokontany (collectivités de base).</w:t>
      </w:r>
    </w:p>
    <w:p w:rsidR="00000000" w:rsidRDefault="00000000">
      <w:pPr>
        <w:pStyle w:val="SingleTxtG"/>
        <w:rPr>
          <w:lang w:val="fr-FR"/>
        </w:rPr>
      </w:pPr>
      <w:r>
        <w:rPr>
          <w:lang w:val="fr-FR"/>
        </w:rPr>
        <w:t>810.</w:t>
      </w:r>
      <w:r>
        <w:rPr>
          <w:lang w:val="fr-FR"/>
        </w:rPr>
        <w:tab/>
        <w:t>Deux Guides respectivement intitulés «La protection de l’enfant» et «Combattre la traite des enfants» ont été élaborés à l’usage des parlementaires</w:t>
      </w:r>
    </w:p>
    <w:p w:rsidR="00000000" w:rsidRDefault="00000000">
      <w:pPr>
        <w:pStyle w:val="H23G"/>
        <w:rPr>
          <w:lang w:val="fr-FR"/>
        </w:rPr>
      </w:pPr>
      <w:bookmarkStart w:id="1691" w:name="_Toc206414668"/>
      <w:bookmarkStart w:id="1692" w:name="_Toc206460509"/>
      <w:bookmarkStart w:id="1693" w:name="_Toc206460843"/>
      <w:bookmarkStart w:id="1694" w:name="_Toc206461565"/>
      <w:bookmarkStart w:id="1695" w:name="_Toc206476359"/>
      <w:bookmarkStart w:id="1696" w:name="_Toc207788894"/>
      <w:bookmarkStart w:id="1697" w:name="_Toc211835563"/>
      <w:bookmarkStart w:id="1698" w:name="_Toc211926870"/>
      <w:r>
        <w:rPr>
          <w:lang w:val="fr-FR"/>
        </w:rPr>
        <w:tab/>
        <w:t>4.</w:t>
      </w:r>
      <w:r>
        <w:rPr>
          <w:lang w:val="fr-FR"/>
        </w:rPr>
        <w:tab/>
        <w:t>Allocation des ressources appropriées</w:t>
      </w:r>
      <w:bookmarkEnd w:id="1691"/>
      <w:bookmarkEnd w:id="1692"/>
      <w:bookmarkEnd w:id="1693"/>
      <w:bookmarkEnd w:id="1694"/>
      <w:bookmarkEnd w:id="1695"/>
      <w:bookmarkEnd w:id="1696"/>
      <w:bookmarkEnd w:id="1697"/>
      <w:bookmarkEnd w:id="1698"/>
    </w:p>
    <w:p w:rsidR="00000000" w:rsidRDefault="00000000">
      <w:pPr>
        <w:pStyle w:val="SingleTxtG"/>
        <w:rPr>
          <w:lang w:val="fr-FR"/>
        </w:rPr>
      </w:pPr>
      <w:r>
        <w:rPr>
          <w:lang w:val="fr-FR"/>
        </w:rPr>
        <w:t>811.</w:t>
      </w:r>
      <w:r>
        <w:rPr>
          <w:lang w:val="fr-FR"/>
        </w:rPr>
        <w:tab/>
        <w:t>Stratégie ou PAN:</w:t>
      </w:r>
    </w:p>
    <w:p w:rsidR="00000000" w:rsidRDefault="00000000">
      <w:pPr>
        <w:pStyle w:val="Bullet1G"/>
        <w:rPr>
          <w:lang w:val="fr-FR"/>
        </w:rPr>
      </w:pPr>
      <w:r>
        <w:rPr>
          <w:lang w:val="fr-FR"/>
        </w:rPr>
        <w:t>Le PNALTE et le PANVE font de la lutte contre la traite de personnes une de leurs priorités;</w:t>
      </w:r>
    </w:p>
    <w:p w:rsidR="00000000" w:rsidRDefault="00000000">
      <w:pPr>
        <w:pStyle w:val="Bullet1G"/>
        <w:rPr>
          <w:lang w:val="fr-FR"/>
        </w:rPr>
      </w:pPr>
      <w:r>
        <w:rPr>
          <w:lang w:val="fr-FR"/>
        </w:rPr>
        <w:t>L’enquête nationale sur le travail des enfants (SIMPOC) a intégré le volet «traite des enfants».</w:t>
      </w:r>
    </w:p>
    <w:p w:rsidR="00000000" w:rsidRDefault="00000000">
      <w:pPr>
        <w:pStyle w:val="H23G"/>
        <w:rPr>
          <w:lang w:val="fr-FR"/>
        </w:rPr>
      </w:pPr>
      <w:bookmarkStart w:id="1699" w:name="_Toc206414669"/>
      <w:bookmarkStart w:id="1700" w:name="_Toc206460510"/>
      <w:bookmarkStart w:id="1701" w:name="_Toc206460844"/>
      <w:bookmarkStart w:id="1702" w:name="_Toc206461566"/>
      <w:bookmarkStart w:id="1703" w:name="_Toc206476360"/>
      <w:bookmarkStart w:id="1704" w:name="_Toc207788895"/>
      <w:bookmarkStart w:id="1705" w:name="_Toc211835564"/>
      <w:bookmarkStart w:id="1706" w:name="_Toc211926871"/>
      <w:r>
        <w:rPr>
          <w:lang w:val="fr-FR"/>
        </w:rPr>
        <w:tab/>
        <w:t>5.</w:t>
      </w:r>
      <w:r>
        <w:rPr>
          <w:lang w:val="fr-FR"/>
        </w:rPr>
        <w:tab/>
        <w:t>Mécanisme de coordination et de surveillance</w:t>
      </w:r>
      <w:bookmarkEnd w:id="1699"/>
      <w:bookmarkEnd w:id="1700"/>
      <w:bookmarkEnd w:id="1701"/>
      <w:bookmarkEnd w:id="1702"/>
      <w:bookmarkEnd w:id="1703"/>
      <w:bookmarkEnd w:id="1704"/>
      <w:bookmarkEnd w:id="1705"/>
      <w:bookmarkEnd w:id="1706"/>
    </w:p>
    <w:p w:rsidR="00000000" w:rsidRDefault="00000000">
      <w:pPr>
        <w:pStyle w:val="SingleTxtG"/>
        <w:rPr>
          <w:lang w:val="fr-FR"/>
        </w:rPr>
      </w:pPr>
      <w:r>
        <w:rPr>
          <w:lang w:val="fr-FR"/>
        </w:rPr>
        <w:t>812.</w:t>
      </w:r>
      <w:r>
        <w:rPr>
          <w:lang w:val="fr-FR"/>
        </w:rPr>
        <w:tab/>
        <w:t>En plus du CNLTE et de l’Unité nationale de coordination prévue par le PANVE, il y a aussi une structure au niveau de la présidence qui coordonne tous les programmes et les activités contre l’esclavage humain et le trafic de personnes (EHTP).</w:t>
      </w:r>
    </w:p>
    <w:p w:rsidR="00000000" w:rsidRDefault="00000000">
      <w:pPr>
        <w:pStyle w:val="H23G"/>
        <w:rPr>
          <w:lang w:val="fr-FR"/>
        </w:rPr>
      </w:pPr>
      <w:bookmarkStart w:id="1707" w:name="_Toc206414670"/>
      <w:bookmarkStart w:id="1708" w:name="_Toc206460511"/>
      <w:bookmarkStart w:id="1709" w:name="_Toc206460845"/>
      <w:bookmarkStart w:id="1710" w:name="_Toc206461567"/>
      <w:bookmarkStart w:id="1711" w:name="_Toc206476361"/>
      <w:bookmarkStart w:id="1712" w:name="_Toc207788896"/>
      <w:bookmarkStart w:id="1713" w:name="_Toc211835565"/>
      <w:bookmarkStart w:id="1714" w:name="_Toc211926872"/>
      <w:r>
        <w:rPr>
          <w:lang w:val="fr-FR"/>
        </w:rPr>
        <w:tab/>
        <w:t>6.</w:t>
      </w:r>
      <w:r>
        <w:rPr>
          <w:lang w:val="fr-FR"/>
        </w:rPr>
        <w:tab/>
        <w:t>Indicateurs arrêtés et appliqués</w:t>
      </w:r>
      <w:bookmarkEnd w:id="1707"/>
      <w:bookmarkEnd w:id="1708"/>
      <w:bookmarkEnd w:id="1709"/>
      <w:bookmarkEnd w:id="1710"/>
      <w:bookmarkEnd w:id="1711"/>
      <w:bookmarkEnd w:id="1712"/>
      <w:bookmarkEnd w:id="1713"/>
      <w:bookmarkEnd w:id="1714"/>
    </w:p>
    <w:p w:rsidR="00000000" w:rsidRDefault="00000000">
      <w:pPr>
        <w:pStyle w:val="SingleTxtG"/>
        <w:rPr>
          <w:lang w:val="fr-FR"/>
        </w:rPr>
      </w:pPr>
      <w:r>
        <w:rPr>
          <w:lang w:val="fr-FR"/>
        </w:rPr>
        <w:t>813.</w:t>
      </w:r>
      <w:r>
        <w:rPr>
          <w:lang w:val="fr-FR"/>
        </w:rPr>
        <w:tab/>
        <w:t>À Madagascar, la traite de personnes est un phénomène existant dans toutes les réalités du pays, qu’elle soit à des fins d’exploitations économiques, en majorité de cas de travail domestique, ou qu’elle soit à des fins sexuelles. Mais elle reste encore discrète à cause de la peur des victimes.</w:t>
      </w:r>
    </w:p>
    <w:p w:rsidR="00000000" w:rsidRDefault="00000000">
      <w:pPr>
        <w:pStyle w:val="SingleTxtG"/>
        <w:rPr>
          <w:lang w:val="fr-FR"/>
        </w:rPr>
      </w:pPr>
      <w:r>
        <w:rPr>
          <w:lang w:val="fr-FR"/>
        </w:rPr>
        <w:t>814.</w:t>
      </w:r>
      <w:r>
        <w:rPr>
          <w:lang w:val="fr-FR"/>
        </w:rPr>
        <w:tab/>
        <w:t>En ce qui concerne la traite d’enfants en bas âge à des fins d’adoption internationale:</w:t>
      </w:r>
    </w:p>
    <w:p w:rsidR="00000000" w:rsidRDefault="00000000">
      <w:pPr>
        <w:pStyle w:val="Bullet1G"/>
        <w:rPr>
          <w:lang w:val="fr-FR"/>
        </w:rPr>
      </w:pPr>
      <w:r>
        <w:rPr>
          <w:lang w:val="fr-FR"/>
        </w:rPr>
        <w:t>En 2004, le Service central de la police des mœurs et de la protection des mineurs a reçu 17 plaintes et signalements, dont 11 ont pu être traités. Cinq réseaux de trafiquants d’enfants ont pu être démantelés. Vingt personnes impliquées dans ce trafic avaient été traduites en justice, dont deux médecins, trois sages femmes, deux assistants sociaux, et cinq responsables de centres d’accueil. Dix-huit personnes sur 20 avaient été placées sous mandat de dépôt;</w:t>
      </w:r>
    </w:p>
    <w:p w:rsidR="00000000" w:rsidRDefault="00000000">
      <w:pPr>
        <w:pStyle w:val="Bullet1G"/>
        <w:rPr>
          <w:lang w:val="fr-FR"/>
        </w:rPr>
      </w:pPr>
      <w:r>
        <w:rPr>
          <w:lang w:val="fr-FR"/>
        </w:rPr>
        <w:t>En 2005, 13 affaires sur 18 avaient été traitées permettant de démanteler deux réseaux de trafiquants. Quatorze personnes sur les 22 interpellées avaient été placées sous mandat de dépôt;</w:t>
      </w:r>
    </w:p>
    <w:p w:rsidR="00000000" w:rsidRDefault="00000000">
      <w:pPr>
        <w:pStyle w:val="Bullet1G"/>
        <w:rPr>
          <w:lang w:val="fr-FR"/>
        </w:rPr>
      </w:pPr>
      <w:r>
        <w:rPr>
          <w:lang w:val="fr-FR"/>
        </w:rPr>
        <w:t>En 2006, deux affaires avaient été reçues, deux personnes sont impliquées dont l’une est placée sous mandat de dépôt.</w:t>
      </w:r>
    </w:p>
    <w:p w:rsidR="00000000" w:rsidRDefault="00000000">
      <w:pPr>
        <w:pStyle w:val="SingleTxtG"/>
        <w:rPr>
          <w:lang w:val="fr-FR"/>
        </w:rPr>
      </w:pPr>
      <w:r>
        <w:rPr>
          <w:lang w:val="fr-FR"/>
        </w:rPr>
        <w:t>815.</w:t>
      </w:r>
      <w:r>
        <w:rPr>
          <w:lang w:val="fr-FR"/>
        </w:rPr>
        <w:tab/>
        <w:t>Pendant ces trois années, sur 43 enfants enlevés, 28 ont pu être confiés aux parents légitimes. 15 autres enfants ont fait l’objet d’une adoption internationale.</w:t>
      </w:r>
    </w:p>
    <w:p w:rsidR="00000000" w:rsidRDefault="00000000">
      <w:pPr>
        <w:pStyle w:val="SingleTxtG"/>
        <w:rPr>
          <w:lang w:val="fr-FR"/>
        </w:rPr>
      </w:pPr>
      <w:r>
        <w:rPr>
          <w:lang w:val="fr-FR"/>
        </w:rPr>
        <w:t>816.</w:t>
      </w:r>
      <w:r>
        <w:rPr>
          <w:lang w:val="fr-FR"/>
        </w:rPr>
        <w:tab/>
        <w:t>Le rapport de l’Ambassade des États-Unis à Madagascar mentionne qu’il y a de réseaux d’exploitation sexuelle des enfants entre les milieux ruraux et les régions côtières.</w:t>
      </w:r>
    </w:p>
    <w:p w:rsidR="00000000" w:rsidRDefault="00000000">
      <w:pPr>
        <w:pStyle w:val="SingleTxtG"/>
        <w:rPr>
          <w:lang w:val="fr-FR"/>
        </w:rPr>
      </w:pPr>
      <w:r>
        <w:rPr>
          <w:lang w:val="fr-FR"/>
        </w:rPr>
        <w:t>817.</w:t>
      </w:r>
      <w:r>
        <w:rPr>
          <w:lang w:val="fr-FR"/>
        </w:rPr>
        <w:tab/>
        <w:t>En 2005, le parquet auprès du Tribunal de première instance de Mahajanga a traité six cas d’enlèvement des mineurs.</w:t>
      </w:r>
    </w:p>
    <w:p w:rsidR="00000000" w:rsidRDefault="00000000">
      <w:pPr>
        <w:pStyle w:val="H23G"/>
        <w:rPr>
          <w:i/>
          <w:lang w:val="fr-FR"/>
        </w:rPr>
      </w:pPr>
      <w:bookmarkStart w:id="1715" w:name="_Toc206414671"/>
      <w:bookmarkStart w:id="1716" w:name="_Toc206460512"/>
      <w:bookmarkStart w:id="1717" w:name="_Toc206460846"/>
      <w:bookmarkStart w:id="1718" w:name="_Toc206461568"/>
      <w:bookmarkStart w:id="1719" w:name="_Toc206476362"/>
      <w:bookmarkStart w:id="1720" w:name="_Toc207788897"/>
      <w:bookmarkStart w:id="1721" w:name="_Toc211835566"/>
      <w:bookmarkStart w:id="1722" w:name="_Toc211926873"/>
      <w:r>
        <w:rPr>
          <w:lang w:val="fr-FR"/>
        </w:rPr>
        <w:tab/>
        <w:t>7.</w:t>
      </w:r>
      <w:r>
        <w:rPr>
          <w:lang w:val="fr-FR"/>
        </w:rPr>
        <w:tab/>
        <w:t>Activités de formation dont les autorités ont</w:t>
      </w:r>
      <w:r>
        <w:rPr>
          <w:i/>
          <w:lang w:val="fr-FR"/>
        </w:rPr>
        <w:t xml:space="preserve"> </w:t>
      </w:r>
      <w:r>
        <w:rPr>
          <w:lang w:val="fr-FR"/>
        </w:rPr>
        <w:t>bénéficié</w:t>
      </w:r>
      <w:r>
        <w:rPr>
          <w:i/>
          <w:lang w:val="fr-FR"/>
        </w:rPr>
        <w:t>:</w:t>
      </w:r>
      <w:bookmarkEnd w:id="1715"/>
      <w:bookmarkEnd w:id="1716"/>
      <w:bookmarkEnd w:id="1717"/>
      <w:bookmarkEnd w:id="1718"/>
      <w:bookmarkEnd w:id="1719"/>
      <w:bookmarkEnd w:id="1720"/>
      <w:bookmarkEnd w:id="1721"/>
      <w:bookmarkEnd w:id="1722"/>
    </w:p>
    <w:p w:rsidR="00000000" w:rsidRDefault="00000000">
      <w:pPr>
        <w:pStyle w:val="SingleTxtG"/>
        <w:rPr>
          <w:lang w:val="fr-FR"/>
        </w:rPr>
      </w:pPr>
      <w:r>
        <w:rPr>
          <w:lang w:val="fr-FR"/>
        </w:rPr>
        <w:t>818.</w:t>
      </w:r>
      <w:r>
        <w:rPr>
          <w:lang w:val="fr-FR"/>
        </w:rPr>
        <w:tab/>
        <w:t>En 2007, dans le cadre de la lutte contre la traite des êtres humains, le gouvernement malgache a envoyé, avec l’appui financier de BIT/IPEC et UNICEF, un inspecteur du travail et des lois sociales pour suivre la formation dispensée par le Centre international de formation de l’OIT à Turin sur la traite des êtres humains, dimensions relatives au travail, ciblage sur les enfants.</w:t>
      </w:r>
    </w:p>
    <w:p w:rsidR="00000000" w:rsidRDefault="00000000">
      <w:pPr>
        <w:pStyle w:val="SingleTxtG"/>
        <w:rPr>
          <w:lang w:val="fr-FR"/>
        </w:rPr>
      </w:pPr>
      <w:r>
        <w:rPr>
          <w:lang w:val="fr-FR"/>
        </w:rPr>
        <w:t>819.</w:t>
      </w:r>
      <w:r>
        <w:rPr>
          <w:lang w:val="fr-FR"/>
        </w:rPr>
        <w:tab/>
        <w:t>En 2007, le Ministère des sports, des cultures et des loisirs, dans le cadre du PIP, a formé des présidents de conseils communaux des jeunes (CCJ) et des délégués régionaux sur le thème de l’«EHTP chez les Jeunes».</w:t>
      </w:r>
    </w:p>
    <w:p w:rsidR="00000000" w:rsidRDefault="00000000">
      <w:pPr>
        <w:pStyle w:val="H23G"/>
        <w:rPr>
          <w:lang w:val="fr-FR"/>
        </w:rPr>
      </w:pPr>
      <w:bookmarkStart w:id="1723" w:name="_Toc206414672"/>
      <w:bookmarkStart w:id="1724" w:name="_Toc206460513"/>
      <w:bookmarkStart w:id="1725" w:name="_Toc206460847"/>
      <w:bookmarkStart w:id="1726" w:name="_Toc206461569"/>
      <w:bookmarkStart w:id="1727" w:name="_Toc206476363"/>
      <w:bookmarkStart w:id="1728" w:name="_Toc207788898"/>
      <w:bookmarkStart w:id="1729" w:name="_Toc211835567"/>
      <w:bookmarkStart w:id="1730" w:name="_Toc211926874"/>
      <w:r>
        <w:rPr>
          <w:rStyle w:val="H23GCar"/>
        </w:rPr>
        <w:tab/>
        <w:t>8</w:t>
      </w:r>
      <w:r>
        <w:rPr>
          <w:lang w:val="fr-FR"/>
        </w:rPr>
        <w:t>.</w:t>
      </w:r>
      <w:r>
        <w:rPr>
          <w:lang w:val="fr-FR"/>
        </w:rPr>
        <w:tab/>
        <w:t>Structures et programmes</w:t>
      </w:r>
      <w:bookmarkEnd w:id="1723"/>
      <w:bookmarkEnd w:id="1724"/>
      <w:bookmarkEnd w:id="1725"/>
      <w:bookmarkEnd w:id="1726"/>
      <w:bookmarkEnd w:id="1727"/>
      <w:bookmarkEnd w:id="1728"/>
      <w:bookmarkEnd w:id="1729"/>
      <w:bookmarkEnd w:id="1730"/>
    </w:p>
    <w:p w:rsidR="00000000" w:rsidRDefault="00000000">
      <w:pPr>
        <w:pStyle w:val="SingleTxtG"/>
        <w:rPr>
          <w:lang w:val="fr-FR"/>
        </w:rPr>
      </w:pPr>
      <w:r>
        <w:rPr>
          <w:lang w:val="fr-FR"/>
        </w:rPr>
        <w:t>820.</w:t>
      </w:r>
      <w:r>
        <w:rPr>
          <w:lang w:val="fr-FR"/>
        </w:rPr>
        <w:tab/>
        <w:t>Il existe au sein du Ministère de l’intérieur un service chargé de l’émigration. Le Gouvernement met en œuvre un programme destiné à prévenir ce fléau: Programme de lutte contre l’esclavage humain et le trafic de personnes (EHTP), qui est un programme multisectoriel dont l’objectif général est d’atteindre les normes optimales relatives à la lutte contre l’esclavage humain et le trafic de personnes et les objectifs spécifiques l’élimination du travail des enfants surtout sous ses pires formes ainsi que la prévention et la lutte contre la vente d’enfant</w:t>
      </w:r>
    </w:p>
    <w:p w:rsidR="00000000" w:rsidRDefault="00000000">
      <w:pPr>
        <w:pStyle w:val="H23G"/>
        <w:rPr>
          <w:lang w:val="fr-FR"/>
        </w:rPr>
      </w:pPr>
      <w:bookmarkStart w:id="1731" w:name="_Toc206414673"/>
      <w:bookmarkStart w:id="1732" w:name="_Toc206460514"/>
      <w:bookmarkStart w:id="1733" w:name="_Toc206460848"/>
      <w:bookmarkStart w:id="1734" w:name="_Toc206461570"/>
      <w:bookmarkStart w:id="1735" w:name="_Toc206476364"/>
      <w:bookmarkStart w:id="1736" w:name="_Toc207788899"/>
      <w:bookmarkStart w:id="1737" w:name="_Toc211835568"/>
      <w:bookmarkStart w:id="1738" w:name="_Toc211926875"/>
      <w:r>
        <w:rPr>
          <w:lang w:val="fr-FR"/>
        </w:rPr>
        <w:tab/>
        <w:t>9.</w:t>
      </w:r>
      <w:r>
        <w:rPr>
          <w:lang w:val="fr-FR"/>
        </w:rPr>
        <w:tab/>
        <w:t>Mesures adoptées</w:t>
      </w:r>
      <w:bookmarkEnd w:id="1731"/>
      <w:bookmarkEnd w:id="1732"/>
      <w:bookmarkEnd w:id="1733"/>
      <w:bookmarkEnd w:id="1734"/>
      <w:bookmarkEnd w:id="1735"/>
      <w:bookmarkEnd w:id="1736"/>
      <w:bookmarkEnd w:id="1737"/>
      <w:bookmarkEnd w:id="1738"/>
    </w:p>
    <w:p w:rsidR="00000000" w:rsidRDefault="00000000">
      <w:pPr>
        <w:pStyle w:val="SingleTxtG"/>
        <w:rPr>
          <w:lang w:val="fr-FR"/>
        </w:rPr>
      </w:pPr>
      <w:r>
        <w:rPr>
          <w:lang w:val="fr-FR"/>
        </w:rPr>
        <w:t>821.</w:t>
      </w:r>
      <w:r>
        <w:rPr>
          <w:lang w:val="fr-FR"/>
        </w:rPr>
        <w:tab/>
        <w:t>Des campagnes d’IEC financées par USAID, mises en œuvre par CRS en partenariat avec les ONG Mitia et Aina à Toliara, Toamasina et NosyBe informent et sensibilisent le public sur les dangers de l’émigration et de la traite de personnes ainsi que sur les sanctions applicables contre les infractions relatives à la traite de personnes, la pédophilie et le tourisme sexuel. C’est ainsi que des spots de sensibilisation sont diffusés sur les ondes des radios et télévisions tant nationales que locales. Un comité multisectoriel est chargé du suivi de ces campagnes pour préserver la population en général et les femmes et les enfants en particulier des dangers de la traite de personnes, des activités de diffusion de textes, de sensibilisation, de mobilisation sociale et de formation sont entreprises par le gouvernement en partenariat avec la société civile et les organismes internationaux.</w:t>
      </w:r>
    </w:p>
    <w:p w:rsidR="00000000" w:rsidRDefault="00000000">
      <w:pPr>
        <w:pStyle w:val="SingleTxtG"/>
        <w:rPr>
          <w:b/>
          <w:lang w:val="fr-FR"/>
        </w:rPr>
      </w:pPr>
      <w:r>
        <w:rPr>
          <w:lang w:val="fr-FR"/>
        </w:rPr>
        <w:t>822.</w:t>
      </w:r>
      <w:r>
        <w:rPr>
          <w:lang w:val="fr-FR"/>
        </w:rPr>
        <w:tab/>
        <w:t>Les régions de DIANA et Anosy sont considérées comme étant des zones à haut risque pour le développement de l’exploitation sexuelle des enfants. Conscient de ce risque, le programme Gouvernance pour la protection de l’enfant appuie le renforcement des réseaux de protection en particulier dans les districts d’Antsiranana, d’Ambanja, de Nosy Be et de Taolagnaro. La composante de prévention et lutte contre la traite est basée sur la formation des acteurs, le renforcement des mécanismes de coordination et la sensibilisation des enfants et leurs parents, de la communauté et des responsables étatiques.</w:t>
      </w:r>
    </w:p>
    <w:p w:rsidR="00000000" w:rsidRDefault="00000000">
      <w:pPr>
        <w:pStyle w:val="H1G"/>
        <w:rPr>
          <w:lang w:val="fr-FR"/>
        </w:rPr>
      </w:pPr>
      <w:bookmarkStart w:id="1739" w:name="_Toc206414674"/>
      <w:bookmarkStart w:id="1740" w:name="_Toc206460515"/>
      <w:bookmarkStart w:id="1741" w:name="_Toc206460849"/>
      <w:bookmarkStart w:id="1742" w:name="_Toc206461571"/>
      <w:bookmarkStart w:id="1743" w:name="_Toc206476365"/>
      <w:bookmarkStart w:id="1744" w:name="_Toc207788900"/>
      <w:bookmarkStart w:id="1745" w:name="_Toc211835569"/>
      <w:bookmarkStart w:id="1746" w:name="_Toc211926876"/>
      <w:r>
        <w:rPr>
          <w:lang w:val="fr-FR"/>
        </w:rPr>
        <w:tab/>
      </w:r>
      <w:bookmarkStart w:id="1747" w:name="_Toc260298291"/>
      <w:r>
        <w:rPr>
          <w:lang w:val="fr-FR"/>
        </w:rPr>
        <w:t>G.</w:t>
      </w:r>
      <w:r>
        <w:rPr>
          <w:lang w:val="fr-FR"/>
        </w:rPr>
        <w:tab/>
        <w:t>Protection des enfants en cas de catastrophes naturelles</w:t>
      </w:r>
      <w:bookmarkEnd w:id="1739"/>
      <w:bookmarkEnd w:id="1740"/>
      <w:bookmarkEnd w:id="1741"/>
      <w:bookmarkEnd w:id="1742"/>
      <w:bookmarkEnd w:id="1743"/>
      <w:bookmarkEnd w:id="1744"/>
      <w:bookmarkEnd w:id="1745"/>
      <w:bookmarkEnd w:id="1746"/>
      <w:bookmarkEnd w:id="1747"/>
    </w:p>
    <w:p w:rsidR="00000000" w:rsidRDefault="00000000">
      <w:pPr>
        <w:pStyle w:val="SingleTxtG"/>
        <w:rPr>
          <w:lang w:val="fr-FR"/>
        </w:rPr>
      </w:pPr>
      <w:r>
        <w:rPr>
          <w:lang w:val="fr-FR"/>
        </w:rPr>
        <w:t>823.</w:t>
      </w:r>
      <w:r>
        <w:rPr>
          <w:lang w:val="fr-FR"/>
        </w:rPr>
        <w:tab/>
        <w:t>Madagascar est périodiquement victime de catastrophes naturelles telles que les cyclones, les inondations, la sécheresse. Les cyclones suivis d’inondations présentent la menace la plus fréquente entraînant la perte de vies humaines, la destruction d’habitats et de cultures ainsi que des infrastructures.</w:t>
      </w:r>
    </w:p>
    <w:p w:rsidR="00000000" w:rsidRDefault="00000000">
      <w:pPr>
        <w:pStyle w:val="SingleTxtG"/>
        <w:rPr>
          <w:lang w:val="fr-FR"/>
        </w:rPr>
      </w:pPr>
      <w:r>
        <w:rPr>
          <w:lang w:val="fr-FR"/>
        </w:rPr>
        <w:t>824.</w:t>
      </w:r>
      <w:r>
        <w:rPr>
          <w:lang w:val="fr-FR"/>
        </w:rPr>
        <w:tab/>
        <w:t>Chaque année, des centaines de milliers de personnes sont affectées. Ils sont déplacés pour être accueillis dans des sites d’hébergements provisoires: écoles, églises, tentes ou autres bâtiments publics. Le niveau de vulnérabilité des enfants déplacés est élevé à cause des difficultés d’approvisionnement en eau potable, en nourriture et en médicaments.</w:t>
      </w:r>
    </w:p>
    <w:p w:rsidR="00000000" w:rsidRDefault="00000000">
      <w:pPr>
        <w:pStyle w:val="SingleTxtG"/>
        <w:rPr>
          <w:lang w:val="fr-FR"/>
        </w:rPr>
      </w:pPr>
      <w:r>
        <w:rPr>
          <w:lang w:val="fr-FR"/>
        </w:rPr>
        <w:t>825.</w:t>
      </w:r>
      <w:r>
        <w:rPr>
          <w:lang w:val="fr-FR"/>
        </w:rPr>
        <w:tab/>
        <w:t>Cette vulnérabilité est accentuée pour les plus démunis et les déplacés des zones enclavées.</w:t>
      </w:r>
    </w:p>
    <w:p w:rsidR="00000000" w:rsidRDefault="00000000">
      <w:pPr>
        <w:pStyle w:val="SingleTxtG"/>
        <w:rPr>
          <w:lang w:val="fr-FR"/>
        </w:rPr>
      </w:pPr>
      <w:r>
        <w:rPr>
          <w:lang w:val="fr-FR"/>
        </w:rPr>
        <w:t>826.</w:t>
      </w:r>
      <w:r>
        <w:rPr>
          <w:lang w:val="fr-FR"/>
        </w:rPr>
        <w:tab/>
        <w:t>Pour y faire face le gouvernement à travers le BNGRC apporte des réponses d’urgence en partenariat avec l’UNICEF, FNUAP, OMS, PAM, PNUD, la Croix-Rouge Internationale et autres</w:t>
      </w:r>
    </w:p>
    <w:p w:rsidR="00000000" w:rsidRDefault="00000000">
      <w:pPr>
        <w:pStyle w:val="H23G"/>
        <w:rPr>
          <w:lang w:val="fr-FR"/>
        </w:rPr>
      </w:pPr>
      <w:bookmarkStart w:id="1748" w:name="_Toc206414675"/>
      <w:bookmarkStart w:id="1749" w:name="_Toc206460516"/>
      <w:bookmarkStart w:id="1750" w:name="_Toc206460850"/>
      <w:bookmarkStart w:id="1751" w:name="_Toc206461572"/>
      <w:bookmarkStart w:id="1752" w:name="_Toc206476366"/>
      <w:bookmarkStart w:id="1753" w:name="_Toc207788901"/>
      <w:bookmarkStart w:id="1754" w:name="_Toc211835570"/>
      <w:bookmarkStart w:id="1755" w:name="_Toc211926877"/>
      <w:r>
        <w:rPr>
          <w:lang w:val="fr-FR"/>
        </w:rPr>
        <w:tab/>
        <w:t>1.</w:t>
      </w:r>
      <w:r>
        <w:rPr>
          <w:lang w:val="fr-FR"/>
        </w:rPr>
        <w:tab/>
        <w:t>Principales urgences connues récemment</w:t>
      </w:r>
      <w:bookmarkEnd w:id="1748"/>
      <w:bookmarkEnd w:id="1749"/>
      <w:bookmarkEnd w:id="1750"/>
      <w:bookmarkEnd w:id="1751"/>
      <w:bookmarkEnd w:id="1752"/>
      <w:bookmarkEnd w:id="1753"/>
      <w:bookmarkEnd w:id="1754"/>
      <w:bookmarkEnd w:id="1755"/>
    </w:p>
    <w:p w:rsidR="00000000" w:rsidRDefault="00000000">
      <w:pPr>
        <w:pStyle w:val="SingleTxtG"/>
        <w:rPr>
          <w:lang w:val="fr-FR"/>
        </w:rPr>
      </w:pPr>
      <w:r>
        <w:rPr>
          <w:lang w:val="fr-FR"/>
        </w:rPr>
        <w:t>827.</w:t>
      </w:r>
      <w:r>
        <w:rPr>
          <w:lang w:val="fr-FR"/>
        </w:rPr>
        <w:tab/>
        <w:t>Au début de l’année 2004, les cyclones Elita et Gafilo ont fait 300 morts et plus de 1 000 blessés, ont affecté plusieurs centaines de milliers de personnes en laissant 360 000 sans abris. Infrastructures et plantations ont été largement affectées sur l’ensemble du pays.</w:t>
      </w:r>
    </w:p>
    <w:p w:rsidR="00000000" w:rsidRDefault="00000000">
      <w:pPr>
        <w:pStyle w:val="SingleTxtG"/>
        <w:rPr>
          <w:lang w:val="fr-FR"/>
        </w:rPr>
      </w:pPr>
      <w:r>
        <w:rPr>
          <w:lang w:val="fr-FR"/>
        </w:rPr>
        <w:t>828.</w:t>
      </w:r>
      <w:r>
        <w:rPr>
          <w:lang w:val="fr-FR"/>
        </w:rPr>
        <w:tab/>
        <w:t>La saison cyclonique 2006</w:t>
      </w:r>
      <w:r>
        <w:rPr>
          <w:lang w:val="fr-FR"/>
        </w:rPr>
        <w:noBreakHyphen/>
        <w:t>2007 a vu le passage de quatre cyclones dévastateurs. La partie nord-ouest et l’ensemble de la côte est ont été affectés avec plus de deux millions de victimes On a enregistré 180 décès et plusieurs blessés. Les infrastructures routières du nord du pays ont été détruites.</w:t>
      </w:r>
    </w:p>
    <w:p w:rsidR="00000000" w:rsidRDefault="00000000">
      <w:pPr>
        <w:pStyle w:val="SingleTxtG"/>
        <w:rPr>
          <w:lang w:val="fr-FR"/>
        </w:rPr>
      </w:pPr>
      <w:r>
        <w:rPr>
          <w:lang w:val="fr-FR"/>
        </w:rPr>
        <w:t>829.</w:t>
      </w:r>
      <w:r>
        <w:rPr>
          <w:lang w:val="fr-FR"/>
        </w:rPr>
        <w:tab/>
        <w:t>Les risques de propagation de maladies épidémiques persistent: choléra, peste, etc.</w:t>
      </w:r>
    </w:p>
    <w:p w:rsidR="00000000" w:rsidRDefault="00000000">
      <w:pPr>
        <w:pStyle w:val="H23G"/>
        <w:rPr>
          <w:lang w:val="fr-FR"/>
        </w:rPr>
      </w:pPr>
      <w:bookmarkStart w:id="1756" w:name="_Toc206414676"/>
      <w:bookmarkStart w:id="1757" w:name="_Toc206460517"/>
      <w:bookmarkStart w:id="1758" w:name="_Toc206460851"/>
      <w:bookmarkStart w:id="1759" w:name="_Toc206461573"/>
      <w:bookmarkStart w:id="1760" w:name="_Toc206476367"/>
      <w:bookmarkStart w:id="1761" w:name="_Toc207788902"/>
      <w:bookmarkStart w:id="1762" w:name="_Toc211835571"/>
      <w:bookmarkStart w:id="1763" w:name="_Toc211926878"/>
      <w:r>
        <w:rPr>
          <w:lang w:val="fr-FR"/>
        </w:rPr>
        <w:tab/>
        <w:t>2.</w:t>
      </w:r>
      <w:r>
        <w:rPr>
          <w:lang w:val="fr-FR"/>
        </w:rPr>
        <w:tab/>
        <w:t>La réponse</w:t>
      </w:r>
      <w:bookmarkEnd w:id="1756"/>
      <w:bookmarkEnd w:id="1757"/>
      <w:bookmarkEnd w:id="1758"/>
      <w:bookmarkEnd w:id="1759"/>
      <w:bookmarkEnd w:id="1760"/>
      <w:bookmarkEnd w:id="1761"/>
      <w:bookmarkEnd w:id="1762"/>
      <w:bookmarkEnd w:id="1763"/>
    </w:p>
    <w:p w:rsidR="00000000" w:rsidRDefault="00000000">
      <w:pPr>
        <w:pStyle w:val="SingleTxtG"/>
        <w:rPr>
          <w:lang w:val="fr-FR"/>
        </w:rPr>
      </w:pPr>
      <w:r>
        <w:rPr>
          <w:lang w:val="fr-FR"/>
        </w:rPr>
        <w:t>830.</w:t>
      </w:r>
      <w:r>
        <w:rPr>
          <w:lang w:val="fr-FR"/>
        </w:rPr>
        <w:tab/>
        <w:t>La Primature et le Ministère de l’intérieur sont les points d’ancrage décisionnel et sont en charge de la coordination des partenaires. Certains ministères ont développé leur propre capacité de réponse (Service d’urgence catastrophe du Ministère de la santé, Corps de protection civile, Direction des entretiens routiers, Forces de développement du Ministère de la défense, fonds de réponse aux catastrophes de certains ministères…).</w:t>
      </w:r>
    </w:p>
    <w:p w:rsidR="00000000" w:rsidRDefault="00000000">
      <w:pPr>
        <w:pStyle w:val="SingleTxtG"/>
        <w:rPr>
          <w:lang w:val="fr-FR"/>
        </w:rPr>
      </w:pPr>
      <w:r>
        <w:rPr>
          <w:lang w:val="fr-FR"/>
        </w:rPr>
        <w:t>831.</w:t>
      </w:r>
      <w:r>
        <w:rPr>
          <w:lang w:val="fr-FR"/>
        </w:rPr>
        <w:tab/>
        <w:t>Du fait du contexte géographique et économique la capacité de réponse du Gouvernement est parfois insuffisante mais la volonté politique de mobiliser plus de ressources et d’optimiser l’action humanitaire est réelle et s’exprime au travers du Bureau national de gestion des risques et catastrophes (BNGRC).</w:t>
      </w:r>
    </w:p>
    <w:p w:rsidR="00000000" w:rsidRDefault="00000000">
      <w:pPr>
        <w:pStyle w:val="H23G"/>
        <w:rPr>
          <w:lang w:val="fr-FR"/>
        </w:rPr>
      </w:pPr>
      <w:bookmarkStart w:id="1764" w:name="_Toc206414677"/>
      <w:bookmarkStart w:id="1765" w:name="_Toc206460518"/>
      <w:bookmarkStart w:id="1766" w:name="_Toc206460852"/>
      <w:bookmarkStart w:id="1767" w:name="_Toc206461574"/>
      <w:bookmarkStart w:id="1768" w:name="_Toc206476368"/>
      <w:bookmarkStart w:id="1769" w:name="_Toc207788903"/>
      <w:bookmarkStart w:id="1770" w:name="_Toc211835572"/>
      <w:bookmarkStart w:id="1771" w:name="_Toc211926879"/>
      <w:r>
        <w:rPr>
          <w:lang w:val="fr-FR"/>
        </w:rPr>
        <w:tab/>
        <w:t>3.</w:t>
      </w:r>
      <w:r>
        <w:rPr>
          <w:lang w:val="fr-FR"/>
        </w:rPr>
        <w:tab/>
        <w:t>Cadre institutionnel, historique et mécanismes de coordination existants</w:t>
      </w:r>
      <w:bookmarkEnd w:id="1764"/>
      <w:bookmarkEnd w:id="1765"/>
      <w:bookmarkEnd w:id="1766"/>
      <w:bookmarkEnd w:id="1767"/>
      <w:bookmarkEnd w:id="1768"/>
      <w:bookmarkEnd w:id="1769"/>
      <w:bookmarkEnd w:id="1770"/>
      <w:bookmarkEnd w:id="1771"/>
    </w:p>
    <w:p w:rsidR="00000000" w:rsidRDefault="00000000">
      <w:pPr>
        <w:pStyle w:val="SingleTxtG"/>
        <w:rPr>
          <w:lang w:val="fr-FR"/>
        </w:rPr>
      </w:pPr>
      <w:r>
        <w:rPr>
          <w:lang w:val="fr-FR"/>
        </w:rPr>
        <w:t>832.</w:t>
      </w:r>
      <w:r>
        <w:rPr>
          <w:lang w:val="fr-FR"/>
        </w:rPr>
        <w:tab/>
        <w:t xml:space="preserve">La loi </w:t>
      </w:r>
      <w:r>
        <w:rPr>
          <w:rFonts w:eastAsia="MS Mincho"/>
          <w:lang w:val="fr-FR"/>
        </w:rPr>
        <w:t>n</w:t>
      </w:r>
      <w:r>
        <w:rPr>
          <w:rFonts w:eastAsia="MS Mincho"/>
          <w:vertAlign w:val="superscript"/>
          <w:lang w:val="fr-FR"/>
        </w:rPr>
        <w:t>o</w:t>
      </w:r>
      <w:r>
        <w:rPr>
          <w:lang w:val="fr-FR"/>
        </w:rPr>
        <w:t xml:space="preserve"> 2003-010 promulguée en septembre 2003 et son annexe, déterminent la stratégie nationale de la gestion de risques et des catastrophes. Elle stipule dans son article 2 </w:t>
      </w:r>
      <w:r>
        <w:rPr>
          <w:iCs/>
          <w:lang w:val="fr-FR"/>
        </w:rPr>
        <w:t>«</w:t>
      </w:r>
      <w:r>
        <w:rPr>
          <w:i/>
          <w:iCs/>
          <w:lang w:val="fr-FR"/>
        </w:rPr>
        <w:t>la gestion des risques et des catastrophes s’inscrit dans le cadre global des activités relatives à la protection et à la sécurité civile</w:t>
      </w:r>
      <w:r>
        <w:rPr>
          <w:iCs/>
          <w:lang w:val="fr-FR"/>
        </w:rPr>
        <w:t>»</w:t>
      </w:r>
      <w:r>
        <w:rPr>
          <w:i/>
          <w:iCs/>
          <w:lang w:val="fr-FR"/>
        </w:rPr>
        <w:t>.</w:t>
      </w:r>
    </w:p>
    <w:p w:rsidR="00000000" w:rsidRDefault="00000000">
      <w:pPr>
        <w:pStyle w:val="SingleTxtG"/>
        <w:rPr>
          <w:lang w:val="fr-FR"/>
        </w:rPr>
      </w:pPr>
      <w:r>
        <w:rPr>
          <w:lang w:val="fr-FR"/>
        </w:rPr>
        <w:t>833.</w:t>
      </w:r>
      <w:r>
        <w:rPr>
          <w:lang w:val="fr-FR"/>
        </w:rPr>
        <w:tab/>
        <w:t>La Gestion des risques et catastrophes est placée sous la responsabilité du Premier Ministre et décentralisée jusqu’au niveau local (Fokontany).</w:t>
      </w:r>
    </w:p>
    <w:p w:rsidR="00000000" w:rsidRDefault="00000000">
      <w:pPr>
        <w:pStyle w:val="SingleTxtG"/>
        <w:rPr>
          <w:lang w:val="fr-FR"/>
        </w:rPr>
      </w:pPr>
      <w:r>
        <w:rPr>
          <w:lang w:val="fr-FR"/>
        </w:rPr>
        <w:t>834.</w:t>
      </w:r>
      <w:r>
        <w:rPr>
          <w:lang w:val="fr-FR"/>
        </w:rPr>
        <w:tab/>
        <w:t>La coordination de la GRC fait partie du mandat du BNGRC. Cette responsabilité inclut la préparation, la prévention, la planification stratégique ainsi que la réponse humanitaire et opérationnalisée au travers du CRIC et de ses Groupes Sectoriels.</w:t>
      </w:r>
    </w:p>
    <w:p w:rsidR="00000000" w:rsidRDefault="00000000">
      <w:pPr>
        <w:pStyle w:val="SingleTxtG"/>
        <w:rPr>
          <w:lang w:val="fr-FR"/>
        </w:rPr>
      </w:pPr>
      <w:r>
        <w:rPr>
          <w:lang w:val="fr-FR"/>
        </w:rPr>
        <w:t>835.</w:t>
      </w:r>
      <w:r>
        <w:rPr>
          <w:lang w:val="fr-FR"/>
        </w:rPr>
        <w:tab/>
        <w:t>Au niveau national, on trouve deux entités, la CPGU (Cellule de gestion et de prévention des urgences) qui a un rôle d’analyse et de suivi, et le Conseil national de gestion des risques et des catastrophes CNGRC) qui définit les stratégies et dont le BNGRC est le bras opérationnel.</w:t>
      </w:r>
    </w:p>
    <w:p w:rsidR="00000000" w:rsidRDefault="00000000">
      <w:pPr>
        <w:pStyle w:val="SingleTxtG"/>
        <w:rPr>
          <w:lang w:val="fr-FR"/>
        </w:rPr>
      </w:pPr>
      <w:r>
        <w:rPr>
          <w:lang w:val="fr-FR"/>
        </w:rPr>
        <w:t>836.</w:t>
      </w:r>
      <w:r>
        <w:rPr>
          <w:lang w:val="fr-FR"/>
        </w:rPr>
        <w:tab/>
        <w:t>La CPGU, crée au sein de la primature, est un organe technique chargé d’assister le Premier Ministre et le CNGRC dans la prise de décision, l’élaboration de stratégies et d’évaluation en matière de GRC.</w:t>
      </w:r>
    </w:p>
    <w:p w:rsidR="00000000" w:rsidRDefault="00000000">
      <w:pPr>
        <w:pStyle w:val="SingleTxtG"/>
        <w:rPr>
          <w:lang w:val="fr-FR"/>
        </w:rPr>
      </w:pPr>
      <w:r>
        <w:rPr>
          <w:lang w:val="fr-FR"/>
        </w:rPr>
        <w:t>837.</w:t>
      </w:r>
      <w:r>
        <w:rPr>
          <w:lang w:val="fr-FR"/>
        </w:rPr>
        <w:tab/>
        <w:t>Les actions entreprises en cas de catastrophes naturels prennent en compte la survie en général, celle des enfants en particulier, par:</w:t>
      </w:r>
    </w:p>
    <w:p w:rsidR="00000000" w:rsidRDefault="00000000">
      <w:pPr>
        <w:pStyle w:val="Bullet1G"/>
        <w:rPr>
          <w:lang w:val="fr-FR"/>
        </w:rPr>
      </w:pPr>
      <w:r>
        <w:rPr>
          <w:lang w:val="fr-FR"/>
        </w:rPr>
        <w:t>La fourniture de nourriture, abris, hygiène et soins;</w:t>
      </w:r>
    </w:p>
    <w:p w:rsidR="00000000" w:rsidRDefault="00000000">
      <w:pPr>
        <w:pStyle w:val="Bullet1G"/>
        <w:rPr>
          <w:lang w:val="fr-FR"/>
        </w:rPr>
      </w:pPr>
      <w:r>
        <w:rPr>
          <w:lang w:val="fr-FR"/>
        </w:rPr>
        <w:t>La normalisation de leur environnement: promotion du retour à l’école le plus rapidement possible;</w:t>
      </w:r>
    </w:p>
    <w:p w:rsidR="00000000" w:rsidRDefault="00000000">
      <w:pPr>
        <w:pStyle w:val="Bullet1G"/>
        <w:rPr>
          <w:lang w:val="fr-FR"/>
        </w:rPr>
      </w:pPr>
      <w:r>
        <w:rPr>
          <w:lang w:val="fr-FR"/>
        </w:rPr>
        <w:t>La protection et la diminution des facteurs de risque d’abus et de maltraitance.</w:t>
      </w:r>
    </w:p>
    <w:p w:rsidR="00000000" w:rsidRDefault="00000000">
      <w:pPr>
        <w:pStyle w:val="SingleTxtG"/>
        <w:rPr>
          <w:lang w:val="fr-FR"/>
        </w:rPr>
      </w:pPr>
      <w:r>
        <w:rPr>
          <w:lang w:val="fr-FR"/>
        </w:rPr>
        <w:t>838.</w:t>
      </w:r>
      <w:r>
        <w:rPr>
          <w:lang w:val="fr-FR"/>
        </w:rPr>
        <w:tab/>
        <w:t>Pour la saison cyclonique 2007-2008, 10 espaces récréatifs ont été créées à Mahabo dans la région de Menabe en faveur des enfants sinistrés. Ces espaces facilitent l’accompagnement psychologique des enfants ayant perdu un ou des membres de leurs familles. Elles ont été espaces ont été installées dans des structures d’accueil déjà existantes. Les bénéficiaires sont les enfants sinistrés non scolarisés. Il s’agit également d’éviter que ces enfants soient mobilisés dans des travaux de reconstruction auxquels les familles se livrent en post urgences</w:t>
      </w:r>
    </w:p>
    <w:p w:rsidR="00000000" w:rsidRDefault="00000000">
      <w:pPr>
        <w:pStyle w:val="HChG"/>
        <w:rPr>
          <w:lang w:val="fr-FR"/>
        </w:rPr>
      </w:pPr>
      <w:r>
        <w:rPr>
          <w:lang w:val="fr-FR"/>
        </w:rPr>
        <w:br w:type="page"/>
      </w:r>
      <w:r>
        <w:rPr>
          <w:lang w:val="fr-FR"/>
        </w:rPr>
        <w:tab/>
      </w:r>
      <w:bookmarkStart w:id="1772" w:name="_Toc260298292"/>
      <w:r>
        <w:rPr>
          <w:lang w:val="fr-FR"/>
        </w:rPr>
        <w:t>Annexe I</w:t>
      </w:r>
    </w:p>
    <w:p w:rsidR="00000000" w:rsidRDefault="00000000">
      <w:pPr>
        <w:pStyle w:val="HChG"/>
        <w:rPr>
          <w:lang w:val="fr-FR"/>
        </w:rPr>
      </w:pPr>
      <w:r>
        <w:rPr>
          <w:lang w:val="fr-FR"/>
        </w:rPr>
        <w:tab/>
      </w:r>
      <w:r>
        <w:rPr>
          <w:lang w:val="fr-FR"/>
        </w:rPr>
        <w:tab/>
        <w:t>Tableaux statistiques</w:t>
      </w:r>
      <w:bookmarkEnd w:id="1772"/>
    </w:p>
    <w:p w:rsidR="00000000" w:rsidRDefault="00000000">
      <w:pPr>
        <w:pStyle w:val="H1G"/>
        <w:rPr>
          <w:lang w:val="fr-FR"/>
        </w:rPr>
      </w:pPr>
      <w:r>
        <w:rPr>
          <w:lang w:val="fr-FR"/>
        </w:rPr>
        <w:tab/>
      </w:r>
      <w:r>
        <w:rPr>
          <w:lang w:val="fr-FR"/>
        </w:rPr>
        <w:tab/>
      </w:r>
      <w:bookmarkStart w:id="1773" w:name="_Toc260298293"/>
      <w:r>
        <w:rPr>
          <w:lang w:val="fr-FR"/>
        </w:rPr>
        <w:t>Situation démographique</w:t>
      </w:r>
      <w:bookmarkEnd w:id="1773"/>
    </w:p>
    <w:p w:rsidR="00000000" w:rsidRDefault="00000000">
      <w:pPr>
        <w:pStyle w:val="SingleTxtG"/>
        <w:jc w:val="left"/>
        <w:rPr>
          <w:lang w:val="fr-FR"/>
        </w:rPr>
      </w:pPr>
      <w:r>
        <w:rPr>
          <w:lang w:val="fr-FR"/>
        </w:rPr>
        <w:t>Tableau 36</w:t>
      </w:r>
      <w:r>
        <w:rPr>
          <w:lang w:val="fr-FR"/>
        </w:rPr>
        <w:br/>
      </w:r>
      <w:r>
        <w:rPr>
          <w:b/>
          <w:lang w:val="fr-FR"/>
        </w:rPr>
        <w:t>Distribution de la population selon la situation matrimoniale par genre du chef de ménage</w:t>
      </w:r>
    </w:p>
    <w:tbl>
      <w:tblPr>
        <w:tblStyle w:val="TableGrid"/>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119"/>
        <w:gridCol w:w="1418"/>
        <w:gridCol w:w="1418"/>
        <w:gridCol w:w="1418"/>
      </w:tblGrid>
      <w:tr w:rsidR="00000000">
        <w:tc>
          <w:tcPr>
            <w:tcW w:w="3119" w:type="dxa"/>
            <w:vMerge w:val="restart"/>
            <w:tcBorders>
              <w:top w:val="single" w:sz="4" w:space="0" w:color="auto"/>
            </w:tcBorders>
            <w:shd w:val="clear" w:color="auto" w:fill="auto"/>
            <w:vAlign w:val="center"/>
          </w:tcPr>
          <w:p w:rsidR="00000000" w:rsidRDefault="00000000">
            <w:pPr>
              <w:spacing w:before="80" w:after="80" w:line="200" w:lineRule="exact"/>
              <w:rPr>
                <w:i/>
                <w:sz w:val="16"/>
                <w:lang w:val="fr-FR"/>
              </w:rPr>
            </w:pPr>
            <w:r>
              <w:rPr>
                <w:i/>
                <w:sz w:val="16"/>
                <w:lang w:val="fr-FR"/>
              </w:rPr>
              <w:t>Situation matrimoniale</w:t>
            </w:r>
          </w:p>
        </w:tc>
        <w:tc>
          <w:tcPr>
            <w:tcW w:w="2836" w:type="dxa"/>
            <w:gridSpan w:val="2"/>
            <w:tcBorders>
              <w:top w:val="single" w:sz="4" w:space="0" w:color="auto"/>
            </w:tcBorders>
            <w:shd w:val="clear" w:color="auto" w:fill="auto"/>
            <w:vAlign w:val="bottom"/>
          </w:tcPr>
          <w:p w:rsidR="00000000" w:rsidRDefault="00000000">
            <w:pPr>
              <w:spacing w:before="80" w:after="80" w:line="200" w:lineRule="exact"/>
              <w:jc w:val="center"/>
              <w:rPr>
                <w:i/>
                <w:sz w:val="16"/>
                <w:lang w:val="fr-FR"/>
              </w:rPr>
            </w:pPr>
            <w:r>
              <w:rPr>
                <w:i/>
                <w:sz w:val="16"/>
                <w:lang w:val="fr-FR"/>
              </w:rPr>
              <w:t>Genre</w:t>
            </w:r>
          </w:p>
        </w:tc>
        <w:tc>
          <w:tcPr>
            <w:tcW w:w="1418" w:type="dxa"/>
            <w:vMerge w:val="restart"/>
            <w:tcBorders>
              <w:top w:val="single" w:sz="4" w:space="0" w:color="auto"/>
            </w:tcBorders>
            <w:shd w:val="clear" w:color="auto" w:fill="auto"/>
            <w:vAlign w:val="center"/>
          </w:tcPr>
          <w:p w:rsidR="00000000" w:rsidRDefault="00000000">
            <w:pPr>
              <w:spacing w:before="80" w:after="80" w:line="200" w:lineRule="exact"/>
              <w:jc w:val="right"/>
              <w:rPr>
                <w:i/>
                <w:sz w:val="16"/>
                <w:lang w:val="fr-FR"/>
              </w:rPr>
            </w:pPr>
            <w:r>
              <w:rPr>
                <w:i/>
                <w:sz w:val="16"/>
                <w:lang w:val="fr-FR"/>
              </w:rPr>
              <w:t>Ensemble</w:t>
            </w:r>
          </w:p>
        </w:tc>
      </w:tr>
      <w:tr w:rsidR="00000000">
        <w:tc>
          <w:tcPr>
            <w:tcW w:w="3119" w:type="dxa"/>
            <w:vMerge/>
            <w:tcBorders>
              <w:bottom w:val="single" w:sz="12" w:space="0" w:color="auto"/>
            </w:tcBorders>
            <w:shd w:val="clear" w:color="auto" w:fill="auto"/>
            <w:vAlign w:val="bottom"/>
          </w:tcPr>
          <w:p w:rsidR="00000000" w:rsidRDefault="00000000">
            <w:pPr>
              <w:spacing w:before="40" w:after="40" w:line="220" w:lineRule="exact"/>
              <w:rPr>
                <w:sz w:val="18"/>
                <w:lang w:val="fr-FR"/>
              </w:rPr>
            </w:pPr>
          </w:p>
        </w:tc>
        <w:tc>
          <w:tcPr>
            <w:tcW w:w="1418" w:type="dxa"/>
            <w:tcBorders>
              <w:bottom w:val="single" w:sz="12" w:space="0" w:color="auto"/>
            </w:tcBorders>
            <w:shd w:val="clear" w:color="auto" w:fill="auto"/>
            <w:vAlign w:val="bottom"/>
          </w:tcPr>
          <w:p w:rsidR="00000000" w:rsidRDefault="00000000">
            <w:pPr>
              <w:spacing w:before="40" w:after="40" w:line="220" w:lineRule="exact"/>
              <w:jc w:val="right"/>
              <w:rPr>
                <w:i/>
                <w:sz w:val="18"/>
                <w:lang w:val="fr-FR"/>
              </w:rPr>
            </w:pPr>
            <w:r>
              <w:rPr>
                <w:i/>
                <w:sz w:val="18"/>
                <w:lang w:val="fr-FR"/>
              </w:rPr>
              <w:t>Hommes</w:t>
            </w:r>
          </w:p>
        </w:tc>
        <w:tc>
          <w:tcPr>
            <w:tcW w:w="1418" w:type="dxa"/>
            <w:tcBorders>
              <w:bottom w:val="single" w:sz="12" w:space="0" w:color="auto"/>
            </w:tcBorders>
            <w:shd w:val="clear" w:color="auto" w:fill="auto"/>
            <w:vAlign w:val="bottom"/>
          </w:tcPr>
          <w:p w:rsidR="00000000" w:rsidRDefault="00000000">
            <w:pPr>
              <w:spacing w:before="40" w:after="40" w:line="220" w:lineRule="exact"/>
              <w:jc w:val="right"/>
              <w:rPr>
                <w:i/>
                <w:sz w:val="18"/>
                <w:lang w:val="fr-FR"/>
              </w:rPr>
            </w:pPr>
            <w:r>
              <w:rPr>
                <w:i/>
                <w:sz w:val="18"/>
                <w:lang w:val="fr-FR"/>
              </w:rPr>
              <w:t>Femmes</w:t>
            </w:r>
          </w:p>
        </w:tc>
        <w:tc>
          <w:tcPr>
            <w:tcW w:w="1418" w:type="dxa"/>
            <w:vMerge/>
            <w:tcBorders>
              <w:bottom w:val="single" w:sz="12" w:space="0" w:color="auto"/>
            </w:tcBorders>
            <w:shd w:val="clear" w:color="auto" w:fill="auto"/>
            <w:vAlign w:val="bottom"/>
          </w:tcPr>
          <w:p w:rsidR="00000000" w:rsidRDefault="00000000">
            <w:pPr>
              <w:spacing w:before="40" w:after="40" w:line="220" w:lineRule="exact"/>
              <w:jc w:val="right"/>
              <w:rPr>
                <w:sz w:val="18"/>
                <w:lang w:val="fr-FR"/>
              </w:rPr>
            </w:pPr>
          </w:p>
        </w:tc>
      </w:tr>
      <w:tr w:rsidR="00000000">
        <w:tc>
          <w:tcPr>
            <w:tcW w:w="3119" w:type="dxa"/>
            <w:tcBorders>
              <w:top w:val="single" w:sz="12" w:space="0" w:color="auto"/>
            </w:tcBorders>
            <w:shd w:val="clear" w:color="auto" w:fill="auto"/>
            <w:vAlign w:val="center"/>
          </w:tcPr>
          <w:p w:rsidR="00000000" w:rsidRDefault="00000000">
            <w:pPr>
              <w:spacing w:before="40" w:after="40" w:line="220" w:lineRule="exact"/>
              <w:rPr>
                <w:bCs/>
                <w:sz w:val="18"/>
                <w:szCs w:val="18"/>
              </w:rPr>
            </w:pPr>
            <w:r>
              <w:rPr>
                <w:bCs/>
                <w:sz w:val="18"/>
                <w:szCs w:val="18"/>
              </w:rPr>
              <w:t>Marié(e) légalement</w:t>
            </w:r>
          </w:p>
        </w:tc>
        <w:tc>
          <w:tcPr>
            <w:tcW w:w="1418" w:type="dxa"/>
            <w:tcBorders>
              <w:top w:val="single" w:sz="12" w:space="0" w:color="auto"/>
            </w:tcBorders>
            <w:shd w:val="clear" w:color="auto" w:fill="auto"/>
            <w:vAlign w:val="bottom"/>
          </w:tcPr>
          <w:p w:rsidR="00000000" w:rsidRDefault="00000000">
            <w:pPr>
              <w:spacing w:before="40" w:after="40" w:line="220" w:lineRule="exact"/>
              <w:jc w:val="right"/>
              <w:rPr>
                <w:bCs/>
                <w:sz w:val="18"/>
                <w:szCs w:val="18"/>
              </w:rPr>
            </w:pPr>
            <w:r>
              <w:rPr>
                <w:bCs/>
                <w:sz w:val="18"/>
                <w:szCs w:val="18"/>
              </w:rPr>
              <w:t>37,4</w:t>
            </w:r>
          </w:p>
        </w:tc>
        <w:tc>
          <w:tcPr>
            <w:tcW w:w="1418" w:type="dxa"/>
            <w:tcBorders>
              <w:top w:val="single" w:sz="12" w:space="0" w:color="auto"/>
            </w:tcBorders>
            <w:shd w:val="clear" w:color="auto" w:fill="auto"/>
            <w:vAlign w:val="bottom"/>
          </w:tcPr>
          <w:p w:rsidR="00000000" w:rsidRDefault="00000000">
            <w:pPr>
              <w:spacing w:before="40" w:after="40" w:line="220" w:lineRule="exact"/>
              <w:jc w:val="right"/>
              <w:rPr>
                <w:bCs/>
                <w:sz w:val="18"/>
                <w:szCs w:val="18"/>
              </w:rPr>
            </w:pPr>
            <w:r>
              <w:rPr>
                <w:bCs/>
                <w:sz w:val="18"/>
                <w:szCs w:val="18"/>
              </w:rPr>
              <w:t>2,6</w:t>
            </w:r>
          </w:p>
        </w:tc>
        <w:tc>
          <w:tcPr>
            <w:tcW w:w="1418" w:type="dxa"/>
            <w:tcBorders>
              <w:top w:val="single" w:sz="12" w:space="0" w:color="auto"/>
            </w:tcBorders>
            <w:shd w:val="clear" w:color="auto" w:fill="auto"/>
            <w:vAlign w:val="bottom"/>
          </w:tcPr>
          <w:p w:rsidR="00000000" w:rsidRDefault="00000000">
            <w:pPr>
              <w:spacing w:before="40" w:after="40" w:line="220" w:lineRule="exact"/>
              <w:jc w:val="right"/>
              <w:rPr>
                <w:bCs/>
                <w:sz w:val="18"/>
                <w:szCs w:val="18"/>
              </w:rPr>
            </w:pPr>
            <w:r>
              <w:rPr>
                <w:bCs/>
                <w:sz w:val="18"/>
                <w:szCs w:val="18"/>
              </w:rPr>
              <w:t>32,4</w:t>
            </w:r>
          </w:p>
        </w:tc>
      </w:tr>
      <w:tr w:rsidR="00000000">
        <w:tc>
          <w:tcPr>
            <w:tcW w:w="3119" w:type="dxa"/>
            <w:shd w:val="clear" w:color="auto" w:fill="auto"/>
            <w:vAlign w:val="center"/>
          </w:tcPr>
          <w:p w:rsidR="00000000" w:rsidRDefault="00000000">
            <w:pPr>
              <w:spacing w:before="40" w:after="40" w:line="220" w:lineRule="exact"/>
              <w:rPr>
                <w:bCs/>
                <w:sz w:val="18"/>
                <w:szCs w:val="18"/>
              </w:rPr>
            </w:pPr>
            <w:r>
              <w:rPr>
                <w:bCs/>
                <w:sz w:val="18"/>
                <w:szCs w:val="18"/>
              </w:rPr>
              <w:t>Marié(e) coutumièrement monogame</w:t>
            </w:r>
          </w:p>
        </w:tc>
        <w:tc>
          <w:tcPr>
            <w:tcW w:w="1418" w:type="dxa"/>
            <w:shd w:val="clear" w:color="auto" w:fill="auto"/>
            <w:vAlign w:val="bottom"/>
          </w:tcPr>
          <w:p w:rsidR="00000000" w:rsidRDefault="00000000">
            <w:pPr>
              <w:spacing w:before="40" w:after="40" w:line="220" w:lineRule="exact"/>
              <w:jc w:val="right"/>
              <w:rPr>
                <w:bCs/>
                <w:sz w:val="18"/>
                <w:szCs w:val="18"/>
              </w:rPr>
            </w:pPr>
            <w:r>
              <w:rPr>
                <w:bCs/>
                <w:sz w:val="18"/>
                <w:szCs w:val="18"/>
              </w:rPr>
              <w:t>49,7</w:t>
            </w:r>
          </w:p>
        </w:tc>
        <w:tc>
          <w:tcPr>
            <w:tcW w:w="1418" w:type="dxa"/>
            <w:shd w:val="clear" w:color="auto" w:fill="auto"/>
            <w:vAlign w:val="bottom"/>
          </w:tcPr>
          <w:p w:rsidR="00000000" w:rsidRDefault="00000000">
            <w:pPr>
              <w:spacing w:before="40" w:after="40" w:line="220" w:lineRule="exact"/>
              <w:jc w:val="right"/>
              <w:rPr>
                <w:bCs/>
                <w:sz w:val="18"/>
                <w:szCs w:val="18"/>
              </w:rPr>
            </w:pPr>
            <w:r>
              <w:rPr>
                <w:bCs/>
                <w:sz w:val="18"/>
                <w:szCs w:val="18"/>
              </w:rPr>
              <w:t>4,8</w:t>
            </w:r>
          </w:p>
        </w:tc>
        <w:tc>
          <w:tcPr>
            <w:tcW w:w="1418" w:type="dxa"/>
            <w:shd w:val="clear" w:color="auto" w:fill="auto"/>
            <w:vAlign w:val="bottom"/>
          </w:tcPr>
          <w:p w:rsidR="00000000" w:rsidRDefault="00000000">
            <w:pPr>
              <w:spacing w:before="40" w:after="40" w:line="220" w:lineRule="exact"/>
              <w:jc w:val="right"/>
              <w:rPr>
                <w:bCs/>
                <w:sz w:val="18"/>
                <w:szCs w:val="18"/>
              </w:rPr>
            </w:pPr>
            <w:r>
              <w:rPr>
                <w:bCs/>
                <w:sz w:val="18"/>
                <w:szCs w:val="18"/>
              </w:rPr>
              <w:t>43,3</w:t>
            </w:r>
          </w:p>
        </w:tc>
      </w:tr>
      <w:tr w:rsidR="00000000">
        <w:tc>
          <w:tcPr>
            <w:tcW w:w="3119" w:type="dxa"/>
            <w:shd w:val="clear" w:color="auto" w:fill="auto"/>
            <w:vAlign w:val="center"/>
          </w:tcPr>
          <w:p w:rsidR="00000000" w:rsidRDefault="00000000">
            <w:pPr>
              <w:spacing w:before="40" w:after="40" w:line="220" w:lineRule="exact"/>
              <w:rPr>
                <w:bCs/>
                <w:sz w:val="18"/>
                <w:szCs w:val="18"/>
              </w:rPr>
            </w:pPr>
            <w:r>
              <w:rPr>
                <w:bCs/>
                <w:sz w:val="18"/>
                <w:szCs w:val="18"/>
              </w:rPr>
              <w:t>Marié(e) coutumièrement polygame</w:t>
            </w:r>
          </w:p>
        </w:tc>
        <w:tc>
          <w:tcPr>
            <w:tcW w:w="1418" w:type="dxa"/>
            <w:shd w:val="clear" w:color="auto" w:fill="auto"/>
            <w:vAlign w:val="bottom"/>
          </w:tcPr>
          <w:p w:rsidR="00000000" w:rsidRDefault="00000000">
            <w:pPr>
              <w:spacing w:before="40" w:after="40" w:line="220" w:lineRule="exact"/>
              <w:jc w:val="right"/>
              <w:rPr>
                <w:bCs/>
                <w:sz w:val="18"/>
                <w:szCs w:val="18"/>
              </w:rPr>
            </w:pPr>
            <w:r>
              <w:rPr>
                <w:bCs/>
                <w:sz w:val="18"/>
                <w:szCs w:val="18"/>
              </w:rPr>
              <w:t>1,7</w:t>
            </w:r>
          </w:p>
        </w:tc>
        <w:tc>
          <w:tcPr>
            <w:tcW w:w="1418" w:type="dxa"/>
            <w:shd w:val="clear" w:color="auto" w:fill="auto"/>
            <w:vAlign w:val="bottom"/>
          </w:tcPr>
          <w:p w:rsidR="00000000" w:rsidRDefault="00000000">
            <w:pPr>
              <w:spacing w:before="40" w:after="40" w:line="220" w:lineRule="exact"/>
              <w:jc w:val="right"/>
              <w:rPr>
                <w:bCs/>
                <w:sz w:val="18"/>
                <w:szCs w:val="18"/>
              </w:rPr>
            </w:pPr>
            <w:r>
              <w:rPr>
                <w:bCs/>
                <w:sz w:val="18"/>
                <w:szCs w:val="18"/>
              </w:rPr>
              <w:t>0,1</w:t>
            </w:r>
          </w:p>
        </w:tc>
        <w:tc>
          <w:tcPr>
            <w:tcW w:w="1418" w:type="dxa"/>
            <w:shd w:val="clear" w:color="auto" w:fill="auto"/>
            <w:vAlign w:val="bottom"/>
          </w:tcPr>
          <w:p w:rsidR="00000000" w:rsidRDefault="00000000">
            <w:pPr>
              <w:spacing w:before="40" w:after="40" w:line="220" w:lineRule="exact"/>
              <w:jc w:val="right"/>
              <w:rPr>
                <w:bCs/>
                <w:sz w:val="18"/>
                <w:szCs w:val="18"/>
              </w:rPr>
            </w:pPr>
            <w:r>
              <w:rPr>
                <w:bCs/>
                <w:sz w:val="18"/>
                <w:szCs w:val="18"/>
              </w:rPr>
              <w:t>1,5</w:t>
            </w:r>
          </w:p>
        </w:tc>
      </w:tr>
      <w:tr w:rsidR="00000000">
        <w:tc>
          <w:tcPr>
            <w:tcW w:w="3119" w:type="dxa"/>
            <w:shd w:val="clear" w:color="auto" w:fill="auto"/>
            <w:vAlign w:val="center"/>
          </w:tcPr>
          <w:p w:rsidR="00000000" w:rsidRDefault="00000000">
            <w:pPr>
              <w:spacing w:before="40" w:after="40" w:line="220" w:lineRule="exact"/>
              <w:rPr>
                <w:bCs/>
                <w:sz w:val="18"/>
                <w:szCs w:val="18"/>
              </w:rPr>
            </w:pPr>
            <w:r>
              <w:rPr>
                <w:bCs/>
                <w:sz w:val="18"/>
                <w:szCs w:val="18"/>
              </w:rPr>
              <w:t>Union libre monogame</w:t>
            </w:r>
          </w:p>
        </w:tc>
        <w:tc>
          <w:tcPr>
            <w:tcW w:w="1418" w:type="dxa"/>
            <w:shd w:val="clear" w:color="auto" w:fill="auto"/>
            <w:vAlign w:val="bottom"/>
          </w:tcPr>
          <w:p w:rsidR="00000000" w:rsidRDefault="00000000">
            <w:pPr>
              <w:spacing w:before="40" w:after="40" w:line="220" w:lineRule="exact"/>
              <w:jc w:val="right"/>
              <w:rPr>
                <w:bCs/>
                <w:sz w:val="18"/>
                <w:szCs w:val="18"/>
              </w:rPr>
            </w:pPr>
            <w:r>
              <w:rPr>
                <w:bCs/>
                <w:sz w:val="18"/>
                <w:szCs w:val="18"/>
              </w:rPr>
              <w:t>6,3</w:t>
            </w:r>
          </w:p>
        </w:tc>
        <w:tc>
          <w:tcPr>
            <w:tcW w:w="1418" w:type="dxa"/>
            <w:shd w:val="clear" w:color="auto" w:fill="auto"/>
            <w:vAlign w:val="bottom"/>
          </w:tcPr>
          <w:p w:rsidR="00000000" w:rsidRDefault="00000000">
            <w:pPr>
              <w:spacing w:before="40" w:after="40" w:line="220" w:lineRule="exact"/>
              <w:jc w:val="right"/>
              <w:rPr>
                <w:bCs/>
                <w:sz w:val="18"/>
                <w:szCs w:val="18"/>
              </w:rPr>
            </w:pPr>
            <w:r>
              <w:rPr>
                <w:bCs/>
                <w:sz w:val="18"/>
                <w:szCs w:val="18"/>
              </w:rPr>
              <w:t>2,3</w:t>
            </w:r>
          </w:p>
        </w:tc>
        <w:tc>
          <w:tcPr>
            <w:tcW w:w="1418" w:type="dxa"/>
            <w:shd w:val="clear" w:color="auto" w:fill="auto"/>
            <w:vAlign w:val="bottom"/>
          </w:tcPr>
          <w:p w:rsidR="00000000" w:rsidRDefault="00000000">
            <w:pPr>
              <w:spacing w:before="40" w:after="40" w:line="220" w:lineRule="exact"/>
              <w:jc w:val="right"/>
              <w:rPr>
                <w:bCs/>
                <w:sz w:val="18"/>
                <w:szCs w:val="18"/>
              </w:rPr>
            </w:pPr>
            <w:r>
              <w:rPr>
                <w:bCs/>
                <w:sz w:val="18"/>
                <w:szCs w:val="18"/>
              </w:rPr>
              <w:t>5,8</w:t>
            </w:r>
          </w:p>
        </w:tc>
      </w:tr>
      <w:tr w:rsidR="00000000">
        <w:tc>
          <w:tcPr>
            <w:tcW w:w="3119" w:type="dxa"/>
            <w:shd w:val="clear" w:color="auto" w:fill="auto"/>
            <w:vAlign w:val="center"/>
          </w:tcPr>
          <w:p w:rsidR="00000000" w:rsidRDefault="00000000">
            <w:pPr>
              <w:spacing w:before="40" w:after="40" w:line="220" w:lineRule="exact"/>
              <w:rPr>
                <w:bCs/>
                <w:sz w:val="18"/>
                <w:szCs w:val="18"/>
              </w:rPr>
            </w:pPr>
            <w:r>
              <w:rPr>
                <w:bCs/>
                <w:sz w:val="18"/>
                <w:szCs w:val="18"/>
              </w:rPr>
              <w:t>Union libre polygame</w:t>
            </w:r>
          </w:p>
        </w:tc>
        <w:tc>
          <w:tcPr>
            <w:tcW w:w="1418" w:type="dxa"/>
            <w:shd w:val="clear" w:color="auto" w:fill="auto"/>
            <w:vAlign w:val="bottom"/>
          </w:tcPr>
          <w:p w:rsidR="00000000" w:rsidRDefault="00000000">
            <w:pPr>
              <w:spacing w:before="40" w:after="40" w:line="220" w:lineRule="exact"/>
              <w:jc w:val="right"/>
              <w:rPr>
                <w:bCs/>
                <w:sz w:val="18"/>
                <w:szCs w:val="18"/>
              </w:rPr>
            </w:pPr>
            <w:r>
              <w:rPr>
                <w:bCs/>
                <w:sz w:val="18"/>
                <w:szCs w:val="18"/>
              </w:rPr>
              <w:t>0,1</w:t>
            </w:r>
          </w:p>
        </w:tc>
        <w:tc>
          <w:tcPr>
            <w:tcW w:w="1418" w:type="dxa"/>
            <w:shd w:val="clear" w:color="auto" w:fill="auto"/>
            <w:vAlign w:val="bottom"/>
          </w:tcPr>
          <w:p w:rsidR="00000000" w:rsidRDefault="00000000">
            <w:pPr>
              <w:spacing w:before="40" w:after="40" w:line="220" w:lineRule="exact"/>
              <w:jc w:val="right"/>
              <w:rPr>
                <w:bCs/>
                <w:sz w:val="18"/>
                <w:szCs w:val="18"/>
              </w:rPr>
            </w:pPr>
            <w:r>
              <w:rPr>
                <w:bCs/>
                <w:sz w:val="18"/>
                <w:szCs w:val="18"/>
              </w:rPr>
              <w:t>NS</w:t>
            </w:r>
          </w:p>
        </w:tc>
        <w:tc>
          <w:tcPr>
            <w:tcW w:w="1418" w:type="dxa"/>
            <w:shd w:val="clear" w:color="auto" w:fill="auto"/>
            <w:vAlign w:val="bottom"/>
          </w:tcPr>
          <w:p w:rsidR="00000000" w:rsidRDefault="00000000">
            <w:pPr>
              <w:spacing w:before="40" w:after="40" w:line="220" w:lineRule="exact"/>
              <w:jc w:val="right"/>
              <w:rPr>
                <w:bCs/>
                <w:sz w:val="18"/>
                <w:szCs w:val="18"/>
              </w:rPr>
            </w:pPr>
            <w:r>
              <w:rPr>
                <w:bCs/>
                <w:sz w:val="18"/>
                <w:szCs w:val="18"/>
              </w:rPr>
              <w:t>0,1</w:t>
            </w:r>
          </w:p>
        </w:tc>
      </w:tr>
      <w:tr w:rsidR="00000000">
        <w:tc>
          <w:tcPr>
            <w:tcW w:w="3119" w:type="dxa"/>
            <w:shd w:val="clear" w:color="auto" w:fill="auto"/>
            <w:vAlign w:val="center"/>
          </w:tcPr>
          <w:p w:rsidR="00000000" w:rsidRDefault="00000000">
            <w:pPr>
              <w:spacing w:before="40" w:after="40" w:line="220" w:lineRule="exact"/>
              <w:rPr>
                <w:bCs/>
                <w:sz w:val="18"/>
                <w:szCs w:val="18"/>
              </w:rPr>
            </w:pPr>
            <w:r>
              <w:rPr>
                <w:bCs/>
                <w:sz w:val="18"/>
                <w:szCs w:val="18"/>
              </w:rPr>
              <w:t>Divorcé(e)</w:t>
            </w:r>
          </w:p>
        </w:tc>
        <w:tc>
          <w:tcPr>
            <w:tcW w:w="1418" w:type="dxa"/>
            <w:shd w:val="clear" w:color="auto" w:fill="auto"/>
            <w:vAlign w:val="bottom"/>
          </w:tcPr>
          <w:p w:rsidR="00000000" w:rsidRDefault="00000000">
            <w:pPr>
              <w:spacing w:before="40" w:after="40" w:line="220" w:lineRule="exact"/>
              <w:jc w:val="right"/>
              <w:rPr>
                <w:bCs/>
                <w:sz w:val="18"/>
                <w:szCs w:val="18"/>
              </w:rPr>
            </w:pPr>
            <w:r>
              <w:rPr>
                <w:bCs/>
                <w:sz w:val="18"/>
                <w:szCs w:val="18"/>
              </w:rPr>
              <w:t>0,1</w:t>
            </w:r>
          </w:p>
        </w:tc>
        <w:tc>
          <w:tcPr>
            <w:tcW w:w="1418" w:type="dxa"/>
            <w:shd w:val="clear" w:color="auto" w:fill="auto"/>
            <w:vAlign w:val="bottom"/>
          </w:tcPr>
          <w:p w:rsidR="00000000" w:rsidRDefault="00000000">
            <w:pPr>
              <w:spacing w:before="40" w:after="40" w:line="220" w:lineRule="exact"/>
              <w:jc w:val="right"/>
              <w:rPr>
                <w:bCs/>
                <w:sz w:val="18"/>
                <w:szCs w:val="18"/>
              </w:rPr>
            </w:pPr>
            <w:r>
              <w:rPr>
                <w:bCs/>
                <w:sz w:val="18"/>
                <w:szCs w:val="18"/>
              </w:rPr>
              <w:t>2,6</w:t>
            </w:r>
          </w:p>
        </w:tc>
        <w:tc>
          <w:tcPr>
            <w:tcW w:w="1418" w:type="dxa"/>
            <w:shd w:val="clear" w:color="auto" w:fill="auto"/>
            <w:vAlign w:val="bottom"/>
          </w:tcPr>
          <w:p w:rsidR="00000000" w:rsidRDefault="00000000">
            <w:pPr>
              <w:spacing w:before="40" w:after="40" w:line="220" w:lineRule="exact"/>
              <w:jc w:val="right"/>
              <w:rPr>
                <w:bCs/>
                <w:sz w:val="18"/>
                <w:szCs w:val="18"/>
              </w:rPr>
            </w:pPr>
            <w:r>
              <w:rPr>
                <w:bCs/>
                <w:sz w:val="18"/>
                <w:szCs w:val="18"/>
              </w:rPr>
              <w:t>6,7</w:t>
            </w:r>
          </w:p>
        </w:tc>
      </w:tr>
      <w:tr w:rsidR="00000000">
        <w:tc>
          <w:tcPr>
            <w:tcW w:w="3119" w:type="dxa"/>
            <w:shd w:val="clear" w:color="auto" w:fill="auto"/>
            <w:vAlign w:val="center"/>
          </w:tcPr>
          <w:p w:rsidR="00000000" w:rsidRDefault="00000000">
            <w:pPr>
              <w:spacing w:before="40" w:after="40" w:line="220" w:lineRule="exact"/>
              <w:rPr>
                <w:bCs/>
                <w:sz w:val="18"/>
                <w:szCs w:val="18"/>
              </w:rPr>
            </w:pPr>
            <w:r>
              <w:rPr>
                <w:bCs/>
                <w:sz w:val="18"/>
                <w:szCs w:val="18"/>
              </w:rPr>
              <w:t>Séparé(e)</w:t>
            </w:r>
          </w:p>
        </w:tc>
        <w:tc>
          <w:tcPr>
            <w:tcW w:w="1418" w:type="dxa"/>
            <w:shd w:val="clear" w:color="auto" w:fill="auto"/>
            <w:vAlign w:val="bottom"/>
          </w:tcPr>
          <w:p w:rsidR="00000000" w:rsidRDefault="00000000">
            <w:pPr>
              <w:spacing w:before="40" w:after="40" w:line="220" w:lineRule="exact"/>
              <w:jc w:val="right"/>
              <w:rPr>
                <w:bCs/>
                <w:sz w:val="18"/>
                <w:szCs w:val="18"/>
              </w:rPr>
            </w:pPr>
            <w:r>
              <w:rPr>
                <w:bCs/>
                <w:sz w:val="18"/>
                <w:szCs w:val="18"/>
              </w:rPr>
              <w:t>1,3</w:t>
            </w:r>
          </w:p>
        </w:tc>
        <w:tc>
          <w:tcPr>
            <w:tcW w:w="1418" w:type="dxa"/>
            <w:shd w:val="clear" w:color="auto" w:fill="auto"/>
            <w:vAlign w:val="bottom"/>
          </w:tcPr>
          <w:p w:rsidR="00000000" w:rsidRDefault="00000000">
            <w:pPr>
              <w:spacing w:before="40" w:after="40" w:line="220" w:lineRule="exact"/>
              <w:jc w:val="right"/>
              <w:rPr>
                <w:bCs/>
                <w:sz w:val="18"/>
                <w:szCs w:val="18"/>
              </w:rPr>
            </w:pPr>
            <w:r>
              <w:rPr>
                <w:bCs/>
                <w:sz w:val="18"/>
                <w:szCs w:val="18"/>
              </w:rPr>
              <w:t>38,6</w:t>
            </w:r>
          </w:p>
        </w:tc>
        <w:tc>
          <w:tcPr>
            <w:tcW w:w="1418" w:type="dxa"/>
            <w:shd w:val="clear" w:color="auto" w:fill="auto"/>
            <w:vAlign w:val="bottom"/>
          </w:tcPr>
          <w:p w:rsidR="00000000" w:rsidRDefault="00000000">
            <w:pPr>
              <w:spacing w:before="40" w:after="40" w:line="220" w:lineRule="exact"/>
              <w:jc w:val="right"/>
              <w:rPr>
                <w:bCs/>
                <w:sz w:val="18"/>
                <w:szCs w:val="18"/>
              </w:rPr>
            </w:pPr>
            <w:r>
              <w:rPr>
                <w:bCs/>
                <w:sz w:val="18"/>
                <w:szCs w:val="18"/>
              </w:rPr>
              <w:t>8,7</w:t>
            </w:r>
          </w:p>
        </w:tc>
      </w:tr>
      <w:tr w:rsidR="00000000">
        <w:tc>
          <w:tcPr>
            <w:tcW w:w="3119" w:type="dxa"/>
            <w:shd w:val="clear" w:color="auto" w:fill="auto"/>
            <w:vAlign w:val="center"/>
          </w:tcPr>
          <w:p w:rsidR="00000000" w:rsidRDefault="00000000">
            <w:pPr>
              <w:spacing w:before="40" w:after="40" w:line="220" w:lineRule="exact"/>
              <w:rPr>
                <w:bCs/>
                <w:sz w:val="18"/>
                <w:szCs w:val="18"/>
              </w:rPr>
            </w:pPr>
            <w:r>
              <w:rPr>
                <w:bCs/>
                <w:sz w:val="18"/>
                <w:szCs w:val="18"/>
              </w:rPr>
              <w:t>Veuf(ve)</w:t>
            </w:r>
          </w:p>
        </w:tc>
        <w:tc>
          <w:tcPr>
            <w:tcW w:w="1418" w:type="dxa"/>
            <w:shd w:val="clear" w:color="auto" w:fill="auto"/>
            <w:vAlign w:val="bottom"/>
          </w:tcPr>
          <w:p w:rsidR="00000000" w:rsidRDefault="00000000">
            <w:pPr>
              <w:spacing w:before="40" w:after="40" w:line="220" w:lineRule="exact"/>
              <w:jc w:val="right"/>
              <w:rPr>
                <w:bCs/>
                <w:sz w:val="18"/>
                <w:szCs w:val="18"/>
              </w:rPr>
            </w:pPr>
            <w:r>
              <w:rPr>
                <w:bCs/>
                <w:sz w:val="18"/>
                <w:szCs w:val="18"/>
              </w:rPr>
              <w:t>2,4</w:t>
            </w:r>
          </w:p>
        </w:tc>
        <w:tc>
          <w:tcPr>
            <w:tcW w:w="1418" w:type="dxa"/>
            <w:shd w:val="clear" w:color="auto" w:fill="auto"/>
            <w:vAlign w:val="bottom"/>
          </w:tcPr>
          <w:p w:rsidR="00000000" w:rsidRDefault="00000000">
            <w:pPr>
              <w:spacing w:before="40" w:after="40" w:line="220" w:lineRule="exact"/>
              <w:jc w:val="right"/>
              <w:rPr>
                <w:bCs/>
                <w:sz w:val="18"/>
                <w:szCs w:val="18"/>
              </w:rPr>
            </w:pPr>
            <w:r>
              <w:rPr>
                <w:bCs/>
                <w:sz w:val="18"/>
                <w:szCs w:val="18"/>
              </w:rPr>
              <w:t>43,4</w:t>
            </w:r>
          </w:p>
        </w:tc>
        <w:tc>
          <w:tcPr>
            <w:tcW w:w="1418" w:type="dxa"/>
            <w:shd w:val="clear" w:color="auto" w:fill="auto"/>
            <w:vAlign w:val="bottom"/>
          </w:tcPr>
          <w:p w:rsidR="00000000" w:rsidRDefault="00000000">
            <w:pPr>
              <w:spacing w:before="40" w:after="40" w:line="220" w:lineRule="exact"/>
              <w:jc w:val="right"/>
              <w:rPr>
                <w:bCs/>
                <w:sz w:val="18"/>
                <w:szCs w:val="18"/>
              </w:rPr>
            </w:pPr>
            <w:r>
              <w:rPr>
                <w:bCs/>
                <w:sz w:val="18"/>
                <w:szCs w:val="18"/>
              </w:rPr>
              <w:t>8,3</w:t>
            </w:r>
          </w:p>
        </w:tc>
      </w:tr>
      <w:tr w:rsidR="00000000">
        <w:tc>
          <w:tcPr>
            <w:tcW w:w="3119" w:type="dxa"/>
            <w:tcBorders>
              <w:bottom w:val="single" w:sz="4" w:space="0" w:color="auto"/>
            </w:tcBorders>
            <w:shd w:val="clear" w:color="auto" w:fill="auto"/>
            <w:vAlign w:val="center"/>
          </w:tcPr>
          <w:p w:rsidR="00000000" w:rsidRDefault="00000000">
            <w:pPr>
              <w:spacing w:before="40" w:after="40" w:line="220" w:lineRule="exact"/>
              <w:rPr>
                <w:bCs/>
                <w:sz w:val="18"/>
                <w:szCs w:val="18"/>
              </w:rPr>
            </w:pPr>
            <w:r>
              <w:rPr>
                <w:bCs/>
                <w:sz w:val="18"/>
                <w:szCs w:val="18"/>
              </w:rPr>
              <w:t xml:space="preserve">Célibataire </w:t>
            </w:r>
          </w:p>
        </w:tc>
        <w:tc>
          <w:tcPr>
            <w:tcW w:w="1418" w:type="dxa"/>
            <w:tcBorders>
              <w:bottom w:val="single" w:sz="4" w:space="0" w:color="auto"/>
            </w:tcBorders>
            <w:shd w:val="clear" w:color="auto" w:fill="auto"/>
            <w:vAlign w:val="bottom"/>
          </w:tcPr>
          <w:p w:rsidR="00000000" w:rsidRDefault="00000000">
            <w:pPr>
              <w:spacing w:before="40" w:after="40" w:line="220" w:lineRule="exact"/>
              <w:jc w:val="right"/>
              <w:rPr>
                <w:bCs/>
                <w:sz w:val="18"/>
                <w:szCs w:val="18"/>
              </w:rPr>
            </w:pPr>
            <w:r>
              <w:rPr>
                <w:bCs/>
                <w:sz w:val="18"/>
                <w:szCs w:val="18"/>
              </w:rPr>
              <w:t>1,0</w:t>
            </w:r>
          </w:p>
        </w:tc>
        <w:tc>
          <w:tcPr>
            <w:tcW w:w="1418" w:type="dxa"/>
            <w:tcBorders>
              <w:bottom w:val="single" w:sz="4" w:space="0" w:color="auto"/>
            </w:tcBorders>
            <w:shd w:val="clear" w:color="auto" w:fill="auto"/>
            <w:vAlign w:val="bottom"/>
          </w:tcPr>
          <w:p w:rsidR="00000000" w:rsidRDefault="00000000">
            <w:pPr>
              <w:spacing w:before="40" w:after="40" w:line="220" w:lineRule="exact"/>
              <w:jc w:val="right"/>
              <w:rPr>
                <w:bCs/>
                <w:sz w:val="18"/>
                <w:szCs w:val="18"/>
              </w:rPr>
            </w:pPr>
            <w:r>
              <w:rPr>
                <w:bCs/>
                <w:sz w:val="18"/>
                <w:szCs w:val="18"/>
              </w:rPr>
              <w:t>5,7</w:t>
            </w:r>
          </w:p>
        </w:tc>
        <w:tc>
          <w:tcPr>
            <w:tcW w:w="1418" w:type="dxa"/>
            <w:tcBorders>
              <w:bottom w:val="single" w:sz="4" w:space="0" w:color="auto"/>
            </w:tcBorders>
            <w:shd w:val="clear" w:color="auto" w:fill="auto"/>
            <w:vAlign w:val="bottom"/>
          </w:tcPr>
          <w:p w:rsidR="00000000" w:rsidRDefault="00000000">
            <w:pPr>
              <w:spacing w:before="40" w:after="40" w:line="220" w:lineRule="exact"/>
              <w:jc w:val="right"/>
              <w:rPr>
                <w:bCs/>
                <w:sz w:val="18"/>
                <w:szCs w:val="18"/>
              </w:rPr>
            </w:pPr>
            <w:r>
              <w:rPr>
                <w:bCs/>
                <w:sz w:val="18"/>
                <w:szCs w:val="18"/>
              </w:rPr>
              <w:t>1,7</w:t>
            </w:r>
          </w:p>
        </w:tc>
      </w:tr>
      <w:tr w:rsidR="00000000">
        <w:tc>
          <w:tcPr>
            <w:tcW w:w="3119" w:type="dxa"/>
            <w:tcBorders>
              <w:top w:val="single" w:sz="4" w:space="0" w:color="auto"/>
              <w:bottom w:val="single" w:sz="12" w:space="0" w:color="auto"/>
            </w:tcBorders>
            <w:shd w:val="clear" w:color="auto" w:fill="auto"/>
            <w:vAlign w:val="center"/>
          </w:tcPr>
          <w:p w:rsidR="00000000" w:rsidRDefault="00000000">
            <w:pPr>
              <w:spacing w:before="40" w:after="40" w:line="220" w:lineRule="exact"/>
              <w:ind w:firstLine="170"/>
              <w:rPr>
                <w:b/>
                <w:bCs/>
                <w:sz w:val="18"/>
                <w:szCs w:val="18"/>
              </w:rPr>
            </w:pPr>
            <w:r>
              <w:rPr>
                <w:b/>
                <w:bCs/>
                <w:sz w:val="18"/>
                <w:szCs w:val="18"/>
              </w:rPr>
              <w:t xml:space="preserve">Total </w:t>
            </w:r>
          </w:p>
        </w:tc>
        <w:tc>
          <w:tcPr>
            <w:tcW w:w="1418" w:type="dxa"/>
            <w:tcBorders>
              <w:top w:val="single" w:sz="4" w:space="0" w:color="auto"/>
              <w:bottom w:val="single" w:sz="12" w:space="0" w:color="auto"/>
            </w:tcBorders>
            <w:shd w:val="clear" w:color="auto" w:fill="auto"/>
            <w:vAlign w:val="bottom"/>
          </w:tcPr>
          <w:p w:rsidR="00000000" w:rsidRDefault="00000000">
            <w:pPr>
              <w:spacing w:before="40" w:after="40" w:line="220" w:lineRule="exact"/>
              <w:jc w:val="right"/>
              <w:rPr>
                <w:b/>
                <w:bCs/>
                <w:sz w:val="18"/>
                <w:szCs w:val="18"/>
              </w:rPr>
            </w:pPr>
            <w:r>
              <w:rPr>
                <w:b/>
                <w:bCs/>
                <w:sz w:val="18"/>
                <w:szCs w:val="18"/>
              </w:rPr>
              <w:t>100,0</w:t>
            </w:r>
          </w:p>
        </w:tc>
        <w:tc>
          <w:tcPr>
            <w:tcW w:w="1418" w:type="dxa"/>
            <w:tcBorders>
              <w:top w:val="single" w:sz="4" w:space="0" w:color="auto"/>
              <w:bottom w:val="single" w:sz="12" w:space="0" w:color="auto"/>
            </w:tcBorders>
            <w:shd w:val="clear" w:color="auto" w:fill="auto"/>
            <w:vAlign w:val="bottom"/>
          </w:tcPr>
          <w:p w:rsidR="00000000" w:rsidRDefault="00000000">
            <w:pPr>
              <w:spacing w:before="40" w:after="40" w:line="220" w:lineRule="exact"/>
              <w:jc w:val="right"/>
              <w:rPr>
                <w:b/>
                <w:bCs/>
                <w:sz w:val="18"/>
                <w:szCs w:val="18"/>
              </w:rPr>
            </w:pPr>
            <w:r>
              <w:rPr>
                <w:b/>
                <w:bCs/>
                <w:sz w:val="18"/>
                <w:szCs w:val="18"/>
              </w:rPr>
              <w:t>100,0</w:t>
            </w:r>
          </w:p>
        </w:tc>
        <w:tc>
          <w:tcPr>
            <w:tcW w:w="1418" w:type="dxa"/>
            <w:tcBorders>
              <w:top w:val="single" w:sz="4" w:space="0" w:color="auto"/>
              <w:bottom w:val="single" w:sz="12" w:space="0" w:color="auto"/>
            </w:tcBorders>
            <w:shd w:val="clear" w:color="auto" w:fill="auto"/>
            <w:vAlign w:val="bottom"/>
          </w:tcPr>
          <w:p w:rsidR="00000000" w:rsidRDefault="00000000">
            <w:pPr>
              <w:spacing w:before="40" w:after="40" w:line="220" w:lineRule="exact"/>
              <w:jc w:val="right"/>
              <w:rPr>
                <w:b/>
                <w:bCs/>
                <w:sz w:val="18"/>
                <w:szCs w:val="18"/>
              </w:rPr>
            </w:pPr>
            <w:r>
              <w:rPr>
                <w:b/>
                <w:bCs/>
                <w:sz w:val="18"/>
                <w:szCs w:val="18"/>
              </w:rPr>
              <w:t>100,0</w:t>
            </w:r>
          </w:p>
        </w:tc>
      </w:tr>
    </w:tbl>
    <w:p w:rsidR="00000000" w:rsidRDefault="00000000">
      <w:pPr>
        <w:spacing w:before="120"/>
        <w:ind w:left="1134" w:firstLine="170"/>
        <w:rPr>
          <w:sz w:val="18"/>
          <w:szCs w:val="18"/>
          <w:lang w:val="fr-FR"/>
        </w:rPr>
      </w:pPr>
      <w:r>
        <w:rPr>
          <w:i/>
          <w:sz w:val="18"/>
          <w:szCs w:val="18"/>
          <w:lang w:val="fr-FR"/>
        </w:rPr>
        <w:t>Source</w:t>
      </w:r>
      <w:r>
        <w:rPr>
          <w:sz w:val="18"/>
          <w:szCs w:val="18"/>
          <w:lang w:val="fr-FR"/>
        </w:rPr>
        <w:t>: INSTAT/DSM/EPM 2005.</w:t>
      </w:r>
    </w:p>
    <w:p w:rsidR="00000000" w:rsidRDefault="00000000">
      <w:pPr>
        <w:pStyle w:val="H1G"/>
        <w:rPr>
          <w:lang w:val="fr-FR"/>
        </w:rPr>
      </w:pPr>
      <w:r>
        <w:rPr>
          <w:lang w:val="fr-FR"/>
        </w:rPr>
        <w:tab/>
      </w:r>
      <w:r>
        <w:rPr>
          <w:lang w:val="fr-FR"/>
        </w:rPr>
        <w:tab/>
      </w:r>
      <w:bookmarkStart w:id="1774" w:name="_Toc260298294"/>
      <w:r>
        <w:rPr>
          <w:lang w:val="fr-FR"/>
        </w:rPr>
        <w:t>Contexte socio-économique</w:t>
      </w:r>
      <w:bookmarkEnd w:id="1774"/>
    </w:p>
    <w:p w:rsidR="00000000" w:rsidRDefault="00000000">
      <w:pPr>
        <w:pStyle w:val="SingleTxtG"/>
        <w:spacing w:after="0"/>
      </w:pPr>
      <w:bookmarkStart w:id="1775" w:name="_Toc260298295"/>
      <w:r>
        <w:t>Tableau 37</w:t>
      </w:r>
    </w:p>
    <w:p w:rsidR="00000000" w:rsidRDefault="00000000">
      <w:pPr>
        <w:pStyle w:val="SingleTxtG"/>
        <w:rPr>
          <w:b/>
        </w:rPr>
      </w:pPr>
      <w:r>
        <w:rPr>
          <w:b/>
        </w:rPr>
        <w:t>Évolution de quelques indicateurs économiques</w:t>
      </w:r>
      <w:bookmarkEnd w:id="1775"/>
    </w:p>
    <w:tbl>
      <w:tblPr>
        <w:tblW w:w="7371" w:type="dxa"/>
        <w:tblInd w:w="1134" w:type="dxa"/>
        <w:tblCellMar>
          <w:left w:w="0" w:type="dxa"/>
          <w:right w:w="0" w:type="dxa"/>
        </w:tblCellMar>
        <w:tblLook w:val="01E0" w:firstRow="1" w:lastRow="1" w:firstColumn="1" w:lastColumn="1" w:noHBand="0" w:noVBand="0"/>
      </w:tblPr>
      <w:tblGrid>
        <w:gridCol w:w="2191"/>
        <w:gridCol w:w="790"/>
        <w:gridCol w:w="790"/>
        <w:gridCol w:w="900"/>
        <w:gridCol w:w="900"/>
        <w:gridCol w:w="900"/>
        <w:gridCol w:w="900"/>
      </w:tblGrid>
      <w:tr w:rsidR="00000000">
        <w:tc>
          <w:tcPr>
            <w:tcW w:w="2191"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b/>
                <w:bCs/>
                <w:i/>
                <w:sz w:val="16"/>
                <w:szCs w:val="16"/>
              </w:rPr>
            </w:pPr>
          </w:p>
        </w:tc>
        <w:tc>
          <w:tcPr>
            <w:tcW w:w="790"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b/>
                <w:bCs/>
                <w:i/>
                <w:sz w:val="16"/>
                <w:szCs w:val="16"/>
              </w:rPr>
            </w:pPr>
            <w:r>
              <w:rPr>
                <w:b/>
                <w:bCs/>
                <w:i/>
                <w:sz w:val="16"/>
                <w:szCs w:val="16"/>
              </w:rPr>
              <w:t>2000</w:t>
            </w:r>
          </w:p>
        </w:tc>
        <w:tc>
          <w:tcPr>
            <w:tcW w:w="790"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b/>
                <w:bCs/>
                <w:i/>
                <w:sz w:val="16"/>
                <w:szCs w:val="16"/>
              </w:rPr>
            </w:pPr>
            <w:r>
              <w:rPr>
                <w:b/>
                <w:bCs/>
                <w:i/>
                <w:sz w:val="16"/>
                <w:szCs w:val="16"/>
              </w:rPr>
              <w:t>2001</w:t>
            </w:r>
          </w:p>
        </w:tc>
        <w:tc>
          <w:tcPr>
            <w:tcW w:w="900"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b/>
                <w:bCs/>
                <w:i/>
                <w:sz w:val="16"/>
                <w:szCs w:val="16"/>
              </w:rPr>
            </w:pPr>
            <w:r>
              <w:rPr>
                <w:b/>
                <w:bCs/>
                <w:i/>
                <w:sz w:val="16"/>
                <w:szCs w:val="16"/>
              </w:rPr>
              <w:t>2002</w:t>
            </w:r>
          </w:p>
        </w:tc>
        <w:tc>
          <w:tcPr>
            <w:tcW w:w="900"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b/>
                <w:bCs/>
                <w:i/>
                <w:sz w:val="16"/>
                <w:szCs w:val="16"/>
              </w:rPr>
            </w:pPr>
            <w:r>
              <w:rPr>
                <w:b/>
                <w:bCs/>
                <w:i/>
                <w:sz w:val="16"/>
                <w:szCs w:val="16"/>
              </w:rPr>
              <w:t>2003</w:t>
            </w:r>
          </w:p>
        </w:tc>
        <w:tc>
          <w:tcPr>
            <w:tcW w:w="900"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b/>
                <w:bCs/>
                <w:i/>
                <w:sz w:val="16"/>
                <w:szCs w:val="16"/>
              </w:rPr>
            </w:pPr>
            <w:r>
              <w:rPr>
                <w:b/>
                <w:bCs/>
                <w:i/>
                <w:sz w:val="16"/>
                <w:szCs w:val="16"/>
              </w:rPr>
              <w:t>2004</w:t>
            </w:r>
          </w:p>
        </w:tc>
        <w:tc>
          <w:tcPr>
            <w:tcW w:w="900"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b/>
                <w:bCs/>
                <w:i/>
                <w:sz w:val="16"/>
                <w:szCs w:val="16"/>
              </w:rPr>
            </w:pPr>
            <w:r>
              <w:rPr>
                <w:b/>
                <w:bCs/>
                <w:i/>
                <w:sz w:val="16"/>
                <w:szCs w:val="16"/>
              </w:rPr>
              <w:t>2005</w:t>
            </w:r>
          </w:p>
        </w:tc>
      </w:tr>
      <w:tr w:rsidR="00000000">
        <w:tc>
          <w:tcPr>
            <w:tcW w:w="2191" w:type="dxa"/>
            <w:tcBorders>
              <w:top w:val="single" w:sz="12" w:space="0" w:color="auto"/>
            </w:tcBorders>
            <w:shd w:val="clear" w:color="auto" w:fill="auto"/>
          </w:tcPr>
          <w:p w:rsidR="00000000" w:rsidRDefault="00000000">
            <w:pPr>
              <w:spacing w:before="40" w:after="40" w:line="220" w:lineRule="exact"/>
              <w:rPr>
                <w:bCs/>
                <w:sz w:val="18"/>
                <w:szCs w:val="18"/>
              </w:rPr>
            </w:pPr>
            <w:r>
              <w:rPr>
                <w:bCs/>
                <w:sz w:val="18"/>
                <w:szCs w:val="18"/>
              </w:rPr>
              <w:t>PIB réel (million USD)</w:t>
            </w:r>
          </w:p>
        </w:tc>
        <w:tc>
          <w:tcPr>
            <w:tcW w:w="790" w:type="dxa"/>
            <w:tcBorders>
              <w:top w:val="single" w:sz="12" w:space="0" w:color="auto"/>
            </w:tcBorders>
            <w:shd w:val="clear" w:color="auto" w:fill="auto"/>
            <w:vAlign w:val="bottom"/>
          </w:tcPr>
          <w:p w:rsidR="00000000" w:rsidRDefault="00000000">
            <w:pPr>
              <w:spacing w:before="40" w:after="40" w:line="220" w:lineRule="exact"/>
              <w:jc w:val="right"/>
              <w:rPr>
                <w:bCs/>
                <w:sz w:val="18"/>
                <w:szCs w:val="18"/>
              </w:rPr>
            </w:pPr>
            <w:r>
              <w:rPr>
                <w:bCs/>
                <w:sz w:val="18"/>
                <w:szCs w:val="18"/>
              </w:rPr>
              <w:t>3 659</w:t>
            </w:r>
          </w:p>
        </w:tc>
        <w:tc>
          <w:tcPr>
            <w:tcW w:w="790" w:type="dxa"/>
            <w:tcBorders>
              <w:top w:val="single" w:sz="12" w:space="0" w:color="auto"/>
            </w:tcBorders>
            <w:shd w:val="clear" w:color="auto" w:fill="auto"/>
            <w:vAlign w:val="bottom"/>
          </w:tcPr>
          <w:p w:rsidR="00000000" w:rsidRDefault="00000000">
            <w:pPr>
              <w:spacing w:before="40" w:after="40" w:line="220" w:lineRule="exact"/>
              <w:jc w:val="right"/>
              <w:rPr>
                <w:bCs/>
                <w:sz w:val="18"/>
                <w:szCs w:val="18"/>
              </w:rPr>
            </w:pPr>
            <w:r>
              <w:rPr>
                <w:bCs/>
                <w:sz w:val="18"/>
                <w:szCs w:val="18"/>
              </w:rPr>
              <w:t>3 879</w:t>
            </w:r>
          </w:p>
        </w:tc>
        <w:tc>
          <w:tcPr>
            <w:tcW w:w="900" w:type="dxa"/>
            <w:tcBorders>
              <w:top w:val="single" w:sz="12" w:space="0" w:color="auto"/>
            </w:tcBorders>
            <w:shd w:val="clear" w:color="auto" w:fill="auto"/>
            <w:vAlign w:val="bottom"/>
          </w:tcPr>
          <w:p w:rsidR="00000000" w:rsidRDefault="00000000">
            <w:pPr>
              <w:spacing w:before="40" w:after="40" w:line="220" w:lineRule="exact"/>
              <w:jc w:val="right"/>
              <w:rPr>
                <w:bCs/>
                <w:sz w:val="18"/>
                <w:szCs w:val="18"/>
              </w:rPr>
            </w:pPr>
            <w:r>
              <w:rPr>
                <w:bCs/>
                <w:sz w:val="18"/>
                <w:szCs w:val="18"/>
              </w:rPr>
              <w:t>3 388</w:t>
            </w:r>
          </w:p>
        </w:tc>
        <w:tc>
          <w:tcPr>
            <w:tcW w:w="900" w:type="dxa"/>
            <w:tcBorders>
              <w:top w:val="single" w:sz="12" w:space="0" w:color="auto"/>
            </w:tcBorders>
            <w:shd w:val="clear" w:color="auto" w:fill="auto"/>
            <w:vAlign w:val="bottom"/>
          </w:tcPr>
          <w:p w:rsidR="00000000" w:rsidRDefault="00000000">
            <w:pPr>
              <w:spacing w:before="40" w:after="40" w:line="220" w:lineRule="exact"/>
              <w:jc w:val="right"/>
              <w:rPr>
                <w:bCs/>
                <w:sz w:val="18"/>
                <w:szCs w:val="18"/>
              </w:rPr>
            </w:pPr>
            <w:r>
              <w:rPr>
                <w:bCs/>
                <w:sz w:val="18"/>
                <w:szCs w:val="18"/>
              </w:rPr>
              <w:t>3 179</w:t>
            </w:r>
          </w:p>
        </w:tc>
        <w:tc>
          <w:tcPr>
            <w:tcW w:w="900" w:type="dxa"/>
            <w:tcBorders>
              <w:top w:val="single" w:sz="12" w:space="0" w:color="auto"/>
            </w:tcBorders>
            <w:shd w:val="clear" w:color="auto" w:fill="auto"/>
            <w:vAlign w:val="bottom"/>
          </w:tcPr>
          <w:p w:rsidR="00000000" w:rsidRDefault="00000000">
            <w:pPr>
              <w:spacing w:before="40" w:after="40" w:line="220" w:lineRule="exact"/>
              <w:jc w:val="right"/>
              <w:rPr>
                <w:bCs/>
                <w:sz w:val="18"/>
                <w:szCs w:val="18"/>
              </w:rPr>
            </w:pPr>
            <w:r>
              <w:rPr>
                <w:bCs/>
                <w:sz w:val="18"/>
                <w:szCs w:val="18"/>
              </w:rPr>
              <w:t>3 866</w:t>
            </w:r>
          </w:p>
        </w:tc>
        <w:tc>
          <w:tcPr>
            <w:tcW w:w="900" w:type="dxa"/>
            <w:tcBorders>
              <w:top w:val="single" w:sz="12" w:space="0" w:color="auto"/>
            </w:tcBorders>
            <w:shd w:val="clear" w:color="auto" w:fill="auto"/>
            <w:vAlign w:val="bottom"/>
          </w:tcPr>
          <w:p w:rsidR="00000000" w:rsidRDefault="00000000">
            <w:pPr>
              <w:spacing w:before="40" w:after="40" w:line="220" w:lineRule="exact"/>
              <w:jc w:val="right"/>
              <w:rPr>
                <w:bCs/>
                <w:sz w:val="18"/>
                <w:szCs w:val="18"/>
              </w:rPr>
            </w:pPr>
            <w:r>
              <w:rPr>
                <w:bCs/>
                <w:sz w:val="18"/>
                <w:szCs w:val="18"/>
              </w:rPr>
              <w:t>4 931</w:t>
            </w:r>
          </w:p>
        </w:tc>
      </w:tr>
      <w:tr w:rsidR="00000000">
        <w:tc>
          <w:tcPr>
            <w:tcW w:w="2191" w:type="dxa"/>
            <w:shd w:val="clear" w:color="auto" w:fill="auto"/>
          </w:tcPr>
          <w:p w:rsidR="00000000" w:rsidRDefault="00000000">
            <w:pPr>
              <w:spacing w:before="40" w:after="40" w:line="220" w:lineRule="exact"/>
              <w:rPr>
                <w:bCs/>
                <w:sz w:val="18"/>
                <w:szCs w:val="18"/>
              </w:rPr>
            </w:pPr>
            <w:r>
              <w:rPr>
                <w:bCs/>
                <w:sz w:val="18"/>
                <w:szCs w:val="18"/>
              </w:rPr>
              <w:t>Taux de croissance économique (%)</w:t>
            </w:r>
          </w:p>
        </w:tc>
        <w:tc>
          <w:tcPr>
            <w:tcW w:w="790" w:type="dxa"/>
            <w:shd w:val="clear" w:color="auto" w:fill="auto"/>
            <w:vAlign w:val="bottom"/>
          </w:tcPr>
          <w:p w:rsidR="00000000" w:rsidRDefault="00000000">
            <w:pPr>
              <w:spacing w:before="40" w:after="40" w:line="220" w:lineRule="exact"/>
              <w:jc w:val="right"/>
              <w:rPr>
                <w:bCs/>
                <w:sz w:val="18"/>
                <w:szCs w:val="18"/>
              </w:rPr>
            </w:pPr>
            <w:r>
              <w:rPr>
                <w:bCs/>
                <w:sz w:val="18"/>
                <w:szCs w:val="18"/>
              </w:rPr>
              <w:t>4,7</w:t>
            </w:r>
          </w:p>
        </w:tc>
        <w:tc>
          <w:tcPr>
            <w:tcW w:w="790" w:type="dxa"/>
            <w:shd w:val="clear" w:color="auto" w:fill="auto"/>
            <w:vAlign w:val="bottom"/>
          </w:tcPr>
          <w:p w:rsidR="00000000" w:rsidRDefault="00000000">
            <w:pPr>
              <w:spacing w:before="40" w:after="40" w:line="220" w:lineRule="exact"/>
              <w:jc w:val="right"/>
              <w:rPr>
                <w:bCs/>
                <w:sz w:val="18"/>
                <w:szCs w:val="18"/>
              </w:rPr>
            </w:pPr>
            <w:r>
              <w:rPr>
                <w:bCs/>
                <w:sz w:val="18"/>
                <w:szCs w:val="18"/>
              </w:rPr>
              <w:t>6,0</w:t>
            </w:r>
          </w:p>
        </w:tc>
        <w:tc>
          <w:tcPr>
            <w:tcW w:w="900" w:type="dxa"/>
            <w:shd w:val="clear" w:color="auto" w:fill="auto"/>
            <w:vAlign w:val="bottom"/>
          </w:tcPr>
          <w:p w:rsidR="00000000" w:rsidRDefault="00000000">
            <w:pPr>
              <w:spacing w:before="40" w:after="40" w:line="220" w:lineRule="exact"/>
              <w:jc w:val="right"/>
              <w:rPr>
                <w:bCs/>
                <w:sz w:val="18"/>
                <w:szCs w:val="18"/>
              </w:rPr>
            </w:pPr>
            <w:r>
              <w:rPr>
                <w:bCs/>
                <w:sz w:val="18"/>
                <w:szCs w:val="18"/>
              </w:rPr>
              <w:t>-12,7</w:t>
            </w:r>
          </w:p>
        </w:tc>
        <w:tc>
          <w:tcPr>
            <w:tcW w:w="900" w:type="dxa"/>
            <w:shd w:val="clear" w:color="auto" w:fill="auto"/>
            <w:vAlign w:val="bottom"/>
          </w:tcPr>
          <w:p w:rsidR="00000000" w:rsidRDefault="00000000">
            <w:pPr>
              <w:spacing w:before="40" w:after="40" w:line="220" w:lineRule="exact"/>
              <w:jc w:val="right"/>
              <w:rPr>
                <w:bCs/>
                <w:sz w:val="18"/>
                <w:szCs w:val="18"/>
              </w:rPr>
            </w:pPr>
            <w:r>
              <w:rPr>
                <w:bCs/>
                <w:sz w:val="18"/>
                <w:szCs w:val="18"/>
              </w:rPr>
              <w:t>9,8</w:t>
            </w:r>
          </w:p>
        </w:tc>
        <w:tc>
          <w:tcPr>
            <w:tcW w:w="900" w:type="dxa"/>
            <w:shd w:val="clear" w:color="auto" w:fill="auto"/>
            <w:vAlign w:val="bottom"/>
          </w:tcPr>
          <w:p w:rsidR="00000000" w:rsidRDefault="00000000">
            <w:pPr>
              <w:spacing w:before="40" w:after="40" w:line="220" w:lineRule="exact"/>
              <w:jc w:val="right"/>
              <w:rPr>
                <w:bCs/>
                <w:sz w:val="18"/>
                <w:szCs w:val="18"/>
              </w:rPr>
            </w:pPr>
            <w:r>
              <w:rPr>
                <w:bCs/>
                <w:sz w:val="18"/>
                <w:szCs w:val="18"/>
              </w:rPr>
              <w:t>5,3</w:t>
            </w:r>
          </w:p>
        </w:tc>
        <w:tc>
          <w:tcPr>
            <w:tcW w:w="900" w:type="dxa"/>
            <w:shd w:val="clear" w:color="auto" w:fill="auto"/>
            <w:vAlign w:val="bottom"/>
          </w:tcPr>
          <w:p w:rsidR="00000000" w:rsidRDefault="00000000">
            <w:pPr>
              <w:spacing w:before="40" w:after="40" w:line="220" w:lineRule="exact"/>
              <w:jc w:val="right"/>
              <w:rPr>
                <w:bCs/>
                <w:sz w:val="18"/>
                <w:szCs w:val="18"/>
              </w:rPr>
            </w:pPr>
            <w:r>
              <w:rPr>
                <w:bCs/>
                <w:sz w:val="18"/>
                <w:szCs w:val="18"/>
              </w:rPr>
              <w:t>4,6</w:t>
            </w:r>
          </w:p>
        </w:tc>
      </w:tr>
      <w:tr w:rsidR="00000000">
        <w:tc>
          <w:tcPr>
            <w:tcW w:w="2191" w:type="dxa"/>
            <w:tcBorders>
              <w:bottom w:val="single" w:sz="12" w:space="0" w:color="auto"/>
            </w:tcBorders>
            <w:shd w:val="clear" w:color="auto" w:fill="auto"/>
          </w:tcPr>
          <w:p w:rsidR="00000000" w:rsidRDefault="00000000">
            <w:pPr>
              <w:spacing w:before="40" w:after="40" w:line="220" w:lineRule="exact"/>
              <w:rPr>
                <w:bCs/>
                <w:sz w:val="18"/>
                <w:szCs w:val="18"/>
              </w:rPr>
            </w:pPr>
            <w:r>
              <w:rPr>
                <w:bCs/>
                <w:sz w:val="18"/>
                <w:szCs w:val="18"/>
              </w:rPr>
              <w:t>Taux de pauvreté (%)</w:t>
            </w:r>
          </w:p>
        </w:tc>
        <w:tc>
          <w:tcPr>
            <w:tcW w:w="790" w:type="dxa"/>
            <w:tcBorders>
              <w:bottom w:val="single" w:sz="12" w:space="0" w:color="auto"/>
            </w:tcBorders>
            <w:shd w:val="clear" w:color="auto" w:fill="auto"/>
            <w:vAlign w:val="bottom"/>
          </w:tcPr>
          <w:p w:rsidR="00000000" w:rsidRDefault="00000000">
            <w:pPr>
              <w:spacing w:before="40" w:after="40" w:line="220" w:lineRule="exact"/>
              <w:jc w:val="right"/>
              <w:rPr>
                <w:bCs/>
                <w:sz w:val="18"/>
                <w:szCs w:val="18"/>
              </w:rPr>
            </w:pPr>
          </w:p>
        </w:tc>
        <w:tc>
          <w:tcPr>
            <w:tcW w:w="790" w:type="dxa"/>
            <w:tcBorders>
              <w:bottom w:val="single" w:sz="12" w:space="0" w:color="auto"/>
            </w:tcBorders>
            <w:shd w:val="clear" w:color="auto" w:fill="auto"/>
            <w:vAlign w:val="bottom"/>
          </w:tcPr>
          <w:p w:rsidR="00000000" w:rsidRDefault="00000000">
            <w:pPr>
              <w:spacing w:before="40" w:after="40" w:line="220" w:lineRule="exact"/>
              <w:jc w:val="right"/>
              <w:rPr>
                <w:bCs/>
                <w:sz w:val="18"/>
                <w:szCs w:val="18"/>
              </w:rPr>
            </w:pPr>
            <w:r>
              <w:rPr>
                <w:bCs/>
                <w:sz w:val="18"/>
                <w:szCs w:val="18"/>
              </w:rPr>
              <w:t>69,6</w:t>
            </w:r>
          </w:p>
        </w:tc>
        <w:tc>
          <w:tcPr>
            <w:tcW w:w="900" w:type="dxa"/>
            <w:tcBorders>
              <w:bottom w:val="single" w:sz="12" w:space="0" w:color="auto"/>
            </w:tcBorders>
            <w:shd w:val="clear" w:color="auto" w:fill="auto"/>
            <w:vAlign w:val="bottom"/>
          </w:tcPr>
          <w:p w:rsidR="00000000" w:rsidRDefault="00000000">
            <w:pPr>
              <w:spacing w:before="40" w:after="40" w:line="220" w:lineRule="exact"/>
              <w:jc w:val="right"/>
              <w:rPr>
                <w:bCs/>
                <w:sz w:val="18"/>
                <w:szCs w:val="18"/>
              </w:rPr>
            </w:pPr>
            <w:r>
              <w:rPr>
                <w:bCs/>
                <w:sz w:val="18"/>
                <w:szCs w:val="18"/>
              </w:rPr>
              <w:t>80,7</w:t>
            </w:r>
          </w:p>
        </w:tc>
        <w:tc>
          <w:tcPr>
            <w:tcW w:w="900" w:type="dxa"/>
            <w:tcBorders>
              <w:bottom w:val="single" w:sz="12" w:space="0" w:color="auto"/>
            </w:tcBorders>
            <w:shd w:val="clear" w:color="auto" w:fill="auto"/>
            <w:vAlign w:val="bottom"/>
          </w:tcPr>
          <w:p w:rsidR="00000000" w:rsidRDefault="00000000">
            <w:pPr>
              <w:spacing w:before="40" w:after="40" w:line="220" w:lineRule="exact"/>
              <w:jc w:val="right"/>
              <w:rPr>
                <w:bCs/>
                <w:sz w:val="18"/>
                <w:szCs w:val="18"/>
              </w:rPr>
            </w:pPr>
            <w:r>
              <w:rPr>
                <w:bCs/>
                <w:sz w:val="18"/>
                <w:szCs w:val="18"/>
              </w:rPr>
              <w:t>73,6</w:t>
            </w:r>
          </w:p>
        </w:tc>
        <w:tc>
          <w:tcPr>
            <w:tcW w:w="900" w:type="dxa"/>
            <w:tcBorders>
              <w:bottom w:val="single" w:sz="12" w:space="0" w:color="auto"/>
            </w:tcBorders>
            <w:shd w:val="clear" w:color="auto" w:fill="auto"/>
            <w:vAlign w:val="bottom"/>
          </w:tcPr>
          <w:p w:rsidR="00000000" w:rsidRDefault="00000000">
            <w:pPr>
              <w:spacing w:before="40" w:after="40" w:line="220" w:lineRule="exact"/>
              <w:jc w:val="right"/>
              <w:rPr>
                <w:bCs/>
                <w:sz w:val="18"/>
                <w:szCs w:val="18"/>
              </w:rPr>
            </w:pPr>
            <w:r>
              <w:rPr>
                <w:bCs/>
                <w:sz w:val="18"/>
                <w:szCs w:val="18"/>
              </w:rPr>
              <w:t>72,1</w:t>
            </w:r>
          </w:p>
        </w:tc>
        <w:tc>
          <w:tcPr>
            <w:tcW w:w="900" w:type="dxa"/>
            <w:tcBorders>
              <w:bottom w:val="single" w:sz="12" w:space="0" w:color="auto"/>
            </w:tcBorders>
            <w:shd w:val="clear" w:color="auto" w:fill="auto"/>
            <w:vAlign w:val="bottom"/>
          </w:tcPr>
          <w:p w:rsidR="00000000" w:rsidRDefault="00000000">
            <w:pPr>
              <w:spacing w:before="40" w:after="40" w:line="220" w:lineRule="exact"/>
              <w:jc w:val="right"/>
              <w:rPr>
                <w:bCs/>
                <w:sz w:val="18"/>
                <w:szCs w:val="18"/>
              </w:rPr>
            </w:pPr>
            <w:r>
              <w:rPr>
                <w:bCs/>
                <w:sz w:val="18"/>
                <w:szCs w:val="18"/>
              </w:rPr>
              <w:t>68,7</w:t>
            </w:r>
          </w:p>
        </w:tc>
      </w:tr>
    </w:tbl>
    <w:p w:rsidR="00000000" w:rsidRDefault="00000000">
      <w:pPr>
        <w:pStyle w:val="SingleTxtG"/>
        <w:spacing w:before="120" w:after="240"/>
        <w:rPr>
          <w:sz w:val="18"/>
          <w:szCs w:val="18"/>
          <w:lang w:val="fr-FR"/>
        </w:rPr>
      </w:pPr>
      <w:r>
        <w:rPr>
          <w:i/>
          <w:sz w:val="18"/>
          <w:szCs w:val="18"/>
          <w:lang w:val="fr-FR"/>
        </w:rPr>
        <w:t>Source</w:t>
      </w:r>
      <w:r>
        <w:rPr>
          <w:sz w:val="18"/>
          <w:szCs w:val="18"/>
          <w:lang w:val="fr-FR"/>
        </w:rPr>
        <w:t>: INSTAT, EPM 2001, 2002, 2004, 2005.</w:t>
      </w:r>
    </w:p>
    <w:p w:rsidR="00000000" w:rsidRDefault="00000000">
      <w:pPr>
        <w:pStyle w:val="SingleTxtG"/>
        <w:spacing w:after="0"/>
        <w:rPr>
          <w:lang w:val="fr-FR"/>
        </w:rPr>
      </w:pPr>
      <w:r>
        <w:rPr>
          <w:lang w:val="fr-FR"/>
        </w:rPr>
        <w:t>Tableau 38</w:t>
      </w:r>
    </w:p>
    <w:p w:rsidR="00000000" w:rsidRDefault="00000000">
      <w:pPr>
        <w:pStyle w:val="SingleTxtG"/>
        <w:rPr>
          <w:b/>
          <w:lang w:val="fr-FR"/>
        </w:rPr>
      </w:pPr>
      <w:r>
        <w:rPr>
          <w:b/>
          <w:lang w:val="fr-FR"/>
        </w:rPr>
        <w:t>Produit Intérieur Brut (PIB) en terme nominal et en terme réel et taux d’inflation</w:t>
      </w:r>
    </w:p>
    <w:tbl>
      <w:tblPr>
        <w:tblW w:w="0" w:type="auto"/>
        <w:tblInd w:w="1134" w:type="dxa"/>
        <w:tblLayout w:type="fixed"/>
        <w:tblCellMar>
          <w:left w:w="0" w:type="dxa"/>
          <w:right w:w="0" w:type="dxa"/>
        </w:tblCellMar>
        <w:tblLook w:val="01E0" w:firstRow="1" w:lastRow="1" w:firstColumn="1" w:lastColumn="1" w:noHBand="0" w:noVBand="0"/>
      </w:tblPr>
      <w:tblGrid>
        <w:gridCol w:w="680"/>
        <w:gridCol w:w="1304"/>
        <w:gridCol w:w="1304"/>
        <w:gridCol w:w="1871"/>
        <w:gridCol w:w="1307"/>
        <w:gridCol w:w="1188"/>
        <w:gridCol w:w="851"/>
      </w:tblGrid>
      <w:tr w:rsidR="00000000">
        <w:trPr>
          <w:tblHeader/>
        </w:trPr>
        <w:tc>
          <w:tcPr>
            <w:tcW w:w="680" w:type="dxa"/>
            <w:tcBorders>
              <w:top w:val="single" w:sz="4" w:space="0" w:color="auto"/>
              <w:bottom w:val="single" w:sz="12" w:space="0" w:color="auto"/>
            </w:tcBorders>
            <w:shd w:val="clear" w:color="auto" w:fill="auto"/>
            <w:vAlign w:val="bottom"/>
          </w:tcPr>
          <w:p w:rsidR="00000000" w:rsidRDefault="00000000">
            <w:pPr>
              <w:spacing w:before="80" w:after="80" w:line="200" w:lineRule="exact"/>
              <w:rPr>
                <w:bCs/>
                <w:i/>
                <w:sz w:val="16"/>
                <w:szCs w:val="16"/>
              </w:rPr>
            </w:pPr>
            <w:r>
              <w:rPr>
                <w:bCs/>
                <w:i/>
                <w:sz w:val="16"/>
                <w:szCs w:val="16"/>
              </w:rPr>
              <w:t>Années</w:t>
            </w:r>
          </w:p>
        </w:tc>
        <w:tc>
          <w:tcPr>
            <w:tcW w:w="1304"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bCs/>
                <w:i/>
                <w:sz w:val="16"/>
                <w:szCs w:val="16"/>
              </w:rPr>
            </w:pPr>
            <w:r>
              <w:rPr>
                <w:bCs/>
                <w:i/>
                <w:sz w:val="16"/>
                <w:szCs w:val="16"/>
              </w:rPr>
              <w:t>PIB nominal (milliards d’ariary)</w:t>
            </w:r>
          </w:p>
        </w:tc>
        <w:tc>
          <w:tcPr>
            <w:tcW w:w="1304"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bCs/>
                <w:i/>
                <w:sz w:val="16"/>
                <w:szCs w:val="16"/>
              </w:rPr>
            </w:pPr>
            <w:r>
              <w:rPr>
                <w:bCs/>
                <w:i/>
                <w:sz w:val="16"/>
                <w:szCs w:val="16"/>
              </w:rPr>
              <w:t>PIB nominal (milliards de Fmg)</w:t>
            </w:r>
          </w:p>
        </w:tc>
        <w:tc>
          <w:tcPr>
            <w:tcW w:w="1871"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bCs/>
                <w:i/>
                <w:sz w:val="16"/>
                <w:szCs w:val="16"/>
              </w:rPr>
            </w:pPr>
            <w:r>
              <w:rPr>
                <w:bCs/>
                <w:i/>
                <w:sz w:val="16"/>
                <w:szCs w:val="16"/>
              </w:rPr>
              <w:t>PIB rée</w:t>
            </w:r>
            <w:r>
              <w:rPr>
                <w:bCs/>
                <w:i/>
                <w:sz w:val="16"/>
                <w:szCs w:val="16"/>
              </w:rPr>
              <w:br/>
              <w:t>(milliards d’ariary de 1984)</w:t>
            </w:r>
          </w:p>
        </w:tc>
        <w:tc>
          <w:tcPr>
            <w:tcW w:w="1307"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bCs/>
                <w:i/>
                <w:sz w:val="16"/>
                <w:szCs w:val="16"/>
              </w:rPr>
            </w:pPr>
            <w:r>
              <w:rPr>
                <w:bCs/>
                <w:i/>
                <w:sz w:val="16"/>
                <w:szCs w:val="16"/>
              </w:rPr>
              <w:t>PIB réel (milliards de Fmg 1984)</w:t>
            </w:r>
          </w:p>
        </w:tc>
        <w:tc>
          <w:tcPr>
            <w:tcW w:w="1188"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bCs/>
                <w:i/>
                <w:sz w:val="16"/>
                <w:szCs w:val="16"/>
              </w:rPr>
            </w:pPr>
            <w:r>
              <w:rPr>
                <w:bCs/>
                <w:i/>
                <w:sz w:val="16"/>
                <w:szCs w:val="16"/>
              </w:rPr>
              <w:t>Croissance (%)</w:t>
            </w:r>
          </w:p>
        </w:tc>
        <w:tc>
          <w:tcPr>
            <w:tcW w:w="851"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bCs/>
                <w:i/>
                <w:sz w:val="16"/>
                <w:szCs w:val="16"/>
              </w:rPr>
            </w:pPr>
            <w:r>
              <w:rPr>
                <w:bCs/>
                <w:i/>
                <w:sz w:val="16"/>
                <w:szCs w:val="16"/>
              </w:rPr>
              <w:t>Inflation %</w:t>
            </w:r>
          </w:p>
        </w:tc>
      </w:tr>
      <w:tr w:rsidR="00000000">
        <w:tc>
          <w:tcPr>
            <w:tcW w:w="680" w:type="dxa"/>
            <w:tcBorders>
              <w:top w:val="single" w:sz="12" w:space="0" w:color="auto"/>
            </w:tcBorders>
            <w:shd w:val="clear" w:color="auto" w:fill="auto"/>
            <w:vAlign w:val="bottom"/>
          </w:tcPr>
          <w:p w:rsidR="00000000" w:rsidRDefault="00000000">
            <w:pPr>
              <w:spacing w:before="40" w:after="40" w:line="220" w:lineRule="exact"/>
              <w:rPr>
                <w:bCs/>
                <w:sz w:val="18"/>
                <w:szCs w:val="18"/>
              </w:rPr>
            </w:pPr>
            <w:r>
              <w:rPr>
                <w:bCs/>
                <w:sz w:val="18"/>
                <w:szCs w:val="18"/>
              </w:rPr>
              <w:t>2002</w:t>
            </w:r>
          </w:p>
        </w:tc>
        <w:tc>
          <w:tcPr>
            <w:tcW w:w="1304" w:type="dxa"/>
            <w:tcBorders>
              <w:top w:val="single" w:sz="12" w:space="0" w:color="auto"/>
            </w:tcBorders>
            <w:shd w:val="clear" w:color="auto" w:fill="auto"/>
            <w:vAlign w:val="bottom"/>
          </w:tcPr>
          <w:p w:rsidR="00000000" w:rsidRDefault="00000000">
            <w:pPr>
              <w:spacing w:before="40" w:after="40" w:line="220" w:lineRule="exact"/>
              <w:jc w:val="right"/>
              <w:rPr>
                <w:bCs/>
                <w:sz w:val="18"/>
                <w:szCs w:val="18"/>
              </w:rPr>
            </w:pPr>
            <w:r>
              <w:rPr>
                <w:bCs/>
                <w:sz w:val="18"/>
                <w:szCs w:val="18"/>
              </w:rPr>
              <w:t>6 008</w:t>
            </w:r>
          </w:p>
        </w:tc>
        <w:tc>
          <w:tcPr>
            <w:tcW w:w="1304" w:type="dxa"/>
            <w:tcBorders>
              <w:top w:val="single" w:sz="12" w:space="0" w:color="auto"/>
            </w:tcBorders>
            <w:shd w:val="clear" w:color="auto" w:fill="auto"/>
            <w:vAlign w:val="bottom"/>
          </w:tcPr>
          <w:p w:rsidR="00000000" w:rsidRDefault="00000000">
            <w:pPr>
              <w:spacing w:before="40" w:after="40" w:line="220" w:lineRule="exact"/>
              <w:jc w:val="right"/>
              <w:rPr>
                <w:bCs/>
                <w:sz w:val="18"/>
                <w:szCs w:val="18"/>
              </w:rPr>
            </w:pPr>
            <w:r>
              <w:rPr>
                <w:bCs/>
                <w:sz w:val="18"/>
                <w:szCs w:val="18"/>
              </w:rPr>
              <w:t>30 040</w:t>
            </w:r>
          </w:p>
        </w:tc>
        <w:tc>
          <w:tcPr>
            <w:tcW w:w="1871" w:type="dxa"/>
            <w:tcBorders>
              <w:top w:val="single" w:sz="12" w:space="0" w:color="auto"/>
            </w:tcBorders>
            <w:shd w:val="clear" w:color="auto" w:fill="auto"/>
            <w:vAlign w:val="bottom"/>
          </w:tcPr>
          <w:p w:rsidR="00000000" w:rsidRDefault="00000000">
            <w:pPr>
              <w:spacing w:before="40" w:after="40" w:line="220" w:lineRule="exact"/>
              <w:jc w:val="right"/>
              <w:rPr>
                <w:bCs/>
                <w:sz w:val="18"/>
                <w:szCs w:val="18"/>
              </w:rPr>
            </w:pPr>
            <w:r>
              <w:rPr>
                <w:bCs/>
                <w:sz w:val="18"/>
                <w:szCs w:val="18"/>
              </w:rPr>
              <w:t>432</w:t>
            </w:r>
          </w:p>
        </w:tc>
        <w:tc>
          <w:tcPr>
            <w:tcW w:w="1307" w:type="dxa"/>
            <w:tcBorders>
              <w:top w:val="single" w:sz="12" w:space="0" w:color="auto"/>
            </w:tcBorders>
            <w:shd w:val="clear" w:color="auto" w:fill="auto"/>
            <w:vAlign w:val="bottom"/>
          </w:tcPr>
          <w:p w:rsidR="00000000" w:rsidRDefault="00000000">
            <w:pPr>
              <w:spacing w:before="40" w:after="40" w:line="220" w:lineRule="exact"/>
              <w:jc w:val="right"/>
              <w:rPr>
                <w:bCs/>
                <w:sz w:val="18"/>
                <w:szCs w:val="18"/>
              </w:rPr>
            </w:pPr>
            <w:r>
              <w:rPr>
                <w:bCs/>
                <w:sz w:val="18"/>
                <w:szCs w:val="18"/>
              </w:rPr>
              <w:t>2 160</w:t>
            </w:r>
          </w:p>
        </w:tc>
        <w:tc>
          <w:tcPr>
            <w:tcW w:w="1188" w:type="dxa"/>
            <w:tcBorders>
              <w:top w:val="single" w:sz="12" w:space="0" w:color="auto"/>
            </w:tcBorders>
            <w:shd w:val="clear" w:color="auto" w:fill="auto"/>
            <w:vAlign w:val="bottom"/>
          </w:tcPr>
          <w:p w:rsidR="00000000" w:rsidRDefault="00000000">
            <w:pPr>
              <w:spacing w:before="40" w:after="40" w:line="220" w:lineRule="exact"/>
              <w:jc w:val="right"/>
              <w:rPr>
                <w:bCs/>
                <w:sz w:val="18"/>
                <w:szCs w:val="18"/>
              </w:rPr>
            </w:pPr>
            <w:r>
              <w:rPr>
                <w:bCs/>
                <w:sz w:val="18"/>
                <w:szCs w:val="18"/>
              </w:rPr>
              <w:t>-12,7</w:t>
            </w:r>
          </w:p>
        </w:tc>
        <w:tc>
          <w:tcPr>
            <w:tcW w:w="851" w:type="dxa"/>
            <w:tcBorders>
              <w:top w:val="single" w:sz="12" w:space="0" w:color="auto"/>
            </w:tcBorders>
            <w:shd w:val="clear" w:color="auto" w:fill="auto"/>
            <w:vAlign w:val="bottom"/>
          </w:tcPr>
          <w:p w:rsidR="00000000" w:rsidRDefault="00000000">
            <w:pPr>
              <w:spacing w:before="40" w:after="40" w:line="220" w:lineRule="exact"/>
              <w:jc w:val="right"/>
              <w:rPr>
                <w:bCs/>
                <w:sz w:val="18"/>
                <w:szCs w:val="18"/>
              </w:rPr>
            </w:pPr>
            <w:r>
              <w:rPr>
                <w:bCs/>
                <w:sz w:val="18"/>
                <w:szCs w:val="18"/>
              </w:rPr>
              <w:t>15,2</w:t>
            </w:r>
          </w:p>
        </w:tc>
      </w:tr>
      <w:tr w:rsidR="00000000">
        <w:tc>
          <w:tcPr>
            <w:tcW w:w="680" w:type="dxa"/>
            <w:shd w:val="clear" w:color="auto" w:fill="auto"/>
            <w:vAlign w:val="bottom"/>
          </w:tcPr>
          <w:p w:rsidR="00000000" w:rsidRDefault="00000000">
            <w:pPr>
              <w:spacing w:before="40" w:after="40" w:line="220" w:lineRule="exact"/>
              <w:rPr>
                <w:bCs/>
                <w:sz w:val="18"/>
                <w:szCs w:val="18"/>
              </w:rPr>
            </w:pPr>
            <w:r>
              <w:rPr>
                <w:bCs/>
                <w:sz w:val="18"/>
                <w:szCs w:val="18"/>
              </w:rPr>
              <w:t>2003</w:t>
            </w:r>
          </w:p>
        </w:tc>
        <w:tc>
          <w:tcPr>
            <w:tcW w:w="1304" w:type="dxa"/>
            <w:shd w:val="clear" w:color="auto" w:fill="auto"/>
            <w:vAlign w:val="bottom"/>
          </w:tcPr>
          <w:p w:rsidR="00000000" w:rsidRDefault="00000000">
            <w:pPr>
              <w:spacing w:before="40" w:after="40" w:line="220" w:lineRule="exact"/>
              <w:jc w:val="right"/>
              <w:rPr>
                <w:bCs/>
                <w:sz w:val="18"/>
                <w:szCs w:val="18"/>
              </w:rPr>
            </w:pPr>
            <w:r>
              <w:rPr>
                <w:bCs/>
                <w:sz w:val="18"/>
                <w:szCs w:val="18"/>
              </w:rPr>
              <w:t>6 777</w:t>
            </w:r>
          </w:p>
        </w:tc>
        <w:tc>
          <w:tcPr>
            <w:tcW w:w="1304" w:type="dxa"/>
            <w:shd w:val="clear" w:color="auto" w:fill="auto"/>
            <w:vAlign w:val="bottom"/>
          </w:tcPr>
          <w:p w:rsidR="00000000" w:rsidRDefault="00000000">
            <w:pPr>
              <w:spacing w:before="40" w:after="40" w:line="220" w:lineRule="exact"/>
              <w:jc w:val="right"/>
              <w:rPr>
                <w:bCs/>
                <w:sz w:val="18"/>
                <w:szCs w:val="18"/>
              </w:rPr>
            </w:pPr>
            <w:r>
              <w:rPr>
                <w:bCs/>
                <w:sz w:val="18"/>
                <w:szCs w:val="18"/>
              </w:rPr>
              <w:t>33 885</w:t>
            </w:r>
          </w:p>
        </w:tc>
        <w:tc>
          <w:tcPr>
            <w:tcW w:w="1871" w:type="dxa"/>
            <w:shd w:val="clear" w:color="auto" w:fill="auto"/>
            <w:vAlign w:val="bottom"/>
          </w:tcPr>
          <w:p w:rsidR="00000000" w:rsidRDefault="00000000">
            <w:pPr>
              <w:spacing w:before="40" w:after="40" w:line="220" w:lineRule="exact"/>
              <w:jc w:val="right"/>
              <w:rPr>
                <w:bCs/>
                <w:sz w:val="18"/>
                <w:szCs w:val="18"/>
              </w:rPr>
            </w:pPr>
            <w:r>
              <w:rPr>
                <w:bCs/>
                <w:sz w:val="18"/>
                <w:szCs w:val="18"/>
              </w:rPr>
              <w:t>474</w:t>
            </w:r>
          </w:p>
        </w:tc>
        <w:tc>
          <w:tcPr>
            <w:tcW w:w="1307" w:type="dxa"/>
            <w:shd w:val="clear" w:color="auto" w:fill="auto"/>
            <w:vAlign w:val="bottom"/>
          </w:tcPr>
          <w:p w:rsidR="00000000" w:rsidRDefault="00000000">
            <w:pPr>
              <w:spacing w:before="40" w:after="40" w:line="220" w:lineRule="exact"/>
              <w:jc w:val="right"/>
              <w:rPr>
                <w:bCs/>
                <w:sz w:val="18"/>
                <w:szCs w:val="18"/>
              </w:rPr>
            </w:pPr>
            <w:r>
              <w:rPr>
                <w:bCs/>
                <w:sz w:val="18"/>
                <w:szCs w:val="18"/>
              </w:rPr>
              <w:t>2 370</w:t>
            </w:r>
          </w:p>
        </w:tc>
        <w:tc>
          <w:tcPr>
            <w:tcW w:w="1188" w:type="dxa"/>
            <w:shd w:val="clear" w:color="auto" w:fill="auto"/>
            <w:vAlign w:val="bottom"/>
          </w:tcPr>
          <w:p w:rsidR="00000000" w:rsidRDefault="00000000">
            <w:pPr>
              <w:spacing w:before="40" w:after="40" w:line="220" w:lineRule="exact"/>
              <w:jc w:val="right"/>
              <w:rPr>
                <w:bCs/>
                <w:sz w:val="18"/>
                <w:szCs w:val="18"/>
              </w:rPr>
            </w:pPr>
            <w:r>
              <w:rPr>
                <w:bCs/>
                <w:sz w:val="18"/>
                <w:szCs w:val="18"/>
              </w:rPr>
              <w:t>9,8</w:t>
            </w:r>
          </w:p>
        </w:tc>
        <w:tc>
          <w:tcPr>
            <w:tcW w:w="851" w:type="dxa"/>
            <w:shd w:val="clear" w:color="auto" w:fill="auto"/>
            <w:vAlign w:val="bottom"/>
          </w:tcPr>
          <w:p w:rsidR="00000000" w:rsidRDefault="00000000">
            <w:pPr>
              <w:spacing w:before="40" w:after="40" w:line="220" w:lineRule="exact"/>
              <w:jc w:val="right"/>
              <w:rPr>
                <w:bCs/>
                <w:sz w:val="18"/>
                <w:szCs w:val="18"/>
              </w:rPr>
            </w:pPr>
            <w:r>
              <w:rPr>
                <w:bCs/>
                <w:sz w:val="18"/>
                <w:szCs w:val="18"/>
              </w:rPr>
              <w:t>2,8</w:t>
            </w:r>
          </w:p>
        </w:tc>
      </w:tr>
      <w:tr w:rsidR="00000000">
        <w:tc>
          <w:tcPr>
            <w:tcW w:w="680" w:type="dxa"/>
            <w:shd w:val="clear" w:color="auto" w:fill="auto"/>
            <w:vAlign w:val="bottom"/>
          </w:tcPr>
          <w:p w:rsidR="00000000" w:rsidRDefault="00000000">
            <w:pPr>
              <w:spacing w:before="40" w:after="40" w:line="220" w:lineRule="exact"/>
              <w:rPr>
                <w:bCs/>
                <w:sz w:val="18"/>
                <w:szCs w:val="18"/>
              </w:rPr>
            </w:pPr>
            <w:r>
              <w:rPr>
                <w:bCs/>
                <w:sz w:val="18"/>
                <w:szCs w:val="18"/>
              </w:rPr>
              <w:t>2004</w:t>
            </w:r>
          </w:p>
        </w:tc>
        <w:tc>
          <w:tcPr>
            <w:tcW w:w="1304" w:type="dxa"/>
            <w:shd w:val="clear" w:color="auto" w:fill="auto"/>
            <w:vAlign w:val="bottom"/>
          </w:tcPr>
          <w:p w:rsidR="00000000" w:rsidRDefault="00000000">
            <w:pPr>
              <w:spacing w:before="40" w:after="40" w:line="220" w:lineRule="exact"/>
              <w:jc w:val="right"/>
              <w:rPr>
                <w:bCs/>
                <w:sz w:val="18"/>
                <w:szCs w:val="18"/>
              </w:rPr>
            </w:pPr>
            <w:r>
              <w:rPr>
                <w:bCs/>
                <w:sz w:val="18"/>
                <w:szCs w:val="18"/>
              </w:rPr>
              <w:t>8 156</w:t>
            </w:r>
          </w:p>
        </w:tc>
        <w:tc>
          <w:tcPr>
            <w:tcW w:w="1304" w:type="dxa"/>
            <w:shd w:val="clear" w:color="auto" w:fill="auto"/>
            <w:vAlign w:val="bottom"/>
          </w:tcPr>
          <w:p w:rsidR="00000000" w:rsidRDefault="00000000">
            <w:pPr>
              <w:spacing w:before="40" w:after="40" w:line="220" w:lineRule="exact"/>
              <w:jc w:val="right"/>
              <w:rPr>
                <w:bCs/>
                <w:sz w:val="18"/>
                <w:szCs w:val="18"/>
              </w:rPr>
            </w:pPr>
            <w:r>
              <w:rPr>
                <w:bCs/>
                <w:sz w:val="18"/>
                <w:szCs w:val="18"/>
              </w:rPr>
              <w:t>40 778</w:t>
            </w:r>
          </w:p>
        </w:tc>
        <w:tc>
          <w:tcPr>
            <w:tcW w:w="1871" w:type="dxa"/>
            <w:shd w:val="clear" w:color="auto" w:fill="auto"/>
            <w:vAlign w:val="bottom"/>
          </w:tcPr>
          <w:p w:rsidR="00000000" w:rsidRDefault="00000000">
            <w:pPr>
              <w:spacing w:before="40" w:after="40" w:line="220" w:lineRule="exact"/>
              <w:jc w:val="right"/>
              <w:rPr>
                <w:bCs/>
                <w:sz w:val="18"/>
                <w:szCs w:val="18"/>
              </w:rPr>
            </w:pPr>
            <w:r>
              <w:rPr>
                <w:bCs/>
                <w:sz w:val="18"/>
                <w:szCs w:val="18"/>
              </w:rPr>
              <w:t>499</w:t>
            </w:r>
          </w:p>
        </w:tc>
        <w:tc>
          <w:tcPr>
            <w:tcW w:w="1307" w:type="dxa"/>
            <w:shd w:val="clear" w:color="auto" w:fill="auto"/>
            <w:vAlign w:val="bottom"/>
          </w:tcPr>
          <w:p w:rsidR="00000000" w:rsidRDefault="00000000">
            <w:pPr>
              <w:spacing w:before="40" w:after="40" w:line="220" w:lineRule="exact"/>
              <w:jc w:val="right"/>
              <w:rPr>
                <w:bCs/>
                <w:sz w:val="18"/>
                <w:szCs w:val="18"/>
              </w:rPr>
            </w:pPr>
            <w:r>
              <w:rPr>
                <w:bCs/>
                <w:sz w:val="18"/>
                <w:szCs w:val="18"/>
              </w:rPr>
              <w:t>2 494</w:t>
            </w:r>
          </w:p>
        </w:tc>
        <w:tc>
          <w:tcPr>
            <w:tcW w:w="1188" w:type="dxa"/>
            <w:shd w:val="clear" w:color="auto" w:fill="auto"/>
            <w:vAlign w:val="bottom"/>
          </w:tcPr>
          <w:p w:rsidR="00000000" w:rsidRDefault="00000000">
            <w:pPr>
              <w:spacing w:before="40" w:after="40" w:line="220" w:lineRule="exact"/>
              <w:jc w:val="right"/>
              <w:rPr>
                <w:bCs/>
                <w:sz w:val="18"/>
                <w:szCs w:val="18"/>
              </w:rPr>
            </w:pPr>
            <w:r>
              <w:rPr>
                <w:bCs/>
                <w:sz w:val="18"/>
                <w:szCs w:val="18"/>
              </w:rPr>
              <w:t>5,3</w:t>
            </w:r>
          </w:p>
        </w:tc>
        <w:tc>
          <w:tcPr>
            <w:tcW w:w="851" w:type="dxa"/>
            <w:shd w:val="clear" w:color="auto" w:fill="auto"/>
            <w:vAlign w:val="bottom"/>
          </w:tcPr>
          <w:p w:rsidR="00000000" w:rsidRDefault="00000000">
            <w:pPr>
              <w:spacing w:before="40" w:after="40" w:line="220" w:lineRule="exact"/>
              <w:jc w:val="right"/>
              <w:rPr>
                <w:bCs/>
                <w:sz w:val="18"/>
                <w:szCs w:val="18"/>
              </w:rPr>
            </w:pPr>
            <w:r>
              <w:rPr>
                <w:bCs/>
                <w:sz w:val="18"/>
                <w:szCs w:val="18"/>
              </w:rPr>
              <w:t>13,8</w:t>
            </w:r>
          </w:p>
        </w:tc>
      </w:tr>
      <w:tr w:rsidR="00000000">
        <w:tc>
          <w:tcPr>
            <w:tcW w:w="680" w:type="dxa"/>
            <w:shd w:val="clear" w:color="auto" w:fill="auto"/>
            <w:vAlign w:val="bottom"/>
          </w:tcPr>
          <w:p w:rsidR="00000000" w:rsidRDefault="00000000">
            <w:pPr>
              <w:spacing w:before="40" w:after="40" w:line="220" w:lineRule="exact"/>
              <w:rPr>
                <w:bCs/>
                <w:sz w:val="18"/>
                <w:szCs w:val="18"/>
              </w:rPr>
            </w:pPr>
            <w:r>
              <w:rPr>
                <w:bCs/>
                <w:sz w:val="18"/>
                <w:szCs w:val="18"/>
              </w:rPr>
              <w:t>2005</w:t>
            </w:r>
          </w:p>
        </w:tc>
        <w:tc>
          <w:tcPr>
            <w:tcW w:w="1304" w:type="dxa"/>
            <w:shd w:val="clear" w:color="auto" w:fill="auto"/>
            <w:vAlign w:val="bottom"/>
          </w:tcPr>
          <w:p w:rsidR="00000000" w:rsidRDefault="00000000">
            <w:pPr>
              <w:spacing w:before="40" w:after="40" w:line="220" w:lineRule="exact"/>
              <w:jc w:val="right"/>
              <w:rPr>
                <w:bCs/>
                <w:sz w:val="18"/>
                <w:szCs w:val="18"/>
              </w:rPr>
            </w:pPr>
            <w:r>
              <w:rPr>
                <w:bCs/>
                <w:sz w:val="18"/>
                <w:szCs w:val="18"/>
              </w:rPr>
              <w:t>10 095</w:t>
            </w:r>
          </w:p>
        </w:tc>
        <w:tc>
          <w:tcPr>
            <w:tcW w:w="1304" w:type="dxa"/>
            <w:shd w:val="clear" w:color="auto" w:fill="auto"/>
            <w:vAlign w:val="bottom"/>
          </w:tcPr>
          <w:p w:rsidR="00000000" w:rsidRDefault="00000000">
            <w:pPr>
              <w:spacing w:before="40" w:after="40" w:line="220" w:lineRule="exact"/>
              <w:jc w:val="right"/>
              <w:rPr>
                <w:bCs/>
                <w:sz w:val="18"/>
                <w:szCs w:val="18"/>
              </w:rPr>
            </w:pPr>
            <w:r>
              <w:rPr>
                <w:bCs/>
                <w:sz w:val="18"/>
                <w:szCs w:val="18"/>
              </w:rPr>
              <w:t>50 476</w:t>
            </w:r>
          </w:p>
        </w:tc>
        <w:tc>
          <w:tcPr>
            <w:tcW w:w="1871" w:type="dxa"/>
            <w:shd w:val="clear" w:color="auto" w:fill="auto"/>
            <w:vAlign w:val="bottom"/>
          </w:tcPr>
          <w:p w:rsidR="00000000" w:rsidRDefault="00000000">
            <w:pPr>
              <w:spacing w:before="40" w:after="40" w:line="220" w:lineRule="exact"/>
              <w:jc w:val="right"/>
              <w:rPr>
                <w:bCs/>
                <w:sz w:val="18"/>
                <w:szCs w:val="18"/>
              </w:rPr>
            </w:pPr>
            <w:r>
              <w:rPr>
                <w:bCs/>
                <w:sz w:val="18"/>
                <w:szCs w:val="18"/>
              </w:rPr>
              <w:t>522</w:t>
            </w:r>
          </w:p>
        </w:tc>
        <w:tc>
          <w:tcPr>
            <w:tcW w:w="1307" w:type="dxa"/>
            <w:shd w:val="clear" w:color="auto" w:fill="auto"/>
            <w:vAlign w:val="bottom"/>
          </w:tcPr>
          <w:p w:rsidR="00000000" w:rsidRDefault="00000000">
            <w:pPr>
              <w:spacing w:before="40" w:after="40" w:line="220" w:lineRule="exact"/>
              <w:jc w:val="right"/>
              <w:rPr>
                <w:bCs/>
                <w:sz w:val="18"/>
                <w:szCs w:val="18"/>
              </w:rPr>
            </w:pPr>
            <w:r>
              <w:rPr>
                <w:bCs/>
                <w:sz w:val="18"/>
                <w:szCs w:val="18"/>
              </w:rPr>
              <w:t>2 609</w:t>
            </w:r>
          </w:p>
        </w:tc>
        <w:tc>
          <w:tcPr>
            <w:tcW w:w="1188" w:type="dxa"/>
            <w:shd w:val="clear" w:color="auto" w:fill="auto"/>
            <w:vAlign w:val="bottom"/>
          </w:tcPr>
          <w:p w:rsidR="00000000" w:rsidRDefault="00000000">
            <w:pPr>
              <w:spacing w:before="40" w:after="40" w:line="220" w:lineRule="exact"/>
              <w:jc w:val="right"/>
              <w:rPr>
                <w:bCs/>
                <w:sz w:val="18"/>
                <w:szCs w:val="18"/>
              </w:rPr>
            </w:pPr>
            <w:r>
              <w:rPr>
                <w:bCs/>
                <w:sz w:val="18"/>
                <w:szCs w:val="18"/>
              </w:rPr>
              <w:t>4,6</w:t>
            </w:r>
          </w:p>
        </w:tc>
        <w:tc>
          <w:tcPr>
            <w:tcW w:w="851" w:type="dxa"/>
            <w:shd w:val="clear" w:color="auto" w:fill="auto"/>
            <w:vAlign w:val="bottom"/>
          </w:tcPr>
          <w:p w:rsidR="00000000" w:rsidRDefault="00000000">
            <w:pPr>
              <w:spacing w:before="40" w:after="40" w:line="220" w:lineRule="exact"/>
              <w:jc w:val="right"/>
              <w:rPr>
                <w:bCs/>
                <w:sz w:val="18"/>
                <w:szCs w:val="18"/>
              </w:rPr>
            </w:pPr>
            <w:r>
              <w:rPr>
                <w:bCs/>
                <w:sz w:val="18"/>
                <w:szCs w:val="18"/>
              </w:rPr>
              <w:t>18,3</w:t>
            </w:r>
          </w:p>
        </w:tc>
      </w:tr>
      <w:tr w:rsidR="00000000">
        <w:tc>
          <w:tcPr>
            <w:tcW w:w="680" w:type="dxa"/>
            <w:shd w:val="clear" w:color="auto" w:fill="auto"/>
            <w:vAlign w:val="bottom"/>
          </w:tcPr>
          <w:p w:rsidR="00000000" w:rsidRDefault="00000000">
            <w:pPr>
              <w:spacing w:before="40" w:after="40" w:line="220" w:lineRule="exact"/>
              <w:rPr>
                <w:bCs/>
                <w:sz w:val="18"/>
                <w:szCs w:val="18"/>
              </w:rPr>
            </w:pPr>
            <w:r>
              <w:rPr>
                <w:bCs/>
                <w:sz w:val="18"/>
                <w:szCs w:val="18"/>
              </w:rPr>
              <w:t>2006</w:t>
            </w:r>
          </w:p>
        </w:tc>
        <w:tc>
          <w:tcPr>
            <w:tcW w:w="1304" w:type="dxa"/>
            <w:shd w:val="clear" w:color="auto" w:fill="auto"/>
            <w:vAlign w:val="bottom"/>
          </w:tcPr>
          <w:p w:rsidR="00000000" w:rsidRDefault="00000000">
            <w:pPr>
              <w:spacing w:before="40" w:after="40" w:line="220" w:lineRule="exact"/>
              <w:jc w:val="right"/>
              <w:rPr>
                <w:bCs/>
                <w:sz w:val="18"/>
                <w:szCs w:val="18"/>
              </w:rPr>
            </w:pPr>
            <w:r>
              <w:rPr>
                <w:bCs/>
                <w:sz w:val="18"/>
                <w:szCs w:val="18"/>
              </w:rPr>
              <w:t>11 781</w:t>
            </w:r>
          </w:p>
        </w:tc>
        <w:tc>
          <w:tcPr>
            <w:tcW w:w="1304" w:type="dxa"/>
            <w:shd w:val="clear" w:color="auto" w:fill="auto"/>
            <w:vAlign w:val="bottom"/>
          </w:tcPr>
          <w:p w:rsidR="00000000" w:rsidRDefault="00000000">
            <w:pPr>
              <w:spacing w:before="40" w:after="40" w:line="220" w:lineRule="exact"/>
              <w:jc w:val="right"/>
              <w:rPr>
                <w:bCs/>
                <w:sz w:val="18"/>
                <w:szCs w:val="18"/>
              </w:rPr>
            </w:pPr>
            <w:r>
              <w:rPr>
                <w:bCs/>
                <w:sz w:val="18"/>
                <w:szCs w:val="18"/>
              </w:rPr>
              <w:t>58 904</w:t>
            </w:r>
          </w:p>
        </w:tc>
        <w:tc>
          <w:tcPr>
            <w:tcW w:w="1871" w:type="dxa"/>
            <w:shd w:val="clear" w:color="auto" w:fill="auto"/>
            <w:vAlign w:val="bottom"/>
          </w:tcPr>
          <w:p w:rsidR="00000000" w:rsidRDefault="00000000">
            <w:pPr>
              <w:spacing w:before="40" w:after="40" w:line="220" w:lineRule="exact"/>
              <w:jc w:val="right"/>
              <w:rPr>
                <w:bCs/>
                <w:sz w:val="18"/>
                <w:szCs w:val="18"/>
              </w:rPr>
            </w:pPr>
            <w:r>
              <w:rPr>
                <w:bCs/>
                <w:sz w:val="18"/>
                <w:szCs w:val="18"/>
              </w:rPr>
              <w:t>547</w:t>
            </w:r>
          </w:p>
        </w:tc>
        <w:tc>
          <w:tcPr>
            <w:tcW w:w="1307" w:type="dxa"/>
            <w:shd w:val="clear" w:color="auto" w:fill="auto"/>
            <w:vAlign w:val="bottom"/>
          </w:tcPr>
          <w:p w:rsidR="00000000" w:rsidRDefault="00000000">
            <w:pPr>
              <w:spacing w:before="40" w:after="40" w:line="220" w:lineRule="exact"/>
              <w:jc w:val="right"/>
              <w:rPr>
                <w:bCs/>
                <w:sz w:val="18"/>
                <w:szCs w:val="18"/>
              </w:rPr>
            </w:pPr>
            <w:r>
              <w:rPr>
                <w:bCs/>
                <w:sz w:val="18"/>
                <w:szCs w:val="18"/>
              </w:rPr>
              <w:t>2 736</w:t>
            </w:r>
          </w:p>
        </w:tc>
        <w:tc>
          <w:tcPr>
            <w:tcW w:w="1188" w:type="dxa"/>
            <w:shd w:val="clear" w:color="auto" w:fill="auto"/>
            <w:vAlign w:val="bottom"/>
          </w:tcPr>
          <w:p w:rsidR="00000000" w:rsidRDefault="00000000">
            <w:pPr>
              <w:spacing w:before="40" w:after="40" w:line="220" w:lineRule="exact"/>
              <w:jc w:val="right"/>
              <w:rPr>
                <w:bCs/>
                <w:sz w:val="18"/>
                <w:szCs w:val="18"/>
              </w:rPr>
            </w:pPr>
            <w:r>
              <w:rPr>
                <w:bCs/>
                <w:sz w:val="18"/>
                <w:szCs w:val="18"/>
              </w:rPr>
              <w:t>4,9</w:t>
            </w:r>
          </w:p>
        </w:tc>
        <w:tc>
          <w:tcPr>
            <w:tcW w:w="851" w:type="dxa"/>
            <w:shd w:val="clear" w:color="auto" w:fill="auto"/>
            <w:vAlign w:val="bottom"/>
          </w:tcPr>
          <w:p w:rsidR="00000000" w:rsidRDefault="00000000">
            <w:pPr>
              <w:spacing w:before="40" w:after="40" w:line="220" w:lineRule="exact"/>
              <w:jc w:val="right"/>
              <w:rPr>
                <w:bCs/>
                <w:sz w:val="18"/>
                <w:szCs w:val="18"/>
              </w:rPr>
            </w:pPr>
            <w:r>
              <w:rPr>
                <w:bCs/>
                <w:sz w:val="18"/>
                <w:szCs w:val="18"/>
              </w:rPr>
              <w:t>11,5</w:t>
            </w:r>
          </w:p>
        </w:tc>
      </w:tr>
      <w:tr w:rsidR="00000000">
        <w:tc>
          <w:tcPr>
            <w:tcW w:w="680" w:type="dxa"/>
            <w:tcBorders>
              <w:bottom w:val="single" w:sz="12" w:space="0" w:color="auto"/>
            </w:tcBorders>
            <w:shd w:val="clear" w:color="auto" w:fill="auto"/>
            <w:vAlign w:val="bottom"/>
          </w:tcPr>
          <w:p w:rsidR="00000000" w:rsidRDefault="00000000">
            <w:pPr>
              <w:spacing w:before="40" w:after="40" w:line="220" w:lineRule="exact"/>
              <w:rPr>
                <w:bCs/>
                <w:sz w:val="18"/>
                <w:szCs w:val="18"/>
              </w:rPr>
            </w:pPr>
            <w:r>
              <w:rPr>
                <w:bCs/>
                <w:sz w:val="18"/>
                <w:szCs w:val="18"/>
              </w:rPr>
              <w:t>2007</w:t>
            </w:r>
          </w:p>
        </w:tc>
        <w:tc>
          <w:tcPr>
            <w:tcW w:w="1304" w:type="dxa"/>
            <w:tcBorders>
              <w:bottom w:val="single" w:sz="12" w:space="0" w:color="auto"/>
            </w:tcBorders>
            <w:shd w:val="clear" w:color="auto" w:fill="auto"/>
            <w:vAlign w:val="bottom"/>
          </w:tcPr>
          <w:p w:rsidR="00000000" w:rsidRDefault="00000000">
            <w:pPr>
              <w:spacing w:before="40" w:after="40" w:line="220" w:lineRule="exact"/>
              <w:jc w:val="right"/>
              <w:rPr>
                <w:bCs/>
                <w:sz w:val="18"/>
                <w:szCs w:val="18"/>
              </w:rPr>
            </w:pPr>
            <w:r>
              <w:rPr>
                <w:bCs/>
                <w:sz w:val="18"/>
                <w:szCs w:val="18"/>
              </w:rPr>
              <w:t>13 899</w:t>
            </w:r>
          </w:p>
        </w:tc>
        <w:tc>
          <w:tcPr>
            <w:tcW w:w="1304" w:type="dxa"/>
            <w:tcBorders>
              <w:bottom w:val="single" w:sz="12" w:space="0" w:color="auto"/>
            </w:tcBorders>
            <w:shd w:val="clear" w:color="auto" w:fill="auto"/>
            <w:vAlign w:val="bottom"/>
          </w:tcPr>
          <w:p w:rsidR="00000000" w:rsidRDefault="00000000">
            <w:pPr>
              <w:spacing w:before="40" w:after="40" w:line="220" w:lineRule="exact"/>
              <w:jc w:val="right"/>
              <w:rPr>
                <w:bCs/>
                <w:sz w:val="18"/>
                <w:szCs w:val="18"/>
              </w:rPr>
            </w:pPr>
            <w:r>
              <w:rPr>
                <w:bCs/>
                <w:sz w:val="18"/>
                <w:szCs w:val="18"/>
              </w:rPr>
              <w:t>69 495</w:t>
            </w:r>
          </w:p>
        </w:tc>
        <w:tc>
          <w:tcPr>
            <w:tcW w:w="1871" w:type="dxa"/>
            <w:tcBorders>
              <w:bottom w:val="single" w:sz="12" w:space="0" w:color="auto"/>
            </w:tcBorders>
            <w:shd w:val="clear" w:color="auto" w:fill="auto"/>
            <w:vAlign w:val="bottom"/>
          </w:tcPr>
          <w:p w:rsidR="00000000" w:rsidRDefault="00000000">
            <w:pPr>
              <w:spacing w:before="40" w:after="40" w:line="220" w:lineRule="exact"/>
              <w:jc w:val="right"/>
              <w:rPr>
                <w:bCs/>
                <w:sz w:val="18"/>
                <w:szCs w:val="18"/>
              </w:rPr>
            </w:pPr>
            <w:r>
              <w:rPr>
                <w:bCs/>
                <w:sz w:val="18"/>
                <w:szCs w:val="18"/>
              </w:rPr>
              <w:t>583</w:t>
            </w:r>
          </w:p>
        </w:tc>
        <w:tc>
          <w:tcPr>
            <w:tcW w:w="1307" w:type="dxa"/>
            <w:tcBorders>
              <w:bottom w:val="single" w:sz="12" w:space="0" w:color="auto"/>
            </w:tcBorders>
            <w:shd w:val="clear" w:color="auto" w:fill="auto"/>
            <w:vAlign w:val="bottom"/>
          </w:tcPr>
          <w:p w:rsidR="00000000" w:rsidRDefault="00000000">
            <w:pPr>
              <w:spacing w:before="40" w:after="40" w:line="220" w:lineRule="exact"/>
              <w:jc w:val="right"/>
              <w:rPr>
                <w:bCs/>
                <w:sz w:val="18"/>
                <w:szCs w:val="18"/>
              </w:rPr>
            </w:pPr>
            <w:r>
              <w:rPr>
                <w:bCs/>
                <w:sz w:val="18"/>
                <w:szCs w:val="18"/>
              </w:rPr>
              <w:t>2 913</w:t>
            </w:r>
          </w:p>
        </w:tc>
        <w:tc>
          <w:tcPr>
            <w:tcW w:w="1188" w:type="dxa"/>
            <w:tcBorders>
              <w:bottom w:val="single" w:sz="12" w:space="0" w:color="auto"/>
            </w:tcBorders>
            <w:shd w:val="clear" w:color="auto" w:fill="auto"/>
            <w:vAlign w:val="bottom"/>
          </w:tcPr>
          <w:p w:rsidR="00000000" w:rsidRDefault="00000000">
            <w:pPr>
              <w:spacing w:before="40" w:after="40" w:line="220" w:lineRule="exact"/>
              <w:jc w:val="right"/>
              <w:rPr>
                <w:bCs/>
                <w:sz w:val="18"/>
                <w:szCs w:val="18"/>
              </w:rPr>
            </w:pPr>
            <w:r>
              <w:rPr>
                <w:bCs/>
                <w:sz w:val="18"/>
                <w:szCs w:val="18"/>
              </w:rPr>
              <w:t>6,3</w:t>
            </w:r>
          </w:p>
        </w:tc>
        <w:tc>
          <w:tcPr>
            <w:tcW w:w="851" w:type="dxa"/>
            <w:tcBorders>
              <w:bottom w:val="single" w:sz="12" w:space="0" w:color="auto"/>
            </w:tcBorders>
            <w:shd w:val="clear" w:color="auto" w:fill="auto"/>
            <w:vAlign w:val="bottom"/>
          </w:tcPr>
          <w:p w:rsidR="00000000" w:rsidRDefault="00000000">
            <w:pPr>
              <w:spacing w:before="40" w:after="40" w:line="220" w:lineRule="exact"/>
              <w:jc w:val="right"/>
              <w:rPr>
                <w:bCs/>
                <w:sz w:val="18"/>
                <w:szCs w:val="18"/>
              </w:rPr>
            </w:pPr>
            <w:r>
              <w:rPr>
                <w:bCs/>
                <w:sz w:val="18"/>
                <w:szCs w:val="18"/>
              </w:rPr>
              <w:t>10,7%</w:t>
            </w:r>
          </w:p>
        </w:tc>
      </w:tr>
    </w:tbl>
    <w:p w:rsidR="00000000" w:rsidRDefault="00000000">
      <w:pPr>
        <w:pStyle w:val="SingleTxtG"/>
        <w:spacing w:before="120" w:after="240"/>
        <w:rPr>
          <w:sz w:val="18"/>
          <w:szCs w:val="18"/>
          <w:lang w:val="fr-FR"/>
        </w:rPr>
      </w:pPr>
      <w:r>
        <w:rPr>
          <w:i/>
          <w:sz w:val="18"/>
          <w:szCs w:val="18"/>
          <w:lang w:val="fr-FR"/>
        </w:rPr>
        <w:t>Source</w:t>
      </w:r>
      <w:r>
        <w:rPr>
          <w:sz w:val="18"/>
          <w:szCs w:val="18"/>
          <w:lang w:val="fr-FR"/>
        </w:rPr>
        <w:t>: Direction des Synthèses Economiques, INSTAT.</w:t>
      </w:r>
    </w:p>
    <w:p w:rsidR="00000000" w:rsidRDefault="00000000">
      <w:pPr>
        <w:pStyle w:val="SingleTxtG"/>
        <w:spacing w:after="0"/>
        <w:rPr>
          <w:lang w:val="fr-FR"/>
        </w:rPr>
      </w:pPr>
      <w:r>
        <w:rPr>
          <w:lang w:val="fr-FR"/>
        </w:rPr>
        <w:t>Tableau 39</w:t>
      </w:r>
    </w:p>
    <w:p w:rsidR="00000000" w:rsidRDefault="00000000">
      <w:pPr>
        <w:pStyle w:val="SingleTxtG"/>
        <w:rPr>
          <w:b/>
          <w:lang w:val="fr-FR"/>
        </w:rPr>
      </w:pPr>
      <w:r>
        <w:rPr>
          <w:b/>
          <w:lang w:val="fr-FR"/>
        </w:rPr>
        <w:t xml:space="preserve">Valeur moyenne du taux de change à Madagascar de 2001 à 2008 </w:t>
      </w:r>
    </w:p>
    <w:tbl>
      <w:tblPr>
        <w:tblW w:w="7371" w:type="dxa"/>
        <w:tblInd w:w="1134" w:type="dxa"/>
        <w:tblCellMar>
          <w:left w:w="0" w:type="dxa"/>
          <w:right w:w="0" w:type="dxa"/>
        </w:tblCellMar>
        <w:tblLook w:val="01E0" w:firstRow="1" w:lastRow="1" w:firstColumn="1" w:lastColumn="1" w:noHBand="0" w:noVBand="0"/>
      </w:tblPr>
      <w:tblGrid>
        <w:gridCol w:w="1531"/>
        <w:gridCol w:w="1460"/>
        <w:gridCol w:w="1460"/>
        <w:gridCol w:w="60"/>
        <w:gridCol w:w="1400"/>
        <w:gridCol w:w="1460"/>
      </w:tblGrid>
      <w:tr w:rsidR="00000000">
        <w:tc>
          <w:tcPr>
            <w:tcW w:w="1531" w:type="dxa"/>
            <w:vMerge w:val="restart"/>
            <w:tcBorders>
              <w:top w:val="single" w:sz="4" w:space="0" w:color="auto"/>
              <w:bottom w:val="single" w:sz="12" w:space="0" w:color="auto"/>
            </w:tcBorders>
            <w:shd w:val="clear" w:color="auto" w:fill="auto"/>
            <w:vAlign w:val="bottom"/>
          </w:tcPr>
          <w:p w:rsidR="00000000" w:rsidRDefault="00000000">
            <w:pPr>
              <w:spacing w:before="80" w:after="80" w:line="200" w:lineRule="exact"/>
              <w:rPr>
                <w:bCs/>
                <w:i/>
                <w:sz w:val="16"/>
                <w:szCs w:val="16"/>
              </w:rPr>
            </w:pPr>
            <w:r>
              <w:rPr>
                <w:bCs/>
                <w:i/>
                <w:sz w:val="16"/>
                <w:szCs w:val="16"/>
              </w:rPr>
              <w:t>Années</w:t>
            </w:r>
          </w:p>
        </w:tc>
        <w:tc>
          <w:tcPr>
            <w:tcW w:w="2980" w:type="dxa"/>
            <w:gridSpan w:val="3"/>
            <w:tcBorders>
              <w:top w:val="single" w:sz="4" w:space="0" w:color="auto"/>
              <w:bottom w:val="single" w:sz="4" w:space="0" w:color="auto"/>
            </w:tcBorders>
            <w:shd w:val="clear" w:color="auto" w:fill="auto"/>
            <w:vAlign w:val="bottom"/>
          </w:tcPr>
          <w:p w:rsidR="00000000" w:rsidRDefault="00000000">
            <w:pPr>
              <w:spacing w:before="80" w:after="80" w:line="200" w:lineRule="exact"/>
              <w:jc w:val="center"/>
              <w:rPr>
                <w:bCs/>
                <w:i/>
                <w:sz w:val="16"/>
                <w:szCs w:val="16"/>
              </w:rPr>
            </w:pPr>
            <w:r>
              <w:rPr>
                <w:bCs/>
                <w:i/>
                <w:sz w:val="16"/>
                <w:szCs w:val="16"/>
              </w:rPr>
              <w:t>USD</w:t>
            </w:r>
          </w:p>
        </w:tc>
        <w:tc>
          <w:tcPr>
            <w:tcW w:w="2860" w:type="dxa"/>
            <w:gridSpan w:val="2"/>
            <w:tcBorders>
              <w:top w:val="single" w:sz="4" w:space="0" w:color="auto"/>
              <w:bottom w:val="single" w:sz="4" w:space="0" w:color="auto"/>
            </w:tcBorders>
            <w:shd w:val="clear" w:color="auto" w:fill="auto"/>
            <w:vAlign w:val="bottom"/>
          </w:tcPr>
          <w:p w:rsidR="00000000" w:rsidRDefault="00000000">
            <w:pPr>
              <w:spacing w:before="80" w:after="80" w:line="200" w:lineRule="exact"/>
              <w:jc w:val="center"/>
              <w:rPr>
                <w:bCs/>
                <w:i/>
                <w:sz w:val="16"/>
                <w:szCs w:val="16"/>
              </w:rPr>
            </w:pPr>
            <w:r>
              <w:rPr>
                <w:bCs/>
                <w:i/>
                <w:sz w:val="16"/>
                <w:szCs w:val="16"/>
              </w:rPr>
              <w:t>EURO</w:t>
            </w:r>
          </w:p>
        </w:tc>
      </w:tr>
      <w:tr w:rsidR="00000000">
        <w:trPr>
          <w:trHeight w:val="70"/>
        </w:trPr>
        <w:tc>
          <w:tcPr>
            <w:tcW w:w="1531" w:type="dxa"/>
            <w:vMerge/>
            <w:tcBorders>
              <w:top w:val="single" w:sz="4" w:space="0" w:color="auto"/>
              <w:bottom w:val="single" w:sz="12" w:space="0" w:color="auto"/>
            </w:tcBorders>
            <w:shd w:val="clear" w:color="auto" w:fill="auto"/>
            <w:vAlign w:val="bottom"/>
          </w:tcPr>
          <w:p w:rsidR="00000000" w:rsidRDefault="00000000">
            <w:pPr>
              <w:spacing w:before="80" w:after="80" w:line="200" w:lineRule="exact"/>
              <w:rPr>
                <w:bCs/>
                <w:i/>
                <w:sz w:val="16"/>
                <w:szCs w:val="16"/>
              </w:rPr>
            </w:pPr>
          </w:p>
        </w:tc>
        <w:tc>
          <w:tcPr>
            <w:tcW w:w="1460"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bCs/>
                <w:i/>
                <w:sz w:val="16"/>
                <w:szCs w:val="16"/>
              </w:rPr>
            </w:pPr>
            <w:r>
              <w:rPr>
                <w:bCs/>
                <w:i/>
                <w:sz w:val="16"/>
                <w:szCs w:val="16"/>
              </w:rPr>
              <w:t>Moyenne de la période</w:t>
            </w:r>
          </w:p>
        </w:tc>
        <w:tc>
          <w:tcPr>
            <w:tcW w:w="1460"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bCs/>
                <w:i/>
                <w:sz w:val="16"/>
                <w:szCs w:val="16"/>
              </w:rPr>
            </w:pPr>
            <w:r>
              <w:rPr>
                <w:bCs/>
                <w:i/>
                <w:sz w:val="16"/>
                <w:szCs w:val="16"/>
              </w:rPr>
              <w:t>Fin de période</w:t>
            </w:r>
          </w:p>
        </w:tc>
        <w:tc>
          <w:tcPr>
            <w:tcW w:w="1460" w:type="dxa"/>
            <w:gridSpan w:val="2"/>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bCs/>
                <w:i/>
                <w:sz w:val="16"/>
                <w:szCs w:val="16"/>
              </w:rPr>
            </w:pPr>
            <w:r>
              <w:rPr>
                <w:bCs/>
                <w:i/>
                <w:sz w:val="16"/>
                <w:szCs w:val="16"/>
              </w:rPr>
              <w:t>Moyenne de la période</w:t>
            </w:r>
          </w:p>
        </w:tc>
        <w:tc>
          <w:tcPr>
            <w:tcW w:w="1460"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bCs/>
                <w:i/>
                <w:sz w:val="16"/>
                <w:szCs w:val="16"/>
              </w:rPr>
            </w:pPr>
            <w:r>
              <w:rPr>
                <w:bCs/>
                <w:i/>
                <w:sz w:val="16"/>
                <w:szCs w:val="16"/>
              </w:rPr>
              <w:t>Fin de période</w:t>
            </w:r>
          </w:p>
        </w:tc>
      </w:tr>
      <w:tr w:rsidR="00000000">
        <w:tc>
          <w:tcPr>
            <w:tcW w:w="1531" w:type="dxa"/>
            <w:tcBorders>
              <w:top w:val="single" w:sz="12" w:space="0" w:color="auto"/>
            </w:tcBorders>
            <w:shd w:val="clear" w:color="auto" w:fill="auto"/>
            <w:vAlign w:val="bottom"/>
          </w:tcPr>
          <w:p w:rsidR="00000000" w:rsidRDefault="00000000">
            <w:pPr>
              <w:spacing w:before="40" w:after="40" w:line="220" w:lineRule="exact"/>
              <w:rPr>
                <w:bCs/>
                <w:sz w:val="18"/>
                <w:szCs w:val="18"/>
              </w:rPr>
            </w:pPr>
            <w:r>
              <w:rPr>
                <w:bCs/>
                <w:sz w:val="18"/>
                <w:szCs w:val="18"/>
              </w:rPr>
              <w:t>Moyennes 2003</w:t>
            </w:r>
          </w:p>
        </w:tc>
        <w:tc>
          <w:tcPr>
            <w:tcW w:w="1460" w:type="dxa"/>
            <w:tcBorders>
              <w:top w:val="single" w:sz="12" w:space="0" w:color="auto"/>
            </w:tcBorders>
            <w:shd w:val="clear" w:color="auto" w:fill="auto"/>
            <w:vAlign w:val="bottom"/>
          </w:tcPr>
          <w:p w:rsidR="00000000" w:rsidRDefault="00000000">
            <w:pPr>
              <w:spacing w:before="40" w:after="40" w:line="220" w:lineRule="exact"/>
              <w:jc w:val="right"/>
              <w:rPr>
                <w:bCs/>
                <w:sz w:val="18"/>
                <w:szCs w:val="18"/>
              </w:rPr>
            </w:pPr>
            <w:r>
              <w:rPr>
                <w:bCs/>
                <w:sz w:val="18"/>
                <w:szCs w:val="18"/>
              </w:rPr>
              <w:t>1 238</w:t>
            </w:r>
          </w:p>
        </w:tc>
        <w:tc>
          <w:tcPr>
            <w:tcW w:w="1460" w:type="dxa"/>
            <w:tcBorders>
              <w:top w:val="single" w:sz="12" w:space="0" w:color="auto"/>
            </w:tcBorders>
            <w:shd w:val="clear" w:color="auto" w:fill="auto"/>
            <w:vAlign w:val="bottom"/>
          </w:tcPr>
          <w:p w:rsidR="00000000" w:rsidRDefault="00000000">
            <w:pPr>
              <w:spacing w:before="40" w:after="40" w:line="220" w:lineRule="exact"/>
              <w:jc w:val="right"/>
              <w:rPr>
                <w:bCs/>
                <w:sz w:val="18"/>
                <w:szCs w:val="18"/>
              </w:rPr>
            </w:pPr>
            <w:r>
              <w:rPr>
                <w:bCs/>
                <w:sz w:val="18"/>
                <w:szCs w:val="18"/>
              </w:rPr>
              <w:t>1 239</w:t>
            </w:r>
          </w:p>
        </w:tc>
        <w:tc>
          <w:tcPr>
            <w:tcW w:w="1460" w:type="dxa"/>
            <w:gridSpan w:val="2"/>
            <w:tcBorders>
              <w:top w:val="single" w:sz="12" w:space="0" w:color="auto"/>
            </w:tcBorders>
            <w:shd w:val="clear" w:color="auto" w:fill="auto"/>
            <w:vAlign w:val="bottom"/>
          </w:tcPr>
          <w:p w:rsidR="00000000" w:rsidRDefault="00000000">
            <w:pPr>
              <w:spacing w:before="40" w:after="40" w:line="220" w:lineRule="exact"/>
              <w:jc w:val="right"/>
              <w:rPr>
                <w:bCs/>
                <w:sz w:val="18"/>
                <w:szCs w:val="18"/>
              </w:rPr>
            </w:pPr>
            <w:r>
              <w:rPr>
                <w:bCs/>
                <w:sz w:val="18"/>
                <w:szCs w:val="18"/>
              </w:rPr>
              <w:t>1 399</w:t>
            </w:r>
          </w:p>
        </w:tc>
        <w:tc>
          <w:tcPr>
            <w:tcW w:w="1460" w:type="dxa"/>
            <w:tcBorders>
              <w:top w:val="single" w:sz="12" w:space="0" w:color="auto"/>
            </w:tcBorders>
            <w:shd w:val="clear" w:color="auto" w:fill="auto"/>
            <w:vAlign w:val="bottom"/>
          </w:tcPr>
          <w:p w:rsidR="00000000" w:rsidRDefault="00000000">
            <w:pPr>
              <w:spacing w:before="40" w:after="40" w:line="220" w:lineRule="exact"/>
              <w:jc w:val="right"/>
              <w:rPr>
                <w:bCs/>
                <w:sz w:val="18"/>
                <w:szCs w:val="18"/>
              </w:rPr>
            </w:pPr>
            <w:r>
              <w:rPr>
                <w:bCs/>
                <w:sz w:val="18"/>
                <w:szCs w:val="18"/>
              </w:rPr>
              <w:t>1 409</w:t>
            </w:r>
          </w:p>
        </w:tc>
      </w:tr>
      <w:tr w:rsidR="00000000">
        <w:tc>
          <w:tcPr>
            <w:tcW w:w="1531" w:type="dxa"/>
            <w:shd w:val="clear" w:color="auto" w:fill="auto"/>
            <w:vAlign w:val="bottom"/>
          </w:tcPr>
          <w:p w:rsidR="00000000" w:rsidRDefault="00000000">
            <w:pPr>
              <w:spacing w:before="40" w:after="40" w:line="220" w:lineRule="exact"/>
              <w:rPr>
                <w:bCs/>
                <w:sz w:val="18"/>
                <w:szCs w:val="18"/>
              </w:rPr>
            </w:pPr>
            <w:r>
              <w:rPr>
                <w:bCs/>
                <w:sz w:val="18"/>
                <w:szCs w:val="18"/>
              </w:rPr>
              <w:t>Moyennes 2004</w:t>
            </w:r>
          </w:p>
        </w:tc>
        <w:tc>
          <w:tcPr>
            <w:tcW w:w="1460" w:type="dxa"/>
            <w:shd w:val="clear" w:color="auto" w:fill="auto"/>
            <w:vAlign w:val="bottom"/>
          </w:tcPr>
          <w:p w:rsidR="00000000" w:rsidRDefault="00000000">
            <w:pPr>
              <w:spacing w:before="40" w:after="40" w:line="220" w:lineRule="exact"/>
              <w:jc w:val="right"/>
              <w:rPr>
                <w:bCs/>
                <w:sz w:val="18"/>
                <w:szCs w:val="18"/>
              </w:rPr>
            </w:pPr>
            <w:r>
              <w:rPr>
                <w:bCs/>
                <w:sz w:val="18"/>
                <w:szCs w:val="18"/>
              </w:rPr>
              <w:t>1 868</w:t>
            </w:r>
          </w:p>
        </w:tc>
        <w:tc>
          <w:tcPr>
            <w:tcW w:w="1460" w:type="dxa"/>
            <w:shd w:val="clear" w:color="auto" w:fill="auto"/>
            <w:vAlign w:val="bottom"/>
          </w:tcPr>
          <w:p w:rsidR="00000000" w:rsidRDefault="00000000">
            <w:pPr>
              <w:spacing w:before="40" w:after="40" w:line="220" w:lineRule="exact"/>
              <w:jc w:val="right"/>
              <w:rPr>
                <w:bCs/>
                <w:sz w:val="18"/>
                <w:szCs w:val="18"/>
              </w:rPr>
            </w:pPr>
            <w:r>
              <w:rPr>
                <w:bCs/>
                <w:sz w:val="18"/>
                <w:szCs w:val="18"/>
              </w:rPr>
              <w:t>1 900</w:t>
            </w:r>
          </w:p>
        </w:tc>
        <w:tc>
          <w:tcPr>
            <w:tcW w:w="1460" w:type="dxa"/>
            <w:gridSpan w:val="2"/>
            <w:shd w:val="clear" w:color="auto" w:fill="auto"/>
            <w:vAlign w:val="bottom"/>
          </w:tcPr>
          <w:p w:rsidR="00000000" w:rsidRDefault="00000000">
            <w:pPr>
              <w:spacing w:before="40" w:after="40" w:line="220" w:lineRule="exact"/>
              <w:jc w:val="right"/>
              <w:rPr>
                <w:bCs/>
                <w:sz w:val="18"/>
                <w:szCs w:val="18"/>
              </w:rPr>
            </w:pPr>
            <w:r>
              <w:rPr>
                <w:bCs/>
                <w:sz w:val="18"/>
                <w:szCs w:val="18"/>
              </w:rPr>
              <w:t>2 320</w:t>
            </w:r>
          </w:p>
        </w:tc>
        <w:tc>
          <w:tcPr>
            <w:tcW w:w="1460" w:type="dxa"/>
            <w:shd w:val="clear" w:color="auto" w:fill="auto"/>
            <w:vAlign w:val="bottom"/>
          </w:tcPr>
          <w:p w:rsidR="00000000" w:rsidRDefault="00000000">
            <w:pPr>
              <w:spacing w:before="40" w:after="40" w:line="220" w:lineRule="exact"/>
              <w:jc w:val="right"/>
              <w:rPr>
                <w:bCs/>
                <w:sz w:val="18"/>
                <w:szCs w:val="18"/>
              </w:rPr>
            </w:pPr>
            <w:r>
              <w:rPr>
                <w:bCs/>
                <w:sz w:val="18"/>
                <w:szCs w:val="18"/>
              </w:rPr>
              <w:t>2 364</w:t>
            </w:r>
          </w:p>
        </w:tc>
      </w:tr>
      <w:tr w:rsidR="00000000">
        <w:tc>
          <w:tcPr>
            <w:tcW w:w="1531" w:type="dxa"/>
            <w:shd w:val="clear" w:color="auto" w:fill="auto"/>
            <w:vAlign w:val="bottom"/>
          </w:tcPr>
          <w:p w:rsidR="00000000" w:rsidRDefault="00000000">
            <w:pPr>
              <w:spacing w:before="40" w:after="40" w:line="220" w:lineRule="exact"/>
              <w:rPr>
                <w:bCs/>
                <w:sz w:val="18"/>
                <w:szCs w:val="18"/>
              </w:rPr>
            </w:pPr>
            <w:r>
              <w:rPr>
                <w:bCs/>
                <w:sz w:val="18"/>
                <w:szCs w:val="18"/>
              </w:rPr>
              <w:t>Moyennes 2005</w:t>
            </w:r>
          </w:p>
        </w:tc>
        <w:tc>
          <w:tcPr>
            <w:tcW w:w="1460" w:type="dxa"/>
            <w:shd w:val="clear" w:color="auto" w:fill="auto"/>
            <w:vAlign w:val="bottom"/>
          </w:tcPr>
          <w:p w:rsidR="00000000" w:rsidRDefault="00000000">
            <w:pPr>
              <w:spacing w:before="40" w:after="40" w:line="220" w:lineRule="exact"/>
              <w:jc w:val="right"/>
              <w:rPr>
                <w:bCs/>
                <w:sz w:val="18"/>
                <w:szCs w:val="18"/>
              </w:rPr>
            </w:pPr>
            <w:r>
              <w:rPr>
                <w:bCs/>
                <w:sz w:val="18"/>
                <w:szCs w:val="18"/>
              </w:rPr>
              <w:t>2 003</w:t>
            </w:r>
          </w:p>
        </w:tc>
        <w:tc>
          <w:tcPr>
            <w:tcW w:w="1460" w:type="dxa"/>
            <w:shd w:val="clear" w:color="auto" w:fill="auto"/>
            <w:vAlign w:val="bottom"/>
          </w:tcPr>
          <w:p w:rsidR="00000000" w:rsidRDefault="00000000">
            <w:pPr>
              <w:spacing w:before="40" w:after="40" w:line="220" w:lineRule="exact"/>
              <w:jc w:val="right"/>
              <w:rPr>
                <w:bCs/>
                <w:sz w:val="18"/>
                <w:szCs w:val="18"/>
              </w:rPr>
            </w:pPr>
            <w:r>
              <w:rPr>
                <w:bCs/>
                <w:sz w:val="18"/>
                <w:szCs w:val="18"/>
              </w:rPr>
              <w:t>2 017</w:t>
            </w:r>
          </w:p>
        </w:tc>
        <w:tc>
          <w:tcPr>
            <w:tcW w:w="1460" w:type="dxa"/>
            <w:gridSpan w:val="2"/>
            <w:shd w:val="clear" w:color="auto" w:fill="auto"/>
            <w:vAlign w:val="bottom"/>
          </w:tcPr>
          <w:p w:rsidR="00000000" w:rsidRDefault="00000000">
            <w:pPr>
              <w:spacing w:before="40" w:after="40" w:line="220" w:lineRule="exact"/>
              <w:jc w:val="right"/>
              <w:rPr>
                <w:bCs/>
                <w:sz w:val="18"/>
                <w:szCs w:val="18"/>
              </w:rPr>
            </w:pPr>
            <w:r>
              <w:rPr>
                <w:bCs/>
                <w:sz w:val="18"/>
                <w:szCs w:val="18"/>
              </w:rPr>
              <w:t>2 488</w:t>
            </w:r>
          </w:p>
        </w:tc>
        <w:tc>
          <w:tcPr>
            <w:tcW w:w="1460" w:type="dxa"/>
            <w:shd w:val="clear" w:color="auto" w:fill="auto"/>
            <w:vAlign w:val="bottom"/>
          </w:tcPr>
          <w:p w:rsidR="00000000" w:rsidRDefault="00000000">
            <w:pPr>
              <w:spacing w:before="40" w:after="40" w:line="220" w:lineRule="exact"/>
              <w:jc w:val="right"/>
              <w:rPr>
                <w:bCs/>
                <w:sz w:val="18"/>
                <w:szCs w:val="18"/>
              </w:rPr>
            </w:pPr>
            <w:r>
              <w:rPr>
                <w:bCs/>
                <w:sz w:val="18"/>
                <w:szCs w:val="18"/>
              </w:rPr>
              <w:t>2 497</w:t>
            </w:r>
          </w:p>
        </w:tc>
      </w:tr>
      <w:tr w:rsidR="00000000">
        <w:tc>
          <w:tcPr>
            <w:tcW w:w="1531" w:type="dxa"/>
            <w:shd w:val="clear" w:color="auto" w:fill="auto"/>
            <w:vAlign w:val="bottom"/>
          </w:tcPr>
          <w:p w:rsidR="00000000" w:rsidRDefault="00000000">
            <w:pPr>
              <w:spacing w:before="40" w:after="40" w:line="220" w:lineRule="exact"/>
              <w:rPr>
                <w:bCs/>
                <w:sz w:val="18"/>
                <w:szCs w:val="18"/>
              </w:rPr>
            </w:pPr>
            <w:r>
              <w:rPr>
                <w:bCs/>
                <w:sz w:val="18"/>
                <w:szCs w:val="18"/>
              </w:rPr>
              <w:t>Moyennes 2006</w:t>
            </w:r>
          </w:p>
        </w:tc>
        <w:tc>
          <w:tcPr>
            <w:tcW w:w="1460" w:type="dxa"/>
            <w:shd w:val="clear" w:color="auto" w:fill="auto"/>
            <w:vAlign w:val="bottom"/>
          </w:tcPr>
          <w:p w:rsidR="00000000" w:rsidRDefault="00000000">
            <w:pPr>
              <w:spacing w:before="40" w:after="40" w:line="220" w:lineRule="exact"/>
              <w:jc w:val="right"/>
              <w:rPr>
                <w:bCs/>
                <w:sz w:val="18"/>
                <w:szCs w:val="18"/>
              </w:rPr>
            </w:pPr>
            <w:r>
              <w:rPr>
                <w:bCs/>
                <w:sz w:val="18"/>
                <w:szCs w:val="18"/>
              </w:rPr>
              <w:t>2 142</w:t>
            </w:r>
          </w:p>
        </w:tc>
        <w:tc>
          <w:tcPr>
            <w:tcW w:w="1460" w:type="dxa"/>
            <w:shd w:val="clear" w:color="auto" w:fill="auto"/>
            <w:vAlign w:val="bottom"/>
          </w:tcPr>
          <w:p w:rsidR="00000000" w:rsidRDefault="00000000">
            <w:pPr>
              <w:spacing w:before="40" w:after="40" w:line="220" w:lineRule="exact"/>
              <w:jc w:val="right"/>
              <w:rPr>
                <w:bCs/>
                <w:sz w:val="18"/>
                <w:szCs w:val="18"/>
              </w:rPr>
            </w:pPr>
            <w:r>
              <w:rPr>
                <w:bCs/>
                <w:sz w:val="18"/>
                <w:szCs w:val="18"/>
              </w:rPr>
              <w:t>-</w:t>
            </w:r>
          </w:p>
        </w:tc>
        <w:tc>
          <w:tcPr>
            <w:tcW w:w="1460" w:type="dxa"/>
            <w:gridSpan w:val="2"/>
            <w:shd w:val="clear" w:color="auto" w:fill="auto"/>
            <w:vAlign w:val="bottom"/>
          </w:tcPr>
          <w:p w:rsidR="00000000" w:rsidRDefault="00000000">
            <w:pPr>
              <w:spacing w:before="40" w:after="40" w:line="220" w:lineRule="exact"/>
              <w:jc w:val="right"/>
              <w:rPr>
                <w:bCs/>
                <w:sz w:val="18"/>
                <w:szCs w:val="18"/>
              </w:rPr>
            </w:pPr>
            <w:r>
              <w:rPr>
                <w:bCs/>
                <w:sz w:val="18"/>
                <w:szCs w:val="18"/>
              </w:rPr>
              <w:t>2 686</w:t>
            </w:r>
          </w:p>
        </w:tc>
        <w:tc>
          <w:tcPr>
            <w:tcW w:w="1460" w:type="dxa"/>
            <w:shd w:val="clear" w:color="auto" w:fill="auto"/>
            <w:vAlign w:val="bottom"/>
          </w:tcPr>
          <w:p w:rsidR="00000000" w:rsidRDefault="00000000">
            <w:pPr>
              <w:spacing w:before="40" w:after="40" w:line="220" w:lineRule="exact"/>
              <w:jc w:val="right"/>
              <w:rPr>
                <w:bCs/>
                <w:sz w:val="18"/>
                <w:szCs w:val="18"/>
              </w:rPr>
            </w:pPr>
            <w:r>
              <w:rPr>
                <w:bCs/>
                <w:sz w:val="18"/>
                <w:szCs w:val="18"/>
              </w:rPr>
              <w:t>-</w:t>
            </w:r>
          </w:p>
        </w:tc>
      </w:tr>
      <w:tr w:rsidR="00000000">
        <w:tc>
          <w:tcPr>
            <w:tcW w:w="1531" w:type="dxa"/>
            <w:shd w:val="clear" w:color="auto" w:fill="auto"/>
            <w:vAlign w:val="bottom"/>
          </w:tcPr>
          <w:p w:rsidR="00000000" w:rsidRDefault="00000000">
            <w:pPr>
              <w:spacing w:before="40" w:after="40" w:line="220" w:lineRule="exact"/>
              <w:rPr>
                <w:bCs/>
                <w:sz w:val="18"/>
                <w:szCs w:val="18"/>
              </w:rPr>
            </w:pPr>
            <w:r>
              <w:rPr>
                <w:bCs/>
                <w:sz w:val="18"/>
                <w:szCs w:val="18"/>
              </w:rPr>
              <w:t>Moyennes 2007</w:t>
            </w:r>
          </w:p>
        </w:tc>
        <w:tc>
          <w:tcPr>
            <w:tcW w:w="1460" w:type="dxa"/>
            <w:shd w:val="clear" w:color="auto" w:fill="auto"/>
            <w:vAlign w:val="bottom"/>
          </w:tcPr>
          <w:p w:rsidR="00000000" w:rsidRDefault="00000000">
            <w:pPr>
              <w:spacing w:before="40" w:after="40" w:line="220" w:lineRule="exact"/>
              <w:jc w:val="right"/>
              <w:rPr>
                <w:bCs/>
                <w:sz w:val="18"/>
                <w:szCs w:val="18"/>
              </w:rPr>
            </w:pPr>
            <w:r>
              <w:rPr>
                <w:bCs/>
                <w:sz w:val="18"/>
                <w:szCs w:val="18"/>
              </w:rPr>
              <w:t>1 874</w:t>
            </w:r>
          </w:p>
        </w:tc>
        <w:tc>
          <w:tcPr>
            <w:tcW w:w="1460" w:type="dxa"/>
            <w:shd w:val="clear" w:color="auto" w:fill="auto"/>
            <w:vAlign w:val="bottom"/>
          </w:tcPr>
          <w:p w:rsidR="00000000" w:rsidRDefault="00000000">
            <w:pPr>
              <w:spacing w:before="40" w:after="40" w:line="220" w:lineRule="exact"/>
              <w:jc w:val="right"/>
              <w:rPr>
                <w:bCs/>
                <w:sz w:val="18"/>
                <w:szCs w:val="18"/>
              </w:rPr>
            </w:pPr>
            <w:r>
              <w:rPr>
                <w:bCs/>
                <w:sz w:val="18"/>
                <w:szCs w:val="18"/>
              </w:rPr>
              <w:t>-</w:t>
            </w:r>
          </w:p>
        </w:tc>
        <w:tc>
          <w:tcPr>
            <w:tcW w:w="1460" w:type="dxa"/>
            <w:gridSpan w:val="2"/>
            <w:shd w:val="clear" w:color="auto" w:fill="auto"/>
            <w:vAlign w:val="bottom"/>
          </w:tcPr>
          <w:p w:rsidR="00000000" w:rsidRDefault="00000000">
            <w:pPr>
              <w:spacing w:before="40" w:after="40" w:line="220" w:lineRule="exact"/>
              <w:jc w:val="right"/>
              <w:rPr>
                <w:bCs/>
                <w:sz w:val="18"/>
                <w:szCs w:val="18"/>
              </w:rPr>
            </w:pPr>
            <w:r>
              <w:rPr>
                <w:bCs/>
                <w:sz w:val="18"/>
                <w:szCs w:val="18"/>
              </w:rPr>
              <w:t>2 563</w:t>
            </w:r>
          </w:p>
        </w:tc>
        <w:tc>
          <w:tcPr>
            <w:tcW w:w="1460" w:type="dxa"/>
            <w:shd w:val="clear" w:color="auto" w:fill="auto"/>
            <w:vAlign w:val="bottom"/>
          </w:tcPr>
          <w:p w:rsidR="00000000" w:rsidRDefault="00000000">
            <w:pPr>
              <w:spacing w:before="40" w:after="40" w:line="220" w:lineRule="exact"/>
              <w:jc w:val="right"/>
              <w:rPr>
                <w:bCs/>
                <w:sz w:val="18"/>
                <w:szCs w:val="18"/>
              </w:rPr>
            </w:pPr>
            <w:r>
              <w:rPr>
                <w:bCs/>
                <w:sz w:val="18"/>
                <w:szCs w:val="18"/>
              </w:rPr>
              <w:t>-</w:t>
            </w:r>
          </w:p>
        </w:tc>
      </w:tr>
      <w:tr w:rsidR="00000000">
        <w:tc>
          <w:tcPr>
            <w:tcW w:w="1531" w:type="dxa"/>
            <w:tcBorders>
              <w:bottom w:val="single" w:sz="12" w:space="0" w:color="auto"/>
            </w:tcBorders>
            <w:shd w:val="clear" w:color="auto" w:fill="auto"/>
            <w:vAlign w:val="bottom"/>
          </w:tcPr>
          <w:p w:rsidR="00000000" w:rsidRDefault="00000000">
            <w:pPr>
              <w:spacing w:before="40" w:after="40" w:line="220" w:lineRule="exact"/>
              <w:rPr>
                <w:bCs/>
                <w:sz w:val="18"/>
                <w:szCs w:val="18"/>
              </w:rPr>
            </w:pPr>
            <w:r>
              <w:rPr>
                <w:bCs/>
                <w:sz w:val="18"/>
                <w:szCs w:val="18"/>
              </w:rPr>
              <w:t>Janvier 2008</w:t>
            </w:r>
          </w:p>
        </w:tc>
        <w:tc>
          <w:tcPr>
            <w:tcW w:w="1460" w:type="dxa"/>
            <w:tcBorders>
              <w:bottom w:val="single" w:sz="12" w:space="0" w:color="auto"/>
            </w:tcBorders>
            <w:shd w:val="clear" w:color="auto" w:fill="auto"/>
            <w:vAlign w:val="bottom"/>
          </w:tcPr>
          <w:p w:rsidR="00000000" w:rsidRDefault="00000000">
            <w:pPr>
              <w:spacing w:before="40" w:after="40" w:line="220" w:lineRule="exact"/>
              <w:jc w:val="right"/>
              <w:rPr>
                <w:bCs/>
                <w:sz w:val="18"/>
                <w:szCs w:val="18"/>
              </w:rPr>
            </w:pPr>
            <w:r>
              <w:rPr>
                <w:bCs/>
                <w:sz w:val="18"/>
                <w:szCs w:val="18"/>
              </w:rPr>
              <w:t>1 781</w:t>
            </w:r>
          </w:p>
        </w:tc>
        <w:tc>
          <w:tcPr>
            <w:tcW w:w="1460" w:type="dxa"/>
            <w:tcBorders>
              <w:bottom w:val="single" w:sz="12" w:space="0" w:color="auto"/>
            </w:tcBorders>
            <w:shd w:val="clear" w:color="auto" w:fill="auto"/>
            <w:vAlign w:val="bottom"/>
          </w:tcPr>
          <w:p w:rsidR="00000000" w:rsidRDefault="00000000">
            <w:pPr>
              <w:spacing w:before="40" w:after="40" w:line="220" w:lineRule="exact"/>
              <w:jc w:val="right"/>
              <w:rPr>
                <w:bCs/>
                <w:sz w:val="18"/>
                <w:szCs w:val="18"/>
              </w:rPr>
            </w:pPr>
            <w:r>
              <w:rPr>
                <w:bCs/>
                <w:sz w:val="18"/>
                <w:szCs w:val="18"/>
              </w:rPr>
              <w:t>-</w:t>
            </w:r>
          </w:p>
        </w:tc>
        <w:tc>
          <w:tcPr>
            <w:tcW w:w="1460" w:type="dxa"/>
            <w:gridSpan w:val="2"/>
            <w:tcBorders>
              <w:bottom w:val="single" w:sz="12" w:space="0" w:color="auto"/>
            </w:tcBorders>
            <w:shd w:val="clear" w:color="auto" w:fill="auto"/>
            <w:vAlign w:val="bottom"/>
          </w:tcPr>
          <w:p w:rsidR="00000000" w:rsidRDefault="00000000">
            <w:pPr>
              <w:spacing w:before="40" w:after="40" w:line="220" w:lineRule="exact"/>
              <w:jc w:val="right"/>
              <w:rPr>
                <w:bCs/>
                <w:sz w:val="18"/>
                <w:szCs w:val="18"/>
              </w:rPr>
            </w:pPr>
            <w:r>
              <w:rPr>
                <w:bCs/>
                <w:sz w:val="18"/>
                <w:szCs w:val="18"/>
              </w:rPr>
              <w:t>2 618</w:t>
            </w:r>
          </w:p>
        </w:tc>
        <w:tc>
          <w:tcPr>
            <w:tcW w:w="1460" w:type="dxa"/>
            <w:tcBorders>
              <w:bottom w:val="single" w:sz="12" w:space="0" w:color="auto"/>
            </w:tcBorders>
            <w:shd w:val="clear" w:color="auto" w:fill="auto"/>
            <w:vAlign w:val="bottom"/>
          </w:tcPr>
          <w:p w:rsidR="00000000" w:rsidRDefault="00000000">
            <w:pPr>
              <w:spacing w:before="40" w:after="40" w:line="220" w:lineRule="exact"/>
              <w:jc w:val="right"/>
              <w:rPr>
                <w:bCs/>
                <w:sz w:val="18"/>
                <w:szCs w:val="18"/>
              </w:rPr>
            </w:pPr>
            <w:r>
              <w:rPr>
                <w:bCs/>
                <w:sz w:val="18"/>
                <w:szCs w:val="18"/>
              </w:rPr>
              <w:t>-</w:t>
            </w:r>
          </w:p>
        </w:tc>
      </w:tr>
    </w:tbl>
    <w:p w:rsidR="00000000" w:rsidRDefault="00000000">
      <w:pPr>
        <w:pStyle w:val="SingleTxtG"/>
        <w:spacing w:before="120" w:after="240"/>
        <w:ind w:firstLine="170"/>
        <w:rPr>
          <w:sz w:val="18"/>
          <w:szCs w:val="18"/>
          <w:lang w:val="fr-FR"/>
        </w:rPr>
      </w:pPr>
      <w:r>
        <w:rPr>
          <w:i/>
          <w:sz w:val="18"/>
          <w:szCs w:val="18"/>
          <w:lang w:val="fr-FR"/>
        </w:rPr>
        <w:t>Source</w:t>
      </w:r>
      <w:r>
        <w:rPr>
          <w:sz w:val="18"/>
          <w:szCs w:val="18"/>
          <w:lang w:val="fr-FR"/>
        </w:rPr>
        <w:t>: Banque Centrale de Madagascar.</w:t>
      </w:r>
    </w:p>
    <w:p w:rsidR="00000000" w:rsidRDefault="00000000">
      <w:pPr>
        <w:pStyle w:val="SingleTxtG"/>
        <w:spacing w:after="0"/>
        <w:rPr>
          <w:b/>
        </w:rPr>
      </w:pPr>
      <w:bookmarkStart w:id="1776" w:name="_Toc260298296"/>
      <w:r>
        <w:t>Tableau 40</w:t>
      </w:r>
    </w:p>
    <w:p w:rsidR="00000000" w:rsidRDefault="00000000">
      <w:pPr>
        <w:pStyle w:val="SingleTxtG"/>
        <w:rPr>
          <w:b/>
        </w:rPr>
      </w:pPr>
      <w:r>
        <w:rPr>
          <w:b/>
        </w:rPr>
        <w:t>IDH et ISDH 2003-2005</w:t>
      </w:r>
      <w:bookmarkEnd w:id="1776"/>
    </w:p>
    <w:tbl>
      <w:tblPr>
        <w:tblW w:w="7371" w:type="dxa"/>
        <w:tblInd w:w="1134" w:type="dxa"/>
        <w:tblCellMar>
          <w:left w:w="0" w:type="dxa"/>
          <w:right w:w="0" w:type="dxa"/>
        </w:tblCellMar>
        <w:tblLook w:val="01E0" w:firstRow="1" w:lastRow="1" w:firstColumn="1" w:lastColumn="1" w:noHBand="0" w:noVBand="0"/>
      </w:tblPr>
      <w:tblGrid>
        <w:gridCol w:w="2792"/>
        <w:gridCol w:w="1526"/>
        <w:gridCol w:w="1671"/>
        <w:gridCol w:w="1382"/>
      </w:tblGrid>
      <w:tr w:rsidR="00000000">
        <w:tc>
          <w:tcPr>
            <w:tcW w:w="3168" w:type="dxa"/>
            <w:tcBorders>
              <w:top w:val="single" w:sz="4" w:space="0" w:color="auto"/>
              <w:bottom w:val="single" w:sz="12" w:space="0" w:color="auto"/>
            </w:tcBorders>
            <w:shd w:val="clear" w:color="auto" w:fill="auto"/>
            <w:vAlign w:val="bottom"/>
          </w:tcPr>
          <w:p w:rsidR="00000000" w:rsidRDefault="00000000">
            <w:pPr>
              <w:spacing w:before="80" w:after="80" w:line="200" w:lineRule="exact"/>
              <w:rPr>
                <w:bCs/>
                <w:i/>
                <w:sz w:val="16"/>
                <w:szCs w:val="16"/>
              </w:rPr>
            </w:pPr>
          </w:p>
        </w:tc>
        <w:tc>
          <w:tcPr>
            <w:tcW w:w="1800"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bCs/>
                <w:i/>
                <w:sz w:val="16"/>
                <w:szCs w:val="16"/>
              </w:rPr>
            </w:pPr>
            <w:r>
              <w:rPr>
                <w:bCs/>
                <w:i/>
                <w:sz w:val="16"/>
                <w:szCs w:val="16"/>
              </w:rPr>
              <w:t>2003</w:t>
            </w:r>
          </w:p>
        </w:tc>
        <w:tc>
          <w:tcPr>
            <w:tcW w:w="1980"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bCs/>
                <w:i/>
                <w:sz w:val="16"/>
                <w:szCs w:val="16"/>
              </w:rPr>
            </w:pPr>
            <w:r>
              <w:rPr>
                <w:bCs/>
                <w:i/>
                <w:sz w:val="16"/>
                <w:szCs w:val="16"/>
              </w:rPr>
              <w:t>2004</w:t>
            </w:r>
          </w:p>
        </w:tc>
        <w:tc>
          <w:tcPr>
            <w:tcW w:w="1620"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bCs/>
                <w:i/>
                <w:sz w:val="16"/>
                <w:szCs w:val="16"/>
              </w:rPr>
            </w:pPr>
            <w:r>
              <w:rPr>
                <w:bCs/>
                <w:i/>
                <w:sz w:val="16"/>
                <w:szCs w:val="16"/>
              </w:rPr>
              <w:t>2005</w:t>
            </w:r>
          </w:p>
        </w:tc>
      </w:tr>
      <w:tr w:rsidR="00000000">
        <w:tc>
          <w:tcPr>
            <w:tcW w:w="3168" w:type="dxa"/>
            <w:tcBorders>
              <w:top w:val="single" w:sz="12" w:space="0" w:color="auto"/>
            </w:tcBorders>
            <w:shd w:val="clear" w:color="auto" w:fill="auto"/>
            <w:vAlign w:val="bottom"/>
          </w:tcPr>
          <w:p w:rsidR="00000000" w:rsidRDefault="00000000">
            <w:pPr>
              <w:spacing w:before="40" w:after="40" w:line="220" w:lineRule="exact"/>
              <w:rPr>
                <w:bCs/>
                <w:sz w:val="18"/>
                <w:szCs w:val="18"/>
              </w:rPr>
            </w:pPr>
            <w:r>
              <w:rPr>
                <w:bCs/>
                <w:sz w:val="18"/>
                <w:szCs w:val="18"/>
              </w:rPr>
              <w:t>Index développement humain (IDH)</w:t>
            </w:r>
          </w:p>
        </w:tc>
        <w:tc>
          <w:tcPr>
            <w:tcW w:w="1800" w:type="dxa"/>
            <w:tcBorders>
              <w:top w:val="single" w:sz="12" w:space="0" w:color="auto"/>
            </w:tcBorders>
            <w:shd w:val="clear" w:color="auto" w:fill="auto"/>
            <w:vAlign w:val="bottom"/>
          </w:tcPr>
          <w:p w:rsidR="00000000" w:rsidRDefault="00000000">
            <w:pPr>
              <w:spacing w:before="40" w:after="40" w:line="220" w:lineRule="exact"/>
              <w:jc w:val="right"/>
              <w:rPr>
                <w:bCs/>
                <w:sz w:val="18"/>
                <w:szCs w:val="18"/>
              </w:rPr>
            </w:pPr>
            <w:r>
              <w:rPr>
                <w:bCs/>
                <w:sz w:val="18"/>
                <w:szCs w:val="18"/>
              </w:rPr>
              <w:t>0,505</w:t>
            </w:r>
          </w:p>
        </w:tc>
        <w:tc>
          <w:tcPr>
            <w:tcW w:w="1980" w:type="dxa"/>
            <w:tcBorders>
              <w:top w:val="single" w:sz="12" w:space="0" w:color="auto"/>
            </w:tcBorders>
            <w:shd w:val="clear" w:color="auto" w:fill="auto"/>
            <w:vAlign w:val="bottom"/>
          </w:tcPr>
          <w:p w:rsidR="00000000" w:rsidRDefault="00000000">
            <w:pPr>
              <w:spacing w:before="40" w:after="40" w:line="220" w:lineRule="exact"/>
              <w:jc w:val="right"/>
              <w:rPr>
                <w:bCs/>
                <w:sz w:val="18"/>
                <w:szCs w:val="18"/>
              </w:rPr>
            </w:pPr>
            <w:r>
              <w:rPr>
                <w:bCs/>
                <w:sz w:val="18"/>
                <w:szCs w:val="18"/>
              </w:rPr>
              <w:t>0,514</w:t>
            </w:r>
          </w:p>
        </w:tc>
        <w:tc>
          <w:tcPr>
            <w:tcW w:w="1620" w:type="dxa"/>
            <w:tcBorders>
              <w:top w:val="single" w:sz="12" w:space="0" w:color="auto"/>
            </w:tcBorders>
            <w:shd w:val="clear" w:color="auto" w:fill="auto"/>
            <w:vAlign w:val="bottom"/>
          </w:tcPr>
          <w:p w:rsidR="00000000" w:rsidRDefault="00000000">
            <w:pPr>
              <w:spacing w:before="40" w:after="40" w:line="220" w:lineRule="exact"/>
              <w:jc w:val="right"/>
              <w:rPr>
                <w:bCs/>
                <w:sz w:val="18"/>
                <w:szCs w:val="18"/>
              </w:rPr>
            </w:pPr>
            <w:r>
              <w:rPr>
                <w:bCs/>
                <w:sz w:val="18"/>
                <w:szCs w:val="18"/>
              </w:rPr>
              <w:t>0,527</w:t>
            </w:r>
          </w:p>
        </w:tc>
      </w:tr>
      <w:tr w:rsidR="00000000">
        <w:tc>
          <w:tcPr>
            <w:tcW w:w="3168" w:type="dxa"/>
            <w:tcBorders>
              <w:bottom w:val="single" w:sz="12" w:space="0" w:color="auto"/>
            </w:tcBorders>
            <w:shd w:val="clear" w:color="auto" w:fill="auto"/>
            <w:vAlign w:val="bottom"/>
          </w:tcPr>
          <w:p w:rsidR="00000000" w:rsidRDefault="00000000">
            <w:pPr>
              <w:spacing w:before="40" w:after="40" w:line="220" w:lineRule="exact"/>
              <w:rPr>
                <w:bCs/>
                <w:sz w:val="18"/>
                <w:szCs w:val="18"/>
              </w:rPr>
            </w:pPr>
            <w:r>
              <w:rPr>
                <w:bCs/>
                <w:sz w:val="18"/>
                <w:szCs w:val="18"/>
              </w:rPr>
              <w:t>Indicateur sexospécifiquedu développement humain (ISDH)</w:t>
            </w:r>
          </w:p>
        </w:tc>
        <w:tc>
          <w:tcPr>
            <w:tcW w:w="1800" w:type="dxa"/>
            <w:tcBorders>
              <w:bottom w:val="single" w:sz="12" w:space="0" w:color="auto"/>
            </w:tcBorders>
            <w:shd w:val="clear" w:color="auto" w:fill="auto"/>
            <w:vAlign w:val="bottom"/>
          </w:tcPr>
          <w:p w:rsidR="00000000" w:rsidRDefault="00000000">
            <w:pPr>
              <w:spacing w:before="40" w:after="40" w:line="220" w:lineRule="exact"/>
              <w:jc w:val="right"/>
              <w:rPr>
                <w:bCs/>
                <w:sz w:val="18"/>
                <w:szCs w:val="18"/>
              </w:rPr>
            </w:pPr>
            <w:r>
              <w:rPr>
                <w:bCs/>
                <w:sz w:val="18"/>
                <w:szCs w:val="18"/>
              </w:rPr>
              <w:t>0,503</w:t>
            </w:r>
          </w:p>
        </w:tc>
        <w:tc>
          <w:tcPr>
            <w:tcW w:w="1980" w:type="dxa"/>
            <w:tcBorders>
              <w:bottom w:val="single" w:sz="12" w:space="0" w:color="auto"/>
            </w:tcBorders>
            <w:shd w:val="clear" w:color="auto" w:fill="auto"/>
            <w:vAlign w:val="bottom"/>
          </w:tcPr>
          <w:p w:rsidR="00000000" w:rsidRDefault="00000000">
            <w:pPr>
              <w:spacing w:before="40" w:after="40" w:line="220" w:lineRule="exact"/>
              <w:jc w:val="right"/>
              <w:rPr>
                <w:bCs/>
                <w:sz w:val="18"/>
                <w:szCs w:val="18"/>
              </w:rPr>
            </w:pPr>
            <w:r>
              <w:rPr>
                <w:bCs/>
                <w:sz w:val="18"/>
                <w:szCs w:val="18"/>
              </w:rPr>
              <w:t>0,513</w:t>
            </w:r>
          </w:p>
        </w:tc>
        <w:tc>
          <w:tcPr>
            <w:tcW w:w="1620" w:type="dxa"/>
            <w:tcBorders>
              <w:bottom w:val="single" w:sz="12" w:space="0" w:color="auto"/>
            </w:tcBorders>
            <w:shd w:val="clear" w:color="auto" w:fill="auto"/>
            <w:vAlign w:val="bottom"/>
          </w:tcPr>
          <w:p w:rsidR="00000000" w:rsidRDefault="00000000">
            <w:pPr>
              <w:spacing w:before="40" w:after="40" w:line="220" w:lineRule="exact"/>
              <w:jc w:val="right"/>
              <w:rPr>
                <w:bCs/>
                <w:sz w:val="18"/>
                <w:szCs w:val="18"/>
              </w:rPr>
            </w:pPr>
            <w:r>
              <w:rPr>
                <w:bCs/>
                <w:sz w:val="18"/>
                <w:szCs w:val="18"/>
              </w:rPr>
              <w:t>0,524</w:t>
            </w:r>
          </w:p>
        </w:tc>
      </w:tr>
    </w:tbl>
    <w:p w:rsidR="00000000" w:rsidRDefault="00000000">
      <w:pPr>
        <w:pStyle w:val="SingleTxtG"/>
        <w:spacing w:before="120" w:after="240"/>
        <w:ind w:firstLine="170"/>
        <w:rPr>
          <w:sz w:val="18"/>
          <w:szCs w:val="18"/>
          <w:lang w:val="fr-FR"/>
        </w:rPr>
      </w:pPr>
      <w:r>
        <w:rPr>
          <w:i/>
          <w:sz w:val="18"/>
          <w:szCs w:val="18"/>
          <w:lang w:val="fr-FR"/>
        </w:rPr>
        <w:t>Source</w:t>
      </w:r>
      <w:r>
        <w:rPr>
          <w:sz w:val="18"/>
          <w:szCs w:val="18"/>
          <w:lang w:val="fr-FR"/>
        </w:rPr>
        <w:t>: Deuxième rapport national de suivi des OMD, 2007.</w:t>
      </w:r>
    </w:p>
    <w:p w:rsidR="00000000" w:rsidRDefault="00000000">
      <w:pPr>
        <w:pStyle w:val="SingleTxtG"/>
        <w:spacing w:after="0"/>
      </w:pPr>
      <w:bookmarkStart w:id="1777" w:name="_Toc260298297"/>
      <w:r>
        <w:t>Tableau 41</w:t>
      </w:r>
    </w:p>
    <w:p w:rsidR="00000000" w:rsidRDefault="00000000">
      <w:pPr>
        <w:pStyle w:val="SingleTxtG"/>
        <w:rPr>
          <w:b/>
        </w:rPr>
      </w:pPr>
      <w:r>
        <w:rPr>
          <w:b/>
        </w:rPr>
        <w:t>Taux d’activité selon les tranches d’âge du BIT</w:t>
      </w:r>
      <w:bookmarkEnd w:id="1777"/>
    </w:p>
    <w:tbl>
      <w:tblPr>
        <w:tblW w:w="7371" w:type="dxa"/>
        <w:tblInd w:w="1134" w:type="dxa"/>
        <w:tblCellMar>
          <w:left w:w="0" w:type="dxa"/>
          <w:right w:w="0" w:type="dxa"/>
        </w:tblCellMar>
        <w:tblLook w:val="01E0" w:firstRow="1" w:lastRow="1" w:firstColumn="1" w:lastColumn="1" w:noHBand="0" w:noVBand="0"/>
      </w:tblPr>
      <w:tblGrid>
        <w:gridCol w:w="2752"/>
        <w:gridCol w:w="4619"/>
      </w:tblGrid>
      <w:tr w:rsidR="00000000">
        <w:tc>
          <w:tcPr>
            <w:tcW w:w="2752" w:type="dxa"/>
            <w:tcBorders>
              <w:top w:val="single" w:sz="4" w:space="0" w:color="auto"/>
              <w:bottom w:val="single" w:sz="12" w:space="0" w:color="auto"/>
            </w:tcBorders>
            <w:shd w:val="clear" w:color="auto" w:fill="auto"/>
          </w:tcPr>
          <w:p w:rsidR="00000000" w:rsidRDefault="00000000">
            <w:pPr>
              <w:spacing w:before="80" w:after="80" w:line="220" w:lineRule="exact"/>
              <w:rPr>
                <w:bCs/>
                <w:i/>
                <w:sz w:val="16"/>
                <w:szCs w:val="16"/>
              </w:rPr>
            </w:pPr>
            <w:r>
              <w:rPr>
                <w:bCs/>
                <w:i/>
                <w:sz w:val="16"/>
                <w:szCs w:val="16"/>
              </w:rPr>
              <w:t>Âge</w:t>
            </w:r>
          </w:p>
        </w:tc>
        <w:tc>
          <w:tcPr>
            <w:tcW w:w="4619" w:type="dxa"/>
            <w:tcBorders>
              <w:top w:val="single" w:sz="4" w:space="0" w:color="auto"/>
              <w:bottom w:val="single" w:sz="12" w:space="0" w:color="auto"/>
            </w:tcBorders>
            <w:shd w:val="clear" w:color="auto" w:fill="auto"/>
            <w:vAlign w:val="bottom"/>
          </w:tcPr>
          <w:p w:rsidR="00000000" w:rsidRDefault="00000000">
            <w:pPr>
              <w:spacing w:before="80" w:after="80" w:line="220" w:lineRule="exact"/>
              <w:jc w:val="right"/>
              <w:rPr>
                <w:bCs/>
                <w:i/>
                <w:sz w:val="16"/>
                <w:szCs w:val="16"/>
              </w:rPr>
            </w:pPr>
            <w:r>
              <w:rPr>
                <w:bCs/>
                <w:i/>
                <w:sz w:val="16"/>
                <w:szCs w:val="16"/>
              </w:rPr>
              <w:t>Taux d’activité (%)</w:t>
            </w:r>
          </w:p>
        </w:tc>
      </w:tr>
      <w:tr w:rsidR="00000000">
        <w:tc>
          <w:tcPr>
            <w:tcW w:w="2752" w:type="dxa"/>
            <w:tcBorders>
              <w:top w:val="single" w:sz="12" w:space="0" w:color="auto"/>
            </w:tcBorders>
            <w:shd w:val="clear" w:color="auto" w:fill="auto"/>
          </w:tcPr>
          <w:p w:rsidR="00000000" w:rsidRDefault="00000000">
            <w:pPr>
              <w:spacing w:before="40" w:after="40" w:line="220" w:lineRule="exact"/>
              <w:rPr>
                <w:bCs/>
                <w:sz w:val="18"/>
                <w:szCs w:val="18"/>
              </w:rPr>
            </w:pPr>
            <w:r>
              <w:rPr>
                <w:bCs/>
                <w:sz w:val="18"/>
                <w:szCs w:val="18"/>
              </w:rPr>
              <w:t>6-14 ans</w:t>
            </w:r>
          </w:p>
        </w:tc>
        <w:tc>
          <w:tcPr>
            <w:tcW w:w="4619" w:type="dxa"/>
            <w:tcBorders>
              <w:top w:val="single" w:sz="12" w:space="0" w:color="auto"/>
            </w:tcBorders>
            <w:shd w:val="clear" w:color="auto" w:fill="auto"/>
            <w:vAlign w:val="bottom"/>
          </w:tcPr>
          <w:p w:rsidR="00000000" w:rsidRDefault="00000000">
            <w:pPr>
              <w:spacing w:before="40" w:after="40" w:line="220" w:lineRule="exact"/>
              <w:jc w:val="right"/>
              <w:rPr>
                <w:bCs/>
                <w:sz w:val="18"/>
                <w:szCs w:val="18"/>
              </w:rPr>
            </w:pPr>
            <w:r>
              <w:rPr>
                <w:bCs/>
                <w:sz w:val="18"/>
                <w:szCs w:val="18"/>
              </w:rPr>
              <w:t>19,6</w:t>
            </w:r>
          </w:p>
        </w:tc>
      </w:tr>
      <w:tr w:rsidR="00000000">
        <w:tc>
          <w:tcPr>
            <w:tcW w:w="2752" w:type="dxa"/>
            <w:shd w:val="clear" w:color="auto" w:fill="auto"/>
          </w:tcPr>
          <w:p w:rsidR="00000000" w:rsidRDefault="00000000">
            <w:pPr>
              <w:spacing w:before="40" w:after="40" w:line="220" w:lineRule="exact"/>
              <w:rPr>
                <w:bCs/>
                <w:sz w:val="18"/>
                <w:szCs w:val="18"/>
              </w:rPr>
            </w:pPr>
            <w:r>
              <w:rPr>
                <w:bCs/>
                <w:sz w:val="18"/>
                <w:szCs w:val="18"/>
              </w:rPr>
              <w:t>15-64 ans</w:t>
            </w:r>
          </w:p>
        </w:tc>
        <w:tc>
          <w:tcPr>
            <w:tcW w:w="4619" w:type="dxa"/>
            <w:shd w:val="clear" w:color="auto" w:fill="auto"/>
            <w:vAlign w:val="bottom"/>
          </w:tcPr>
          <w:p w:rsidR="00000000" w:rsidRDefault="00000000">
            <w:pPr>
              <w:spacing w:before="40" w:after="40" w:line="220" w:lineRule="exact"/>
              <w:jc w:val="right"/>
              <w:rPr>
                <w:bCs/>
                <w:sz w:val="18"/>
                <w:szCs w:val="18"/>
              </w:rPr>
            </w:pPr>
            <w:r>
              <w:rPr>
                <w:bCs/>
                <w:sz w:val="18"/>
                <w:szCs w:val="18"/>
              </w:rPr>
              <w:t>88,1</w:t>
            </w:r>
          </w:p>
        </w:tc>
      </w:tr>
      <w:tr w:rsidR="00000000">
        <w:tc>
          <w:tcPr>
            <w:tcW w:w="2752" w:type="dxa"/>
            <w:shd w:val="clear" w:color="auto" w:fill="auto"/>
          </w:tcPr>
          <w:p w:rsidR="00000000" w:rsidRDefault="00000000">
            <w:pPr>
              <w:spacing w:before="40" w:after="40" w:line="220" w:lineRule="exact"/>
              <w:rPr>
                <w:bCs/>
                <w:sz w:val="18"/>
                <w:szCs w:val="18"/>
              </w:rPr>
            </w:pPr>
            <w:r>
              <w:rPr>
                <w:bCs/>
                <w:sz w:val="18"/>
                <w:szCs w:val="18"/>
              </w:rPr>
              <w:t>65 ans et plus</w:t>
            </w:r>
          </w:p>
        </w:tc>
        <w:tc>
          <w:tcPr>
            <w:tcW w:w="4619" w:type="dxa"/>
            <w:shd w:val="clear" w:color="auto" w:fill="auto"/>
            <w:vAlign w:val="bottom"/>
          </w:tcPr>
          <w:p w:rsidR="00000000" w:rsidRDefault="00000000">
            <w:pPr>
              <w:spacing w:before="40" w:after="40" w:line="220" w:lineRule="exact"/>
              <w:jc w:val="right"/>
              <w:rPr>
                <w:bCs/>
                <w:sz w:val="18"/>
                <w:szCs w:val="18"/>
              </w:rPr>
            </w:pPr>
            <w:r>
              <w:rPr>
                <w:bCs/>
                <w:sz w:val="18"/>
                <w:szCs w:val="18"/>
              </w:rPr>
              <w:t>65,3</w:t>
            </w:r>
          </w:p>
        </w:tc>
      </w:tr>
      <w:tr w:rsidR="00000000">
        <w:tc>
          <w:tcPr>
            <w:tcW w:w="2752" w:type="dxa"/>
            <w:tcBorders>
              <w:bottom w:val="single" w:sz="12" w:space="0" w:color="auto"/>
            </w:tcBorders>
            <w:shd w:val="clear" w:color="auto" w:fill="auto"/>
          </w:tcPr>
          <w:p w:rsidR="00000000" w:rsidRDefault="00000000">
            <w:pPr>
              <w:spacing w:before="40" w:after="40" w:line="220" w:lineRule="exact"/>
              <w:rPr>
                <w:bCs/>
                <w:sz w:val="18"/>
                <w:szCs w:val="18"/>
              </w:rPr>
            </w:pPr>
            <w:r>
              <w:rPr>
                <w:bCs/>
                <w:sz w:val="18"/>
                <w:szCs w:val="18"/>
              </w:rPr>
              <w:t>Ensemble</w:t>
            </w:r>
          </w:p>
        </w:tc>
        <w:tc>
          <w:tcPr>
            <w:tcW w:w="4619" w:type="dxa"/>
            <w:tcBorders>
              <w:bottom w:val="single" w:sz="12" w:space="0" w:color="auto"/>
            </w:tcBorders>
            <w:shd w:val="clear" w:color="auto" w:fill="auto"/>
            <w:vAlign w:val="bottom"/>
          </w:tcPr>
          <w:p w:rsidR="00000000" w:rsidRDefault="00000000">
            <w:pPr>
              <w:spacing w:before="40" w:after="40" w:line="220" w:lineRule="exact"/>
              <w:jc w:val="right"/>
              <w:rPr>
                <w:bCs/>
                <w:sz w:val="18"/>
                <w:szCs w:val="18"/>
              </w:rPr>
            </w:pPr>
            <w:r>
              <w:rPr>
                <w:bCs/>
                <w:sz w:val="18"/>
                <w:szCs w:val="18"/>
              </w:rPr>
              <w:t>64,6</w:t>
            </w:r>
          </w:p>
        </w:tc>
      </w:tr>
    </w:tbl>
    <w:p w:rsidR="00000000" w:rsidRDefault="00000000">
      <w:pPr>
        <w:pStyle w:val="SingleTxtG"/>
        <w:spacing w:before="120" w:after="240"/>
        <w:ind w:firstLine="170"/>
        <w:rPr>
          <w:sz w:val="18"/>
          <w:szCs w:val="18"/>
          <w:lang w:val="fr-FR"/>
        </w:rPr>
      </w:pPr>
      <w:r>
        <w:rPr>
          <w:i/>
          <w:sz w:val="18"/>
          <w:szCs w:val="18"/>
          <w:lang w:val="fr-FR"/>
        </w:rPr>
        <w:t>Source</w:t>
      </w:r>
      <w:r>
        <w:rPr>
          <w:sz w:val="18"/>
          <w:szCs w:val="18"/>
          <w:lang w:val="fr-FR"/>
        </w:rPr>
        <w:t>: INSTAT/DSM/ EPM 2005.</w:t>
      </w:r>
    </w:p>
    <w:p w:rsidR="00000000" w:rsidRDefault="00000000">
      <w:pPr>
        <w:pStyle w:val="SingleTxtG"/>
        <w:spacing w:after="0"/>
      </w:pPr>
      <w:bookmarkStart w:id="1778" w:name="_Toc260298298"/>
      <w:r>
        <w:br w:type="page"/>
        <w:t>Tableau 42</w:t>
      </w:r>
    </w:p>
    <w:p w:rsidR="00000000" w:rsidRDefault="00000000">
      <w:pPr>
        <w:pStyle w:val="SingleTxtG"/>
        <w:rPr>
          <w:b/>
        </w:rPr>
      </w:pPr>
      <w:r>
        <w:rPr>
          <w:b/>
        </w:rPr>
        <w:t>Allocations budgétaire aux Ministères sociaux entre 2000 et 2005</w:t>
      </w:r>
      <w:bookmarkEnd w:id="1778"/>
    </w:p>
    <w:tbl>
      <w:tblPr>
        <w:tblW w:w="7371" w:type="dxa"/>
        <w:tblInd w:w="1134" w:type="dxa"/>
        <w:tblCellMar>
          <w:left w:w="0" w:type="dxa"/>
          <w:right w:w="0" w:type="dxa"/>
        </w:tblCellMar>
        <w:tblLook w:val="01E0" w:firstRow="1" w:lastRow="1" w:firstColumn="1" w:lastColumn="1" w:noHBand="0" w:noVBand="0"/>
      </w:tblPr>
      <w:tblGrid>
        <w:gridCol w:w="3891"/>
        <w:gridCol w:w="1160"/>
        <w:gridCol w:w="1160"/>
        <w:gridCol w:w="1160"/>
      </w:tblGrid>
      <w:tr w:rsidR="00000000">
        <w:trPr>
          <w:tblHeader/>
        </w:trPr>
        <w:tc>
          <w:tcPr>
            <w:tcW w:w="3891" w:type="dxa"/>
            <w:tcBorders>
              <w:top w:val="single" w:sz="4" w:space="0" w:color="auto"/>
              <w:bottom w:val="single" w:sz="12" w:space="0" w:color="auto"/>
            </w:tcBorders>
            <w:shd w:val="clear" w:color="auto" w:fill="auto"/>
            <w:vAlign w:val="bottom"/>
          </w:tcPr>
          <w:p w:rsidR="00000000" w:rsidRDefault="00000000">
            <w:pPr>
              <w:spacing w:before="80" w:after="80" w:line="200" w:lineRule="exact"/>
              <w:rPr>
                <w:b/>
                <w:bCs/>
                <w:i/>
                <w:sz w:val="16"/>
                <w:szCs w:val="16"/>
              </w:rPr>
            </w:pPr>
          </w:p>
        </w:tc>
        <w:tc>
          <w:tcPr>
            <w:tcW w:w="1160"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bCs/>
                <w:i/>
                <w:sz w:val="16"/>
                <w:szCs w:val="16"/>
              </w:rPr>
            </w:pPr>
            <w:r>
              <w:rPr>
                <w:bCs/>
                <w:i/>
                <w:sz w:val="16"/>
                <w:szCs w:val="16"/>
              </w:rPr>
              <w:t>2000</w:t>
            </w:r>
          </w:p>
        </w:tc>
        <w:tc>
          <w:tcPr>
            <w:tcW w:w="1160"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bCs/>
                <w:i/>
                <w:sz w:val="16"/>
                <w:szCs w:val="16"/>
              </w:rPr>
            </w:pPr>
            <w:r>
              <w:rPr>
                <w:bCs/>
                <w:i/>
                <w:sz w:val="16"/>
                <w:szCs w:val="16"/>
              </w:rPr>
              <w:t>2003</w:t>
            </w:r>
          </w:p>
        </w:tc>
        <w:tc>
          <w:tcPr>
            <w:tcW w:w="1160"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bCs/>
                <w:i/>
                <w:sz w:val="16"/>
                <w:szCs w:val="16"/>
              </w:rPr>
            </w:pPr>
            <w:r>
              <w:rPr>
                <w:bCs/>
                <w:i/>
                <w:sz w:val="16"/>
                <w:szCs w:val="16"/>
              </w:rPr>
              <w:t>2005</w:t>
            </w:r>
          </w:p>
        </w:tc>
      </w:tr>
      <w:tr w:rsidR="00000000">
        <w:tc>
          <w:tcPr>
            <w:tcW w:w="3891" w:type="dxa"/>
            <w:tcBorders>
              <w:top w:val="single" w:sz="12" w:space="0" w:color="auto"/>
            </w:tcBorders>
            <w:shd w:val="clear" w:color="auto" w:fill="auto"/>
            <w:vAlign w:val="bottom"/>
          </w:tcPr>
          <w:p w:rsidR="00000000" w:rsidRDefault="00000000">
            <w:pPr>
              <w:spacing w:before="40" w:after="40" w:line="220" w:lineRule="exact"/>
              <w:rPr>
                <w:bCs/>
                <w:sz w:val="18"/>
                <w:szCs w:val="18"/>
              </w:rPr>
            </w:pPr>
            <w:r>
              <w:rPr>
                <w:bCs/>
                <w:sz w:val="18"/>
                <w:szCs w:val="18"/>
              </w:rPr>
              <w:t>Budget de l’État (exécuté) MGA Milliards</w:t>
            </w:r>
          </w:p>
        </w:tc>
        <w:tc>
          <w:tcPr>
            <w:tcW w:w="1160" w:type="dxa"/>
            <w:tcBorders>
              <w:top w:val="single" w:sz="12" w:space="0" w:color="auto"/>
            </w:tcBorders>
            <w:shd w:val="clear" w:color="auto" w:fill="auto"/>
            <w:vAlign w:val="bottom"/>
          </w:tcPr>
          <w:p w:rsidR="00000000" w:rsidRDefault="00000000">
            <w:pPr>
              <w:spacing w:before="40" w:after="40" w:line="220" w:lineRule="exact"/>
              <w:jc w:val="right"/>
              <w:rPr>
                <w:bCs/>
                <w:sz w:val="18"/>
                <w:szCs w:val="18"/>
              </w:rPr>
            </w:pPr>
            <w:r>
              <w:rPr>
                <w:bCs/>
                <w:sz w:val="18"/>
                <w:szCs w:val="18"/>
              </w:rPr>
              <w:t>1 035</w:t>
            </w:r>
          </w:p>
        </w:tc>
        <w:tc>
          <w:tcPr>
            <w:tcW w:w="1160" w:type="dxa"/>
            <w:tcBorders>
              <w:top w:val="single" w:sz="12" w:space="0" w:color="auto"/>
            </w:tcBorders>
            <w:shd w:val="clear" w:color="auto" w:fill="auto"/>
            <w:vAlign w:val="bottom"/>
          </w:tcPr>
          <w:p w:rsidR="00000000" w:rsidRDefault="00000000">
            <w:pPr>
              <w:spacing w:before="40" w:after="40" w:line="220" w:lineRule="exact"/>
              <w:jc w:val="right"/>
              <w:rPr>
                <w:bCs/>
                <w:sz w:val="18"/>
                <w:szCs w:val="18"/>
              </w:rPr>
            </w:pPr>
            <w:r>
              <w:rPr>
                <w:bCs/>
                <w:sz w:val="18"/>
                <w:szCs w:val="18"/>
              </w:rPr>
              <w:t>1 325</w:t>
            </w:r>
          </w:p>
        </w:tc>
        <w:tc>
          <w:tcPr>
            <w:tcW w:w="1160" w:type="dxa"/>
            <w:tcBorders>
              <w:top w:val="single" w:sz="12" w:space="0" w:color="auto"/>
            </w:tcBorders>
            <w:shd w:val="clear" w:color="auto" w:fill="auto"/>
            <w:vAlign w:val="bottom"/>
          </w:tcPr>
          <w:p w:rsidR="00000000" w:rsidRDefault="00000000">
            <w:pPr>
              <w:spacing w:before="40" w:after="40" w:line="220" w:lineRule="exact"/>
              <w:jc w:val="right"/>
              <w:rPr>
                <w:bCs/>
                <w:sz w:val="18"/>
                <w:szCs w:val="18"/>
              </w:rPr>
            </w:pPr>
            <w:r>
              <w:rPr>
                <w:bCs/>
                <w:sz w:val="18"/>
                <w:szCs w:val="18"/>
              </w:rPr>
              <w:t>1 502</w:t>
            </w:r>
          </w:p>
        </w:tc>
      </w:tr>
      <w:tr w:rsidR="00000000">
        <w:tc>
          <w:tcPr>
            <w:tcW w:w="3891" w:type="dxa"/>
            <w:shd w:val="clear" w:color="auto" w:fill="auto"/>
            <w:vAlign w:val="bottom"/>
          </w:tcPr>
          <w:p w:rsidR="00000000" w:rsidRDefault="00000000">
            <w:pPr>
              <w:spacing w:before="40" w:after="40" w:line="220" w:lineRule="exact"/>
              <w:ind w:firstLine="170"/>
              <w:rPr>
                <w:bCs/>
                <w:iCs/>
                <w:sz w:val="18"/>
                <w:szCs w:val="18"/>
                <w:lang w:val="fr-FR"/>
              </w:rPr>
            </w:pPr>
            <w:r>
              <w:rPr>
                <w:bCs/>
                <w:iCs/>
                <w:sz w:val="18"/>
                <w:szCs w:val="18"/>
                <w:lang w:val="fr-FR"/>
              </w:rPr>
              <w:t>% du budget voté exécuté</w:t>
            </w:r>
          </w:p>
        </w:tc>
        <w:tc>
          <w:tcPr>
            <w:tcW w:w="1160" w:type="dxa"/>
            <w:shd w:val="clear" w:color="auto" w:fill="auto"/>
            <w:vAlign w:val="bottom"/>
          </w:tcPr>
          <w:p w:rsidR="00000000" w:rsidRDefault="00000000">
            <w:pPr>
              <w:spacing w:before="40" w:after="40" w:line="220" w:lineRule="exact"/>
              <w:jc w:val="right"/>
              <w:rPr>
                <w:bCs/>
                <w:sz w:val="18"/>
                <w:szCs w:val="18"/>
              </w:rPr>
            </w:pPr>
            <w:r>
              <w:rPr>
                <w:bCs/>
                <w:sz w:val="18"/>
                <w:szCs w:val="18"/>
              </w:rPr>
              <w:t>79,9</w:t>
            </w:r>
          </w:p>
        </w:tc>
        <w:tc>
          <w:tcPr>
            <w:tcW w:w="1160" w:type="dxa"/>
            <w:shd w:val="clear" w:color="auto" w:fill="auto"/>
            <w:vAlign w:val="bottom"/>
          </w:tcPr>
          <w:p w:rsidR="00000000" w:rsidRDefault="00000000">
            <w:pPr>
              <w:spacing w:before="40" w:after="40" w:line="220" w:lineRule="exact"/>
              <w:jc w:val="right"/>
              <w:rPr>
                <w:bCs/>
                <w:sz w:val="18"/>
                <w:szCs w:val="18"/>
              </w:rPr>
            </w:pPr>
            <w:r>
              <w:rPr>
                <w:bCs/>
                <w:sz w:val="18"/>
                <w:szCs w:val="18"/>
              </w:rPr>
              <w:t>91,8</w:t>
            </w:r>
          </w:p>
        </w:tc>
        <w:tc>
          <w:tcPr>
            <w:tcW w:w="1160" w:type="dxa"/>
            <w:shd w:val="clear" w:color="auto" w:fill="auto"/>
            <w:vAlign w:val="bottom"/>
          </w:tcPr>
          <w:p w:rsidR="00000000" w:rsidRDefault="00000000">
            <w:pPr>
              <w:spacing w:before="40" w:after="40" w:line="220" w:lineRule="exact"/>
              <w:jc w:val="right"/>
              <w:rPr>
                <w:bCs/>
                <w:sz w:val="18"/>
                <w:szCs w:val="18"/>
              </w:rPr>
            </w:pPr>
            <w:r>
              <w:rPr>
                <w:bCs/>
                <w:sz w:val="18"/>
                <w:szCs w:val="18"/>
              </w:rPr>
              <w:t>63,2</w:t>
            </w:r>
          </w:p>
        </w:tc>
      </w:tr>
      <w:tr w:rsidR="00000000">
        <w:tc>
          <w:tcPr>
            <w:tcW w:w="3891" w:type="dxa"/>
            <w:shd w:val="clear" w:color="auto" w:fill="auto"/>
            <w:vAlign w:val="bottom"/>
          </w:tcPr>
          <w:p w:rsidR="00000000" w:rsidRDefault="00000000">
            <w:pPr>
              <w:spacing w:before="40" w:after="40" w:line="220" w:lineRule="exact"/>
              <w:ind w:firstLine="170"/>
              <w:rPr>
                <w:bCs/>
                <w:iCs/>
                <w:sz w:val="18"/>
                <w:szCs w:val="18"/>
                <w:lang w:val="fr-FR"/>
              </w:rPr>
            </w:pPr>
            <w:r>
              <w:rPr>
                <w:bCs/>
                <w:iCs/>
                <w:sz w:val="18"/>
                <w:szCs w:val="18"/>
                <w:lang w:val="fr-FR"/>
              </w:rPr>
              <w:t>% Budget santé</w:t>
            </w:r>
          </w:p>
        </w:tc>
        <w:tc>
          <w:tcPr>
            <w:tcW w:w="1160" w:type="dxa"/>
            <w:shd w:val="clear" w:color="auto" w:fill="auto"/>
            <w:vAlign w:val="bottom"/>
          </w:tcPr>
          <w:p w:rsidR="00000000" w:rsidRDefault="00000000">
            <w:pPr>
              <w:spacing w:before="40" w:after="40" w:line="220" w:lineRule="exact"/>
              <w:jc w:val="right"/>
              <w:rPr>
                <w:bCs/>
                <w:sz w:val="18"/>
                <w:szCs w:val="18"/>
              </w:rPr>
            </w:pPr>
            <w:r>
              <w:rPr>
                <w:bCs/>
                <w:sz w:val="18"/>
                <w:szCs w:val="18"/>
              </w:rPr>
              <w:t>5,6</w:t>
            </w:r>
          </w:p>
        </w:tc>
        <w:tc>
          <w:tcPr>
            <w:tcW w:w="1160" w:type="dxa"/>
            <w:shd w:val="clear" w:color="auto" w:fill="auto"/>
            <w:vAlign w:val="bottom"/>
          </w:tcPr>
          <w:p w:rsidR="00000000" w:rsidRDefault="00000000">
            <w:pPr>
              <w:spacing w:before="40" w:after="40" w:line="220" w:lineRule="exact"/>
              <w:jc w:val="right"/>
              <w:rPr>
                <w:bCs/>
                <w:sz w:val="18"/>
                <w:szCs w:val="18"/>
              </w:rPr>
            </w:pPr>
            <w:r>
              <w:rPr>
                <w:bCs/>
                <w:sz w:val="18"/>
                <w:szCs w:val="18"/>
              </w:rPr>
              <w:t>6,5</w:t>
            </w:r>
          </w:p>
        </w:tc>
        <w:tc>
          <w:tcPr>
            <w:tcW w:w="1160" w:type="dxa"/>
            <w:shd w:val="clear" w:color="auto" w:fill="auto"/>
            <w:vAlign w:val="bottom"/>
          </w:tcPr>
          <w:p w:rsidR="00000000" w:rsidRDefault="00000000">
            <w:pPr>
              <w:spacing w:before="40" w:after="40" w:line="220" w:lineRule="exact"/>
              <w:jc w:val="right"/>
              <w:rPr>
                <w:bCs/>
                <w:sz w:val="18"/>
                <w:szCs w:val="18"/>
              </w:rPr>
            </w:pPr>
            <w:r>
              <w:rPr>
                <w:bCs/>
                <w:sz w:val="18"/>
                <w:szCs w:val="18"/>
              </w:rPr>
              <w:t>5,7</w:t>
            </w:r>
          </w:p>
        </w:tc>
      </w:tr>
      <w:tr w:rsidR="00000000">
        <w:tc>
          <w:tcPr>
            <w:tcW w:w="3891" w:type="dxa"/>
            <w:shd w:val="clear" w:color="auto" w:fill="auto"/>
            <w:vAlign w:val="bottom"/>
          </w:tcPr>
          <w:p w:rsidR="00000000" w:rsidRDefault="00000000">
            <w:pPr>
              <w:spacing w:before="40" w:after="40" w:line="220" w:lineRule="exact"/>
              <w:ind w:firstLine="170"/>
              <w:rPr>
                <w:bCs/>
                <w:iCs/>
                <w:sz w:val="18"/>
                <w:szCs w:val="18"/>
                <w:lang w:val="fr-FR"/>
              </w:rPr>
            </w:pPr>
            <w:r>
              <w:rPr>
                <w:bCs/>
                <w:iCs/>
                <w:sz w:val="18"/>
                <w:szCs w:val="18"/>
                <w:lang w:val="fr-FR"/>
              </w:rPr>
              <w:t>% Budget éducation</w:t>
            </w:r>
          </w:p>
        </w:tc>
        <w:tc>
          <w:tcPr>
            <w:tcW w:w="1160" w:type="dxa"/>
            <w:shd w:val="clear" w:color="auto" w:fill="auto"/>
            <w:vAlign w:val="bottom"/>
          </w:tcPr>
          <w:p w:rsidR="00000000" w:rsidRDefault="00000000">
            <w:pPr>
              <w:spacing w:before="40" w:after="40" w:line="220" w:lineRule="exact"/>
              <w:jc w:val="right"/>
              <w:rPr>
                <w:bCs/>
                <w:sz w:val="18"/>
                <w:szCs w:val="18"/>
              </w:rPr>
            </w:pPr>
            <w:r>
              <w:rPr>
                <w:bCs/>
                <w:sz w:val="18"/>
                <w:szCs w:val="18"/>
              </w:rPr>
              <w:t>13,9</w:t>
            </w:r>
          </w:p>
        </w:tc>
        <w:tc>
          <w:tcPr>
            <w:tcW w:w="1160" w:type="dxa"/>
            <w:shd w:val="clear" w:color="auto" w:fill="auto"/>
            <w:vAlign w:val="bottom"/>
          </w:tcPr>
          <w:p w:rsidR="00000000" w:rsidRDefault="00000000">
            <w:pPr>
              <w:spacing w:before="40" w:after="40" w:line="220" w:lineRule="exact"/>
              <w:jc w:val="right"/>
              <w:rPr>
                <w:bCs/>
                <w:sz w:val="18"/>
                <w:szCs w:val="18"/>
              </w:rPr>
            </w:pPr>
            <w:r>
              <w:rPr>
                <w:bCs/>
                <w:sz w:val="18"/>
                <w:szCs w:val="18"/>
              </w:rPr>
              <w:t>16,6</w:t>
            </w:r>
          </w:p>
        </w:tc>
        <w:tc>
          <w:tcPr>
            <w:tcW w:w="1160" w:type="dxa"/>
            <w:shd w:val="clear" w:color="auto" w:fill="auto"/>
            <w:vAlign w:val="bottom"/>
          </w:tcPr>
          <w:p w:rsidR="00000000" w:rsidRDefault="00000000">
            <w:pPr>
              <w:spacing w:before="40" w:after="40" w:line="220" w:lineRule="exact"/>
              <w:jc w:val="right"/>
              <w:rPr>
                <w:bCs/>
                <w:sz w:val="18"/>
                <w:szCs w:val="18"/>
              </w:rPr>
            </w:pPr>
            <w:r>
              <w:rPr>
                <w:bCs/>
                <w:sz w:val="18"/>
                <w:szCs w:val="18"/>
              </w:rPr>
              <w:t>22,2</w:t>
            </w:r>
          </w:p>
        </w:tc>
      </w:tr>
      <w:tr w:rsidR="00000000">
        <w:tc>
          <w:tcPr>
            <w:tcW w:w="3891" w:type="dxa"/>
            <w:shd w:val="clear" w:color="auto" w:fill="auto"/>
            <w:vAlign w:val="bottom"/>
          </w:tcPr>
          <w:p w:rsidR="00000000" w:rsidRDefault="00000000">
            <w:pPr>
              <w:spacing w:before="40" w:after="40" w:line="220" w:lineRule="exact"/>
              <w:ind w:firstLine="170"/>
              <w:rPr>
                <w:bCs/>
                <w:iCs/>
                <w:sz w:val="18"/>
                <w:szCs w:val="18"/>
                <w:lang w:val="fr-FR"/>
              </w:rPr>
            </w:pPr>
            <w:r>
              <w:rPr>
                <w:bCs/>
                <w:iCs/>
                <w:sz w:val="18"/>
                <w:szCs w:val="18"/>
                <w:lang w:val="fr-FR"/>
              </w:rPr>
              <w:t>% Budget justice</w:t>
            </w:r>
          </w:p>
        </w:tc>
        <w:tc>
          <w:tcPr>
            <w:tcW w:w="1160" w:type="dxa"/>
            <w:shd w:val="clear" w:color="auto" w:fill="auto"/>
            <w:vAlign w:val="bottom"/>
          </w:tcPr>
          <w:p w:rsidR="00000000" w:rsidRDefault="00000000">
            <w:pPr>
              <w:spacing w:before="40" w:after="40" w:line="220" w:lineRule="exact"/>
              <w:jc w:val="right"/>
              <w:rPr>
                <w:bCs/>
                <w:sz w:val="18"/>
                <w:szCs w:val="18"/>
              </w:rPr>
            </w:pPr>
            <w:r>
              <w:rPr>
                <w:bCs/>
                <w:sz w:val="18"/>
                <w:szCs w:val="18"/>
              </w:rPr>
              <w:t>1,1</w:t>
            </w:r>
          </w:p>
        </w:tc>
        <w:tc>
          <w:tcPr>
            <w:tcW w:w="1160" w:type="dxa"/>
            <w:shd w:val="clear" w:color="auto" w:fill="auto"/>
            <w:vAlign w:val="bottom"/>
          </w:tcPr>
          <w:p w:rsidR="00000000" w:rsidRDefault="00000000">
            <w:pPr>
              <w:spacing w:before="40" w:after="40" w:line="220" w:lineRule="exact"/>
              <w:jc w:val="right"/>
              <w:rPr>
                <w:bCs/>
                <w:sz w:val="18"/>
                <w:szCs w:val="18"/>
              </w:rPr>
            </w:pPr>
            <w:r>
              <w:rPr>
                <w:bCs/>
                <w:sz w:val="18"/>
                <w:szCs w:val="18"/>
              </w:rPr>
              <w:t>1,5</w:t>
            </w:r>
          </w:p>
        </w:tc>
        <w:tc>
          <w:tcPr>
            <w:tcW w:w="1160" w:type="dxa"/>
            <w:shd w:val="clear" w:color="auto" w:fill="auto"/>
            <w:vAlign w:val="bottom"/>
          </w:tcPr>
          <w:p w:rsidR="00000000" w:rsidRDefault="00000000">
            <w:pPr>
              <w:spacing w:before="40" w:after="40" w:line="220" w:lineRule="exact"/>
              <w:jc w:val="right"/>
              <w:rPr>
                <w:bCs/>
                <w:sz w:val="18"/>
                <w:szCs w:val="18"/>
              </w:rPr>
            </w:pPr>
            <w:r>
              <w:rPr>
                <w:bCs/>
                <w:sz w:val="18"/>
                <w:szCs w:val="18"/>
              </w:rPr>
              <w:t>1,5</w:t>
            </w:r>
          </w:p>
        </w:tc>
      </w:tr>
      <w:tr w:rsidR="00000000">
        <w:tc>
          <w:tcPr>
            <w:tcW w:w="3891" w:type="dxa"/>
            <w:shd w:val="clear" w:color="auto" w:fill="auto"/>
            <w:vAlign w:val="bottom"/>
          </w:tcPr>
          <w:p w:rsidR="00000000" w:rsidRDefault="00000000">
            <w:pPr>
              <w:spacing w:before="40" w:after="40" w:line="220" w:lineRule="exact"/>
              <w:ind w:firstLine="170"/>
              <w:rPr>
                <w:bCs/>
                <w:iCs/>
                <w:sz w:val="18"/>
                <w:szCs w:val="18"/>
                <w:lang w:val="fr-FR"/>
              </w:rPr>
            </w:pPr>
            <w:r>
              <w:rPr>
                <w:bCs/>
                <w:iCs/>
                <w:sz w:val="18"/>
                <w:szCs w:val="18"/>
                <w:lang w:val="fr-FR"/>
              </w:rPr>
              <w:t>% Budget Population</w:t>
            </w:r>
          </w:p>
        </w:tc>
        <w:tc>
          <w:tcPr>
            <w:tcW w:w="1160" w:type="dxa"/>
            <w:shd w:val="clear" w:color="auto" w:fill="auto"/>
            <w:vAlign w:val="bottom"/>
          </w:tcPr>
          <w:p w:rsidR="00000000" w:rsidRDefault="00000000">
            <w:pPr>
              <w:spacing w:before="40" w:after="40" w:line="220" w:lineRule="exact"/>
              <w:jc w:val="right"/>
              <w:rPr>
                <w:bCs/>
                <w:sz w:val="18"/>
                <w:szCs w:val="18"/>
              </w:rPr>
            </w:pPr>
            <w:r>
              <w:rPr>
                <w:bCs/>
                <w:sz w:val="18"/>
                <w:szCs w:val="18"/>
              </w:rPr>
              <w:t>0,45</w:t>
            </w:r>
          </w:p>
        </w:tc>
        <w:tc>
          <w:tcPr>
            <w:tcW w:w="1160" w:type="dxa"/>
            <w:shd w:val="clear" w:color="auto" w:fill="auto"/>
            <w:vAlign w:val="bottom"/>
          </w:tcPr>
          <w:p w:rsidR="00000000" w:rsidRDefault="00000000">
            <w:pPr>
              <w:spacing w:before="40" w:after="40" w:line="220" w:lineRule="exact"/>
              <w:jc w:val="right"/>
              <w:rPr>
                <w:bCs/>
                <w:sz w:val="18"/>
                <w:szCs w:val="18"/>
              </w:rPr>
            </w:pPr>
            <w:r>
              <w:rPr>
                <w:bCs/>
                <w:sz w:val="18"/>
                <w:szCs w:val="18"/>
              </w:rPr>
              <w:t>0,5</w:t>
            </w:r>
          </w:p>
        </w:tc>
        <w:tc>
          <w:tcPr>
            <w:tcW w:w="1160" w:type="dxa"/>
            <w:shd w:val="clear" w:color="auto" w:fill="auto"/>
            <w:vAlign w:val="bottom"/>
          </w:tcPr>
          <w:p w:rsidR="00000000" w:rsidRDefault="00000000">
            <w:pPr>
              <w:spacing w:before="40" w:after="40" w:line="220" w:lineRule="exact"/>
              <w:jc w:val="right"/>
              <w:rPr>
                <w:bCs/>
                <w:sz w:val="18"/>
                <w:szCs w:val="18"/>
              </w:rPr>
            </w:pPr>
            <w:r>
              <w:rPr>
                <w:bCs/>
                <w:sz w:val="18"/>
                <w:szCs w:val="18"/>
              </w:rPr>
              <w:t>0,5</w:t>
            </w:r>
          </w:p>
        </w:tc>
      </w:tr>
      <w:tr w:rsidR="00000000">
        <w:tc>
          <w:tcPr>
            <w:tcW w:w="3891" w:type="dxa"/>
            <w:tcBorders>
              <w:bottom w:val="single" w:sz="12" w:space="0" w:color="auto"/>
            </w:tcBorders>
            <w:shd w:val="clear" w:color="auto" w:fill="auto"/>
            <w:vAlign w:val="bottom"/>
          </w:tcPr>
          <w:p w:rsidR="00000000" w:rsidRDefault="00000000">
            <w:pPr>
              <w:spacing w:before="40" w:after="40" w:line="220" w:lineRule="exact"/>
              <w:ind w:firstLine="170"/>
              <w:rPr>
                <w:bCs/>
                <w:iCs/>
                <w:sz w:val="18"/>
                <w:szCs w:val="18"/>
                <w:lang w:val="fr-FR"/>
              </w:rPr>
            </w:pPr>
            <w:r>
              <w:rPr>
                <w:bCs/>
                <w:iCs/>
                <w:sz w:val="18"/>
                <w:szCs w:val="18"/>
                <w:lang w:val="fr-FR"/>
              </w:rPr>
              <w:t>% Budget Social</w:t>
            </w:r>
          </w:p>
        </w:tc>
        <w:tc>
          <w:tcPr>
            <w:tcW w:w="1160" w:type="dxa"/>
            <w:tcBorders>
              <w:bottom w:val="single" w:sz="12" w:space="0" w:color="auto"/>
            </w:tcBorders>
            <w:shd w:val="clear" w:color="auto" w:fill="auto"/>
            <w:vAlign w:val="bottom"/>
          </w:tcPr>
          <w:p w:rsidR="00000000" w:rsidRDefault="00000000">
            <w:pPr>
              <w:spacing w:before="40" w:after="40" w:line="220" w:lineRule="exact"/>
              <w:jc w:val="right"/>
              <w:rPr>
                <w:bCs/>
                <w:sz w:val="18"/>
                <w:szCs w:val="18"/>
              </w:rPr>
            </w:pPr>
            <w:r>
              <w:rPr>
                <w:bCs/>
                <w:sz w:val="18"/>
                <w:szCs w:val="18"/>
              </w:rPr>
              <w:t>21,1</w:t>
            </w:r>
          </w:p>
        </w:tc>
        <w:tc>
          <w:tcPr>
            <w:tcW w:w="1160" w:type="dxa"/>
            <w:tcBorders>
              <w:bottom w:val="single" w:sz="12" w:space="0" w:color="auto"/>
            </w:tcBorders>
            <w:shd w:val="clear" w:color="auto" w:fill="auto"/>
            <w:vAlign w:val="bottom"/>
          </w:tcPr>
          <w:p w:rsidR="00000000" w:rsidRDefault="00000000">
            <w:pPr>
              <w:spacing w:before="40" w:after="40" w:line="220" w:lineRule="exact"/>
              <w:jc w:val="right"/>
              <w:rPr>
                <w:bCs/>
                <w:sz w:val="18"/>
                <w:szCs w:val="18"/>
              </w:rPr>
            </w:pPr>
            <w:r>
              <w:rPr>
                <w:bCs/>
                <w:sz w:val="18"/>
                <w:szCs w:val="18"/>
              </w:rPr>
              <w:t>25,1</w:t>
            </w:r>
          </w:p>
        </w:tc>
        <w:tc>
          <w:tcPr>
            <w:tcW w:w="1160" w:type="dxa"/>
            <w:tcBorders>
              <w:bottom w:val="single" w:sz="12" w:space="0" w:color="auto"/>
            </w:tcBorders>
            <w:shd w:val="clear" w:color="auto" w:fill="auto"/>
            <w:vAlign w:val="bottom"/>
          </w:tcPr>
          <w:p w:rsidR="00000000" w:rsidRDefault="00000000">
            <w:pPr>
              <w:spacing w:before="40" w:after="40" w:line="220" w:lineRule="exact"/>
              <w:jc w:val="right"/>
              <w:rPr>
                <w:bCs/>
                <w:sz w:val="18"/>
                <w:szCs w:val="18"/>
              </w:rPr>
            </w:pPr>
            <w:r>
              <w:rPr>
                <w:bCs/>
                <w:sz w:val="18"/>
                <w:szCs w:val="18"/>
              </w:rPr>
              <w:t>29,5</w:t>
            </w:r>
          </w:p>
        </w:tc>
      </w:tr>
    </w:tbl>
    <w:p w:rsidR="00000000" w:rsidRDefault="00000000">
      <w:pPr>
        <w:pStyle w:val="SingleTxtG"/>
        <w:spacing w:before="120" w:after="240"/>
        <w:ind w:firstLine="170"/>
        <w:rPr>
          <w:sz w:val="18"/>
          <w:szCs w:val="18"/>
          <w:lang w:val="fr-FR"/>
        </w:rPr>
      </w:pPr>
      <w:r>
        <w:rPr>
          <w:i/>
          <w:sz w:val="18"/>
          <w:szCs w:val="18"/>
          <w:lang w:val="fr-FR"/>
        </w:rPr>
        <w:t>Source</w:t>
      </w:r>
      <w:r>
        <w:rPr>
          <w:sz w:val="18"/>
          <w:szCs w:val="18"/>
          <w:lang w:val="fr-FR"/>
        </w:rPr>
        <w:t>: Lois de Finances, Banque mondiale.</w:t>
      </w:r>
    </w:p>
    <w:p w:rsidR="00000000" w:rsidRDefault="00000000">
      <w:pPr>
        <w:pStyle w:val="SingleTxtG"/>
        <w:spacing w:after="0"/>
      </w:pPr>
      <w:bookmarkStart w:id="1779" w:name="_Toc260298299"/>
      <w:r>
        <w:t>Tableau 43</w:t>
      </w:r>
    </w:p>
    <w:p w:rsidR="00000000" w:rsidRDefault="00000000">
      <w:pPr>
        <w:pStyle w:val="SingleTxtG"/>
        <w:rPr>
          <w:b/>
        </w:rPr>
      </w:pPr>
      <w:r>
        <w:rPr>
          <w:b/>
        </w:rPr>
        <w:t>Les principaux indicateurs de suivi des allocations budgétaires</w:t>
      </w:r>
      <w:bookmarkEnd w:id="1779"/>
    </w:p>
    <w:tbl>
      <w:tblPr>
        <w:tblStyle w:val="TableGrid"/>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552"/>
        <w:gridCol w:w="1134"/>
        <w:gridCol w:w="1134"/>
        <w:gridCol w:w="1134"/>
        <w:gridCol w:w="851"/>
        <w:gridCol w:w="851"/>
        <w:gridCol w:w="851"/>
      </w:tblGrid>
      <w:tr w:rsidR="00000000">
        <w:tc>
          <w:tcPr>
            <w:tcW w:w="2552" w:type="dxa"/>
            <w:tcBorders>
              <w:top w:val="single" w:sz="4" w:space="0" w:color="auto"/>
              <w:bottom w:val="single" w:sz="12" w:space="0" w:color="auto"/>
            </w:tcBorders>
            <w:shd w:val="clear" w:color="auto" w:fill="auto"/>
            <w:vAlign w:val="bottom"/>
          </w:tcPr>
          <w:p w:rsidR="00000000" w:rsidRDefault="00000000">
            <w:pPr>
              <w:spacing w:before="80" w:after="80" w:line="200" w:lineRule="exact"/>
              <w:rPr>
                <w:bCs/>
                <w:i/>
                <w:sz w:val="16"/>
                <w:szCs w:val="16"/>
              </w:rPr>
            </w:pPr>
            <w:r>
              <w:rPr>
                <w:bCs/>
                <w:i/>
                <w:sz w:val="16"/>
                <w:szCs w:val="16"/>
              </w:rPr>
              <w:t>Indicateurs</w:t>
            </w:r>
          </w:p>
        </w:tc>
        <w:tc>
          <w:tcPr>
            <w:tcW w:w="1134"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bCs/>
                <w:i/>
                <w:sz w:val="16"/>
                <w:szCs w:val="16"/>
              </w:rPr>
            </w:pPr>
            <w:r>
              <w:rPr>
                <w:bCs/>
                <w:i/>
                <w:sz w:val="16"/>
                <w:szCs w:val="16"/>
              </w:rPr>
              <w:t>2003</w:t>
            </w:r>
          </w:p>
          <w:p w:rsidR="00000000" w:rsidRDefault="00000000">
            <w:pPr>
              <w:spacing w:before="80" w:after="80" w:line="200" w:lineRule="exact"/>
              <w:jc w:val="right"/>
              <w:rPr>
                <w:bCs/>
                <w:i/>
                <w:sz w:val="16"/>
                <w:szCs w:val="16"/>
              </w:rPr>
            </w:pPr>
            <w:r>
              <w:rPr>
                <w:bCs/>
                <w:i/>
                <w:sz w:val="16"/>
                <w:szCs w:val="16"/>
              </w:rPr>
              <w:t>Obj/Réal</w:t>
            </w:r>
          </w:p>
        </w:tc>
        <w:tc>
          <w:tcPr>
            <w:tcW w:w="1134"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bCs/>
                <w:i/>
                <w:sz w:val="16"/>
                <w:szCs w:val="16"/>
              </w:rPr>
            </w:pPr>
            <w:r>
              <w:rPr>
                <w:bCs/>
                <w:i/>
                <w:sz w:val="16"/>
                <w:szCs w:val="16"/>
              </w:rPr>
              <w:t>2004</w:t>
            </w:r>
          </w:p>
          <w:p w:rsidR="00000000" w:rsidRDefault="00000000">
            <w:pPr>
              <w:spacing w:before="80" w:after="80" w:line="200" w:lineRule="exact"/>
              <w:jc w:val="right"/>
              <w:rPr>
                <w:bCs/>
                <w:i/>
                <w:sz w:val="16"/>
                <w:szCs w:val="16"/>
              </w:rPr>
            </w:pPr>
            <w:r>
              <w:rPr>
                <w:bCs/>
                <w:i/>
                <w:sz w:val="16"/>
                <w:szCs w:val="16"/>
              </w:rPr>
              <w:t>Obj/Réal</w:t>
            </w:r>
          </w:p>
        </w:tc>
        <w:tc>
          <w:tcPr>
            <w:tcW w:w="1134"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bCs/>
                <w:i/>
                <w:sz w:val="16"/>
                <w:szCs w:val="16"/>
              </w:rPr>
            </w:pPr>
            <w:r>
              <w:rPr>
                <w:bCs/>
                <w:i/>
                <w:sz w:val="16"/>
                <w:szCs w:val="16"/>
              </w:rPr>
              <w:t>2005</w:t>
            </w:r>
          </w:p>
          <w:p w:rsidR="00000000" w:rsidRDefault="00000000">
            <w:pPr>
              <w:spacing w:before="80" w:after="80" w:line="200" w:lineRule="exact"/>
              <w:jc w:val="right"/>
              <w:rPr>
                <w:bCs/>
                <w:i/>
                <w:sz w:val="16"/>
                <w:szCs w:val="16"/>
              </w:rPr>
            </w:pPr>
            <w:r>
              <w:rPr>
                <w:bCs/>
                <w:i/>
                <w:sz w:val="16"/>
                <w:szCs w:val="16"/>
              </w:rPr>
              <w:t>Objectif</w:t>
            </w:r>
          </w:p>
        </w:tc>
        <w:tc>
          <w:tcPr>
            <w:tcW w:w="851"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bCs/>
                <w:i/>
                <w:sz w:val="16"/>
                <w:szCs w:val="16"/>
              </w:rPr>
            </w:pPr>
            <w:r>
              <w:rPr>
                <w:bCs/>
                <w:i/>
                <w:sz w:val="16"/>
                <w:szCs w:val="16"/>
              </w:rPr>
              <w:t>2006</w:t>
            </w:r>
          </w:p>
          <w:p w:rsidR="00000000" w:rsidRDefault="00000000">
            <w:pPr>
              <w:spacing w:before="80" w:after="80" w:line="200" w:lineRule="exact"/>
              <w:jc w:val="right"/>
              <w:rPr>
                <w:bCs/>
                <w:i/>
                <w:sz w:val="16"/>
                <w:szCs w:val="16"/>
              </w:rPr>
            </w:pPr>
            <w:r>
              <w:rPr>
                <w:bCs/>
                <w:i/>
                <w:sz w:val="16"/>
                <w:szCs w:val="16"/>
              </w:rPr>
              <w:t>Objectif</w:t>
            </w:r>
          </w:p>
        </w:tc>
        <w:tc>
          <w:tcPr>
            <w:tcW w:w="851"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bCs/>
                <w:i/>
                <w:sz w:val="16"/>
                <w:szCs w:val="16"/>
              </w:rPr>
            </w:pPr>
            <w:r>
              <w:rPr>
                <w:bCs/>
                <w:i/>
                <w:sz w:val="16"/>
                <w:szCs w:val="16"/>
              </w:rPr>
              <w:t>2007</w:t>
            </w:r>
          </w:p>
          <w:p w:rsidR="00000000" w:rsidRDefault="00000000">
            <w:pPr>
              <w:spacing w:before="80" w:after="80" w:line="200" w:lineRule="exact"/>
              <w:jc w:val="right"/>
              <w:rPr>
                <w:bCs/>
                <w:i/>
                <w:sz w:val="16"/>
                <w:szCs w:val="16"/>
              </w:rPr>
            </w:pPr>
            <w:r>
              <w:rPr>
                <w:bCs/>
                <w:i/>
                <w:sz w:val="16"/>
                <w:szCs w:val="16"/>
              </w:rPr>
              <w:t>Objectif</w:t>
            </w:r>
          </w:p>
        </w:tc>
        <w:tc>
          <w:tcPr>
            <w:tcW w:w="851"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bCs/>
                <w:i/>
                <w:sz w:val="16"/>
                <w:szCs w:val="16"/>
              </w:rPr>
            </w:pPr>
            <w:r>
              <w:rPr>
                <w:bCs/>
                <w:i/>
                <w:sz w:val="16"/>
                <w:szCs w:val="16"/>
              </w:rPr>
              <w:t>Sources</w:t>
            </w:r>
          </w:p>
        </w:tc>
      </w:tr>
      <w:tr w:rsidR="00000000">
        <w:tc>
          <w:tcPr>
            <w:tcW w:w="2552" w:type="dxa"/>
            <w:tcBorders>
              <w:top w:val="single" w:sz="12" w:space="0" w:color="auto"/>
            </w:tcBorders>
            <w:shd w:val="clear" w:color="auto" w:fill="auto"/>
            <w:vAlign w:val="bottom"/>
          </w:tcPr>
          <w:p w:rsidR="00000000" w:rsidRDefault="00000000">
            <w:pPr>
              <w:spacing w:before="40" w:after="40" w:line="220" w:lineRule="exact"/>
              <w:rPr>
                <w:bCs/>
                <w:sz w:val="18"/>
                <w:szCs w:val="18"/>
              </w:rPr>
            </w:pPr>
            <w:r>
              <w:rPr>
                <w:bCs/>
                <w:sz w:val="18"/>
                <w:szCs w:val="18"/>
              </w:rPr>
              <w:t>Total du budget éducation (indice base 100 = 2003)</w:t>
            </w:r>
          </w:p>
        </w:tc>
        <w:tc>
          <w:tcPr>
            <w:tcW w:w="1134" w:type="dxa"/>
            <w:tcBorders>
              <w:top w:val="single" w:sz="12" w:space="0" w:color="auto"/>
            </w:tcBorders>
            <w:shd w:val="clear" w:color="auto" w:fill="auto"/>
            <w:vAlign w:val="bottom"/>
          </w:tcPr>
          <w:p w:rsidR="00000000" w:rsidRDefault="00000000">
            <w:pPr>
              <w:spacing w:before="40" w:after="40" w:line="220" w:lineRule="exact"/>
              <w:jc w:val="right"/>
              <w:rPr>
                <w:bCs/>
                <w:sz w:val="18"/>
                <w:szCs w:val="18"/>
              </w:rPr>
            </w:pPr>
            <w:r>
              <w:rPr>
                <w:bCs/>
                <w:sz w:val="18"/>
                <w:szCs w:val="18"/>
              </w:rPr>
              <w:t>100</w:t>
            </w:r>
          </w:p>
        </w:tc>
        <w:tc>
          <w:tcPr>
            <w:tcW w:w="1134" w:type="dxa"/>
            <w:tcBorders>
              <w:top w:val="single" w:sz="12" w:space="0" w:color="auto"/>
            </w:tcBorders>
            <w:shd w:val="clear" w:color="auto" w:fill="auto"/>
            <w:vAlign w:val="bottom"/>
          </w:tcPr>
          <w:p w:rsidR="00000000" w:rsidRDefault="00000000">
            <w:pPr>
              <w:spacing w:before="40" w:after="40" w:line="220" w:lineRule="exact"/>
              <w:jc w:val="right"/>
              <w:rPr>
                <w:bCs/>
                <w:sz w:val="18"/>
                <w:szCs w:val="18"/>
              </w:rPr>
            </w:pPr>
            <w:r>
              <w:rPr>
                <w:bCs/>
                <w:sz w:val="18"/>
                <w:szCs w:val="18"/>
              </w:rPr>
              <w:t>132,0/141,8</w:t>
            </w:r>
          </w:p>
        </w:tc>
        <w:tc>
          <w:tcPr>
            <w:tcW w:w="1134" w:type="dxa"/>
            <w:tcBorders>
              <w:top w:val="single" w:sz="12" w:space="0" w:color="auto"/>
            </w:tcBorders>
            <w:shd w:val="clear" w:color="auto" w:fill="auto"/>
            <w:vAlign w:val="bottom"/>
          </w:tcPr>
          <w:p w:rsidR="00000000" w:rsidRDefault="00000000">
            <w:pPr>
              <w:spacing w:before="40" w:after="40" w:line="220" w:lineRule="exact"/>
              <w:jc w:val="right"/>
              <w:rPr>
                <w:bCs/>
                <w:sz w:val="18"/>
                <w:szCs w:val="18"/>
              </w:rPr>
            </w:pPr>
            <w:r>
              <w:rPr>
                <w:bCs/>
                <w:sz w:val="18"/>
                <w:szCs w:val="18"/>
              </w:rPr>
              <w:t>172,4</w:t>
            </w:r>
          </w:p>
        </w:tc>
        <w:tc>
          <w:tcPr>
            <w:tcW w:w="851" w:type="dxa"/>
            <w:tcBorders>
              <w:top w:val="single" w:sz="12" w:space="0" w:color="auto"/>
            </w:tcBorders>
            <w:shd w:val="clear" w:color="auto" w:fill="auto"/>
            <w:vAlign w:val="bottom"/>
          </w:tcPr>
          <w:p w:rsidR="00000000" w:rsidRDefault="00000000">
            <w:pPr>
              <w:spacing w:before="40" w:after="40" w:line="220" w:lineRule="exact"/>
              <w:jc w:val="right"/>
              <w:rPr>
                <w:bCs/>
                <w:sz w:val="18"/>
                <w:szCs w:val="18"/>
              </w:rPr>
            </w:pPr>
            <w:r>
              <w:rPr>
                <w:bCs/>
                <w:sz w:val="18"/>
                <w:szCs w:val="18"/>
              </w:rPr>
              <w:t>175,8</w:t>
            </w:r>
          </w:p>
        </w:tc>
        <w:tc>
          <w:tcPr>
            <w:tcW w:w="851" w:type="dxa"/>
            <w:tcBorders>
              <w:top w:val="single" w:sz="12" w:space="0" w:color="auto"/>
            </w:tcBorders>
            <w:shd w:val="clear" w:color="auto" w:fill="auto"/>
            <w:vAlign w:val="bottom"/>
          </w:tcPr>
          <w:p w:rsidR="00000000" w:rsidRDefault="00000000">
            <w:pPr>
              <w:spacing w:before="40" w:after="40" w:line="220" w:lineRule="exact"/>
              <w:jc w:val="right"/>
              <w:rPr>
                <w:bCs/>
                <w:sz w:val="18"/>
                <w:szCs w:val="18"/>
              </w:rPr>
            </w:pPr>
            <w:r>
              <w:rPr>
                <w:bCs/>
                <w:sz w:val="18"/>
                <w:szCs w:val="18"/>
              </w:rPr>
              <w:t>194,5</w:t>
            </w:r>
          </w:p>
        </w:tc>
        <w:tc>
          <w:tcPr>
            <w:tcW w:w="851" w:type="dxa"/>
            <w:tcBorders>
              <w:top w:val="single" w:sz="12" w:space="0" w:color="auto"/>
            </w:tcBorders>
            <w:shd w:val="clear" w:color="auto" w:fill="auto"/>
            <w:vAlign w:val="bottom"/>
          </w:tcPr>
          <w:p w:rsidR="00000000" w:rsidRDefault="00000000">
            <w:pPr>
              <w:spacing w:before="40" w:after="40" w:line="220" w:lineRule="exact"/>
              <w:jc w:val="right"/>
              <w:rPr>
                <w:bCs/>
                <w:sz w:val="18"/>
                <w:szCs w:val="18"/>
              </w:rPr>
            </w:pPr>
            <w:r>
              <w:rPr>
                <w:bCs/>
                <w:sz w:val="18"/>
                <w:szCs w:val="18"/>
              </w:rPr>
              <w:t>MENRS</w:t>
            </w:r>
          </w:p>
        </w:tc>
      </w:tr>
      <w:tr w:rsidR="00000000">
        <w:tc>
          <w:tcPr>
            <w:tcW w:w="2552" w:type="dxa"/>
            <w:shd w:val="clear" w:color="auto" w:fill="auto"/>
            <w:vAlign w:val="bottom"/>
          </w:tcPr>
          <w:p w:rsidR="00000000" w:rsidRDefault="00000000">
            <w:pPr>
              <w:spacing w:before="40" w:after="40" w:line="220" w:lineRule="exact"/>
              <w:rPr>
                <w:bCs/>
                <w:sz w:val="18"/>
                <w:szCs w:val="18"/>
              </w:rPr>
            </w:pPr>
            <w:r>
              <w:rPr>
                <w:bCs/>
                <w:sz w:val="18"/>
                <w:szCs w:val="18"/>
              </w:rPr>
              <w:t>Part du budget alloué au MENRS par rapport à l’ensemble du budget (en %)</w:t>
            </w:r>
          </w:p>
        </w:tc>
        <w:tc>
          <w:tcPr>
            <w:tcW w:w="1134" w:type="dxa"/>
            <w:shd w:val="clear" w:color="auto" w:fill="auto"/>
            <w:vAlign w:val="bottom"/>
          </w:tcPr>
          <w:p w:rsidR="00000000" w:rsidRDefault="00000000">
            <w:pPr>
              <w:spacing w:before="40" w:after="40" w:line="220" w:lineRule="exact"/>
              <w:jc w:val="right"/>
              <w:rPr>
                <w:bCs/>
                <w:sz w:val="18"/>
                <w:szCs w:val="18"/>
              </w:rPr>
            </w:pPr>
            <w:r>
              <w:rPr>
                <w:bCs/>
                <w:sz w:val="18"/>
                <w:szCs w:val="18"/>
              </w:rPr>
              <w:t>15,8/20,13</w:t>
            </w:r>
          </w:p>
        </w:tc>
        <w:tc>
          <w:tcPr>
            <w:tcW w:w="1134" w:type="dxa"/>
            <w:shd w:val="clear" w:color="auto" w:fill="auto"/>
            <w:vAlign w:val="bottom"/>
          </w:tcPr>
          <w:p w:rsidR="00000000" w:rsidRDefault="00000000">
            <w:pPr>
              <w:spacing w:before="40" w:after="40" w:line="220" w:lineRule="exact"/>
              <w:jc w:val="right"/>
              <w:rPr>
                <w:bCs/>
                <w:sz w:val="18"/>
                <w:szCs w:val="18"/>
              </w:rPr>
            </w:pPr>
            <w:r>
              <w:rPr>
                <w:bCs/>
                <w:sz w:val="18"/>
                <w:szCs w:val="18"/>
              </w:rPr>
              <w:t>21,8/23,41</w:t>
            </w:r>
          </w:p>
        </w:tc>
        <w:tc>
          <w:tcPr>
            <w:tcW w:w="1134" w:type="dxa"/>
            <w:shd w:val="clear" w:color="auto" w:fill="auto"/>
            <w:vAlign w:val="bottom"/>
          </w:tcPr>
          <w:p w:rsidR="00000000" w:rsidRDefault="00000000">
            <w:pPr>
              <w:spacing w:before="40" w:after="40" w:line="220" w:lineRule="exact"/>
              <w:jc w:val="right"/>
              <w:rPr>
                <w:bCs/>
                <w:sz w:val="18"/>
                <w:szCs w:val="18"/>
              </w:rPr>
            </w:pPr>
            <w:r>
              <w:rPr>
                <w:bCs/>
                <w:sz w:val="18"/>
                <w:szCs w:val="18"/>
              </w:rPr>
              <w:t>21,05/21,38</w:t>
            </w:r>
          </w:p>
        </w:tc>
        <w:tc>
          <w:tcPr>
            <w:tcW w:w="851" w:type="dxa"/>
            <w:shd w:val="clear" w:color="auto" w:fill="auto"/>
            <w:vAlign w:val="bottom"/>
          </w:tcPr>
          <w:p w:rsidR="00000000" w:rsidRDefault="00000000">
            <w:pPr>
              <w:spacing w:before="40" w:after="40" w:line="220" w:lineRule="exact"/>
              <w:jc w:val="right"/>
              <w:rPr>
                <w:bCs/>
                <w:sz w:val="18"/>
                <w:szCs w:val="18"/>
              </w:rPr>
            </w:pPr>
            <w:r>
              <w:rPr>
                <w:bCs/>
                <w:sz w:val="18"/>
                <w:szCs w:val="18"/>
              </w:rPr>
              <w:t>21,51</w:t>
            </w:r>
          </w:p>
        </w:tc>
        <w:tc>
          <w:tcPr>
            <w:tcW w:w="851" w:type="dxa"/>
            <w:shd w:val="clear" w:color="auto" w:fill="auto"/>
            <w:vAlign w:val="bottom"/>
          </w:tcPr>
          <w:p w:rsidR="00000000" w:rsidRDefault="00000000">
            <w:pPr>
              <w:spacing w:before="40" w:after="40" w:line="220" w:lineRule="exact"/>
              <w:jc w:val="right"/>
              <w:rPr>
                <w:bCs/>
                <w:sz w:val="18"/>
                <w:szCs w:val="18"/>
              </w:rPr>
            </w:pPr>
            <w:r>
              <w:rPr>
                <w:bCs/>
                <w:sz w:val="18"/>
                <w:szCs w:val="18"/>
              </w:rPr>
              <w:t>21,65</w:t>
            </w:r>
          </w:p>
        </w:tc>
        <w:tc>
          <w:tcPr>
            <w:tcW w:w="851" w:type="dxa"/>
            <w:shd w:val="clear" w:color="auto" w:fill="auto"/>
            <w:vAlign w:val="bottom"/>
          </w:tcPr>
          <w:p w:rsidR="00000000" w:rsidRDefault="00000000">
            <w:pPr>
              <w:spacing w:before="40" w:after="40" w:line="220" w:lineRule="exact"/>
              <w:jc w:val="right"/>
              <w:rPr>
                <w:bCs/>
                <w:sz w:val="18"/>
                <w:szCs w:val="18"/>
              </w:rPr>
            </w:pPr>
            <w:r>
              <w:rPr>
                <w:bCs/>
                <w:sz w:val="18"/>
                <w:szCs w:val="18"/>
              </w:rPr>
              <w:t>MENRS</w:t>
            </w:r>
          </w:p>
        </w:tc>
      </w:tr>
      <w:tr w:rsidR="00000000">
        <w:tc>
          <w:tcPr>
            <w:tcW w:w="2552" w:type="dxa"/>
            <w:shd w:val="clear" w:color="auto" w:fill="auto"/>
            <w:vAlign w:val="bottom"/>
          </w:tcPr>
          <w:p w:rsidR="00000000" w:rsidRDefault="00000000">
            <w:pPr>
              <w:spacing w:before="40" w:after="40" w:line="220" w:lineRule="exact"/>
              <w:rPr>
                <w:bCs/>
                <w:sz w:val="18"/>
                <w:szCs w:val="18"/>
              </w:rPr>
            </w:pPr>
            <w:r>
              <w:rPr>
                <w:bCs/>
                <w:sz w:val="18"/>
                <w:szCs w:val="18"/>
              </w:rPr>
              <w:t>Total du budget santé (indice base 100 = 2003)</w:t>
            </w:r>
          </w:p>
        </w:tc>
        <w:tc>
          <w:tcPr>
            <w:tcW w:w="1134" w:type="dxa"/>
            <w:shd w:val="clear" w:color="auto" w:fill="auto"/>
            <w:vAlign w:val="bottom"/>
          </w:tcPr>
          <w:p w:rsidR="00000000" w:rsidRDefault="00000000">
            <w:pPr>
              <w:spacing w:before="40" w:after="40" w:line="220" w:lineRule="exact"/>
              <w:jc w:val="right"/>
              <w:rPr>
                <w:bCs/>
                <w:sz w:val="18"/>
                <w:szCs w:val="18"/>
              </w:rPr>
            </w:pPr>
            <w:r>
              <w:rPr>
                <w:bCs/>
                <w:sz w:val="18"/>
                <w:szCs w:val="18"/>
              </w:rPr>
              <w:t>100</w:t>
            </w:r>
          </w:p>
        </w:tc>
        <w:tc>
          <w:tcPr>
            <w:tcW w:w="1134" w:type="dxa"/>
            <w:shd w:val="clear" w:color="auto" w:fill="auto"/>
            <w:vAlign w:val="bottom"/>
          </w:tcPr>
          <w:p w:rsidR="00000000" w:rsidRDefault="00000000">
            <w:pPr>
              <w:spacing w:before="40" w:after="40" w:line="220" w:lineRule="exact"/>
              <w:jc w:val="right"/>
              <w:rPr>
                <w:bCs/>
                <w:sz w:val="18"/>
                <w:szCs w:val="18"/>
              </w:rPr>
            </w:pPr>
            <w:r>
              <w:rPr>
                <w:bCs/>
                <w:sz w:val="18"/>
                <w:szCs w:val="18"/>
              </w:rPr>
              <w:t>120/106</w:t>
            </w:r>
          </w:p>
        </w:tc>
        <w:tc>
          <w:tcPr>
            <w:tcW w:w="1134" w:type="dxa"/>
            <w:shd w:val="clear" w:color="auto" w:fill="auto"/>
            <w:vAlign w:val="bottom"/>
          </w:tcPr>
          <w:p w:rsidR="00000000" w:rsidRDefault="00000000">
            <w:pPr>
              <w:spacing w:before="40" w:after="40" w:line="220" w:lineRule="exact"/>
              <w:jc w:val="right"/>
              <w:rPr>
                <w:bCs/>
                <w:sz w:val="18"/>
                <w:szCs w:val="18"/>
              </w:rPr>
            </w:pPr>
            <w:r>
              <w:rPr>
                <w:bCs/>
                <w:sz w:val="18"/>
                <w:szCs w:val="18"/>
              </w:rPr>
              <w:t>146</w:t>
            </w:r>
          </w:p>
        </w:tc>
        <w:tc>
          <w:tcPr>
            <w:tcW w:w="851" w:type="dxa"/>
            <w:shd w:val="clear" w:color="auto" w:fill="auto"/>
            <w:vAlign w:val="bottom"/>
          </w:tcPr>
          <w:p w:rsidR="00000000" w:rsidRDefault="00000000">
            <w:pPr>
              <w:spacing w:before="40" w:after="40" w:line="220" w:lineRule="exact"/>
              <w:jc w:val="right"/>
              <w:rPr>
                <w:bCs/>
                <w:sz w:val="18"/>
                <w:szCs w:val="18"/>
              </w:rPr>
            </w:pPr>
            <w:r>
              <w:rPr>
                <w:bCs/>
                <w:sz w:val="18"/>
                <w:szCs w:val="18"/>
              </w:rPr>
              <w:t>189</w:t>
            </w:r>
          </w:p>
        </w:tc>
        <w:tc>
          <w:tcPr>
            <w:tcW w:w="851" w:type="dxa"/>
            <w:shd w:val="clear" w:color="auto" w:fill="auto"/>
            <w:vAlign w:val="bottom"/>
          </w:tcPr>
          <w:p w:rsidR="00000000" w:rsidRDefault="00000000">
            <w:pPr>
              <w:spacing w:before="40" w:after="40" w:line="220" w:lineRule="exact"/>
              <w:jc w:val="right"/>
              <w:rPr>
                <w:bCs/>
                <w:sz w:val="18"/>
                <w:szCs w:val="18"/>
              </w:rPr>
            </w:pPr>
            <w:r>
              <w:rPr>
                <w:bCs/>
                <w:sz w:val="18"/>
                <w:szCs w:val="18"/>
              </w:rPr>
              <w:t>232</w:t>
            </w:r>
          </w:p>
        </w:tc>
        <w:tc>
          <w:tcPr>
            <w:tcW w:w="851" w:type="dxa"/>
            <w:shd w:val="clear" w:color="auto" w:fill="auto"/>
            <w:vAlign w:val="bottom"/>
          </w:tcPr>
          <w:p w:rsidR="00000000" w:rsidRDefault="00000000">
            <w:pPr>
              <w:spacing w:before="40" w:after="40" w:line="220" w:lineRule="exact"/>
              <w:jc w:val="right"/>
              <w:rPr>
                <w:bCs/>
                <w:sz w:val="18"/>
                <w:szCs w:val="18"/>
              </w:rPr>
            </w:pPr>
            <w:r>
              <w:rPr>
                <w:bCs/>
                <w:sz w:val="18"/>
                <w:szCs w:val="18"/>
              </w:rPr>
              <w:t>MSFP</w:t>
            </w:r>
          </w:p>
        </w:tc>
      </w:tr>
      <w:tr w:rsidR="00000000">
        <w:tc>
          <w:tcPr>
            <w:tcW w:w="2552" w:type="dxa"/>
            <w:tcBorders>
              <w:bottom w:val="single" w:sz="12" w:space="0" w:color="auto"/>
            </w:tcBorders>
            <w:shd w:val="clear" w:color="auto" w:fill="auto"/>
            <w:vAlign w:val="bottom"/>
          </w:tcPr>
          <w:p w:rsidR="00000000" w:rsidRDefault="00000000">
            <w:pPr>
              <w:spacing w:before="40" w:after="40" w:line="220" w:lineRule="exact"/>
              <w:rPr>
                <w:bCs/>
                <w:sz w:val="18"/>
                <w:szCs w:val="18"/>
              </w:rPr>
            </w:pPr>
            <w:r>
              <w:rPr>
                <w:bCs/>
                <w:sz w:val="18"/>
                <w:szCs w:val="18"/>
              </w:rPr>
              <w:t>Part du budget alloué au MSPF par rapport à l’ensemble du budget</w:t>
            </w:r>
            <w:r>
              <w:rPr>
                <w:bCs/>
                <w:sz w:val="18"/>
                <w:szCs w:val="18"/>
              </w:rPr>
              <w:br/>
              <w:t>(en %)</w:t>
            </w:r>
          </w:p>
        </w:tc>
        <w:tc>
          <w:tcPr>
            <w:tcW w:w="1134" w:type="dxa"/>
            <w:tcBorders>
              <w:bottom w:val="single" w:sz="12" w:space="0" w:color="auto"/>
            </w:tcBorders>
            <w:shd w:val="clear" w:color="auto" w:fill="auto"/>
            <w:vAlign w:val="bottom"/>
          </w:tcPr>
          <w:p w:rsidR="00000000" w:rsidRDefault="00000000">
            <w:pPr>
              <w:spacing w:before="40" w:after="40" w:line="220" w:lineRule="exact"/>
              <w:jc w:val="right"/>
              <w:rPr>
                <w:bCs/>
                <w:sz w:val="18"/>
                <w:szCs w:val="18"/>
              </w:rPr>
            </w:pPr>
            <w:r>
              <w:rPr>
                <w:bCs/>
                <w:sz w:val="18"/>
                <w:szCs w:val="18"/>
              </w:rPr>
              <w:t>8,7/9,0</w:t>
            </w:r>
          </w:p>
        </w:tc>
        <w:tc>
          <w:tcPr>
            <w:tcW w:w="1134" w:type="dxa"/>
            <w:tcBorders>
              <w:bottom w:val="single" w:sz="12" w:space="0" w:color="auto"/>
            </w:tcBorders>
            <w:shd w:val="clear" w:color="auto" w:fill="auto"/>
            <w:vAlign w:val="bottom"/>
          </w:tcPr>
          <w:p w:rsidR="00000000" w:rsidRDefault="00000000">
            <w:pPr>
              <w:spacing w:before="40" w:after="40" w:line="220" w:lineRule="exact"/>
              <w:jc w:val="right"/>
              <w:rPr>
                <w:bCs/>
                <w:sz w:val="18"/>
                <w:szCs w:val="18"/>
              </w:rPr>
            </w:pPr>
            <w:r>
              <w:rPr>
                <w:bCs/>
                <w:sz w:val="18"/>
                <w:szCs w:val="18"/>
              </w:rPr>
              <w:t>8,8/8,34</w:t>
            </w:r>
          </w:p>
        </w:tc>
        <w:tc>
          <w:tcPr>
            <w:tcW w:w="1134" w:type="dxa"/>
            <w:tcBorders>
              <w:bottom w:val="single" w:sz="12" w:space="0" w:color="auto"/>
            </w:tcBorders>
            <w:shd w:val="clear" w:color="auto" w:fill="auto"/>
            <w:vAlign w:val="bottom"/>
          </w:tcPr>
          <w:p w:rsidR="00000000" w:rsidRDefault="00000000">
            <w:pPr>
              <w:spacing w:before="40" w:after="40" w:line="220" w:lineRule="exact"/>
              <w:jc w:val="right"/>
              <w:rPr>
                <w:bCs/>
                <w:sz w:val="18"/>
                <w:szCs w:val="18"/>
              </w:rPr>
            </w:pPr>
            <w:r>
              <w:rPr>
                <w:bCs/>
                <w:sz w:val="18"/>
                <w:szCs w:val="18"/>
              </w:rPr>
              <w:t>8,6/7,89</w:t>
            </w:r>
          </w:p>
        </w:tc>
        <w:tc>
          <w:tcPr>
            <w:tcW w:w="851" w:type="dxa"/>
            <w:tcBorders>
              <w:bottom w:val="single" w:sz="12" w:space="0" w:color="auto"/>
            </w:tcBorders>
            <w:shd w:val="clear" w:color="auto" w:fill="auto"/>
            <w:vAlign w:val="bottom"/>
          </w:tcPr>
          <w:p w:rsidR="00000000" w:rsidRDefault="00000000">
            <w:pPr>
              <w:spacing w:before="40" w:after="40" w:line="220" w:lineRule="exact"/>
              <w:jc w:val="right"/>
              <w:rPr>
                <w:bCs/>
                <w:sz w:val="18"/>
                <w:szCs w:val="18"/>
              </w:rPr>
            </w:pPr>
            <w:r>
              <w:rPr>
                <w:bCs/>
                <w:sz w:val="18"/>
                <w:szCs w:val="18"/>
              </w:rPr>
              <w:t>8,31</w:t>
            </w:r>
          </w:p>
        </w:tc>
        <w:tc>
          <w:tcPr>
            <w:tcW w:w="851" w:type="dxa"/>
            <w:tcBorders>
              <w:bottom w:val="single" w:sz="12" w:space="0" w:color="auto"/>
            </w:tcBorders>
            <w:shd w:val="clear" w:color="auto" w:fill="auto"/>
            <w:vAlign w:val="bottom"/>
          </w:tcPr>
          <w:p w:rsidR="00000000" w:rsidRDefault="00000000">
            <w:pPr>
              <w:spacing w:before="40" w:after="40" w:line="220" w:lineRule="exact"/>
              <w:jc w:val="right"/>
              <w:rPr>
                <w:bCs/>
                <w:sz w:val="18"/>
                <w:szCs w:val="18"/>
              </w:rPr>
            </w:pPr>
            <w:r>
              <w:rPr>
                <w:bCs/>
                <w:sz w:val="18"/>
                <w:szCs w:val="18"/>
              </w:rPr>
              <w:t>8,59</w:t>
            </w:r>
          </w:p>
        </w:tc>
        <w:tc>
          <w:tcPr>
            <w:tcW w:w="851" w:type="dxa"/>
            <w:tcBorders>
              <w:bottom w:val="single" w:sz="12" w:space="0" w:color="auto"/>
            </w:tcBorders>
            <w:shd w:val="clear" w:color="auto" w:fill="auto"/>
            <w:vAlign w:val="bottom"/>
          </w:tcPr>
          <w:p w:rsidR="00000000" w:rsidRDefault="00000000">
            <w:pPr>
              <w:spacing w:before="40" w:after="40" w:line="220" w:lineRule="exact"/>
              <w:jc w:val="right"/>
              <w:rPr>
                <w:bCs/>
                <w:sz w:val="18"/>
                <w:szCs w:val="18"/>
              </w:rPr>
            </w:pPr>
            <w:r>
              <w:rPr>
                <w:bCs/>
                <w:sz w:val="18"/>
                <w:szCs w:val="18"/>
              </w:rPr>
              <w:t>MSFP</w:t>
            </w:r>
          </w:p>
        </w:tc>
      </w:tr>
    </w:tbl>
    <w:p w:rsidR="00000000" w:rsidRDefault="00000000">
      <w:pPr>
        <w:pStyle w:val="SingleTxtG"/>
        <w:spacing w:before="120" w:after="240"/>
        <w:ind w:firstLine="170"/>
        <w:rPr>
          <w:sz w:val="18"/>
          <w:szCs w:val="18"/>
          <w:lang w:val="fr-FR"/>
        </w:rPr>
      </w:pPr>
      <w:r>
        <w:rPr>
          <w:i/>
          <w:sz w:val="18"/>
          <w:szCs w:val="18"/>
          <w:lang w:val="fr-FR"/>
        </w:rPr>
        <w:t>Source</w:t>
      </w:r>
      <w:r>
        <w:rPr>
          <w:sz w:val="18"/>
          <w:szCs w:val="18"/>
          <w:lang w:val="fr-FR"/>
        </w:rPr>
        <w:t>: DSRP juin 2005.</w:t>
      </w:r>
    </w:p>
    <w:p w:rsidR="00000000" w:rsidRDefault="00000000">
      <w:pPr>
        <w:pStyle w:val="SingleTxtG"/>
        <w:spacing w:after="0"/>
      </w:pPr>
      <w:bookmarkStart w:id="1780" w:name="_Toc260298300"/>
      <w:r>
        <w:t>Tableau 44</w:t>
      </w:r>
    </w:p>
    <w:p w:rsidR="00000000" w:rsidRDefault="00000000">
      <w:pPr>
        <w:pStyle w:val="SingleTxtG"/>
        <w:rPr>
          <w:b/>
        </w:rPr>
      </w:pPr>
      <w:r>
        <w:rPr>
          <w:b/>
        </w:rPr>
        <w:t>Les réseaux communautaires multisectoriels et multidisciplinaires de protection de l’enfance</w:t>
      </w:r>
      <w:bookmarkEnd w:id="1780"/>
    </w:p>
    <w:tbl>
      <w:tblPr>
        <w:tblW w:w="7371" w:type="dxa"/>
        <w:tblInd w:w="1134" w:type="dxa"/>
        <w:tblCellMar>
          <w:left w:w="0" w:type="dxa"/>
          <w:right w:w="0" w:type="dxa"/>
        </w:tblCellMar>
        <w:tblLook w:val="01E0" w:firstRow="1" w:lastRow="1" w:firstColumn="1" w:lastColumn="1" w:noHBand="0" w:noVBand="0"/>
      </w:tblPr>
      <w:tblGrid>
        <w:gridCol w:w="2949"/>
        <w:gridCol w:w="147"/>
        <w:gridCol w:w="4275"/>
      </w:tblGrid>
      <w:tr w:rsidR="00000000">
        <w:trPr>
          <w:tblHeader/>
        </w:trPr>
        <w:tc>
          <w:tcPr>
            <w:tcW w:w="2265" w:type="dxa"/>
            <w:tcBorders>
              <w:top w:val="single" w:sz="4" w:space="0" w:color="auto"/>
              <w:bottom w:val="single" w:sz="12" w:space="0" w:color="auto"/>
            </w:tcBorders>
            <w:shd w:val="clear" w:color="auto" w:fill="auto"/>
          </w:tcPr>
          <w:p w:rsidR="00000000" w:rsidRDefault="00000000">
            <w:pPr>
              <w:spacing w:before="40" w:after="40" w:line="200" w:lineRule="exact"/>
              <w:rPr>
                <w:bCs/>
                <w:i/>
                <w:sz w:val="16"/>
                <w:szCs w:val="16"/>
              </w:rPr>
            </w:pPr>
            <w:r>
              <w:rPr>
                <w:bCs/>
                <w:i/>
                <w:sz w:val="16"/>
                <w:szCs w:val="16"/>
              </w:rPr>
              <w:t>région</w:t>
            </w:r>
          </w:p>
        </w:tc>
        <w:tc>
          <w:tcPr>
            <w:tcW w:w="113" w:type="dxa"/>
            <w:tcBorders>
              <w:top w:val="single" w:sz="4" w:space="0" w:color="auto"/>
              <w:bottom w:val="single" w:sz="12" w:space="0" w:color="auto"/>
            </w:tcBorders>
          </w:tcPr>
          <w:p w:rsidR="00000000" w:rsidRDefault="00000000">
            <w:pPr>
              <w:spacing w:before="40" w:after="40" w:line="200" w:lineRule="exact"/>
              <w:jc w:val="right"/>
              <w:rPr>
                <w:bCs/>
                <w:i/>
                <w:sz w:val="16"/>
                <w:szCs w:val="16"/>
              </w:rPr>
            </w:pPr>
          </w:p>
        </w:tc>
        <w:tc>
          <w:tcPr>
            <w:tcW w:w="3284" w:type="dxa"/>
            <w:tcBorders>
              <w:top w:val="single" w:sz="4" w:space="0" w:color="auto"/>
              <w:bottom w:val="single" w:sz="12" w:space="0" w:color="auto"/>
            </w:tcBorders>
            <w:shd w:val="clear" w:color="auto" w:fill="auto"/>
          </w:tcPr>
          <w:p w:rsidR="00000000" w:rsidRDefault="00000000">
            <w:pPr>
              <w:spacing w:before="40" w:after="40" w:line="200" w:lineRule="exact"/>
              <w:jc w:val="right"/>
              <w:rPr>
                <w:bCs/>
                <w:i/>
                <w:sz w:val="16"/>
                <w:szCs w:val="16"/>
              </w:rPr>
            </w:pPr>
            <w:r>
              <w:rPr>
                <w:bCs/>
                <w:i/>
                <w:sz w:val="16"/>
                <w:szCs w:val="16"/>
              </w:rPr>
              <w:t>Ville</w:t>
            </w:r>
          </w:p>
        </w:tc>
      </w:tr>
      <w:tr w:rsidR="00000000">
        <w:tc>
          <w:tcPr>
            <w:tcW w:w="2265" w:type="dxa"/>
            <w:tcBorders>
              <w:top w:val="single" w:sz="12" w:space="0" w:color="auto"/>
            </w:tcBorders>
            <w:shd w:val="clear" w:color="auto" w:fill="auto"/>
            <w:vAlign w:val="bottom"/>
          </w:tcPr>
          <w:p w:rsidR="00000000" w:rsidRDefault="00000000">
            <w:pPr>
              <w:spacing w:before="40" w:after="40" w:line="220" w:lineRule="exact"/>
              <w:rPr>
                <w:bCs/>
                <w:sz w:val="18"/>
                <w:szCs w:val="18"/>
              </w:rPr>
            </w:pPr>
            <w:r>
              <w:rPr>
                <w:bCs/>
                <w:sz w:val="18"/>
                <w:szCs w:val="18"/>
              </w:rPr>
              <w:t>Analamanga</w:t>
            </w:r>
          </w:p>
        </w:tc>
        <w:tc>
          <w:tcPr>
            <w:tcW w:w="113" w:type="dxa"/>
            <w:tcBorders>
              <w:top w:val="single" w:sz="12" w:space="0" w:color="auto"/>
            </w:tcBorders>
          </w:tcPr>
          <w:p w:rsidR="00000000" w:rsidRDefault="00000000">
            <w:pPr>
              <w:spacing w:before="40" w:after="40" w:line="220" w:lineRule="exact"/>
              <w:rPr>
                <w:bCs/>
                <w:sz w:val="18"/>
                <w:szCs w:val="18"/>
              </w:rPr>
            </w:pPr>
          </w:p>
        </w:tc>
        <w:tc>
          <w:tcPr>
            <w:tcW w:w="3284" w:type="dxa"/>
            <w:tcBorders>
              <w:top w:val="single" w:sz="12" w:space="0" w:color="auto"/>
            </w:tcBorders>
            <w:shd w:val="clear" w:color="auto" w:fill="auto"/>
            <w:vAlign w:val="center"/>
          </w:tcPr>
          <w:p w:rsidR="00000000" w:rsidRDefault="00000000">
            <w:pPr>
              <w:spacing w:before="40" w:after="40" w:line="220" w:lineRule="exact"/>
              <w:rPr>
                <w:bCs/>
                <w:sz w:val="18"/>
                <w:szCs w:val="18"/>
              </w:rPr>
            </w:pPr>
            <w:r>
              <w:rPr>
                <w:bCs/>
                <w:sz w:val="18"/>
                <w:szCs w:val="18"/>
              </w:rPr>
              <w:t>Antananarivo</w:t>
            </w:r>
          </w:p>
        </w:tc>
      </w:tr>
      <w:tr w:rsidR="00000000">
        <w:tc>
          <w:tcPr>
            <w:tcW w:w="2265" w:type="dxa"/>
            <w:shd w:val="clear" w:color="auto" w:fill="auto"/>
            <w:vAlign w:val="bottom"/>
          </w:tcPr>
          <w:p w:rsidR="00000000" w:rsidRDefault="00000000">
            <w:pPr>
              <w:spacing w:before="40" w:after="40" w:line="220" w:lineRule="exact"/>
              <w:rPr>
                <w:bCs/>
                <w:sz w:val="18"/>
                <w:szCs w:val="18"/>
              </w:rPr>
            </w:pPr>
            <w:r>
              <w:rPr>
                <w:bCs/>
                <w:sz w:val="18"/>
                <w:szCs w:val="18"/>
              </w:rPr>
              <w:t>Vakinankaratra</w:t>
            </w:r>
          </w:p>
        </w:tc>
        <w:tc>
          <w:tcPr>
            <w:tcW w:w="113" w:type="dxa"/>
          </w:tcPr>
          <w:p w:rsidR="00000000" w:rsidRDefault="00000000">
            <w:pPr>
              <w:spacing w:before="40" w:after="40" w:line="220" w:lineRule="exact"/>
              <w:rPr>
                <w:bCs/>
                <w:sz w:val="18"/>
                <w:szCs w:val="18"/>
              </w:rPr>
            </w:pPr>
          </w:p>
        </w:tc>
        <w:tc>
          <w:tcPr>
            <w:tcW w:w="3284" w:type="dxa"/>
            <w:shd w:val="clear" w:color="auto" w:fill="auto"/>
            <w:vAlign w:val="center"/>
          </w:tcPr>
          <w:p w:rsidR="00000000" w:rsidRDefault="00000000">
            <w:pPr>
              <w:spacing w:before="40" w:after="40" w:line="220" w:lineRule="exact"/>
              <w:rPr>
                <w:bCs/>
                <w:sz w:val="18"/>
                <w:szCs w:val="18"/>
              </w:rPr>
            </w:pPr>
            <w:r>
              <w:rPr>
                <w:bCs/>
                <w:sz w:val="18"/>
                <w:szCs w:val="18"/>
              </w:rPr>
              <w:t>Antsirabe</w:t>
            </w:r>
          </w:p>
        </w:tc>
      </w:tr>
      <w:tr w:rsidR="00000000">
        <w:tc>
          <w:tcPr>
            <w:tcW w:w="2265" w:type="dxa"/>
            <w:vMerge w:val="restart"/>
            <w:tcBorders>
              <w:right w:val="single" w:sz="4" w:space="0" w:color="auto"/>
            </w:tcBorders>
            <w:shd w:val="clear" w:color="auto" w:fill="auto"/>
            <w:vAlign w:val="center"/>
          </w:tcPr>
          <w:p w:rsidR="00000000" w:rsidRDefault="00000000">
            <w:pPr>
              <w:spacing w:before="40" w:after="40" w:line="220" w:lineRule="exact"/>
              <w:rPr>
                <w:bCs/>
                <w:sz w:val="18"/>
                <w:szCs w:val="18"/>
              </w:rPr>
            </w:pPr>
            <w:r>
              <w:rPr>
                <w:bCs/>
                <w:sz w:val="18"/>
                <w:szCs w:val="18"/>
              </w:rPr>
              <w:t>Diana</w:t>
            </w:r>
          </w:p>
        </w:tc>
        <w:tc>
          <w:tcPr>
            <w:tcW w:w="113" w:type="dxa"/>
            <w:tcBorders>
              <w:left w:val="single" w:sz="4" w:space="0" w:color="auto"/>
              <w:right w:val="nil"/>
            </w:tcBorders>
          </w:tcPr>
          <w:p w:rsidR="00000000" w:rsidRDefault="00000000">
            <w:pPr>
              <w:spacing w:before="40" w:after="40" w:line="220" w:lineRule="exact"/>
              <w:rPr>
                <w:bCs/>
                <w:sz w:val="18"/>
                <w:szCs w:val="18"/>
              </w:rPr>
            </w:pPr>
          </w:p>
        </w:tc>
        <w:tc>
          <w:tcPr>
            <w:tcW w:w="3284" w:type="dxa"/>
            <w:tcBorders>
              <w:left w:val="nil"/>
            </w:tcBorders>
            <w:shd w:val="clear" w:color="auto" w:fill="auto"/>
            <w:vAlign w:val="center"/>
          </w:tcPr>
          <w:p w:rsidR="00000000" w:rsidRDefault="00000000">
            <w:pPr>
              <w:spacing w:before="40" w:after="40" w:line="220" w:lineRule="exact"/>
              <w:rPr>
                <w:bCs/>
                <w:sz w:val="18"/>
                <w:szCs w:val="18"/>
              </w:rPr>
            </w:pPr>
            <w:r>
              <w:rPr>
                <w:bCs/>
                <w:sz w:val="18"/>
                <w:szCs w:val="18"/>
              </w:rPr>
              <w:t>Antsiranana</w:t>
            </w:r>
          </w:p>
        </w:tc>
      </w:tr>
      <w:tr w:rsidR="00000000">
        <w:tc>
          <w:tcPr>
            <w:tcW w:w="2265" w:type="dxa"/>
            <w:vMerge/>
            <w:tcBorders>
              <w:right w:val="single" w:sz="4" w:space="0" w:color="auto"/>
            </w:tcBorders>
            <w:shd w:val="clear" w:color="auto" w:fill="auto"/>
            <w:vAlign w:val="bottom"/>
          </w:tcPr>
          <w:p w:rsidR="00000000" w:rsidRDefault="00000000">
            <w:pPr>
              <w:spacing w:before="40" w:after="40" w:line="220" w:lineRule="exact"/>
              <w:rPr>
                <w:bCs/>
                <w:sz w:val="18"/>
                <w:szCs w:val="18"/>
              </w:rPr>
            </w:pPr>
          </w:p>
        </w:tc>
        <w:tc>
          <w:tcPr>
            <w:tcW w:w="113" w:type="dxa"/>
            <w:tcBorders>
              <w:left w:val="single" w:sz="4" w:space="0" w:color="auto"/>
              <w:right w:val="nil"/>
            </w:tcBorders>
          </w:tcPr>
          <w:p w:rsidR="00000000" w:rsidRDefault="00000000">
            <w:pPr>
              <w:spacing w:before="40" w:after="40" w:line="220" w:lineRule="exact"/>
              <w:rPr>
                <w:bCs/>
                <w:sz w:val="18"/>
                <w:szCs w:val="18"/>
              </w:rPr>
            </w:pPr>
          </w:p>
        </w:tc>
        <w:tc>
          <w:tcPr>
            <w:tcW w:w="3284" w:type="dxa"/>
            <w:tcBorders>
              <w:left w:val="nil"/>
            </w:tcBorders>
            <w:shd w:val="clear" w:color="auto" w:fill="auto"/>
            <w:vAlign w:val="center"/>
          </w:tcPr>
          <w:p w:rsidR="00000000" w:rsidRDefault="00000000">
            <w:pPr>
              <w:spacing w:before="40" w:after="40" w:line="220" w:lineRule="exact"/>
              <w:rPr>
                <w:bCs/>
                <w:sz w:val="18"/>
                <w:szCs w:val="18"/>
              </w:rPr>
            </w:pPr>
            <w:r>
              <w:rPr>
                <w:bCs/>
                <w:sz w:val="18"/>
                <w:szCs w:val="18"/>
              </w:rPr>
              <w:t>Ambanja</w:t>
            </w:r>
          </w:p>
        </w:tc>
      </w:tr>
      <w:tr w:rsidR="00000000">
        <w:tc>
          <w:tcPr>
            <w:tcW w:w="2265" w:type="dxa"/>
            <w:vMerge/>
            <w:tcBorders>
              <w:right w:val="single" w:sz="4" w:space="0" w:color="auto"/>
            </w:tcBorders>
            <w:shd w:val="clear" w:color="auto" w:fill="auto"/>
            <w:vAlign w:val="bottom"/>
          </w:tcPr>
          <w:p w:rsidR="00000000" w:rsidRDefault="00000000">
            <w:pPr>
              <w:spacing w:before="40" w:after="40" w:line="220" w:lineRule="exact"/>
              <w:rPr>
                <w:bCs/>
                <w:sz w:val="18"/>
                <w:szCs w:val="18"/>
              </w:rPr>
            </w:pPr>
          </w:p>
        </w:tc>
        <w:tc>
          <w:tcPr>
            <w:tcW w:w="113" w:type="dxa"/>
            <w:tcBorders>
              <w:left w:val="single" w:sz="4" w:space="0" w:color="auto"/>
              <w:right w:val="nil"/>
            </w:tcBorders>
          </w:tcPr>
          <w:p w:rsidR="00000000" w:rsidRDefault="00000000">
            <w:pPr>
              <w:spacing w:before="40" w:after="40" w:line="220" w:lineRule="exact"/>
              <w:rPr>
                <w:bCs/>
                <w:sz w:val="18"/>
                <w:szCs w:val="18"/>
              </w:rPr>
            </w:pPr>
          </w:p>
        </w:tc>
        <w:tc>
          <w:tcPr>
            <w:tcW w:w="3284" w:type="dxa"/>
            <w:tcBorders>
              <w:left w:val="nil"/>
            </w:tcBorders>
            <w:shd w:val="clear" w:color="auto" w:fill="auto"/>
            <w:vAlign w:val="center"/>
          </w:tcPr>
          <w:p w:rsidR="00000000" w:rsidRDefault="00000000">
            <w:pPr>
              <w:spacing w:before="40" w:after="40" w:line="220" w:lineRule="exact"/>
              <w:rPr>
                <w:bCs/>
                <w:sz w:val="18"/>
                <w:szCs w:val="18"/>
              </w:rPr>
            </w:pPr>
            <w:r>
              <w:rPr>
                <w:bCs/>
                <w:sz w:val="18"/>
                <w:szCs w:val="18"/>
              </w:rPr>
              <w:t>Nosy Be</w:t>
            </w:r>
          </w:p>
        </w:tc>
      </w:tr>
      <w:tr w:rsidR="00000000">
        <w:tc>
          <w:tcPr>
            <w:tcW w:w="2265" w:type="dxa"/>
            <w:shd w:val="clear" w:color="auto" w:fill="auto"/>
            <w:vAlign w:val="bottom"/>
          </w:tcPr>
          <w:p w:rsidR="00000000" w:rsidRDefault="00000000">
            <w:pPr>
              <w:spacing w:before="40" w:after="40" w:line="220" w:lineRule="exact"/>
              <w:rPr>
                <w:bCs/>
                <w:sz w:val="18"/>
                <w:szCs w:val="18"/>
              </w:rPr>
            </w:pPr>
            <w:r>
              <w:rPr>
                <w:bCs/>
                <w:sz w:val="18"/>
                <w:szCs w:val="18"/>
              </w:rPr>
              <w:t>Haute Matsiatra</w:t>
            </w:r>
          </w:p>
        </w:tc>
        <w:tc>
          <w:tcPr>
            <w:tcW w:w="113" w:type="dxa"/>
          </w:tcPr>
          <w:p w:rsidR="00000000" w:rsidRDefault="00000000">
            <w:pPr>
              <w:spacing w:before="40" w:after="40" w:line="220" w:lineRule="exact"/>
              <w:rPr>
                <w:bCs/>
                <w:sz w:val="18"/>
                <w:szCs w:val="18"/>
              </w:rPr>
            </w:pPr>
          </w:p>
        </w:tc>
        <w:tc>
          <w:tcPr>
            <w:tcW w:w="3284" w:type="dxa"/>
            <w:shd w:val="clear" w:color="auto" w:fill="auto"/>
            <w:vAlign w:val="center"/>
          </w:tcPr>
          <w:p w:rsidR="00000000" w:rsidRDefault="00000000">
            <w:pPr>
              <w:spacing w:before="40" w:after="40" w:line="220" w:lineRule="exact"/>
              <w:rPr>
                <w:bCs/>
                <w:sz w:val="18"/>
                <w:szCs w:val="18"/>
              </w:rPr>
            </w:pPr>
            <w:r>
              <w:rPr>
                <w:bCs/>
                <w:sz w:val="18"/>
                <w:szCs w:val="18"/>
              </w:rPr>
              <w:t>Fianarantsoa</w:t>
            </w:r>
          </w:p>
        </w:tc>
      </w:tr>
      <w:tr w:rsidR="00000000">
        <w:tc>
          <w:tcPr>
            <w:tcW w:w="2265" w:type="dxa"/>
            <w:shd w:val="clear" w:color="auto" w:fill="auto"/>
            <w:vAlign w:val="bottom"/>
          </w:tcPr>
          <w:p w:rsidR="00000000" w:rsidRDefault="00000000">
            <w:pPr>
              <w:spacing w:before="40" w:after="40" w:line="220" w:lineRule="exact"/>
              <w:rPr>
                <w:bCs/>
                <w:sz w:val="18"/>
                <w:szCs w:val="18"/>
              </w:rPr>
            </w:pPr>
            <w:r>
              <w:rPr>
                <w:bCs/>
                <w:sz w:val="18"/>
                <w:szCs w:val="18"/>
              </w:rPr>
              <w:t>Vatovavy Fitovinany</w:t>
            </w:r>
          </w:p>
        </w:tc>
        <w:tc>
          <w:tcPr>
            <w:tcW w:w="113" w:type="dxa"/>
          </w:tcPr>
          <w:p w:rsidR="00000000" w:rsidRDefault="00000000">
            <w:pPr>
              <w:spacing w:before="40" w:after="40" w:line="220" w:lineRule="exact"/>
              <w:rPr>
                <w:bCs/>
                <w:sz w:val="18"/>
                <w:szCs w:val="18"/>
              </w:rPr>
            </w:pPr>
          </w:p>
        </w:tc>
        <w:tc>
          <w:tcPr>
            <w:tcW w:w="3284" w:type="dxa"/>
            <w:shd w:val="clear" w:color="auto" w:fill="auto"/>
            <w:vAlign w:val="center"/>
          </w:tcPr>
          <w:p w:rsidR="00000000" w:rsidRDefault="00000000">
            <w:pPr>
              <w:spacing w:before="40" w:after="40" w:line="220" w:lineRule="exact"/>
              <w:rPr>
                <w:bCs/>
                <w:sz w:val="18"/>
                <w:szCs w:val="18"/>
              </w:rPr>
            </w:pPr>
            <w:r>
              <w:rPr>
                <w:bCs/>
                <w:sz w:val="18"/>
                <w:szCs w:val="18"/>
              </w:rPr>
              <w:t>Mananjary</w:t>
            </w:r>
          </w:p>
        </w:tc>
      </w:tr>
      <w:tr w:rsidR="00000000">
        <w:tc>
          <w:tcPr>
            <w:tcW w:w="2265" w:type="dxa"/>
            <w:shd w:val="clear" w:color="auto" w:fill="auto"/>
            <w:vAlign w:val="bottom"/>
          </w:tcPr>
          <w:p w:rsidR="00000000" w:rsidRDefault="00000000">
            <w:pPr>
              <w:spacing w:before="40" w:after="40" w:line="220" w:lineRule="exact"/>
              <w:rPr>
                <w:bCs/>
                <w:sz w:val="18"/>
                <w:szCs w:val="18"/>
              </w:rPr>
            </w:pPr>
            <w:r>
              <w:rPr>
                <w:bCs/>
                <w:sz w:val="18"/>
                <w:szCs w:val="18"/>
              </w:rPr>
              <w:t>Boeny</w:t>
            </w:r>
          </w:p>
        </w:tc>
        <w:tc>
          <w:tcPr>
            <w:tcW w:w="113" w:type="dxa"/>
          </w:tcPr>
          <w:p w:rsidR="00000000" w:rsidRDefault="00000000">
            <w:pPr>
              <w:spacing w:before="40" w:after="40" w:line="220" w:lineRule="exact"/>
              <w:rPr>
                <w:bCs/>
                <w:sz w:val="18"/>
                <w:szCs w:val="18"/>
              </w:rPr>
            </w:pPr>
          </w:p>
        </w:tc>
        <w:tc>
          <w:tcPr>
            <w:tcW w:w="3284" w:type="dxa"/>
            <w:shd w:val="clear" w:color="auto" w:fill="auto"/>
            <w:vAlign w:val="center"/>
          </w:tcPr>
          <w:p w:rsidR="00000000" w:rsidRDefault="00000000">
            <w:pPr>
              <w:spacing w:before="40" w:after="40" w:line="220" w:lineRule="exact"/>
              <w:rPr>
                <w:bCs/>
                <w:sz w:val="18"/>
                <w:szCs w:val="18"/>
              </w:rPr>
            </w:pPr>
            <w:r>
              <w:rPr>
                <w:bCs/>
                <w:sz w:val="18"/>
                <w:szCs w:val="18"/>
              </w:rPr>
              <w:t>Mahajanga</w:t>
            </w:r>
          </w:p>
        </w:tc>
      </w:tr>
      <w:tr w:rsidR="00000000">
        <w:tc>
          <w:tcPr>
            <w:tcW w:w="2265" w:type="dxa"/>
            <w:shd w:val="clear" w:color="auto" w:fill="auto"/>
            <w:vAlign w:val="center"/>
          </w:tcPr>
          <w:p w:rsidR="00000000" w:rsidRDefault="00000000">
            <w:pPr>
              <w:spacing w:before="40" w:after="40" w:line="220" w:lineRule="exact"/>
              <w:rPr>
                <w:bCs/>
                <w:sz w:val="18"/>
                <w:szCs w:val="18"/>
              </w:rPr>
            </w:pPr>
            <w:r>
              <w:rPr>
                <w:bCs/>
                <w:sz w:val="18"/>
                <w:szCs w:val="18"/>
              </w:rPr>
              <w:t>Atsinanana</w:t>
            </w:r>
          </w:p>
        </w:tc>
        <w:tc>
          <w:tcPr>
            <w:tcW w:w="113" w:type="dxa"/>
          </w:tcPr>
          <w:p w:rsidR="00000000" w:rsidRDefault="00000000">
            <w:pPr>
              <w:spacing w:before="40" w:after="40" w:line="220" w:lineRule="exact"/>
              <w:rPr>
                <w:bCs/>
                <w:sz w:val="18"/>
                <w:szCs w:val="18"/>
              </w:rPr>
            </w:pPr>
          </w:p>
        </w:tc>
        <w:tc>
          <w:tcPr>
            <w:tcW w:w="3284" w:type="dxa"/>
            <w:shd w:val="clear" w:color="auto" w:fill="auto"/>
            <w:vAlign w:val="center"/>
          </w:tcPr>
          <w:p w:rsidR="00000000" w:rsidRDefault="00000000">
            <w:pPr>
              <w:spacing w:before="40" w:after="40" w:line="220" w:lineRule="exact"/>
              <w:rPr>
                <w:bCs/>
                <w:sz w:val="18"/>
                <w:szCs w:val="18"/>
              </w:rPr>
            </w:pPr>
            <w:r>
              <w:rPr>
                <w:bCs/>
                <w:sz w:val="18"/>
                <w:szCs w:val="18"/>
              </w:rPr>
              <w:t>Toamasina</w:t>
            </w:r>
          </w:p>
        </w:tc>
      </w:tr>
      <w:tr w:rsidR="00000000">
        <w:tc>
          <w:tcPr>
            <w:tcW w:w="2265" w:type="dxa"/>
            <w:vMerge w:val="restart"/>
            <w:tcBorders>
              <w:right w:val="single" w:sz="4" w:space="0" w:color="auto"/>
            </w:tcBorders>
            <w:shd w:val="clear" w:color="auto" w:fill="auto"/>
            <w:vAlign w:val="center"/>
          </w:tcPr>
          <w:p w:rsidR="00000000" w:rsidRDefault="00000000">
            <w:pPr>
              <w:spacing w:before="40" w:after="40" w:line="220" w:lineRule="exact"/>
              <w:rPr>
                <w:bCs/>
                <w:sz w:val="18"/>
                <w:szCs w:val="18"/>
              </w:rPr>
            </w:pPr>
            <w:r>
              <w:rPr>
                <w:bCs/>
                <w:sz w:val="18"/>
                <w:szCs w:val="18"/>
              </w:rPr>
              <w:t>Analanjirofo</w:t>
            </w:r>
          </w:p>
        </w:tc>
        <w:tc>
          <w:tcPr>
            <w:tcW w:w="113" w:type="dxa"/>
          </w:tcPr>
          <w:p w:rsidR="00000000" w:rsidRDefault="00000000">
            <w:pPr>
              <w:spacing w:before="40" w:after="40" w:line="220" w:lineRule="exact"/>
              <w:rPr>
                <w:bCs/>
                <w:sz w:val="18"/>
                <w:szCs w:val="18"/>
              </w:rPr>
            </w:pPr>
          </w:p>
        </w:tc>
        <w:tc>
          <w:tcPr>
            <w:tcW w:w="3284" w:type="dxa"/>
            <w:shd w:val="clear" w:color="auto" w:fill="auto"/>
            <w:vAlign w:val="center"/>
          </w:tcPr>
          <w:p w:rsidR="00000000" w:rsidRDefault="00000000">
            <w:pPr>
              <w:spacing w:before="40" w:after="40" w:line="220" w:lineRule="exact"/>
              <w:rPr>
                <w:bCs/>
                <w:sz w:val="18"/>
                <w:szCs w:val="18"/>
              </w:rPr>
            </w:pPr>
            <w:r>
              <w:rPr>
                <w:bCs/>
                <w:sz w:val="18"/>
                <w:szCs w:val="18"/>
              </w:rPr>
              <w:t>Maroantsetra</w:t>
            </w:r>
          </w:p>
        </w:tc>
      </w:tr>
      <w:tr w:rsidR="00000000">
        <w:tc>
          <w:tcPr>
            <w:tcW w:w="2265" w:type="dxa"/>
            <w:vMerge/>
            <w:tcBorders>
              <w:right w:val="single" w:sz="4" w:space="0" w:color="auto"/>
            </w:tcBorders>
            <w:shd w:val="clear" w:color="auto" w:fill="auto"/>
            <w:vAlign w:val="center"/>
          </w:tcPr>
          <w:p w:rsidR="00000000" w:rsidRDefault="00000000">
            <w:pPr>
              <w:spacing w:before="40" w:after="40" w:line="220" w:lineRule="exact"/>
              <w:rPr>
                <w:bCs/>
                <w:sz w:val="18"/>
                <w:szCs w:val="18"/>
              </w:rPr>
            </w:pPr>
          </w:p>
        </w:tc>
        <w:tc>
          <w:tcPr>
            <w:tcW w:w="113" w:type="dxa"/>
          </w:tcPr>
          <w:p w:rsidR="00000000" w:rsidRDefault="00000000">
            <w:pPr>
              <w:spacing w:before="40" w:after="40" w:line="220" w:lineRule="exact"/>
              <w:rPr>
                <w:bCs/>
                <w:sz w:val="18"/>
                <w:szCs w:val="18"/>
              </w:rPr>
            </w:pPr>
          </w:p>
        </w:tc>
        <w:tc>
          <w:tcPr>
            <w:tcW w:w="3284" w:type="dxa"/>
            <w:shd w:val="clear" w:color="auto" w:fill="auto"/>
            <w:vAlign w:val="center"/>
          </w:tcPr>
          <w:p w:rsidR="00000000" w:rsidRDefault="00000000">
            <w:pPr>
              <w:spacing w:before="40" w:after="40" w:line="220" w:lineRule="exact"/>
              <w:rPr>
                <w:bCs/>
                <w:sz w:val="18"/>
                <w:szCs w:val="18"/>
              </w:rPr>
            </w:pPr>
            <w:r>
              <w:rPr>
                <w:bCs/>
                <w:sz w:val="18"/>
                <w:szCs w:val="18"/>
              </w:rPr>
              <w:t>Sainte Marie</w:t>
            </w:r>
          </w:p>
        </w:tc>
      </w:tr>
      <w:tr w:rsidR="00000000">
        <w:tc>
          <w:tcPr>
            <w:tcW w:w="2265" w:type="dxa"/>
            <w:shd w:val="clear" w:color="auto" w:fill="auto"/>
            <w:vAlign w:val="center"/>
          </w:tcPr>
          <w:p w:rsidR="00000000" w:rsidRDefault="00000000">
            <w:pPr>
              <w:spacing w:before="40" w:after="40" w:line="220" w:lineRule="exact"/>
              <w:rPr>
                <w:bCs/>
                <w:sz w:val="18"/>
                <w:szCs w:val="18"/>
              </w:rPr>
            </w:pPr>
            <w:r>
              <w:rPr>
                <w:bCs/>
                <w:sz w:val="18"/>
                <w:szCs w:val="18"/>
              </w:rPr>
              <w:t>Atsimo Andrefana</w:t>
            </w:r>
          </w:p>
        </w:tc>
        <w:tc>
          <w:tcPr>
            <w:tcW w:w="113" w:type="dxa"/>
          </w:tcPr>
          <w:p w:rsidR="00000000" w:rsidRDefault="00000000">
            <w:pPr>
              <w:spacing w:before="40" w:after="40" w:line="220" w:lineRule="exact"/>
              <w:rPr>
                <w:bCs/>
                <w:sz w:val="18"/>
                <w:szCs w:val="18"/>
              </w:rPr>
            </w:pPr>
          </w:p>
        </w:tc>
        <w:tc>
          <w:tcPr>
            <w:tcW w:w="3284" w:type="dxa"/>
            <w:shd w:val="clear" w:color="auto" w:fill="auto"/>
            <w:vAlign w:val="center"/>
          </w:tcPr>
          <w:p w:rsidR="00000000" w:rsidRDefault="00000000">
            <w:pPr>
              <w:spacing w:before="40" w:after="40" w:line="220" w:lineRule="exact"/>
              <w:rPr>
                <w:bCs/>
                <w:sz w:val="18"/>
                <w:szCs w:val="18"/>
              </w:rPr>
            </w:pPr>
            <w:r>
              <w:rPr>
                <w:bCs/>
                <w:sz w:val="18"/>
                <w:szCs w:val="18"/>
              </w:rPr>
              <w:t>Toliara</w:t>
            </w:r>
          </w:p>
        </w:tc>
      </w:tr>
      <w:tr w:rsidR="00000000">
        <w:tc>
          <w:tcPr>
            <w:tcW w:w="2265" w:type="dxa"/>
            <w:shd w:val="clear" w:color="auto" w:fill="auto"/>
            <w:vAlign w:val="center"/>
          </w:tcPr>
          <w:p w:rsidR="00000000" w:rsidRDefault="00000000">
            <w:pPr>
              <w:spacing w:before="40" w:after="40" w:line="220" w:lineRule="exact"/>
              <w:rPr>
                <w:bCs/>
                <w:sz w:val="18"/>
                <w:szCs w:val="18"/>
              </w:rPr>
            </w:pPr>
            <w:r>
              <w:rPr>
                <w:bCs/>
                <w:sz w:val="18"/>
                <w:szCs w:val="18"/>
              </w:rPr>
              <w:t>Anosy</w:t>
            </w:r>
          </w:p>
        </w:tc>
        <w:tc>
          <w:tcPr>
            <w:tcW w:w="113" w:type="dxa"/>
          </w:tcPr>
          <w:p w:rsidR="00000000" w:rsidRDefault="00000000">
            <w:pPr>
              <w:spacing w:before="40" w:after="40" w:line="220" w:lineRule="exact"/>
              <w:rPr>
                <w:bCs/>
                <w:sz w:val="18"/>
                <w:szCs w:val="18"/>
              </w:rPr>
            </w:pPr>
          </w:p>
        </w:tc>
        <w:tc>
          <w:tcPr>
            <w:tcW w:w="3284" w:type="dxa"/>
            <w:shd w:val="clear" w:color="auto" w:fill="auto"/>
            <w:vAlign w:val="center"/>
          </w:tcPr>
          <w:p w:rsidR="00000000" w:rsidRDefault="00000000">
            <w:pPr>
              <w:spacing w:before="40" w:after="40" w:line="220" w:lineRule="exact"/>
              <w:rPr>
                <w:bCs/>
                <w:sz w:val="18"/>
                <w:szCs w:val="18"/>
              </w:rPr>
            </w:pPr>
            <w:r>
              <w:rPr>
                <w:bCs/>
                <w:sz w:val="18"/>
                <w:szCs w:val="18"/>
              </w:rPr>
              <w:t>Taolagnaro</w:t>
            </w:r>
          </w:p>
        </w:tc>
      </w:tr>
      <w:tr w:rsidR="00000000">
        <w:tc>
          <w:tcPr>
            <w:tcW w:w="2265" w:type="dxa"/>
            <w:tcBorders>
              <w:bottom w:val="single" w:sz="12" w:space="0" w:color="auto"/>
            </w:tcBorders>
            <w:shd w:val="clear" w:color="auto" w:fill="auto"/>
            <w:vAlign w:val="center"/>
          </w:tcPr>
          <w:p w:rsidR="00000000" w:rsidRDefault="00000000">
            <w:pPr>
              <w:spacing w:before="40" w:after="40" w:line="220" w:lineRule="exact"/>
              <w:rPr>
                <w:bCs/>
                <w:sz w:val="18"/>
                <w:szCs w:val="18"/>
              </w:rPr>
            </w:pPr>
            <w:r>
              <w:rPr>
                <w:bCs/>
                <w:sz w:val="18"/>
                <w:szCs w:val="18"/>
              </w:rPr>
              <w:t>Menabe</w:t>
            </w:r>
          </w:p>
        </w:tc>
        <w:tc>
          <w:tcPr>
            <w:tcW w:w="113" w:type="dxa"/>
            <w:tcBorders>
              <w:bottom w:val="single" w:sz="12" w:space="0" w:color="auto"/>
            </w:tcBorders>
          </w:tcPr>
          <w:p w:rsidR="00000000" w:rsidRDefault="00000000">
            <w:pPr>
              <w:spacing w:before="40" w:after="40" w:line="220" w:lineRule="exact"/>
              <w:rPr>
                <w:bCs/>
                <w:sz w:val="18"/>
                <w:szCs w:val="18"/>
              </w:rPr>
            </w:pPr>
          </w:p>
        </w:tc>
        <w:tc>
          <w:tcPr>
            <w:tcW w:w="3284" w:type="dxa"/>
            <w:tcBorders>
              <w:bottom w:val="single" w:sz="12" w:space="0" w:color="auto"/>
            </w:tcBorders>
            <w:shd w:val="clear" w:color="auto" w:fill="auto"/>
            <w:vAlign w:val="center"/>
          </w:tcPr>
          <w:p w:rsidR="00000000" w:rsidRDefault="00000000">
            <w:pPr>
              <w:spacing w:before="40" w:after="40" w:line="220" w:lineRule="exact"/>
              <w:rPr>
                <w:bCs/>
                <w:sz w:val="18"/>
                <w:szCs w:val="18"/>
              </w:rPr>
            </w:pPr>
            <w:r>
              <w:rPr>
                <w:bCs/>
                <w:sz w:val="18"/>
                <w:szCs w:val="18"/>
              </w:rPr>
              <w:t>Morondava</w:t>
            </w:r>
          </w:p>
        </w:tc>
      </w:tr>
    </w:tbl>
    <w:p w:rsidR="00000000" w:rsidRDefault="00000000">
      <w:pPr>
        <w:pStyle w:val="SingleTxtG"/>
        <w:keepNext/>
        <w:spacing w:before="240" w:after="0"/>
      </w:pPr>
      <w:bookmarkStart w:id="1781" w:name="_Toc260298301"/>
      <w:r>
        <w:t>Tableau 45</w:t>
      </w:r>
    </w:p>
    <w:p w:rsidR="00000000" w:rsidRDefault="00000000">
      <w:pPr>
        <w:pStyle w:val="SingleTxtG"/>
        <w:keepNext/>
        <w:rPr>
          <w:b/>
        </w:rPr>
      </w:pPr>
      <w:r>
        <w:rPr>
          <w:b/>
        </w:rPr>
        <w:t>Distribution de la population selon le genre du chef de ménage par milieu</w:t>
      </w:r>
      <w:bookmarkEnd w:id="1781"/>
    </w:p>
    <w:tbl>
      <w:tblPr>
        <w:tblW w:w="7371" w:type="dxa"/>
        <w:tblInd w:w="1208" w:type="dxa"/>
        <w:tblLook w:val="01E0" w:firstRow="1" w:lastRow="1" w:firstColumn="1" w:lastColumn="1" w:noHBand="0" w:noVBand="0"/>
      </w:tblPr>
      <w:tblGrid>
        <w:gridCol w:w="1851"/>
        <w:gridCol w:w="1828"/>
        <w:gridCol w:w="1800"/>
        <w:gridCol w:w="1892"/>
      </w:tblGrid>
      <w:tr w:rsidR="00000000">
        <w:tc>
          <w:tcPr>
            <w:tcW w:w="1851" w:type="dxa"/>
            <w:vMerge w:val="restart"/>
            <w:tcBorders>
              <w:top w:val="single" w:sz="4" w:space="0" w:color="auto"/>
              <w:bottom w:val="single" w:sz="12" w:space="0" w:color="auto"/>
            </w:tcBorders>
            <w:shd w:val="clear" w:color="auto" w:fill="auto"/>
            <w:vAlign w:val="bottom"/>
          </w:tcPr>
          <w:p w:rsidR="00000000" w:rsidRDefault="00000000">
            <w:pPr>
              <w:keepNext/>
              <w:spacing w:before="80" w:after="80" w:line="200" w:lineRule="exact"/>
              <w:rPr>
                <w:bCs/>
                <w:i/>
                <w:sz w:val="16"/>
                <w:szCs w:val="16"/>
              </w:rPr>
            </w:pPr>
            <w:r>
              <w:rPr>
                <w:bCs/>
                <w:i/>
                <w:sz w:val="16"/>
                <w:szCs w:val="16"/>
              </w:rPr>
              <w:t>Genre du chef de ménage</w:t>
            </w:r>
          </w:p>
        </w:tc>
        <w:tc>
          <w:tcPr>
            <w:tcW w:w="3628" w:type="dxa"/>
            <w:gridSpan w:val="2"/>
            <w:tcBorders>
              <w:top w:val="single" w:sz="4" w:space="0" w:color="auto"/>
              <w:bottom w:val="single" w:sz="4" w:space="0" w:color="auto"/>
            </w:tcBorders>
            <w:shd w:val="clear" w:color="auto" w:fill="auto"/>
            <w:vAlign w:val="bottom"/>
          </w:tcPr>
          <w:p w:rsidR="00000000" w:rsidRDefault="00000000">
            <w:pPr>
              <w:keepNext/>
              <w:spacing w:before="80" w:after="80" w:line="200" w:lineRule="exact"/>
              <w:jc w:val="center"/>
              <w:rPr>
                <w:bCs/>
                <w:i/>
                <w:sz w:val="16"/>
                <w:szCs w:val="16"/>
              </w:rPr>
            </w:pPr>
            <w:r>
              <w:rPr>
                <w:bCs/>
                <w:i/>
                <w:sz w:val="16"/>
                <w:szCs w:val="16"/>
              </w:rPr>
              <w:t>Milieu</w:t>
            </w:r>
          </w:p>
        </w:tc>
        <w:tc>
          <w:tcPr>
            <w:tcW w:w="1892" w:type="dxa"/>
            <w:vMerge w:val="restart"/>
            <w:tcBorders>
              <w:top w:val="single" w:sz="4" w:space="0" w:color="auto"/>
              <w:bottom w:val="single" w:sz="12" w:space="0" w:color="auto"/>
            </w:tcBorders>
            <w:shd w:val="clear" w:color="auto" w:fill="auto"/>
            <w:vAlign w:val="bottom"/>
          </w:tcPr>
          <w:p w:rsidR="00000000" w:rsidRDefault="00000000">
            <w:pPr>
              <w:keepNext/>
              <w:spacing w:before="80" w:after="80" w:line="200" w:lineRule="exact"/>
              <w:jc w:val="right"/>
              <w:rPr>
                <w:bCs/>
                <w:i/>
                <w:sz w:val="16"/>
                <w:szCs w:val="16"/>
              </w:rPr>
            </w:pPr>
            <w:r>
              <w:rPr>
                <w:bCs/>
                <w:i/>
                <w:sz w:val="16"/>
                <w:szCs w:val="16"/>
              </w:rPr>
              <w:t>Ensemble</w:t>
            </w:r>
          </w:p>
        </w:tc>
      </w:tr>
      <w:tr w:rsidR="00000000">
        <w:tc>
          <w:tcPr>
            <w:tcW w:w="1851" w:type="dxa"/>
            <w:vMerge/>
            <w:tcBorders>
              <w:top w:val="single" w:sz="4" w:space="0" w:color="auto"/>
              <w:bottom w:val="single" w:sz="12" w:space="0" w:color="auto"/>
            </w:tcBorders>
            <w:shd w:val="clear" w:color="auto" w:fill="auto"/>
            <w:vAlign w:val="bottom"/>
          </w:tcPr>
          <w:p w:rsidR="00000000" w:rsidRDefault="00000000">
            <w:pPr>
              <w:keepNext/>
              <w:spacing w:before="80" w:after="80" w:line="200" w:lineRule="exact"/>
              <w:rPr>
                <w:bCs/>
                <w:i/>
                <w:sz w:val="16"/>
                <w:szCs w:val="16"/>
              </w:rPr>
            </w:pPr>
          </w:p>
        </w:tc>
        <w:tc>
          <w:tcPr>
            <w:tcW w:w="1828" w:type="dxa"/>
            <w:tcBorders>
              <w:top w:val="single" w:sz="4" w:space="0" w:color="auto"/>
              <w:bottom w:val="single" w:sz="12" w:space="0" w:color="auto"/>
            </w:tcBorders>
            <w:shd w:val="clear" w:color="auto" w:fill="auto"/>
          </w:tcPr>
          <w:p w:rsidR="00000000" w:rsidRDefault="00000000">
            <w:pPr>
              <w:keepNext/>
              <w:spacing w:before="80" w:after="80" w:line="200" w:lineRule="exact"/>
              <w:jc w:val="right"/>
              <w:rPr>
                <w:bCs/>
                <w:i/>
                <w:sz w:val="16"/>
                <w:szCs w:val="16"/>
              </w:rPr>
            </w:pPr>
            <w:r>
              <w:rPr>
                <w:bCs/>
                <w:i/>
                <w:sz w:val="16"/>
                <w:szCs w:val="16"/>
              </w:rPr>
              <w:t>Urbain</w:t>
            </w:r>
          </w:p>
        </w:tc>
        <w:tc>
          <w:tcPr>
            <w:tcW w:w="1800" w:type="dxa"/>
            <w:tcBorders>
              <w:top w:val="single" w:sz="4" w:space="0" w:color="auto"/>
              <w:bottom w:val="single" w:sz="12" w:space="0" w:color="auto"/>
            </w:tcBorders>
            <w:shd w:val="clear" w:color="auto" w:fill="auto"/>
          </w:tcPr>
          <w:p w:rsidR="00000000" w:rsidRDefault="00000000">
            <w:pPr>
              <w:keepNext/>
              <w:spacing w:before="80" w:after="80" w:line="200" w:lineRule="exact"/>
              <w:jc w:val="right"/>
              <w:rPr>
                <w:bCs/>
                <w:i/>
                <w:sz w:val="16"/>
                <w:szCs w:val="16"/>
              </w:rPr>
            </w:pPr>
            <w:r>
              <w:rPr>
                <w:bCs/>
                <w:i/>
                <w:sz w:val="16"/>
                <w:szCs w:val="16"/>
              </w:rPr>
              <w:t>Rural</w:t>
            </w:r>
          </w:p>
        </w:tc>
        <w:tc>
          <w:tcPr>
            <w:tcW w:w="1892" w:type="dxa"/>
            <w:vMerge/>
            <w:tcBorders>
              <w:top w:val="single" w:sz="4" w:space="0" w:color="auto"/>
              <w:bottom w:val="single" w:sz="12" w:space="0" w:color="auto"/>
            </w:tcBorders>
            <w:shd w:val="clear" w:color="auto" w:fill="auto"/>
            <w:vAlign w:val="bottom"/>
          </w:tcPr>
          <w:p w:rsidR="00000000" w:rsidRDefault="00000000">
            <w:pPr>
              <w:keepNext/>
              <w:spacing w:before="80" w:after="80" w:line="200" w:lineRule="exact"/>
              <w:rPr>
                <w:bCs/>
                <w:i/>
                <w:sz w:val="16"/>
                <w:szCs w:val="16"/>
              </w:rPr>
            </w:pPr>
          </w:p>
        </w:tc>
      </w:tr>
      <w:tr w:rsidR="00000000">
        <w:tc>
          <w:tcPr>
            <w:tcW w:w="1851" w:type="dxa"/>
            <w:tcBorders>
              <w:top w:val="single" w:sz="12" w:space="0" w:color="auto"/>
            </w:tcBorders>
            <w:shd w:val="clear" w:color="auto" w:fill="auto"/>
            <w:vAlign w:val="bottom"/>
          </w:tcPr>
          <w:p w:rsidR="00000000" w:rsidRDefault="00000000">
            <w:pPr>
              <w:spacing w:before="40" w:after="40" w:line="220" w:lineRule="exact"/>
              <w:rPr>
                <w:bCs/>
                <w:sz w:val="18"/>
                <w:szCs w:val="18"/>
              </w:rPr>
            </w:pPr>
            <w:r>
              <w:rPr>
                <w:bCs/>
                <w:sz w:val="18"/>
                <w:szCs w:val="18"/>
              </w:rPr>
              <w:t>Homme</w:t>
            </w:r>
          </w:p>
        </w:tc>
        <w:tc>
          <w:tcPr>
            <w:tcW w:w="1828" w:type="dxa"/>
            <w:tcBorders>
              <w:top w:val="single" w:sz="12" w:space="0" w:color="auto"/>
            </w:tcBorders>
            <w:shd w:val="clear" w:color="auto" w:fill="auto"/>
            <w:vAlign w:val="bottom"/>
          </w:tcPr>
          <w:p w:rsidR="00000000" w:rsidRDefault="00000000">
            <w:pPr>
              <w:spacing w:before="40" w:after="40" w:line="220" w:lineRule="exact"/>
              <w:jc w:val="right"/>
              <w:rPr>
                <w:bCs/>
                <w:sz w:val="18"/>
                <w:szCs w:val="18"/>
              </w:rPr>
            </w:pPr>
            <w:r>
              <w:rPr>
                <w:bCs/>
                <w:sz w:val="18"/>
                <w:szCs w:val="18"/>
              </w:rPr>
              <w:t>83,7</w:t>
            </w:r>
          </w:p>
        </w:tc>
        <w:tc>
          <w:tcPr>
            <w:tcW w:w="1800" w:type="dxa"/>
            <w:tcBorders>
              <w:top w:val="single" w:sz="12" w:space="0" w:color="auto"/>
            </w:tcBorders>
            <w:shd w:val="clear" w:color="auto" w:fill="auto"/>
            <w:vAlign w:val="bottom"/>
          </w:tcPr>
          <w:p w:rsidR="00000000" w:rsidRDefault="00000000">
            <w:pPr>
              <w:spacing w:before="40" w:after="40" w:line="220" w:lineRule="exact"/>
              <w:jc w:val="right"/>
              <w:rPr>
                <w:bCs/>
                <w:sz w:val="18"/>
                <w:szCs w:val="18"/>
              </w:rPr>
            </w:pPr>
            <w:r>
              <w:rPr>
                <w:bCs/>
                <w:sz w:val="18"/>
                <w:szCs w:val="18"/>
              </w:rPr>
              <w:t>86,2</w:t>
            </w:r>
          </w:p>
        </w:tc>
        <w:tc>
          <w:tcPr>
            <w:tcW w:w="1892" w:type="dxa"/>
            <w:tcBorders>
              <w:top w:val="single" w:sz="12" w:space="0" w:color="auto"/>
            </w:tcBorders>
            <w:shd w:val="clear" w:color="auto" w:fill="auto"/>
            <w:vAlign w:val="bottom"/>
          </w:tcPr>
          <w:p w:rsidR="00000000" w:rsidRDefault="00000000">
            <w:pPr>
              <w:spacing w:before="40" w:after="40" w:line="220" w:lineRule="exact"/>
              <w:jc w:val="right"/>
              <w:rPr>
                <w:bCs/>
                <w:sz w:val="18"/>
                <w:szCs w:val="18"/>
              </w:rPr>
            </w:pPr>
            <w:r>
              <w:rPr>
                <w:bCs/>
                <w:sz w:val="18"/>
                <w:szCs w:val="18"/>
              </w:rPr>
              <w:t>85,6</w:t>
            </w:r>
          </w:p>
        </w:tc>
      </w:tr>
      <w:tr w:rsidR="00000000">
        <w:tc>
          <w:tcPr>
            <w:tcW w:w="1851" w:type="dxa"/>
            <w:tcBorders>
              <w:bottom w:val="single" w:sz="4" w:space="0" w:color="auto"/>
            </w:tcBorders>
            <w:shd w:val="clear" w:color="auto" w:fill="auto"/>
            <w:vAlign w:val="bottom"/>
          </w:tcPr>
          <w:p w:rsidR="00000000" w:rsidRDefault="00000000">
            <w:pPr>
              <w:spacing w:before="40" w:after="40" w:line="220" w:lineRule="exact"/>
              <w:rPr>
                <w:bCs/>
                <w:sz w:val="18"/>
                <w:szCs w:val="18"/>
              </w:rPr>
            </w:pPr>
            <w:r>
              <w:rPr>
                <w:bCs/>
                <w:sz w:val="18"/>
                <w:szCs w:val="18"/>
              </w:rPr>
              <w:t>Femme</w:t>
            </w:r>
          </w:p>
        </w:tc>
        <w:tc>
          <w:tcPr>
            <w:tcW w:w="1828" w:type="dxa"/>
            <w:tcBorders>
              <w:bottom w:val="single" w:sz="4" w:space="0" w:color="auto"/>
            </w:tcBorders>
            <w:shd w:val="clear" w:color="auto" w:fill="auto"/>
            <w:vAlign w:val="bottom"/>
          </w:tcPr>
          <w:p w:rsidR="00000000" w:rsidRDefault="00000000">
            <w:pPr>
              <w:spacing w:before="40" w:after="40" w:line="220" w:lineRule="exact"/>
              <w:jc w:val="right"/>
              <w:rPr>
                <w:bCs/>
                <w:sz w:val="18"/>
                <w:szCs w:val="18"/>
              </w:rPr>
            </w:pPr>
            <w:r>
              <w:rPr>
                <w:bCs/>
                <w:sz w:val="18"/>
                <w:szCs w:val="18"/>
              </w:rPr>
              <w:t>16,3</w:t>
            </w:r>
          </w:p>
        </w:tc>
        <w:tc>
          <w:tcPr>
            <w:tcW w:w="1800" w:type="dxa"/>
            <w:tcBorders>
              <w:bottom w:val="single" w:sz="4" w:space="0" w:color="auto"/>
            </w:tcBorders>
            <w:shd w:val="clear" w:color="auto" w:fill="auto"/>
            <w:vAlign w:val="bottom"/>
          </w:tcPr>
          <w:p w:rsidR="00000000" w:rsidRDefault="00000000">
            <w:pPr>
              <w:spacing w:before="40" w:after="40" w:line="220" w:lineRule="exact"/>
              <w:jc w:val="right"/>
              <w:rPr>
                <w:bCs/>
                <w:sz w:val="18"/>
                <w:szCs w:val="18"/>
              </w:rPr>
            </w:pPr>
            <w:r>
              <w:rPr>
                <w:bCs/>
                <w:sz w:val="18"/>
                <w:szCs w:val="18"/>
              </w:rPr>
              <w:t>13,8</w:t>
            </w:r>
          </w:p>
        </w:tc>
        <w:tc>
          <w:tcPr>
            <w:tcW w:w="1892" w:type="dxa"/>
            <w:tcBorders>
              <w:bottom w:val="single" w:sz="4" w:space="0" w:color="auto"/>
            </w:tcBorders>
            <w:shd w:val="clear" w:color="auto" w:fill="auto"/>
            <w:vAlign w:val="bottom"/>
          </w:tcPr>
          <w:p w:rsidR="00000000" w:rsidRDefault="00000000">
            <w:pPr>
              <w:spacing w:before="40" w:after="40" w:line="220" w:lineRule="exact"/>
              <w:jc w:val="right"/>
              <w:rPr>
                <w:bCs/>
                <w:sz w:val="18"/>
                <w:szCs w:val="18"/>
              </w:rPr>
            </w:pPr>
            <w:r>
              <w:rPr>
                <w:bCs/>
                <w:sz w:val="18"/>
                <w:szCs w:val="18"/>
              </w:rPr>
              <w:t>14,4</w:t>
            </w:r>
          </w:p>
        </w:tc>
      </w:tr>
      <w:tr w:rsidR="00000000">
        <w:tc>
          <w:tcPr>
            <w:tcW w:w="1851" w:type="dxa"/>
            <w:tcBorders>
              <w:top w:val="single" w:sz="4" w:space="0" w:color="auto"/>
              <w:bottom w:val="single" w:sz="12" w:space="0" w:color="auto"/>
            </w:tcBorders>
            <w:shd w:val="clear" w:color="auto" w:fill="auto"/>
            <w:vAlign w:val="bottom"/>
          </w:tcPr>
          <w:p w:rsidR="00000000" w:rsidRDefault="00000000">
            <w:pPr>
              <w:spacing w:before="40" w:after="40" w:line="220" w:lineRule="exact"/>
              <w:ind w:firstLine="170"/>
              <w:rPr>
                <w:b/>
                <w:bCs/>
                <w:sz w:val="18"/>
                <w:szCs w:val="18"/>
              </w:rPr>
            </w:pPr>
            <w:r>
              <w:rPr>
                <w:b/>
                <w:bCs/>
                <w:sz w:val="18"/>
                <w:szCs w:val="18"/>
              </w:rPr>
              <w:t>Total</w:t>
            </w:r>
          </w:p>
        </w:tc>
        <w:tc>
          <w:tcPr>
            <w:tcW w:w="1828" w:type="dxa"/>
            <w:tcBorders>
              <w:top w:val="single" w:sz="4" w:space="0" w:color="auto"/>
              <w:bottom w:val="single" w:sz="12" w:space="0" w:color="auto"/>
            </w:tcBorders>
            <w:shd w:val="clear" w:color="auto" w:fill="auto"/>
            <w:vAlign w:val="bottom"/>
          </w:tcPr>
          <w:p w:rsidR="00000000" w:rsidRDefault="00000000">
            <w:pPr>
              <w:spacing w:before="40" w:after="40" w:line="220" w:lineRule="exact"/>
              <w:jc w:val="right"/>
              <w:rPr>
                <w:b/>
                <w:bCs/>
                <w:sz w:val="18"/>
                <w:szCs w:val="18"/>
              </w:rPr>
            </w:pPr>
            <w:r>
              <w:rPr>
                <w:b/>
                <w:bCs/>
                <w:sz w:val="18"/>
                <w:szCs w:val="18"/>
              </w:rPr>
              <w:t>100</w:t>
            </w:r>
          </w:p>
        </w:tc>
        <w:tc>
          <w:tcPr>
            <w:tcW w:w="1800" w:type="dxa"/>
            <w:tcBorders>
              <w:top w:val="single" w:sz="4" w:space="0" w:color="auto"/>
              <w:bottom w:val="single" w:sz="12" w:space="0" w:color="auto"/>
            </w:tcBorders>
            <w:shd w:val="clear" w:color="auto" w:fill="auto"/>
            <w:vAlign w:val="bottom"/>
          </w:tcPr>
          <w:p w:rsidR="00000000" w:rsidRDefault="00000000">
            <w:pPr>
              <w:spacing w:before="40" w:after="40" w:line="220" w:lineRule="exact"/>
              <w:jc w:val="right"/>
              <w:rPr>
                <w:b/>
                <w:bCs/>
                <w:sz w:val="18"/>
                <w:szCs w:val="18"/>
              </w:rPr>
            </w:pPr>
            <w:r>
              <w:rPr>
                <w:b/>
                <w:bCs/>
                <w:sz w:val="18"/>
                <w:szCs w:val="18"/>
              </w:rPr>
              <w:t>100</w:t>
            </w:r>
          </w:p>
        </w:tc>
        <w:tc>
          <w:tcPr>
            <w:tcW w:w="1892" w:type="dxa"/>
            <w:tcBorders>
              <w:top w:val="single" w:sz="4" w:space="0" w:color="auto"/>
              <w:bottom w:val="single" w:sz="12" w:space="0" w:color="auto"/>
            </w:tcBorders>
            <w:shd w:val="clear" w:color="auto" w:fill="auto"/>
            <w:vAlign w:val="bottom"/>
          </w:tcPr>
          <w:p w:rsidR="00000000" w:rsidRDefault="00000000">
            <w:pPr>
              <w:spacing w:before="40" w:after="40" w:line="220" w:lineRule="exact"/>
              <w:jc w:val="right"/>
              <w:rPr>
                <w:b/>
                <w:bCs/>
                <w:sz w:val="18"/>
                <w:szCs w:val="18"/>
              </w:rPr>
            </w:pPr>
            <w:r>
              <w:rPr>
                <w:b/>
                <w:bCs/>
                <w:sz w:val="18"/>
                <w:szCs w:val="18"/>
              </w:rPr>
              <w:t>100</w:t>
            </w:r>
          </w:p>
        </w:tc>
      </w:tr>
    </w:tbl>
    <w:p w:rsidR="00000000" w:rsidRDefault="00000000">
      <w:pPr>
        <w:pStyle w:val="SingleTxtG"/>
        <w:spacing w:before="120" w:after="240"/>
        <w:rPr>
          <w:sz w:val="18"/>
          <w:szCs w:val="18"/>
          <w:lang w:val="fr-FR"/>
        </w:rPr>
      </w:pPr>
      <w:r>
        <w:rPr>
          <w:i/>
          <w:sz w:val="18"/>
          <w:szCs w:val="18"/>
          <w:lang w:val="fr-FR"/>
        </w:rPr>
        <w:t>Source</w:t>
      </w:r>
      <w:r>
        <w:rPr>
          <w:sz w:val="18"/>
          <w:szCs w:val="18"/>
          <w:lang w:val="fr-FR"/>
        </w:rPr>
        <w:t>: INSTAT/ DSM/ EPM 2005.</w:t>
      </w:r>
    </w:p>
    <w:p w:rsidR="00000000" w:rsidRDefault="00000000">
      <w:pPr>
        <w:pStyle w:val="SingleTxtG"/>
        <w:spacing w:after="0"/>
      </w:pPr>
      <w:bookmarkStart w:id="1782" w:name="_Toc260298302"/>
      <w:r>
        <w:t>Tableau 46</w:t>
      </w:r>
    </w:p>
    <w:p w:rsidR="00000000" w:rsidRDefault="00000000">
      <w:pPr>
        <w:pStyle w:val="SingleTxtG"/>
        <w:rPr>
          <w:b/>
        </w:rPr>
      </w:pPr>
      <w:r>
        <w:rPr>
          <w:b/>
        </w:rPr>
        <w:t>Récapitulatif des actions de sensibilisation menées au niveau des réseaux de 2003 à 2007</w:t>
      </w:r>
      <w:bookmarkEnd w:id="1782"/>
    </w:p>
    <w:tbl>
      <w:tblPr>
        <w:tblW w:w="8505" w:type="dxa"/>
        <w:tblInd w:w="1134" w:type="dxa"/>
        <w:tblCellMar>
          <w:left w:w="0" w:type="dxa"/>
          <w:right w:w="0" w:type="dxa"/>
        </w:tblCellMar>
        <w:tblLook w:val="01E0" w:firstRow="1" w:lastRow="1" w:firstColumn="1" w:lastColumn="1" w:noHBand="0" w:noVBand="0"/>
      </w:tblPr>
      <w:tblGrid>
        <w:gridCol w:w="3943"/>
        <w:gridCol w:w="806"/>
        <w:gridCol w:w="939"/>
        <w:gridCol w:w="939"/>
        <w:gridCol w:w="939"/>
        <w:gridCol w:w="939"/>
      </w:tblGrid>
      <w:tr w:rsidR="00000000">
        <w:tc>
          <w:tcPr>
            <w:tcW w:w="3943" w:type="dxa"/>
            <w:tcBorders>
              <w:top w:val="single" w:sz="4" w:space="0" w:color="auto"/>
              <w:bottom w:val="single" w:sz="12" w:space="0" w:color="auto"/>
            </w:tcBorders>
            <w:shd w:val="clear" w:color="auto" w:fill="auto"/>
          </w:tcPr>
          <w:p w:rsidR="00000000" w:rsidRDefault="00000000">
            <w:pPr>
              <w:spacing w:before="80" w:after="80" w:line="200" w:lineRule="exact"/>
              <w:rPr>
                <w:bCs/>
                <w:i/>
                <w:sz w:val="16"/>
                <w:szCs w:val="16"/>
              </w:rPr>
            </w:pPr>
            <w:r>
              <w:rPr>
                <w:bCs/>
                <w:i/>
                <w:sz w:val="16"/>
                <w:szCs w:val="16"/>
              </w:rPr>
              <w:t>Situation</w:t>
            </w:r>
          </w:p>
        </w:tc>
        <w:tc>
          <w:tcPr>
            <w:tcW w:w="806"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bCs/>
                <w:i/>
                <w:sz w:val="16"/>
                <w:szCs w:val="16"/>
              </w:rPr>
            </w:pPr>
            <w:r>
              <w:rPr>
                <w:bCs/>
                <w:i/>
                <w:sz w:val="16"/>
                <w:szCs w:val="16"/>
              </w:rPr>
              <w:t>2003</w:t>
            </w:r>
          </w:p>
        </w:tc>
        <w:tc>
          <w:tcPr>
            <w:tcW w:w="939"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bCs/>
                <w:i/>
                <w:sz w:val="16"/>
                <w:szCs w:val="16"/>
              </w:rPr>
            </w:pPr>
            <w:r>
              <w:rPr>
                <w:bCs/>
                <w:i/>
                <w:sz w:val="16"/>
                <w:szCs w:val="16"/>
              </w:rPr>
              <w:t>2004</w:t>
            </w:r>
          </w:p>
        </w:tc>
        <w:tc>
          <w:tcPr>
            <w:tcW w:w="939"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bCs/>
                <w:i/>
                <w:sz w:val="16"/>
                <w:szCs w:val="16"/>
              </w:rPr>
            </w:pPr>
            <w:r>
              <w:rPr>
                <w:bCs/>
                <w:i/>
                <w:sz w:val="16"/>
                <w:szCs w:val="16"/>
              </w:rPr>
              <w:t>2005</w:t>
            </w:r>
          </w:p>
        </w:tc>
        <w:tc>
          <w:tcPr>
            <w:tcW w:w="939"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bCs/>
                <w:i/>
                <w:sz w:val="16"/>
                <w:szCs w:val="16"/>
              </w:rPr>
            </w:pPr>
            <w:r>
              <w:rPr>
                <w:bCs/>
                <w:i/>
                <w:sz w:val="16"/>
                <w:szCs w:val="16"/>
              </w:rPr>
              <w:t>2006</w:t>
            </w:r>
          </w:p>
        </w:tc>
        <w:tc>
          <w:tcPr>
            <w:tcW w:w="939"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bCs/>
                <w:i/>
                <w:sz w:val="16"/>
                <w:szCs w:val="16"/>
              </w:rPr>
            </w:pPr>
            <w:r>
              <w:rPr>
                <w:bCs/>
                <w:i/>
                <w:sz w:val="16"/>
                <w:szCs w:val="16"/>
              </w:rPr>
              <w:t>2007</w:t>
            </w:r>
          </w:p>
        </w:tc>
      </w:tr>
      <w:tr w:rsidR="00000000">
        <w:tc>
          <w:tcPr>
            <w:tcW w:w="3943" w:type="dxa"/>
            <w:tcBorders>
              <w:top w:val="single" w:sz="12" w:space="0" w:color="auto"/>
            </w:tcBorders>
            <w:shd w:val="clear" w:color="auto" w:fill="auto"/>
          </w:tcPr>
          <w:p w:rsidR="00000000" w:rsidRDefault="00000000">
            <w:pPr>
              <w:spacing w:before="40" w:after="40" w:line="220" w:lineRule="exact"/>
              <w:rPr>
                <w:bCs/>
                <w:sz w:val="18"/>
                <w:szCs w:val="18"/>
              </w:rPr>
            </w:pPr>
            <w:r>
              <w:rPr>
                <w:bCs/>
                <w:sz w:val="18"/>
                <w:szCs w:val="18"/>
              </w:rPr>
              <w:t>Nombre de réseaux opérationnels</w:t>
            </w:r>
          </w:p>
        </w:tc>
        <w:tc>
          <w:tcPr>
            <w:tcW w:w="806" w:type="dxa"/>
            <w:tcBorders>
              <w:top w:val="single" w:sz="12" w:space="0" w:color="auto"/>
            </w:tcBorders>
            <w:shd w:val="clear" w:color="auto" w:fill="auto"/>
            <w:vAlign w:val="bottom"/>
          </w:tcPr>
          <w:p w:rsidR="00000000" w:rsidRDefault="00000000">
            <w:pPr>
              <w:spacing w:before="40" w:after="40" w:line="220" w:lineRule="exact"/>
              <w:jc w:val="right"/>
              <w:rPr>
                <w:bCs/>
                <w:sz w:val="18"/>
                <w:szCs w:val="18"/>
              </w:rPr>
            </w:pPr>
            <w:r>
              <w:rPr>
                <w:bCs/>
                <w:sz w:val="18"/>
                <w:szCs w:val="18"/>
              </w:rPr>
              <w:t>5</w:t>
            </w:r>
          </w:p>
        </w:tc>
        <w:tc>
          <w:tcPr>
            <w:tcW w:w="939" w:type="dxa"/>
            <w:tcBorders>
              <w:top w:val="single" w:sz="12" w:space="0" w:color="auto"/>
            </w:tcBorders>
            <w:shd w:val="clear" w:color="auto" w:fill="auto"/>
            <w:vAlign w:val="bottom"/>
          </w:tcPr>
          <w:p w:rsidR="00000000" w:rsidRDefault="00000000">
            <w:pPr>
              <w:spacing w:before="40" w:after="40" w:line="220" w:lineRule="exact"/>
              <w:jc w:val="right"/>
              <w:rPr>
                <w:bCs/>
                <w:sz w:val="18"/>
                <w:szCs w:val="18"/>
              </w:rPr>
            </w:pPr>
            <w:r>
              <w:rPr>
                <w:bCs/>
                <w:sz w:val="18"/>
                <w:szCs w:val="18"/>
              </w:rPr>
              <w:t>6</w:t>
            </w:r>
          </w:p>
        </w:tc>
        <w:tc>
          <w:tcPr>
            <w:tcW w:w="939" w:type="dxa"/>
            <w:tcBorders>
              <w:top w:val="single" w:sz="12" w:space="0" w:color="auto"/>
            </w:tcBorders>
            <w:shd w:val="clear" w:color="auto" w:fill="auto"/>
            <w:vAlign w:val="bottom"/>
          </w:tcPr>
          <w:p w:rsidR="00000000" w:rsidRDefault="00000000">
            <w:pPr>
              <w:spacing w:before="40" w:after="40" w:line="220" w:lineRule="exact"/>
              <w:jc w:val="right"/>
              <w:rPr>
                <w:bCs/>
                <w:sz w:val="18"/>
                <w:szCs w:val="18"/>
              </w:rPr>
            </w:pPr>
            <w:r>
              <w:rPr>
                <w:bCs/>
                <w:sz w:val="18"/>
                <w:szCs w:val="18"/>
              </w:rPr>
              <w:t>7</w:t>
            </w:r>
          </w:p>
        </w:tc>
        <w:tc>
          <w:tcPr>
            <w:tcW w:w="939" w:type="dxa"/>
            <w:tcBorders>
              <w:top w:val="single" w:sz="12" w:space="0" w:color="auto"/>
            </w:tcBorders>
            <w:shd w:val="clear" w:color="auto" w:fill="auto"/>
            <w:vAlign w:val="bottom"/>
          </w:tcPr>
          <w:p w:rsidR="00000000" w:rsidRDefault="00000000">
            <w:pPr>
              <w:spacing w:before="40" w:after="40" w:line="220" w:lineRule="exact"/>
              <w:jc w:val="right"/>
              <w:rPr>
                <w:bCs/>
                <w:sz w:val="18"/>
                <w:szCs w:val="18"/>
              </w:rPr>
            </w:pPr>
            <w:r>
              <w:rPr>
                <w:bCs/>
                <w:sz w:val="18"/>
                <w:szCs w:val="18"/>
              </w:rPr>
              <w:t>8</w:t>
            </w:r>
          </w:p>
        </w:tc>
        <w:tc>
          <w:tcPr>
            <w:tcW w:w="939" w:type="dxa"/>
            <w:tcBorders>
              <w:top w:val="single" w:sz="12" w:space="0" w:color="auto"/>
            </w:tcBorders>
            <w:shd w:val="clear" w:color="auto" w:fill="auto"/>
            <w:vAlign w:val="bottom"/>
          </w:tcPr>
          <w:p w:rsidR="00000000" w:rsidRDefault="00000000">
            <w:pPr>
              <w:spacing w:before="40" w:after="40" w:line="220" w:lineRule="exact"/>
              <w:jc w:val="right"/>
              <w:rPr>
                <w:bCs/>
                <w:sz w:val="18"/>
                <w:szCs w:val="18"/>
              </w:rPr>
            </w:pPr>
            <w:r>
              <w:rPr>
                <w:bCs/>
                <w:sz w:val="18"/>
                <w:szCs w:val="18"/>
              </w:rPr>
              <w:t>14</w:t>
            </w:r>
          </w:p>
        </w:tc>
      </w:tr>
      <w:tr w:rsidR="00000000">
        <w:tc>
          <w:tcPr>
            <w:tcW w:w="3943" w:type="dxa"/>
            <w:shd w:val="clear" w:color="auto" w:fill="auto"/>
          </w:tcPr>
          <w:p w:rsidR="00000000" w:rsidRDefault="00000000">
            <w:pPr>
              <w:spacing w:before="40" w:after="40" w:line="220" w:lineRule="exact"/>
              <w:rPr>
                <w:bCs/>
                <w:sz w:val="18"/>
                <w:szCs w:val="18"/>
              </w:rPr>
            </w:pPr>
            <w:r>
              <w:rPr>
                <w:bCs/>
                <w:sz w:val="18"/>
                <w:szCs w:val="18"/>
              </w:rPr>
              <w:t>Nombre d’animateurs/mobilisateurs formés</w:t>
            </w:r>
          </w:p>
        </w:tc>
        <w:tc>
          <w:tcPr>
            <w:tcW w:w="806" w:type="dxa"/>
            <w:shd w:val="clear" w:color="auto" w:fill="auto"/>
            <w:vAlign w:val="bottom"/>
          </w:tcPr>
          <w:p w:rsidR="00000000" w:rsidRDefault="00000000">
            <w:pPr>
              <w:spacing w:before="40" w:after="40" w:line="220" w:lineRule="exact"/>
              <w:jc w:val="right"/>
              <w:rPr>
                <w:bCs/>
                <w:sz w:val="18"/>
                <w:szCs w:val="18"/>
              </w:rPr>
            </w:pPr>
            <w:r>
              <w:rPr>
                <w:bCs/>
                <w:sz w:val="18"/>
                <w:szCs w:val="18"/>
              </w:rPr>
              <w:t>150</w:t>
            </w:r>
          </w:p>
        </w:tc>
        <w:tc>
          <w:tcPr>
            <w:tcW w:w="939" w:type="dxa"/>
            <w:shd w:val="clear" w:color="auto" w:fill="auto"/>
            <w:vAlign w:val="bottom"/>
          </w:tcPr>
          <w:p w:rsidR="00000000" w:rsidRDefault="00000000">
            <w:pPr>
              <w:spacing w:before="40" w:after="40" w:line="220" w:lineRule="exact"/>
              <w:jc w:val="right"/>
              <w:rPr>
                <w:bCs/>
                <w:sz w:val="18"/>
                <w:szCs w:val="18"/>
              </w:rPr>
            </w:pPr>
            <w:r>
              <w:rPr>
                <w:bCs/>
                <w:sz w:val="18"/>
                <w:szCs w:val="18"/>
              </w:rPr>
              <w:t>180</w:t>
            </w:r>
          </w:p>
        </w:tc>
        <w:tc>
          <w:tcPr>
            <w:tcW w:w="939" w:type="dxa"/>
            <w:shd w:val="clear" w:color="auto" w:fill="auto"/>
            <w:vAlign w:val="bottom"/>
          </w:tcPr>
          <w:p w:rsidR="00000000" w:rsidRDefault="00000000">
            <w:pPr>
              <w:spacing w:before="40" w:after="40" w:line="220" w:lineRule="exact"/>
              <w:jc w:val="right"/>
              <w:rPr>
                <w:bCs/>
                <w:sz w:val="18"/>
                <w:szCs w:val="18"/>
              </w:rPr>
            </w:pPr>
            <w:r>
              <w:rPr>
                <w:bCs/>
                <w:sz w:val="18"/>
                <w:szCs w:val="18"/>
              </w:rPr>
              <w:t>235</w:t>
            </w:r>
          </w:p>
        </w:tc>
        <w:tc>
          <w:tcPr>
            <w:tcW w:w="939" w:type="dxa"/>
            <w:shd w:val="clear" w:color="auto" w:fill="auto"/>
            <w:vAlign w:val="bottom"/>
          </w:tcPr>
          <w:p w:rsidR="00000000" w:rsidRDefault="00000000">
            <w:pPr>
              <w:spacing w:before="40" w:after="40" w:line="220" w:lineRule="exact"/>
              <w:jc w:val="right"/>
              <w:rPr>
                <w:bCs/>
                <w:sz w:val="18"/>
                <w:szCs w:val="18"/>
              </w:rPr>
            </w:pPr>
            <w:r>
              <w:rPr>
                <w:bCs/>
                <w:sz w:val="18"/>
                <w:szCs w:val="18"/>
              </w:rPr>
              <w:t>265</w:t>
            </w:r>
          </w:p>
        </w:tc>
        <w:tc>
          <w:tcPr>
            <w:tcW w:w="939" w:type="dxa"/>
            <w:shd w:val="clear" w:color="auto" w:fill="auto"/>
            <w:vAlign w:val="bottom"/>
          </w:tcPr>
          <w:p w:rsidR="00000000" w:rsidRDefault="00000000">
            <w:pPr>
              <w:spacing w:before="40" w:after="40" w:line="220" w:lineRule="exact"/>
              <w:jc w:val="right"/>
              <w:rPr>
                <w:bCs/>
                <w:sz w:val="18"/>
                <w:szCs w:val="18"/>
              </w:rPr>
            </w:pPr>
            <w:r>
              <w:rPr>
                <w:bCs/>
                <w:sz w:val="18"/>
                <w:szCs w:val="18"/>
              </w:rPr>
              <w:t>544</w:t>
            </w:r>
          </w:p>
        </w:tc>
      </w:tr>
      <w:tr w:rsidR="00000000">
        <w:tc>
          <w:tcPr>
            <w:tcW w:w="3943" w:type="dxa"/>
            <w:shd w:val="clear" w:color="auto" w:fill="auto"/>
          </w:tcPr>
          <w:p w:rsidR="00000000" w:rsidRDefault="00000000">
            <w:pPr>
              <w:spacing w:before="40" w:after="40" w:line="220" w:lineRule="exact"/>
              <w:rPr>
                <w:bCs/>
                <w:sz w:val="18"/>
                <w:szCs w:val="18"/>
              </w:rPr>
            </w:pPr>
            <w:r>
              <w:rPr>
                <w:bCs/>
                <w:sz w:val="18"/>
                <w:szCs w:val="18"/>
              </w:rPr>
              <w:t>Nombre de séances de sensibilisation organisés</w:t>
            </w:r>
          </w:p>
        </w:tc>
        <w:tc>
          <w:tcPr>
            <w:tcW w:w="806" w:type="dxa"/>
            <w:shd w:val="clear" w:color="auto" w:fill="auto"/>
            <w:vAlign w:val="bottom"/>
          </w:tcPr>
          <w:p w:rsidR="00000000" w:rsidRDefault="00000000">
            <w:pPr>
              <w:spacing w:before="40" w:after="40" w:line="220" w:lineRule="exact"/>
              <w:jc w:val="right"/>
              <w:rPr>
                <w:bCs/>
                <w:sz w:val="18"/>
                <w:szCs w:val="18"/>
              </w:rPr>
            </w:pPr>
            <w:r>
              <w:rPr>
                <w:bCs/>
                <w:sz w:val="18"/>
                <w:szCs w:val="18"/>
              </w:rPr>
              <w:t>3 456</w:t>
            </w:r>
          </w:p>
        </w:tc>
        <w:tc>
          <w:tcPr>
            <w:tcW w:w="939" w:type="dxa"/>
            <w:shd w:val="clear" w:color="auto" w:fill="auto"/>
            <w:vAlign w:val="bottom"/>
          </w:tcPr>
          <w:p w:rsidR="00000000" w:rsidRDefault="00000000">
            <w:pPr>
              <w:spacing w:before="40" w:after="40" w:line="220" w:lineRule="exact"/>
              <w:jc w:val="right"/>
              <w:rPr>
                <w:bCs/>
                <w:sz w:val="18"/>
                <w:szCs w:val="18"/>
              </w:rPr>
            </w:pPr>
            <w:r>
              <w:rPr>
                <w:bCs/>
                <w:sz w:val="18"/>
                <w:szCs w:val="18"/>
              </w:rPr>
              <w:t>4 036</w:t>
            </w:r>
          </w:p>
        </w:tc>
        <w:tc>
          <w:tcPr>
            <w:tcW w:w="939" w:type="dxa"/>
            <w:shd w:val="clear" w:color="auto" w:fill="auto"/>
            <w:vAlign w:val="bottom"/>
          </w:tcPr>
          <w:p w:rsidR="00000000" w:rsidRDefault="00000000">
            <w:pPr>
              <w:spacing w:before="40" w:after="40" w:line="220" w:lineRule="exact"/>
              <w:jc w:val="right"/>
              <w:rPr>
                <w:bCs/>
                <w:sz w:val="18"/>
                <w:szCs w:val="18"/>
              </w:rPr>
            </w:pPr>
            <w:r>
              <w:rPr>
                <w:bCs/>
                <w:sz w:val="18"/>
                <w:szCs w:val="18"/>
              </w:rPr>
              <w:t>4 586</w:t>
            </w:r>
          </w:p>
        </w:tc>
        <w:tc>
          <w:tcPr>
            <w:tcW w:w="939" w:type="dxa"/>
            <w:shd w:val="clear" w:color="auto" w:fill="auto"/>
            <w:vAlign w:val="bottom"/>
          </w:tcPr>
          <w:p w:rsidR="00000000" w:rsidRDefault="00000000">
            <w:pPr>
              <w:spacing w:before="40" w:after="40" w:line="220" w:lineRule="exact"/>
              <w:jc w:val="right"/>
              <w:rPr>
                <w:bCs/>
                <w:sz w:val="18"/>
                <w:szCs w:val="18"/>
              </w:rPr>
            </w:pPr>
            <w:r>
              <w:rPr>
                <w:bCs/>
                <w:sz w:val="18"/>
                <w:szCs w:val="18"/>
              </w:rPr>
              <w:t>5 160</w:t>
            </w:r>
          </w:p>
        </w:tc>
        <w:tc>
          <w:tcPr>
            <w:tcW w:w="939" w:type="dxa"/>
            <w:shd w:val="clear" w:color="auto" w:fill="auto"/>
            <w:vAlign w:val="bottom"/>
          </w:tcPr>
          <w:p w:rsidR="00000000" w:rsidRDefault="00000000">
            <w:pPr>
              <w:spacing w:before="40" w:after="40" w:line="220" w:lineRule="exact"/>
              <w:jc w:val="right"/>
              <w:rPr>
                <w:bCs/>
                <w:sz w:val="18"/>
                <w:szCs w:val="18"/>
              </w:rPr>
            </w:pPr>
            <w:r>
              <w:rPr>
                <w:bCs/>
                <w:sz w:val="18"/>
                <w:szCs w:val="18"/>
              </w:rPr>
              <w:t>6 900</w:t>
            </w:r>
          </w:p>
        </w:tc>
      </w:tr>
      <w:tr w:rsidR="00000000">
        <w:tc>
          <w:tcPr>
            <w:tcW w:w="3943" w:type="dxa"/>
            <w:tcBorders>
              <w:bottom w:val="single" w:sz="12" w:space="0" w:color="auto"/>
            </w:tcBorders>
            <w:shd w:val="clear" w:color="auto" w:fill="auto"/>
          </w:tcPr>
          <w:p w:rsidR="00000000" w:rsidRDefault="00000000">
            <w:pPr>
              <w:spacing w:before="40" w:after="40" w:line="220" w:lineRule="exact"/>
              <w:rPr>
                <w:bCs/>
                <w:sz w:val="18"/>
                <w:szCs w:val="18"/>
              </w:rPr>
            </w:pPr>
            <w:r>
              <w:rPr>
                <w:bCs/>
                <w:sz w:val="18"/>
                <w:szCs w:val="18"/>
              </w:rPr>
              <w:t>Nombre de parents touchés</w:t>
            </w:r>
          </w:p>
        </w:tc>
        <w:tc>
          <w:tcPr>
            <w:tcW w:w="806" w:type="dxa"/>
            <w:tcBorders>
              <w:bottom w:val="single" w:sz="12" w:space="0" w:color="auto"/>
            </w:tcBorders>
            <w:shd w:val="clear" w:color="auto" w:fill="auto"/>
            <w:vAlign w:val="bottom"/>
          </w:tcPr>
          <w:p w:rsidR="00000000" w:rsidRDefault="00000000">
            <w:pPr>
              <w:spacing w:before="40" w:after="40" w:line="220" w:lineRule="exact"/>
              <w:jc w:val="right"/>
              <w:rPr>
                <w:bCs/>
                <w:sz w:val="18"/>
                <w:szCs w:val="18"/>
              </w:rPr>
            </w:pPr>
            <w:r>
              <w:rPr>
                <w:bCs/>
                <w:sz w:val="18"/>
                <w:szCs w:val="18"/>
              </w:rPr>
              <w:t>70 000</w:t>
            </w:r>
          </w:p>
        </w:tc>
        <w:tc>
          <w:tcPr>
            <w:tcW w:w="939" w:type="dxa"/>
            <w:tcBorders>
              <w:bottom w:val="single" w:sz="12" w:space="0" w:color="auto"/>
            </w:tcBorders>
            <w:shd w:val="clear" w:color="auto" w:fill="auto"/>
            <w:vAlign w:val="bottom"/>
          </w:tcPr>
          <w:p w:rsidR="00000000" w:rsidRDefault="00000000">
            <w:pPr>
              <w:spacing w:before="40" w:after="40" w:line="220" w:lineRule="exact"/>
              <w:jc w:val="right"/>
              <w:rPr>
                <w:bCs/>
                <w:sz w:val="18"/>
                <w:szCs w:val="18"/>
              </w:rPr>
            </w:pPr>
            <w:r>
              <w:rPr>
                <w:bCs/>
                <w:sz w:val="18"/>
                <w:szCs w:val="18"/>
              </w:rPr>
              <w:t>81 600</w:t>
            </w:r>
          </w:p>
        </w:tc>
        <w:tc>
          <w:tcPr>
            <w:tcW w:w="939" w:type="dxa"/>
            <w:tcBorders>
              <w:bottom w:val="single" w:sz="12" w:space="0" w:color="auto"/>
            </w:tcBorders>
            <w:shd w:val="clear" w:color="auto" w:fill="auto"/>
            <w:vAlign w:val="bottom"/>
          </w:tcPr>
          <w:p w:rsidR="00000000" w:rsidRDefault="00000000">
            <w:pPr>
              <w:spacing w:before="40" w:after="40" w:line="220" w:lineRule="exact"/>
              <w:jc w:val="right"/>
              <w:rPr>
                <w:bCs/>
                <w:sz w:val="18"/>
                <w:szCs w:val="18"/>
              </w:rPr>
            </w:pPr>
            <w:r>
              <w:rPr>
                <w:bCs/>
                <w:sz w:val="18"/>
                <w:szCs w:val="18"/>
              </w:rPr>
              <w:t>93 200</w:t>
            </w:r>
          </w:p>
        </w:tc>
        <w:tc>
          <w:tcPr>
            <w:tcW w:w="939" w:type="dxa"/>
            <w:tcBorders>
              <w:bottom w:val="single" w:sz="12" w:space="0" w:color="auto"/>
            </w:tcBorders>
            <w:shd w:val="clear" w:color="auto" w:fill="auto"/>
            <w:vAlign w:val="bottom"/>
          </w:tcPr>
          <w:p w:rsidR="00000000" w:rsidRDefault="00000000">
            <w:pPr>
              <w:spacing w:before="40" w:after="40" w:line="220" w:lineRule="exact"/>
              <w:jc w:val="right"/>
              <w:rPr>
                <w:bCs/>
                <w:sz w:val="18"/>
                <w:szCs w:val="18"/>
              </w:rPr>
            </w:pPr>
            <w:r>
              <w:rPr>
                <w:bCs/>
                <w:sz w:val="18"/>
                <w:szCs w:val="18"/>
              </w:rPr>
              <w:t>104 800</w:t>
            </w:r>
          </w:p>
        </w:tc>
        <w:tc>
          <w:tcPr>
            <w:tcW w:w="939" w:type="dxa"/>
            <w:tcBorders>
              <w:bottom w:val="single" w:sz="12" w:space="0" w:color="auto"/>
            </w:tcBorders>
            <w:shd w:val="clear" w:color="auto" w:fill="auto"/>
            <w:vAlign w:val="bottom"/>
          </w:tcPr>
          <w:p w:rsidR="00000000" w:rsidRDefault="00000000">
            <w:pPr>
              <w:spacing w:before="40" w:after="40" w:line="220" w:lineRule="exact"/>
              <w:jc w:val="right"/>
              <w:rPr>
                <w:bCs/>
                <w:sz w:val="18"/>
                <w:szCs w:val="18"/>
              </w:rPr>
            </w:pPr>
            <w:r>
              <w:rPr>
                <w:bCs/>
                <w:sz w:val="18"/>
                <w:szCs w:val="18"/>
              </w:rPr>
              <w:t>149 600</w:t>
            </w:r>
          </w:p>
        </w:tc>
      </w:tr>
    </w:tbl>
    <w:p w:rsidR="00000000" w:rsidRDefault="00000000">
      <w:pPr>
        <w:pStyle w:val="SingleTxtG"/>
        <w:spacing w:before="120" w:after="240"/>
        <w:rPr>
          <w:sz w:val="18"/>
          <w:szCs w:val="18"/>
          <w:lang w:val="fr-FR"/>
        </w:rPr>
      </w:pPr>
      <w:r>
        <w:rPr>
          <w:i/>
          <w:sz w:val="18"/>
          <w:szCs w:val="18"/>
          <w:lang w:val="fr-FR"/>
        </w:rPr>
        <w:t>Source</w:t>
      </w:r>
      <w:r>
        <w:rPr>
          <w:sz w:val="18"/>
          <w:szCs w:val="18"/>
          <w:lang w:val="fr-FR"/>
        </w:rPr>
        <w:t>: MINSANPFPS/ DPFE</w:t>
      </w:r>
    </w:p>
    <w:p w:rsidR="00000000" w:rsidRDefault="00000000">
      <w:pPr>
        <w:rPr>
          <w:lang w:val="fr-FR"/>
        </w:rPr>
      </w:pPr>
      <w:r>
        <w:rPr>
          <w:lang w:val="fr-FR"/>
        </w:rPr>
        <w:tab/>
      </w:r>
      <w:r>
        <w:rPr>
          <w:lang w:val="fr-FR"/>
        </w:rPr>
        <w:tab/>
      </w:r>
    </w:p>
    <w:p w:rsidR="00000000" w:rsidRDefault="00000000">
      <w:pPr>
        <w:pStyle w:val="HChG"/>
        <w:rPr>
          <w:lang w:val="fr-FR"/>
        </w:rPr>
      </w:pPr>
      <w:r>
        <w:rPr>
          <w:lang w:val="fr-FR"/>
        </w:rPr>
        <w:br w:type="page"/>
      </w:r>
      <w:bookmarkStart w:id="1783" w:name="_Toc260298303"/>
      <w:r>
        <w:rPr>
          <w:lang w:val="fr-FR"/>
        </w:rPr>
        <w:t>Annexe II</w:t>
      </w:r>
    </w:p>
    <w:p w:rsidR="00000000" w:rsidRDefault="00000000">
      <w:pPr>
        <w:pStyle w:val="HChG"/>
        <w:rPr>
          <w:lang w:val="fr-FR"/>
        </w:rPr>
      </w:pPr>
      <w:r>
        <w:rPr>
          <w:lang w:val="fr-FR"/>
        </w:rPr>
        <w:tab/>
      </w:r>
      <w:r>
        <w:rPr>
          <w:lang w:val="fr-FR"/>
        </w:rPr>
        <w:tab/>
        <w:t>Reforme législative</w:t>
      </w:r>
      <w:bookmarkEnd w:id="1783"/>
    </w:p>
    <w:p w:rsidR="00000000" w:rsidRDefault="00000000">
      <w:pPr>
        <w:pStyle w:val="SingleTxtG"/>
        <w:rPr>
          <w:lang w:val="fr-FR"/>
        </w:rPr>
      </w:pPr>
      <w:r>
        <w:rPr>
          <w:lang w:val="fr-FR"/>
        </w:rPr>
        <w:t>1.</w:t>
      </w:r>
      <w:r>
        <w:rPr>
          <w:lang w:val="fr-FR"/>
        </w:rPr>
        <w:tab/>
        <w:t xml:space="preserve">Loi </w:t>
      </w:r>
      <w:r>
        <w:rPr>
          <w:rFonts w:eastAsia="MS Mincho"/>
          <w:lang w:val="fr-FR"/>
        </w:rPr>
        <w:t>n</w:t>
      </w:r>
      <w:r>
        <w:rPr>
          <w:rFonts w:eastAsia="MS Mincho"/>
          <w:vertAlign w:val="superscript"/>
          <w:lang w:val="fr-FR"/>
        </w:rPr>
        <w:t>o</w:t>
      </w:r>
      <w:r>
        <w:rPr>
          <w:lang w:val="fr-FR"/>
        </w:rPr>
        <w:t xml:space="preserve"> 2007-023 du 20 août 2007 sur les droits et la protection des enfants </w:t>
      </w:r>
      <w:r>
        <w:rPr>
          <w:i/>
          <w:lang w:val="fr-FR"/>
        </w:rPr>
        <w:t xml:space="preserve">qui supplante l’ordonnance </w:t>
      </w:r>
      <w:r>
        <w:rPr>
          <w:rFonts w:eastAsia="MS Mincho"/>
          <w:i/>
          <w:lang w:val="fr-FR"/>
        </w:rPr>
        <w:t>n</w:t>
      </w:r>
      <w:r>
        <w:rPr>
          <w:rFonts w:eastAsia="MS Mincho"/>
          <w:i/>
          <w:vertAlign w:val="superscript"/>
          <w:lang w:val="fr-FR"/>
        </w:rPr>
        <w:t xml:space="preserve">o </w:t>
      </w:r>
      <w:r>
        <w:rPr>
          <w:i/>
          <w:lang w:val="fr-FR"/>
        </w:rPr>
        <w:t>62-038 du 19 septembre 1962 seule à régir pendant une longue période la protection de l’enfance sur la base de seuls deux articles (3 et 8). Cette loi réglemente l’autorité parentale, la tutelle et les mesures d’assistance éducative en énumérant les différentes mesures de protection et organise le signalement et la procédure judiciaire de saisine du juge des enfants.</w:t>
      </w:r>
    </w:p>
    <w:p w:rsidR="00000000" w:rsidRDefault="00000000">
      <w:pPr>
        <w:pStyle w:val="SingleTxtG"/>
        <w:rPr>
          <w:lang w:val="fr-FR"/>
        </w:rPr>
      </w:pPr>
      <w:r>
        <w:rPr>
          <w:lang w:val="fr-FR"/>
        </w:rPr>
        <w:t>2.</w:t>
      </w:r>
      <w:r>
        <w:rPr>
          <w:lang w:val="fr-FR"/>
        </w:rPr>
        <w:tab/>
        <w:t xml:space="preserve">Loi </w:t>
      </w:r>
      <w:r>
        <w:rPr>
          <w:rFonts w:eastAsia="MS Mincho"/>
          <w:lang w:val="fr-FR"/>
        </w:rPr>
        <w:t>n</w:t>
      </w:r>
      <w:r>
        <w:rPr>
          <w:rFonts w:eastAsia="MS Mincho"/>
          <w:vertAlign w:val="superscript"/>
          <w:lang w:val="fr-FR"/>
        </w:rPr>
        <w:t>o</w:t>
      </w:r>
      <w:r>
        <w:rPr>
          <w:lang w:val="fr-FR"/>
        </w:rPr>
        <w:t xml:space="preserve"> 2007-350 du 30/04/2007 relative au mariage et aux régimes matrimoniaux. </w:t>
      </w:r>
      <w:r>
        <w:rPr>
          <w:i/>
          <w:iCs/>
          <w:lang w:val="fr-FR"/>
        </w:rPr>
        <w:t>Stipule l’âge pour le mariage et réglemente les régimes matrimoniaux.</w:t>
      </w:r>
      <w:r>
        <w:rPr>
          <w:lang w:val="fr-FR"/>
        </w:rPr>
        <w:t xml:space="preserve"> </w:t>
      </w:r>
    </w:p>
    <w:p w:rsidR="00000000" w:rsidRDefault="00000000">
      <w:pPr>
        <w:pStyle w:val="SingleTxtG"/>
        <w:rPr>
          <w:lang w:val="fr-FR"/>
        </w:rPr>
      </w:pPr>
      <w:r>
        <w:rPr>
          <w:lang w:val="fr-FR"/>
        </w:rPr>
        <w:t>3.</w:t>
      </w:r>
      <w:r>
        <w:rPr>
          <w:lang w:val="fr-FR"/>
        </w:rPr>
        <w:tab/>
        <w:t xml:space="preserve">Loi </w:t>
      </w:r>
      <w:r>
        <w:rPr>
          <w:rFonts w:eastAsia="MS Mincho"/>
          <w:lang w:val="fr-FR"/>
        </w:rPr>
        <w:t>n</w:t>
      </w:r>
      <w:r>
        <w:rPr>
          <w:rFonts w:eastAsia="MS Mincho"/>
          <w:vertAlign w:val="superscript"/>
          <w:lang w:val="fr-FR"/>
        </w:rPr>
        <w:t>o</w:t>
      </w:r>
      <w:r>
        <w:rPr>
          <w:rFonts w:eastAsia="MS Mincho"/>
          <w:lang w:val="fr-FR"/>
        </w:rPr>
        <w:t xml:space="preserve"> </w:t>
      </w:r>
      <w:r>
        <w:rPr>
          <w:lang w:val="fr-FR"/>
        </w:rPr>
        <w:t xml:space="preserve">2005-014 du 7 septembre 2005 relative à l’adoption </w:t>
      </w:r>
      <w:r>
        <w:rPr>
          <w:i/>
          <w:lang w:val="fr-FR"/>
        </w:rPr>
        <w:t>r</w:t>
      </w:r>
      <w:r>
        <w:rPr>
          <w:i/>
          <w:iCs/>
          <w:lang w:val="fr-FR"/>
        </w:rPr>
        <w:t>éactualise la loi de 1963 et réglemente l’adoption simple et plénière, nationale et internationale</w:t>
      </w:r>
      <w:r>
        <w:rPr>
          <w:lang w:val="fr-FR"/>
        </w:rPr>
        <w:t>.</w:t>
      </w:r>
    </w:p>
    <w:p w:rsidR="00000000" w:rsidRDefault="00000000">
      <w:pPr>
        <w:pStyle w:val="SingleTxtG"/>
        <w:rPr>
          <w:i/>
          <w:iCs/>
          <w:lang w:val="fr-FR"/>
        </w:rPr>
      </w:pPr>
      <w:r>
        <w:rPr>
          <w:lang w:val="fr-FR"/>
        </w:rPr>
        <w:t>4.</w:t>
      </w:r>
      <w:r>
        <w:rPr>
          <w:lang w:val="fr-FR"/>
        </w:rPr>
        <w:tab/>
        <w:t xml:space="preserve">décret </w:t>
      </w:r>
      <w:r>
        <w:rPr>
          <w:rFonts w:eastAsia="MS Mincho"/>
          <w:lang w:val="fr-FR"/>
        </w:rPr>
        <w:t>n</w:t>
      </w:r>
      <w:r>
        <w:rPr>
          <w:rFonts w:eastAsia="MS Mincho"/>
          <w:vertAlign w:val="superscript"/>
          <w:lang w:val="fr-FR"/>
        </w:rPr>
        <w:t>o</w:t>
      </w:r>
      <w:r>
        <w:rPr>
          <w:lang w:val="fr-FR"/>
        </w:rPr>
        <w:t xml:space="preserve"> 2006-596 du 10 août 2006 fixant les modalités d’application de la loi </w:t>
      </w:r>
      <w:r>
        <w:rPr>
          <w:rFonts w:eastAsia="MS Mincho"/>
          <w:lang w:val="fr-FR"/>
        </w:rPr>
        <w:t>n</w:t>
      </w:r>
      <w:r>
        <w:rPr>
          <w:rFonts w:eastAsia="MS Mincho"/>
          <w:vertAlign w:val="superscript"/>
          <w:lang w:val="fr-FR"/>
        </w:rPr>
        <w:t>o </w:t>
      </w:r>
      <w:r>
        <w:rPr>
          <w:lang w:val="fr-FR"/>
        </w:rPr>
        <w:t xml:space="preserve">2005-014 du 7 septembre 2005 relative à l’adoption. </w:t>
      </w:r>
      <w:r>
        <w:rPr>
          <w:i/>
          <w:iCs/>
          <w:lang w:val="fr-FR"/>
        </w:rPr>
        <w:t xml:space="preserve">Crée une autorité centrale pour les adoptions, en remplacement de la commission interministérielle créé par le décret </w:t>
      </w:r>
      <w:r>
        <w:rPr>
          <w:rFonts w:eastAsia="MS Mincho"/>
          <w:i/>
          <w:iCs/>
          <w:lang w:val="fr-FR"/>
        </w:rPr>
        <w:t>n</w:t>
      </w:r>
      <w:r>
        <w:rPr>
          <w:rFonts w:eastAsia="MS Mincho"/>
          <w:i/>
          <w:iCs/>
          <w:vertAlign w:val="superscript"/>
          <w:lang w:val="fr-FR"/>
        </w:rPr>
        <w:t>o </w:t>
      </w:r>
      <w:r>
        <w:rPr>
          <w:i/>
          <w:iCs/>
          <w:lang w:val="fr-FR"/>
        </w:rPr>
        <w:t>94</w:t>
      </w:r>
      <w:r>
        <w:rPr>
          <w:i/>
          <w:iCs/>
          <w:lang w:val="fr-FR"/>
        </w:rPr>
        <w:noBreakHyphen/>
        <w:t>272 du 19 avril 1994, réglemente le centres d’accueil agrées à vocation sociale et pour adoption, établit les pièces requises pour la procédure et le montant de la contribution financière des parents adoptifs.</w:t>
      </w:r>
    </w:p>
    <w:p w:rsidR="00000000" w:rsidRDefault="00000000">
      <w:pPr>
        <w:pStyle w:val="SingleTxtG"/>
        <w:rPr>
          <w:i/>
          <w:iCs/>
          <w:lang w:val="fr-FR"/>
        </w:rPr>
      </w:pPr>
      <w:r>
        <w:rPr>
          <w:lang w:val="fr-FR"/>
        </w:rPr>
        <w:t>5.</w:t>
      </w:r>
      <w:r>
        <w:rPr>
          <w:lang w:val="fr-FR"/>
        </w:rPr>
        <w:tab/>
        <w:t xml:space="preserve">décret </w:t>
      </w:r>
      <w:r>
        <w:rPr>
          <w:rFonts w:eastAsia="MS Mincho"/>
          <w:lang w:val="fr-FR"/>
        </w:rPr>
        <w:t>n</w:t>
      </w:r>
      <w:r>
        <w:rPr>
          <w:rFonts w:eastAsia="MS Mincho"/>
          <w:vertAlign w:val="superscript"/>
          <w:lang w:val="fr-FR"/>
        </w:rPr>
        <w:t>o</w:t>
      </w:r>
      <w:r>
        <w:rPr>
          <w:lang w:val="fr-FR"/>
        </w:rPr>
        <w:t xml:space="preserve"> 2006-885 du 5 décembre 2006 réglementant la famille d’accueil. </w:t>
      </w:r>
      <w:r>
        <w:rPr>
          <w:i/>
          <w:iCs/>
          <w:lang w:val="fr-FR"/>
        </w:rPr>
        <w:t>Définit la notion de famille d’accueil, les catégories d’enfants qui peuvent faire l’objet d’un placement dans ces familles, la procédure de placement de l’enfant dans la famille d’accueil, les caractéristiques, droits et obligations et contrôle des familles d’accueil tout comme les droits et obligations des familles d’origine.</w:t>
      </w:r>
    </w:p>
    <w:p w:rsidR="00000000" w:rsidRDefault="00000000">
      <w:pPr>
        <w:pStyle w:val="SingleTxtG"/>
        <w:rPr>
          <w:lang w:val="fr-FR"/>
        </w:rPr>
      </w:pPr>
      <w:r>
        <w:rPr>
          <w:lang w:val="fr-FR"/>
        </w:rPr>
        <w:t>6.</w:t>
      </w:r>
      <w:r>
        <w:rPr>
          <w:lang w:val="fr-FR"/>
        </w:rPr>
        <w:tab/>
        <w:t xml:space="preserve">Loi </w:t>
      </w:r>
      <w:r>
        <w:rPr>
          <w:rFonts w:eastAsia="MS Mincho"/>
          <w:lang w:val="fr-FR"/>
        </w:rPr>
        <w:t>n</w:t>
      </w:r>
      <w:r>
        <w:rPr>
          <w:rFonts w:eastAsia="MS Mincho"/>
          <w:vertAlign w:val="superscript"/>
          <w:lang w:val="fr-FR"/>
        </w:rPr>
        <w:t>o</w:t>
      </w:r>
      <w:r>
        <w:rPr>
          <w:lang w:val="fr-FR"/>
        </w:rPr>
        <w:t xml:space="preserve"> 2007-040 du 14 janvier 2008 relative à la délivrance des jugements supplétifs d’actes de naissance dans le cadre du Programme national de réhabilitation de l’enregistrement des naissances – programme EKA. </w:t>
      </w:r>
      <w:r>
        <w:rPr>
          <w:i/>
          <w:iCs/>
          <w:lang w:val="fr-FR"/>
        </w:rPr>
        <w:t>Élargit les compétences des jugements supplétifs aux autorités administratives du District.</w:t>
      </w:r>
    </w:p>
    <w:p w:rsidR="00000000" w:rsidRDefault="00000000">
      <w:pPr>
        <w:pStyle w:val="SingleTxtG"/>
        <w:rPr>
          <w:lang w:val="fr-FR"/>
        </w:rPr>
      </w:pPr>
      <w:r>
        <w:rPr>
          <w:lang w:val="fr-FR"/>
        </w:rPr>
        <w:t>7.</w:t>
      </w:r>
      <w:r>
        <w:rPr>
          <w:lang w:val="fr-FR"/>
        </w:rPr>
        <w:tab/>
        <w:t xml:space="preserve">Loi </w:t>
      </w:r>
      <w:r>
        <w:rPr>
          <w:rFonts w:eastAsia="MS Mincho"/>
          <w:lang w:val="fr-FR"/>
        </w:rPr>
        <w:t>n</w:t>
      </w:r>
      <w:r>
        <w:rPr>
          <w:rFonts w:eastAsia="MS Mincho"/>
          <w:vertAlign w:val="superscript"/>
          <w:lang w:val="fr-FR"/>
        </w:rPr>
        <w:t>o</w:t>
      </w:r>
      <w:r>
        <w:rPr>
          <w:lang w:val="fr-FR"/>
        </w:rPr>
        <w:t xml:space="preserve"> 2007-038 du 14 janvier 2008 modifiant et complétant certaines dispositions du Code pénal sur la lutte contre la traite des personnes et le tourisme sexuel</w:t>
      </w:r>
    </w:p>
    <w:p w:rsidR="00000000" w:rsidRDefault="00000000">
      <w:pPr>
        <w:pStyle w:val="SingleTxtG"/>
        <w:rPr>
          <w:lang w:val="fr-FR"/>
        </w:rPr>
      </w:pPr>
      <w:r>
        <w:rPr>
          <w:lang w:val="fr-FR"/>
        </w:rPr>
        <w:t>8.</w:t>
      </w:r>
      <w:r>
        <w:rPr>
          <w:lang w:val="fr-FR"/>
        </w:rPr>
        <w:tab/>
        <w:t xml:space="preserve">La loi </w:t>
      </w:r>
      <w:r>
        <w:rPr>
          <w:rFonts w:eastAsia="MS Mincho"/>
          <w:lang w:val="fr-FR"/>
        </w:rPr>
        <w:t>n</w:t>
      </w:r>
      <w:r>
        <w:rPr>
          <w:rFonts w:eastAsia="MS Mincho"/>
          <w:vertAlign w:val="superscript"/>
          <w:lang w:val="fr-FR"/>
        </w:rPr>
        <w:t>o</w:t>
      </w:r>
      <w:r>
        <w:rPr>
          <w:lang w:val="fr-FR"/>
        </w:rPr>
        <w:t xml:space="preserve"> 2007-021 du 30 juillet 2007 modifie et complète certaines dispositions du Code de procédure pénale </w:t>
      </w:r>
      <w:r>
        <w:rPr>
          <w:i/>
          <w:iCs/>
          <w:lang w:val="fr-FR"/>
        </w:rPr>
        <w:t>dans l’objectif de diminuer le nombre de personnes en détention préventive et accélérer les procédures</w:t>
      </w:r>
      <w:r>
        <w:rPr>
          <w:lang w:val="fr-FR"/>
        </w:rPr>
        <w:t xml:space="preserve">. </w:t>
      </w:r>
    </w:p>
    <w:p w:rsidR="00000000" w:rsidRDefault="00000000">
      <w:pPr>
        <w:pStyle w:val="SingleTxtG"/>
        <w:rPr>
          <w:i/>
          <w:iCs/>
          <w:lang w:val="fr-FR"/>
        </w:rPr>
      </w:pPr>
      <w:r>
        <w:rPr>
          <w:lang w:val="fr-FR"/>
        </w:rPr>
        <w:t>9.</w:t>
      </w:r>
      <w:r>
        <w:rPr>
          <w:lang w:val="fr-FR"/>
        </w:rPr>
        <w:tab/>
        <w:t xml:space="preserve">Loi </w:t>
      </w:r>
      <w:r>
        <w:rPr>
          <w:rFonts w:eastAsia="MS Mincho"/>
          <w:lang w:val="fr-FR"/>
        </w:rPr>
        <w:t>n</w:t>
      </w:r>
      <w:r>
        <w:rPr>
          <w:rFonts w:eastAsia="MS Mincho"/>
          <w:vertAlign w:val="superscript"/>
          <w:lang w:val="fr-FR"/>
        </w:rPr>
        <w:t xml:space="preserve">o </w:t>
      </w:r>
      <w:r>
        <w:rPr>
          <w:lang w:val="fr-FR"/>
        </w:rPr>
        <w:t xml:space="preserve">2003-044 du 28 juillet 2004 portant Code du travail. </w:t>
      </w:r>
      <w:r>
        <w:rPr>
          <w:i/>
          <w:iCs/>
          <w:lang w:val="fr-FR"/>
        </w:rPr>
        <w:t>Élève de 14 à 15 ans l’âge minimum pour l’emploi. Interdit le travail de nuit ainsi que les heures supplémentaires aux enfants jusqu’à l’âge de dix huit ans. Impose l’obligation d’observer un repos quotidien de douze heures consécutives pour les enfants travailleurs et détermine le nombre maximum d’heures de travail. Il interdit l’emploi des enfants à des travaux au dessus de leurs forces.</w:t>
      </w:r>
    </w:p>
    <w:p w:rsidR="00000000" w:rsidRDefault="00000000">
      <w:pPr>
        <w:pStyle w:val="SingleTxtG"/>
        <w:rPr>
          <w:lang w:val="fr-FR"/>
        </w:rPr>
      </w:pPr>
      <w:r>
        <w:rPr>
          <w:lang w:val="fr-FR"/>
        </w:rPr>
        <w:t>10.</w:t>
      </w:r>
      <w:r>
        <w:rPr>
          <w:lang w:val="fr-FR"/>
        </w:rPr>
        <w:tab/>
        <w:t xml:space="preserve">décret </w:t>
      </w:r>
      <w:r>
        <w:rPr>
          <w:rFonts w:eastAsia="MS Mincho"/>
          <w:lang w:val="fr-FR"/>
        </w:rPr>
        <w:t>n</w:t>
      </w:r>
      <w:r>
        <w:rPr>
          <w:rFonts w:eastAsia="MS Mincho"/>
          <w:vertAlign w:val="superscript"/>
          <w:lang w:val="fr-FR"/>
        </w:rPr>
        <w:t xml:space="preserve">o </w:t>
      </w:r>
      <w:r>
        <w:rPr>
          <w:lang w:val="fr-FR"/>
        </w:rPr>
        <w:t xml:space="preserve">2007-563 du 3 juillet 2007 relatif au travail des enfants. </w:t>
      </w:r>
      <w:r>
        <w:rPr>
          <w:i/>
          <w:iCs/>
          <w:lang w:val="fr-FR"/>
        </w:rPr>
        <w:t xml:space="preserve">Fixe les modalités d’application de la loi </w:t>
      </w:r>
      <w:r>
        <w:rPr>
          <w:rFonts w:eastAsia="MS Mincho"/>
          <w:i/>
          <w:iCs/>
          <w:lang w:val="fr-FR"/>
        </w:rPr>
        <w:t>n</w:t>
      </w:r>
      <w:r>
        <w:rPr>
          <w:rFonts w:eastAsia="MS Mincho"/>
          <w:i/>
          <w:iCs/>
          <w:vertAlign w:val="superscript"/>
          <w:lang w:val="fr-FR"/>
        </w:rPr>
        <w:t>o</w:t>
      </w:r>
      <w:r>
        <w:rPr>
          <w:i/>
          <w:iCs/>
          <w:lang w:val="fr-FR"/>
        </w:rPr>
        <w:t> 2003-044 du 28 juillet 2004 portant Code du travail quant aux dispositions relatives aux enfants. Il définit les conditions de travail des enfants (travaux légers, nécessité d’une autorisation par l’Inspecteur du travail, conditions de recrutement d’enfants, obligations des employeurs, nécessité d’un examen médical, etc.) et fait référence aux sanctions pénales prévues en cas d’infractions aux dispositions de ce décret.</w:t>
      </w:r>
    </w:p>
    <w:p w:rsidR="00000000" w:rsidRDefault="00000000">
      <w:pPr>
        <w:pStyle w:val="SingleTxtG"/>
        <w:rPr>
          <w:i/>
          <w:iCs/>
          <w:lang w:val="fr-FR"/>
        </w:rPr>
      </w:pPr>
      <w:r>
        <w:rPr>
          <w:lang w:val="fr-FR"/>
        </w:rPr>
        <w:t>11.</w:t>
      </w:r>
      <w:r>
        <w:rPr>
          <w:lang w:val="fr-FR"/>
        </w:rPr>
        <w:tab/>
        <w:t xml:space="preserve">décret </w:t>
      </w:r>
      <w:r>
        <w:rPr>
          <w:rFonts w:eastAsia="MS Mincho"/>
          <w:lang w:val="fr-FR"/>
        </w:rPr>
        <w:t>n</w:t>
      </w:r>
      <w:r>
        <w:rPr>
          <w:rFonts w:eastAsia="MS Mincho"/>
          <w:vertAlign w:val="superscript"/>
          <w:lang w:val="fr-FR"/>
        </w:rPr>
        <w:t>o</w:t>
      </w:r>
      <w:r>
        <w:rPr>
          <w:lang w:val="fr-FR"/>
        </w:rPr>
        <w:t xml:space="preserve"> 2006-015 du 17 janvier 2006 portant organisation générale de l’administration pénitentiaire. </w:t>
      </w:r>
      <w:r>
        <w:rPr>
          <w:i/>
          <w:iCs/>
          <w:lang w:val="fr-FR"/>
        </w:rPr>
        <w:t>Réglemente les conditions de détention et de travail des détenus, en ce compris les enfants en détention. Conformément au Code du travail fixe l’âge minimum au travail à 15 ans et prévoit en autre la mise en place de commissions de surveillance.</w:t>
      </w:r>
    </w:p>
    <w:p w:rsidR="00000000" w:rsidRDefault="00000000">
      <w:pPr>
        <w:pStyle w:val="SingleTxtG"/>
        <w:rPr>
          <w:lang w:val="fr-FR"/>
        </w:rPr>
      </w:pPr>
      <w:r>
        <w:rPr>
          <w:lang w:val="fr-FR"/>
        </w:rPr>
        <w:t>12.</w:t>
      </w:r>
      <w:r>
        <w:rPr>
          <w:lang w:val="fr-FR"/>
        </w:rPr>
        <w:tab/>
        <w:t xml:space="preserve">Loi </w:t>
      </w:r>
      <w:r>
        <w:rPr>
          <w:rFonts w:eastAsia="MS Mincho"/>
          <w:lang w:val="fr-FR"/>
        </w:rPr>
        <w:t>n</w:t>
      </w:r>
      <w:r>
        <w:rPr>
          <w:rFonts w:eastAsia="MS Mincho"/>
          <w:vertAlign w:val="superscript"/>
          <w:lang w:val="fr-FR"/>
        </w:rPr>
        <w:t xml:space="preserve">o </w:t>
      </w:r>
      <w:r>
        <w:rPr>
          <w:lang w:val="fr-FR"/>
        </w:rPr>
        <w:t>2005-040 du 20 février 2006 sur la lutte contre le VIH/sida et la protection des droits des personnes vivant avec le VIH/sida.</w:t>
      </w:r>
    </w:p>
    <w:p w:rsidR="00000000" w:rsidRDefault="00000000">
      <w:pPr>
        <w:pStyle w:val="SingleTxtG"/>
        <w:rPr>
          <w:lang w:val="fr-FR"/>
        </w:rPr>
      </w:pPr>
      <w:r>
        <w:rPr>
          <w:lang w:val="fr-FR"/>
        </w:rPr>
        <w:t>13.</w:t>
      </w:r>
      <w:r>
        <w:rPr>
          <w:lang w:val="fr-FR"/>
        </w:rPr>
        <w:tab/>
        <w:t xml:space="preserve">décret d’application relatif à la loi </w:t>
      </w:r>
      <w:r>
        <w:rPr>
          <w:rFonts w:eastAsia="MS Mincho"/>
          <w:lang w:val="fr-FR"/>
        </w:rPr>
        <w:t>n</w:t>
      </w:r>
      <w:r>
        <w:rPr>
          <w:rFonts w:eastAsia="MS Mincho"/>
          <w:vertAlign w:val="superscript"/>
          <w:lang w:val="fr-FR"/>
        </w:rPr>
        <w:t>o</w:t>
      </w:r>
      <w:r>
        <w:rPr>
          <w:lang w:val="fr-FR"/>
        </w:rPr>
        <w:t xml:space="preserve"> 2005-040 du 20 février 2006 sur la lutte contre le VIH/sida et la protection des droits des personnes vivant avec le VIH/sida.</w:t>
      </w:r>
    </w:p>
    <w:p w:rsidR="00000000" w:rsidRDefault="00000000">
      <w:pPr>
        <w:pStyle w:val="SingleTxtG"/>
        <w:rPr>
          <w:i/>
          <w:iCs/>
          <w:lang w:val="fr-FR"/>
        </w:rPr>
      </w:pPr>
      <w:r>
        <w:rPr>
          <w:lang w:val="fr-FR"/>
        </w:rPr>
        <w:t>14.</w:t>
      </w:r>
      <w:r>
        <w:rPr>
          <w:lang w:val="fr-FR"/>
        </w:rPr>
        <w:tab/>
        <w:t xml:space="preserve">La loi </w:t>
      </w:r>
      <w:r>
        <w:rPr>
          <w:rFonts w:eastAsia="MS Mincho"/>
          <w:lang w:val="fr-FR"/>
        </w:rPr>
        <w:t>n</w:t>
      </w:r>
      <w:r>
        <w:rPr>
          <w:rFonts w:eastAsia="MS Mincho"/>
          <w:vertAlign w:val="superscript"/>
          <w:lang w:val="fr-FR"/>
        </w:rPr>
        <w:t xml:space="preserve">o </w:t>
      </w:r>
      <w:r>
        <w:rPr>
          <w:lang w:val="fr-FR"/>
        </w:rPr>
        <w:t xml:space="preserve">2004-004 du 26 juillet 2004 portant orientation générale du système d’éducation, d’enseignement et de formation à Madagascar. </w:t>
      </w:r>
      <w:r>
        <w:rPr>
          <w:i/>
          <w:iCs/>
          <w:lang w:val="fr-FR"/>
        </w:rPr>
        <w:t>Stipule l’enseignement obligatoire à partir de l’âge de 6 ans mais ne prévoit pas des sanctions à l’encontre des parents qui ne respectent pas cette obligation.</w:t>
      </w:r>
    </w:p>
    <w:p w:rsidR="00000000" w:rsidRDefault="00000000">
      <w:pPr>
        <w:pStyle w:val="SingleTxtG"/>
        <w:rPr>
          <w:lang w:val="fr-FR"/>
        </w:rPr>
      </w:pPr>
      <w:r>
        <w:rPr>
          <w:lang w:val="fr-FR"/>
        </w:rPr>
        <w:t>15.</w:t>
      </w:r>
      <w:r>
        <w:rPr>
          <w:lang w:val="fr-FR"/>
        </w:rPr>
        <w:tab/>
        <w:t xml:space="preserve">La loi 2006-031 du 24 novembre 2006, fixant le régime juridique de la propriété foncière privée non titrée. </w:t>
      </w:r>
      <w:r>
        <w:rPr>
          <w:i/>
          <w:iCs/>
          <w:lang w:val="fr-FR"/>
        </w:rPr>
        <w:t>Confère un statut de reconnaissance légale aux terres occupées de façon traditionnelle, en considérant que ces terres constituent un patrimoine familial transmis de génération en génération, ou qu’elles sont des pâturages traditionnels d’une famille</w:t>
      </w:r>
    </w:p>
    <w:p w:rsidR="00000000" w:rsidRDefault="00000000">
      <w:pPr>
        <w:pStyle w:val="SingleTxtG"/>
        <w:rPr>
          <w:i/>
          <w:iCs/>
          <w:lang w:val="fr-FR"/>
        </w:rPr>
      </w:pPr>
      <w:r>
        <w:rPr>
          <w:lang w:val="fr-FR"/>
        </w:rPr>
        <w:t>16.</w:t>
      </w:r>
      <w:r>
        <w:rPr>
          <w:lang w:val="fr-FR"/>
        </w:rPr>
        <w:tab/>
        <w:t xml:space="preserve">Loi sur la gestion des risques et catastrophes (2003). </w:t>
      </w:r>
      <w:r>
        <w:rPr>
          <w:i/>
          <w:iCs/>
          <w:lang w:val="fr-FR"/>
        </w:rPr>
        <w:t xml:space="preserve">Officialise la stratégie nationale de gestion des risques et catastrophes ainsi que nouvelle structure et organisation du Conseil national de secours et le transforme en Bureau national de la gestion des risques et des catastrophes (BNGRC), de nature opérationnelle, dépendant du Ministère de l’intérieur. Â côté est crée le CPGU Conseil pour la gestion des urgences, organe politique lié à la primature. </w:t>
      </w:r>
    </w:p>
    <w:p w:rsidR="00000000" w:rsidRDefault="00000000">
      <w:pPr>
        <w:pStyle w:val="HChG"/>
        <w:rPr>
          <w:lang w:val="fr-FR"/>
        </w:rPr>
      </w:pPr>
      <w:r>
        <w:rPr>
          <w:i/>
          <w:iCs/>
          <w:lang w:val="fr-FR"/>
        </w:rPr>
        <w:br w:type="page"/>
      </w:r>
      <w:bookmarkStart w:id="1784" w:name="_Toc260298304"/>
      <w:r>
        <w:rPr>
          <w:lang w:val="fr-FR"/>
        </w:rPr>
        <w:t>Annexe III</w:t>
      </w:r>
      <w:bookmarkEnd w:id="1784"/>
      <w:r>
        <w:rPr>
          <w:lang w:val="fr-FR"/>
        </w:rPr>
        <w:t xml:space="preserve"> </w:t>
      </w:r>
    </w:p>
    <w:p w:rsidR="00000000" w:rsidRDefault="00000000">
      <w:pPr>
        <w:pStyle w:val="HChG"/>
        <w:rPr>
          <w:lang w:val="fr-FR"/>
        </w:rPr>
      </w:pPr>
      <w:r>
        <w:rPr>
          <w:lang w:val="fr-FR"/>
        </w:rPr>
        <w:tab/>
      </w:r>
      <w:r>
        <w:rPr>
          <w:lang w:val="fr-FR"/>
        </w:rPr>
        <w:tab/>
        <w:t xml:space="preserve">Politiques et programmes </w:t>
      </w:r>
    </w:p>
    <w:p w:rsidR="00000000" w:rsidRDefault="00000000">
      <w:pPr>
        <w:pStyle w:val="SingleTxtG"/>
        <w:rPr>
          <w:lang w:val="fr-FR"/>
        </w:rPr>
      </w:pPr>
      <w:r>
        <w:rPr>
          <w:lang w:val="fr-FR"/>
        </w:rPr>
        <w:t>Premier Plan de développement du secteur santé – PDSS (2006)</w:t>
      </w:r>
    </w:p>
    <w:p w:rsidR="00000000" w:rsidRDefault="00000000">
      <w:pPr>
        <w:pStyle w:val="SingleTxtG"/>
        <w:rPr>
          <w:lang w:val="fr-FR"/>
        </w:rPr>
      </w:pPr>
      <w:r>
        <w:rPr>
          <w:lang w:val="fr-FR"/>
        </w:rPr>
        <w:t>PAIS – Programme d’action pour l’intégration des intrants de santé</w:t>
      </w:r>
    </w:p>
    <w:p w:rsidR="00000000" w:rsidRDefault="00000000">
      <w:pPr>
        <w:pStyle w:val="SingleTxtG"/>
        <w:rPr>
          <w:lang w:val="fr-FR"/>
        </w:rPr>
      </w:pPr>
      <w:r>
        <w:rPr>
          <w:lang w:val="fr-FR"/>
        </w:rPr>
        <w:t>Politique nationale d’approche communautaire en santé (en cours de préparation)</w:t>
      </w:r>
    </w:p>
    <w:p w:rsidR="00000000" w:rsidRDefault="00000000">
      <w:pPr>
        <w:pStyle w:val="SingleTxtG"/>
        <w:rPr>
          <w:lang w:val="fr-FR"/>
        </w:rPr>
      </w:pPr>
      <w:r>
        <w:rPr>
          <w:lang w:val="fr-FR"/>
        </w:rPr>
        <w:t>Programme national «Eau et assainissement pour tous» (2005)</w:t>
      </w:r>
    </w:p>
    <w:p w:rsidR="00000000" w:rsidRDefault="00000000">
      <w:pPr>
        <w:pStyle w:val="SingleTxtG"/>
        <w:rPr>
          <w:lang w:val="fr-FR"/>
        </w:rPr>
      </w:pPr>
      <w:r>
        <w:rPr>
          <w:lang w:val="fr-FR"/>
        </w:rPr>
        <w:t>Politique nationale de la promotion de la femme (2000) et Plan d’action national genre et développement (PANAGED) (2003)</w:t>
      </w:r>
    </w:p>
    <w:p w:rsidR="00000000" w:rsidRDefault="00000000">
      <w:pPr>
        <w:pStyle w:val="SingleTxtG"/>
        <w:rPr>
          <w:lang w:val="fr-FR"/>
        </w:rPr>
      </w:pPr>
      <w:r>
        <w:rPr>
          <w:lang w:val="fr-FR"/>
        </w:rPr>
        <w:t>Stratégie nationale de gestion des risques et protection sociale (2007)</w:t>
      </w:r>
    </w:p>
    <w:p w:rsidR="00000000" w:rsidRDefault="00000000">
      <w:pPr>
        <w:pStyle w:val="SingleTxtG"/>
        <w:rPr>
          <w:lang w:val="fr-FR"/>
        </w:rPr>
      </w:pPr>
      <w:r>
        <w:rPr>
          <w:lang w:val="fr-FR"/>
        </w:rPr>
        <w:t>Politique nationale de gestion des risques et des catastrophes (2003)</w:t>
      </w:r>
    </w:p>
    <w:p w:rsidR="00000000" w:rsidRDefault="00000000">
      <w:pPr>
        <w:pStyle w:val="SingleTxtG"/>
        <w:rPr>
          <w:lang w:val="fr-FR"/>
        </w:rPr>
      </w:pPr>
      <w:r>
        <w:rPr>
          <w:lang w:val="fr-FR"/>
        </w:rPr>
        <w:t>Stratégie nationale de développement de la statistique (2007). Vise à rétablir les capacités statistiques de Madagascar et touche trois axes stratégiques, soit le renforcement de l’appareil statistique, l’amélioration de l’offre statistique et le développement des statistiques régionales.</w:t>
      </w:r>
    </w:p>
    <w:p w:rsidR="00000000" w:rsidRDefault="00000000">
      <w:pPr>
        <w:pStyle w:val="SingleTxtG"/>
        <w:rPr>
          <w:lang w:val="fr-FR"/>
        </w:rPr>
      </w:pPr>
      <w:r>
        <w:rPr>
          <w:lang w:val="fr-FR"/>
        </w:rPr>
        <w:t>Programme national de soutien à l’emploi – PNSE (2006). Accompagne la Politique nationale de l’emploi dans la concrétisation des objectifs du MAP. Sur une période de cinq ans, le PNSE se fixe comme priorité d’accroître l’accès à l’emploi décent pour les groupes les plus défavorisés sur le marché du travail. La réalité du travail des enfants «amène la PNSE à cibler les jeunes – y compris ceux qui ont été des enfants travailleurs – afin d’augmenter leur employabilité». Les axes stratégiques sont le développement local des compétences (formation professionnelle, renforcement des qualifications, micro finance), la dynamisation des secteurs générateurs d’emploi (investissements publics et projets de développement, micro et petites entreprises, amélioration de la productivité), et l’amélioration du cadre légal et institutionnel de l’emploi.</w:t>
      </w:r>
    </w:p>
    <w:p w:rsidR="00000000" w:rsidRDefault="00000000">
      <w:pPr>
        <w:pStyle w:val="SingleTxtG"/>
        <w:rPr>
          <w:lang w:val="fr-FR"/>
        </w:rPr>
      </w:pPr>
      <w:r>
        <w:rPr>
          <w:lang w:val="fr-FR"/>
        </w:rPr>
        <w:t>Divers programmes de formation des ressources humaines (santé, éducation, gestion des risques et catastrophes, leadership, redevabilité sociale, formation et coaching des chefs de fokontany, etc.) …</w:t>
      </w:r>
    </w:p>
    <w:p w:rsidR="00000000" w:rsidRDefault="00000000">
      <w:pPr>
        <w:pStyle w:val="HChG"/>
        <w:rPr>
          <w:lang w:val="fr-FR"/>
        </w:rPr>
      </w:pPr>
      <w:r>
        <w:rPr>
          <w:lang w:val="fr-FR"/>
        </w:rPr>
        <w:br w:type="page"/>
      </w:r>
      <w:r>
        <w:rPr>
          <w:lang w:val="fr-FR"/>
        </w:rPr>
        <w:tab/>
      </w:r>
      <w:bookmarkStart w:id="1785" w:name="_Toc260298305"/>
      <w:r>
        <w:rPr>
          <w:lang w:val="fr-FR"/>
        </w:rPr>
        <w:t>Annexe IV</w:t>
      </w:r>
      <w:bookmarkEnd w:id="1785"/>
      <w:r>
        <w:rPr>
          <w:lang w:val="fr-FR"/>
        </w:rPr>
        <w:t xml:space="preserve"> </w:t>
      </w:r>
    </w:p>
    <w:p w:rsidR="00000000" w:rsidRDefault="00000000">
      <w:pPr>
        <w:pStyle w:val="HChG"/>
        <w:rPr>
          <w:lang w:val="fr-FR"/>
        </w:rPr>
      </w:pPr>
      <w:r>
        <w:rPr>
          <w:lang w:val="fr-FR"/>
        </w:rPr>
        <w:tab/>
      </w:r>
      <w:r>
        <w:rPr>
          <w:lang w:val="fr-FR"/>
        </w:rPr>
        <w:tab/>
      </w:r>
      <w:bookmarkStart w:id="1786" w:name="_Toc260298306"/>
      <w:r>
        <w:rPr>
          <w:lang w:val="fr-FR"/>
        </w:rPr>
        <w:t>Les activités de loisirs, sports, etc.</w:t>
      </w:r>
      <w:bookmarkEnd w:id="1786"/>
    </w:p>
    <w:p w:rsidR="00000000" w:rsidRDefault="00000000">
      <w:pPr>
        <w:pStyle w:val="H1G"/>
        <w:rPr>
          <w:lang w:val="fr-FR"/>
        </w:rPr>
      </w:pPr>
      <w:r>
        <w:rPr>
          <w:lang w:val="fr-FR"/>
        </w:rPr>
        <w:tab/>
      </w:r>
      <w:r>
        <w:rPr>
          <w:lang w:val="fr-FR"/>
        </w:rPr>
        <w:tab/>
      </w:r>
      <w:bookmarkStart w:id="1787" w:name="_Toc260298307"/>
      <w:r>
        <w:rPr>
          <w:lang w:val="fr-FR"/>
        </w:rPr>
        <w:t>Activités récréatives</w:t>
      </w:r>
      <w:bookmarkEnd w:id="1787"/>
    </w:p>
    <w:p w:rsidR="00000000" w:rsidRDefault="00000000">
      <w:pPr>
        <w:pStyle w:val="SingleTxtG"/>
        <w:rPr>
          <w:lang w:val="fr-FR"/>
        </w:rPr>
      </w:pPr>
      <w:r>
        <w:rPr>
          <w:lang w:val="fr-FR"/>
        </w:rPr>
        <w:t>Journées des écoles au mois de février de chaque année scolaire consacrées à des activités récréatives: sport, manifestations culturelles</w:t>
      </w:r>
    </w:p>
    <w:p w:rsidR="00000000" w:rsidRDefault="00000000">
      <w:pPr>
        <w:pStyle w:val="SingleTxtG"/>
        <w:rPr>
          <w:lang w:val="fr-FR"/>
        </w:rPr>
      </w:pPr>
      <w:r>
        <w:rPr>
          <w:lang w:val="fr-FR"/>
        </w:rPr>
        <w:t>Des émissions radiotélévisées pour enfants et jeunes au niveau des radios et TV nationales et locales: «Radio Fanabeazana», «Tsorabitsika», «Izany Ka Tanora»,</w:t>
      </w:r>
    </w:p>
    <w:p w:rsidR="00000000" w:rsidRDefault="00000000">
      <w:pPr>
        <w:pStyle w:val="SingleTxtG"/>
        <w:rPr>
          <w:lang w:val="fr-FR"/>
        </w:rPr>
      </w:pPr>
      <w:r>
        <w:rPr>
          <w:lang w:val="fr-FR"/>
        </w:rPr>
        <w:t>Des projections de dessins animés, de films pour enfants, des émissions interactives, des émissions radio de contes et légendes, «Tanora Sahy» (Mahajanga), des émissions sur la promotion des droits de l’enfant: «Janjino ty ajà misafà» (MBS Toliara), …</w:t>
      </w:r>
    </w:p>
    <w:p w:rsidR="00000000" w:rsidRDefault="00000000">
      <w:pPr>
        <w:pStyle w:val="SingleTxtG"/>
        <w:rPr>
          <w:lang w:val="fr-FR"/>
        </w:rPr>
      </w:pPr>
      <w:r>
        <w:rPr>
          <w:lang w:val="fr-FR"/>
        </w:rPr>
        <w:t>La célébration du mois de l’enfance en juin pour sensibiliser le public sur les droits de l’enfant et organiser divers concours et manifestations récréatives pour les enfants</w:t>
      </w:r>
    </w:p>
    <w:p w:rsidR="00000000" w:rsidRDefault="00000000">
      <w:pPr>
        <w:pStyle w:val="SingleTxtG"/>
        <w:rPr>
          <w:lang w:val="fr-FR"/>
        </w:rPr>
      </w:pPr>
      <w:r>
        <w:rPr>
          <w:lang w:val="fr-FR"/>
        </w:rPr>
        <w:t>L’organisation du Festival culturel Tokotanibe à l’intention des enfants et des jeunes</w:t>
      </w:r>
    </w:p>
    <w:p w:rsidR="00000000" w:rsidRDefault="00000000">
      <w:pPr>
        <w:pStyle w:val="SingleTxtG"/>
        <w:rPr>
          <w:lang w:val="fr-FR"/>
        </w:rPr>
      </w:pPr>
      <w:r>
        <w:rPr>
          <w:lang w:val="fr-FR"/>
        </w:rPr>
        <w:t>Le Ciné ambulant, le bibliobus</w:t>
      </w:r>
    </w:p>
    <w:p w:rsidR="00000000" w:rsidRDefault="00000000">
      <w:pPr>
        <w:pStyle w:val="SingleTxtG"/>
        <w:rPr>
          <w:lang w:val="fr-FR"/>
        </w:rPr>
      </w:pPr>
      <w:r>
        <w:rPr>
          <w:lang w:val="fr-FR"/>
        </w:rPr>
        <w:t>La célébration des fêtes de fin d’année scolaire et des sorties de promotion de finissants (niveaux 3ème, Terminales)</w:t>
      </w:r>
    </w:p>
    <w:p w:rsidR="00000000" w:rsidRDefault="00000000">
      <w:pPr>
        <w:pStyle w:val="SingleTxtG"/>
        <w:rPr>
          <w:lang w:val="fr-FR"/>
        </w:rPr>
      </w:pPr>
      <w:r>
        <w:rPr>
          <w:lang w:val="fr-FR"/>
        </w:rPr>
        <w:t>La célébration du mardi gras pour les enfants de l’enseignement privé avec organisation de carnaval</w:t>
      </w:r>
    </w:p>
    <w:p w:rsidR="00000000" w:rsidRDefault="00000000">
      <w:pPr>
        <w:pStyle w:val="H23G"/>
        <w:rPr>
          <w:lang w:val="fr-FR"/>
        </w:rPr>
      </w:pPr>
      <w:r>
        <w:rPr>
          <w:lang w:val="fr-FR"/>
        </w:rPr>
        <w:tab/>
      </w:r>
      <w:r>
        <w:rPr>
          <w:lang w:val="fr-FR"/>
        </w:rPr>
        <w:tab/>
        <w:t>Compétitions sportives, artistiques et culturelles</w:t>
      </w:r>
    </w:p>
    <w:p w:rsidR="00000000" w:rsidRDefault="00000000">
      <w:pPr>
        <w:pStyle w:val="H23G"/>
        <w:rPr>
          <w:lang w:val="fr-FR"/>
        </w:rPr>
      </w:pPr>
      <w:r>
        <w:rPr>
          <w:lang w:val="fr-FR"/>
        </w:rPr>
        <w:tab/>
      </w:r>
      <w:r>
        <w:rPr>
          <w:lang w:val="fr-FR"/>
        </w:rPr>
        <w:tab/>
        <w:t>Sport</w:t>
      </w:r>
    </w:p>
    <w:p w:rsidR="00000000" w:rsidRDefault="00000000">
      <w:pPr>
        <w:pStyle w:val="SingleTxtG"/>
        <w:rPr>
          <w:lang w:val="fr-FR"/>
        </w:rPr>
      </w:pPr>
      <w:r>
        <w:rPr>
          <w:lang w:val="fr-FR"/>
        </w:rPr>
        <w:t>Participation aux Jeux des îles de l’océan Indien et aux jeux de la Francophonie</w:t>
      </w:r>
    </w:p>
    <w:p w:rsidR="00000000" w:rsidRDefault="00000000">
      <w:pPr>
        <w:pStyle w:val="SingleTxtG"/>
        <w:rPr>
          <w:lang w:val="fr-FR"/>
        </w:rPr>
      </w:pPr>
      <w:r>
        <w:rPr>
          <w:lang w:val="fr-FR"/>
        </w:rPr>
        <w:t>Compétitions sportives «spécial junior» dénommées «Coupe du Président»</w:t>
      </w:r>
    </w:p>
    <w:p w:rsidR="00000000" w:rsidRDefault="00000000">
      <w:pPr>
        <w:pStyle w:val="SingleTxtG"/>
        <w:rPr>
          <w:lang w:val="fr-FR"/>
        </w:rPr>
      </w:pPr>
      <w:r>
        <w:rPr>
          <w:lang w:val="fr-FR"/>
        </w:rPr>
        <w:t>Championnat scolaire aux niveaux établissement, local, régional et national organisé par le service des œuvres péri et para scolaires (OPPS) du MENRS et ses structures déconcentrées au niveau des DREN et des CISCO et qui est composé de compétitions sportives et de concours de radio-crochet, de danse, de coiffure et de folklores traditionnels</w:t>
      </w:r>
    </w:p>
    <w:p w:rsidR="00000000" w:rsidRDefault="00000000">
      <w:pPr>
        <w:pStyle w:val="SingleTxtG"/>
        <w:rPr>
          <w:lang w:val="fr-FR"/>
        </w:rPr>
      </w:pPr>
      <w:r>
        <w:rPr>
          <w:lang w:val="fr-FR"/>
        </w:rPr>
        <w:t>Tournoi national de judo pour enfants âgés de 8 ans et plus à chaque période des vacances</w:t>
      </w:r>
    </w:p>
    <w:p w:rsidR="00000000" w:rsidRDefault="00000000">
      <w:pPr>
        <w:pStyle w:val="SingleTxtG"/>
        <w:rPr>
          <w:lang w:val="fr-FR"/>
        </w:rPr>
      </w:pPr>
      <w:r>
        <w:rPr>
          <w:lang w:val="fr-FR"/>
        </w:rPr>
        <w:t>Championnat régional de football pour les garçons et les filles à Tamatave avec 154 équipes masculines et féminines avec l’appui d’opérateurs économiques de Toamasina et de l’Alaotra Mangoro</w:t>
      </w:r>
    </w:p>
    <w:p w:rsidR="00000000" w:rsidRDefault="00000000">
      <w:pPr>
        <w:pStyle w:val="SingleTxtG"/>
        <w:rPr>
          <w:lang w:val="fr-FR"/>
        </w:rPr>
      </w:pPr>
      <w:r>
        <w:rPr>
          <w:lang w:val="fr-FR"/>
        </w:rPr>
        <w:t>Championnat national (simulation Jeux des îles 2007) version enfant «Kod’s game»</w:t>
      </w:r>
    </w:p>
    <w:p w:rsidR="00000000" w:rsidRDefault="00000000">
      <w:pPr>
        <w:pStyle w:val="SingleTxtG"/>
        <w:rPr>
          <w:lang w:val="fr-FR"/>
        </w:rPr>
      </w:pPr>
      <w:r>
        <w:rPr>
          <w:lang w:val="fr-FR"/>
        </w:rPr>
        <w:t>Manifestations sportives de «Kitra Fokontany»: foot à sept garçons et filles, basket, volleyball,</w:t>
      </w:r>
    </w:p>
    <w:p w:rsidR="00000000" w:rsidRDefault="00000000">
      <w:pPr>
        <w:pStyle w:val="H23G"/>
        <w:rPr>
          <w:lang w:val="fr-FR"/>
        </w:rPr>
      </w:pPr>
      <w:r>
        <w:rPr>
          <w:lang w:val="fr-FR"/>
        </w:rPr>
        <w:tab/>
      </w:r>
      <w:r>
        <w:rPr>
          <w:lang w:val="fr-FR"/>
        </w:rPr>
        <w:tab/>
        <w:t>Arts et cultures</w:t>
      </w:r>
    </w:p>
    <w:p w:rsidR="00000000" w:rsidRDefault="00000000">
      <w:pPr>
        <w:pStyle w:val="SingleTxtG"/>
        <w:rPr>
          <w:lang w:val="fr-FR"/>
        </w:rPr>
      </w:pPr>
      <w:r>
        <w:rPr>
          <w:lang w:val="fr-FR"/>
        </w:rPr>
        <w:t>Concours de dictée, de nouvelles, de poésie… organisés par les ministères souvent en collaboration avec le Système des Nations Unies ou les partenaires bilatéraux</w:t>
      </w:r>
    </w:p>
    <w:p w:rsidR="00000000" w:rsidRDefault="00000000">
      <w:pPr>
        <w:pStyle w:val="SingleTxtG"/>
        <w:rPr>
          <w:lang w:val="fr-FR"/>
        </w:rPr>
      </w:pPr>
      <w:r>
        <w:rPr>
          <w:lang w:val="fr-FR"/>
        </w:rPr>
        <w:t>Concours initiés par des structures privées: concours de chants: «Pazzapa» avec la RTA, de slam avec l’Alliance française,…</w:t>
      </w:r>
    </w:p>
    <w:p w:rsidR="00000000" w:rsidRDefault="00000000">
      <w:pPr>
        <w:pStyle w:val="H23G"/>
        <w:rPr>
          <w:lang w:val="fr-FR"/>
        </w:rPr>
      </w:pPr>
      <w:r>
        <w:rPr>
          <w:lang w:val="fr-FR"/>
        </w:rPr>
        <w:tab/>
      </w:r>
      <w:r>
        <w:rPr>
          <w:lang w:val="fr-FR"/>
        </w:rPr>
        <w:tab/>
        <w:t>Animations/Formations</w:t>
      </w:r>
    </w:p>
    <w:p w:rsidR="00000000" w:rsidRDefault="00000000">
      <w:pPr>
        <w:pStyle w:val="SingleTxtG"/>
        <w:rPr>
          <w:lang w:val="fr-FR"/>
        </w:rPr>
      </w:pPr>
      <w:r>
        <w:rPr>
          <w:lang w:val="fr-FR"/>
        </w:rPr>
        <w:t>Formation de 150 jeunes reporters de 13 à 18 ans recrutés auprès des collèges, des lycées et des associations religieuses, sportives, artistiques, clubs, fédération scoute</w:t>
      </w:r>
    </w:p>
    <w:p w:rsidR="00000000" w:rsidRDefault="00000000">
      <w:pPr>
        <w:pStyle w:val="SingleTxtG"/>
        <w:rPr>
          <w:lang w:val="fr-FR"/>
        </w:rPr>
      </w:pPr>
      <w:r>
        <w:rPr>
          <w:lang w:val="fr-FR"/>
        </w:rPr>
        <w:t>Éducation à distance par le biais d’émissions radiophoniques destinés aux enfants du cours préparatoire en partenariat avec l’UNICEF</w:t>
      </w:r>
    </w:p>
    <w:p w:rsidR="00000000" w:rsidRDefault="00000000">
      <w:pPr>
        <w:pStyle w:val="SingleTxtG"/>
        <w:rPr>
          <w:lang w:val="fr-FR"/>
        </w:rPr>
      </w:pPr>
      <w:r>
        <w:rPr>
          <w:lang w:val="fr-FR"/>
        </w:rPr>
        <w:t>Animation d’antenne radio et télé: émissions d’éducation religieuse</w:t>
      </w:r>
    </w:p>
    <w:p w:rsidR="00000000" w:rsidRDefault="00000000">
      <w:pPr>
        <w:pStyle w:val="SingleTxtG"/>
        <w:rPr>
          <w:lang w:val="fr-FR"/>
        </w:rPr>
      </w:pPr>
      <w:r>
        <w:rPr>
          <w:lang w:val="fr-FR"/>
        </w:rPr>
        <w:t>Ouverture d’écoles ou de centres de formation sportive: Académie nationale de sport, AJESAIA et Académie Ny Antsika qui dispensent des programmes de sport-école pour des enfants et des jeunes; Institut national de la jeunesse qui forme les cadres et dirigeants de jeunesse; deux centres de perfectionnement pour la pratique sportive</w:t>
      </w:r>
    </w:p>
    <w:p w:rsidR="00000000" w:rsidRDefault="00000000">
      <w:pPr>
        <w:pStyle w:val="H23G"/>
        <w:rPr>
          <w:lang w:val="fr-FR"/>
        </w:rPr>
      </w:pPr>
      <w:r>
        <w:rPr>
          <w:lang w:val="fr-FR"/>
        </w:rPr>
        <w:tab/>
      </w:r>
      <w:r>
        <w:rPr>
          <w:lang w:val="fr-FR"/>
        </w:rPr>
        <w:tab/>
        <w:t>Activités de développement et d’épanouissement</w:t>
      </w:r>
    </w:p>
    <w:p w:rsidR="00000000" w:rsidRDefault="00000000">
      <w:pPr>
        <w:pStyle w:val="SingleTxtG"/>
        <w:rPr>
          <w:lang w:val="fr-FR"/>
        </w:rPr>
      </w:pPr>
      <w:r>
        <w:rPr>
          <w:lang w:val="fr-FR"/>
        </w:rPr>
        <w:t>Mise en place des conseils de la jeunesse à différents niveaux:</w:t>
      </w:r>
    </w:p>
    <w:p w:rsidR="00000000" w:rsidRDefault="00000000">
      <w:pPr>
        <w:pStyle w:val="SingleTxtG"/>
        <w:rPr>
          <w:lang w:val="fr-FR"/>
        </w:rPr>
      </w:pPr>
      <w:r>
        <w:rPr>
          <w:lang w:val="fr-FR"/>
        </w:rPr>
        <w:t>Conseils communaux de la jeunesse: 88 communes</w:t>
      </w:r>
    </w:p>
    <w:p w:rsidR="00000000" w:rsidRDefault="00000000">
      <w:pPr>
        <w:pStyle w:val="SingleTxtG"/>
        <w:rPr>
          <w:lang w:val="fr-FR"/>
        </w:rPr>
      </w:pPr>
      <w:r>
        <w:rPr>
          <w:lang w:val="fr-FR"/>
        </w:rPr>
        <w:t>Conseils régionaux de la jeunesse: 8 régions</w:t>
      </w:r>
    </w:p>
    <w:p w:rsidR="00000000" w:rsidRDefault="00000000">
      <w:pPr>
        <w:pStyle w:val="SingleTxtG"/>
        <w:rPr>
          <w:lang w:val="fr-FR"/>
        </w:rPr>
      </w:pPr>
      <w:r>
        <w:rPr>
          <w:lang w:val="fr-FR"/>
        </w:rPr>
        <w:t>Conseil national de la jeunesse: 1</w:t>
      </w:r>
    </w:p>
    <w:p w:rsidR="00000000" w:rsidRDefault="00000000">
      <w:pPr>
        <w:pStyle w:val="SingleTxtG"/>
        <w:rPr>
          <w:lang w:val="fr-FR"/>
        </w:rPr>
      </w:pPr>
      <w:r>
        <w:rPr>
          <w:lang w:val="fr-FR"/>
        </w:rPr>
        <w:t>Mise en place du Parlement des enfants, une initiative conjointe de l’Assemblée nationale et de l’UNICEF</w:t>
      </w:r>
    </w:p>
    <w:p w:rsidR="00000000" w:rsidRDefault="00000000">
      <w:pPr>
        <w:pStyle w:val="SingleTxtG"/>
        <w:rPr>
          <w:lang w:val="fr-FR"/>
        </w:rPr>
      </w:pPr>
      <w:r>
        <w:rPr>
          <w:lang w:val="fr-FR"/>
        </w:rPr>
        <w:t>Octroi d’agréments aux associations de jeunes: 51 associations d’envergure nationale et 228 locales dont 214 laïques et 14 confessionnelles</w:t>
      </w:r>
    </w:p>
    <w:p w:rsidR="00000000" w:rsidRDefault="00000000">
      <w:pPr>
        <w:pStyle w:val="SingleTxtG"/>
        <w:rPr>
          <w:lang w:val="fr-FR"/>
        </w:rPr>
      </w:pPr>
      <w:r>
        <w:rPr>
          <w:lang w:val="fr-FR"/>
        </w:rPr>
        <w:t xml:space="preserve">Formation artistique au Centre national d’enseignement de la musique </w:t>
      </w:r>
    </w:p>
    <w:p w:rsidR="00000000" w:rsidRDefault="00000000">
      <w:pPr>
        <w:pStyle w:val="SingleTxtG"/>
        <w:rPr>
          <w:lang w:val="fr-FR"/>
        </w:rPr>
      </w:pPr>
      <w:r>
        <w:rPr>
          <w:lang w:val="fr-FR"/>
        </w:rPr>
        <w:t>Développement de bibliothèques locales: bibliothèque villageoise, CLIC et CLAC</w:t>
      </w:r>
    </w:p>
    <w:p w:rsidR="00000000" w:rsidRDefault="00000000">
      <w:pPr>
        <w:pStyle w:val="SingleTxtG"/>
        <w:rPr>
          <w:lang w:val="fr-FR"/>
        </w:rPr>
      </w:pPr>
      <w:r>
        <w:rPr>
          <w:lang w:val="fr-FR"/>
        </w:rPr>
        <w:t>Création de clubs au sein des établissements scolaires: journal, antisida, environnement, scientifique, artistique et culturel, ONU, UNESCO</w:t>
      </w:r>
    </w:p>
    <w:p w:rsidR="00000000" w:rsidRDefault="00000000">
      <w:pPr>
        <w:pStyle w:val="SingleTxtG"/>
        <w:rPr>
          <w:lang w:val="fr-FR"/>
        </w:rPr>
      </w:pPr>
      <w:r>
        <w:rPr>
          <w:lang w:val="fr-FR"/>
        </w:rPr>
        <w:t>Organisation de semaines scientifiques et du livre, journées portes ouvertes, expositions</w:t>
      </w:r>
    </w:p>
    <w:p w:rsidR="00000000" w:rsidRDefault="00000000">
      <w:pPr>
        <w:pStyle w:val="SingleTxtG"/>
        <w:rPr>
          <w:lang w:val="fr-FR"/>
        </w:rPr>
      </w:pPr>
      <w:r>
        <w:rPr>
          <w:lang w:val="fr-FR"/>
        </w:rPr>
        <w:t>Voyages d’études et de découvertes, colonies de vacances, échange de jeunes, classes vertes</w:t>
      </w:r>
    </w:p>
    <w:p w:rsidR="00000000" w:rsidRDefault="00000000">
      <w:pPr>
        <w:pStyle w:val="H23G"/>
        <w:rPr>
          <w:lang w:val="fr-FR"/>
        </w:rPr>
      </w:pPr>
      <w:r>
        <w:rPr>
          <w:lang w:val="fr-FR"/>
        </w:rPr>
        <w:tab/>
      </w:r>
      <w:r>
        <w:rPr>
          <w:lang w:val="fr-FR"/>
        </w:rPr>
        <w:tab/>
        <w:t>Loisirs et sports pour personnes vivant avec un handicap</w:t>
      </w:r>
    </w:p>
    <w:p w:rsidR="00000000" w:rsidRDefault="00000000">
      <w:pPr>
        <w:pStyle w:val="SingleTxtG"/>
        <w:rPr>
          <w:lang w:val="fr-FR"/>
        </w:rPr>
      </w:pPr>
      <w:r>
        <w:rPr>
          <w:lang w:val="fr-FR"/>
        </w:rPr>
        <w:tab/>
        <w:t>Les associations et centres spécialisés s’attachent à promouvoir le sport chez les personnes handicapées, notamment les enfants handicapés. Des compétitions sportives sont souvent organisées pour à la fois valoriser l’enfant handicapé en lui donnant l’occasion de mieux s’épanouir, et apporter au public et à la population l’occasion d’accorder un autre regard sur les personnes handicapées.</w:t>
      </w:r>
    </w:p>
    <w:p w:rsidR="00000000" w:rsidRDefault="00000000">
      <w:pPr>
        <w:pStyle w:val="SingleTxtG"/>
        <w:rPr>
          <w:lang w:val="fr-FR"/>
        </w:rPr>
      </w:pPr>
      <w:r>
        <w:rPr>
          <w:lang w:val="fr-FR"/>
        </w:rPr>
        <w:tab/>
        <w:t>Il existe une fédération sportive ou Handisport très active, agréée par le Ministère de la jeunesse et des sports. Handisport regroupe plusieurs disciplines dont le basket sur fauteuil, l’athlétisme pour non-voyants ou mal voyants, la pétanque, le torball… À l’occasion des Jeux des îles de l’océan Indien de 2007 qui se sont déroulés à Madagascar, les personnes handicapées malgaches ont remporté plusieurs médailles.</w:t>
      </w:r>
    </w:p>
    <w:p w:rsidR="00000000" w:rsidRDefault="00000000">
      <w:pPr>
        <w:pStyle w:val="SingleTxtG"/>
        <w:spacing w:before="240" w:after="0"/>
        <w:jc w:val="center"/>
        <w:rPr>
          <w:u w:val="single"/>
        </w:rPr>
      </w:pPr>
      <w:r>
        <w:rPr>
          <w:u w:val="single"/>
        </w:rPr>
        <w:tab/>
      </w:r>
      <w:r>
        <w:rPr>
          <w:u w:val="single"/>
        </w:rPr>
        <w:tab/>
      </w:r>
      <w:r>
        <w:rPr>
          <w:u w:val="single"/>
        </w:rPr>
        <w:tab/>
      </w:r>
    </w:p>
    <w:sectPr w:rsidR="00000000">
      <w:headerReference w:type="even" r:id="rId13"/>
      <w:headerReference w:type="default" r:id="rId14"/>
      <w:footerReference w:type="even" r:id="rId15"/>
      <w:footerReference w:type="default" r:id="rId16"/>
      <w:footerReference w:type="first" r:id="rId17"/>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endnote>
  <w:endnote w:type="continuationNotice" w:id="1">
    <w:p w:rsidR="00000000" w:rsidRDefault="0000000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638"/>
      </w:tabs>
    </w:pPr>
    <w:r>
      <w:rPr>
        <w:b/>
        <w:sz w:val="18"/>
      </w:rPr>
      <w:fldChar w:fldCharType="begin"/>
    </w:r>
    <w:r>
      <w:rPr>
        <w:b/>
        <w:sz w:val="18"/>
      </w:rPr>
      <w:instrText xml:space="preserve"> PAGE  \* MERGEFORMAT </w:instrText>
    </w:r>
    <w:r>
      <w:rPr>
        <w:b/>
        <w:sz w:val="18"/>
      </w:rPr>
      <w:fldChar w:fldCharType="separate"/>
    </w:r>
    <w:r>
      <w:rPr>
        <w:b/>
        <w:noProof/>
        <w:sz w:val="18"/>
      </w:rPr>
      <w:t>122</w:t>
    </w:r>
    <w:r>
      <w:rPr>
        <w:b/>
        <w:sz w:val="18"/>
      </w:rPr>
      <w:fldChar w:fldCharType="end"/>
    </w:r>
    <w:r>
      <w:rPr>
        <w:b/>
        <w:sz w:val="18"/>
      </w:rPr>
      <w:tab/>
    </w:r>
    <w:r>
      <w:t>GE.10-42177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638"/>
      </w:tabs>
      <w:rPr>
        <w:b/>
        <w:sz w:val="18"/>
      </w:rPr>
    </w:pPr>
    <w:r>
      <w:t>GE.10-42177</w:t>
    </w:r>
    <w:r>
      <w:tab/>
    </w:r>
    <w:r>
      <w:rPr>
        <w:b/>
        <w:sz w:val="18"/>
      </w:rPr>
      <w:fldChar w:fldCharType="begin"/>
    </w:r>
    <w:r>
      <w:rPr>
        <w:b/>
        <w:sz w:val="18"/>
      </w:rPr>
      <w:instrText xml:space="preserve"> PAGE  \* MERGEFORMAT </w:instrText>
    </w:r>
    <w:r>
      <w:rPr>
        <w:b/>
        <w:sz w:val="18"/>
      </w:rPr>
      <w:fldChar w:fldCharType="separate"/>
    </w:r>
    <w:r>
      <w:rPr>
        <w:b/>
        <w:noProof/>
        <w:sz w:val="18"/>
      </w:rPr>
      <w:t>121</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GE.10-42177</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070510    170510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ind w:left="680"/>
        <w:rPr>
          <w:u w:val="single"/>
        </w:rPr>
      </w:pPr>
      <w:r>
        <w:rPr>
          <w:u w:val="single"/>
        </w:rPr>
        <w:tab/>
      </w:r>
    </w:p>
  </w:footnote>
  <w:footnote w:type="continuationSeparator" w:id="0">
    <w:p w:rsidR="00000000" w:rsidRDefault="00000000">
      <w:pPr>
        <w:tabs>
          <w:tab w:val="right" w:pos="2155"/>
        </w:tabs>
        <w:spacing w:after="80"/>
        <w:ind w:left="680"/>
        <w:rPr>
          <w:u w:val="single"/>
        </w:rPr>
      </w:pPr>
      <w:r>
        <w:rPr>
          <w:u w:val="single"/>
        </w:rPr>
        <w:tab/>
      </w:r>
    </w:p>
  </w:footnote>
  <w:footnote w:type="continuationNotice" w:id="1">
    <w:p w:rsidR="00000000" w:rsidRDefault="00000000"/>
  </w:footnote>
  <w:footnote w:id="2">
    <w:p w:rsidR="00000000" w:rsidRDefault="00000000">
      <w:pPr>
        <w:pStyle w:val="FootnoteText"/>
      </w:pPr>
      <w:r>
        <w:tab/>
      </w:r>
      <w:r>
        <w:rPr>
          <w:rStyle w:val="FootnoteReference"/>
          <w:sz w:val="20"/>
          <w:vertAlign w:val="baseline"/>
        </w:rPr>
        <w:t>*</w:t>
      </w:r>
      <w:r>
        <w:rPr>
          <w:sz w:val="20"/>
        </w:rPr>
        <w:tab/>
      </w:r>
      <w:r>
        <w:t>Conformément aux informations communiquées aux États parties concernant le traitement de leurs rapports, le présent document n’a pas été revu par les services d’édition avant d’être envoyé aux services de traduction de l’Organisation des Nations Unies.</w:t>
      </w:r>
    </w:p>
  </w:footnote>
  <w:footnote w:id="3">
    <w:p w:rsidR="00000000" w:rsidRDefault="00000000">
      <w:pPr>
        <w:pStyle w:val="FootnoteText"/>
      </w:pPr>
      <w:r>
        <w:tab/>
      </w:r>
      <w:r>
        <w:rPr>
          <w:rStyle w:val="FootnoteReference"/>
        </w:rPr>
        <w:footnoteRef/>
      </w:r>
      <w:r>
        <w:tab/>
      </w:r>
      <w:r>
        <w:rPr>
          <w:szCs w:val="18"/>
          <w:lang w:val="fr-FR"/>
        </w:rPr>
        <w:t>Protocole facultatif concernant l’implication des enfants dans les conflits armés et le Protocole facultatif PFCVPPE.</w:t>
      </w:r>
    </w:p>
  </w:footnote>
  <w:footnote w:id="4">
    <w:p w:rsidR="00000000" w:rsidRDefault="00000000">
      <w:pPr>
        <w:pStyle w:val="FootnoteText"/>
      </w:pPr>
      <w:r>
        <w:tab/>
      </w:r>
      <w:r>
        <w:rPr>
          <w:rStyle w:val="FootnoteReference"/>
        </w:rPr>
        <w:footnoteRef/>
      </w:r>
      <w:r>
        <w:tab/>
      </w:r>
      <w:r>
        <w:rPr>
          <w:lang w:val="fr-FR"/>
        </w:rPr>
        <w:t>Le premier rapport sur les ODM est de 2004.</w:t>
      </w:r>
      <w:r>
        <w:t xml:space="preserve"> </w:t>
      </w:r>
    </w:p>
  </w:footnote>
  <w:footnote w:id="5">
    <w:p w:rsidR="00000000" w:rsidRDefault="00000000">
      <w:pPr>
        <w:pStyle w:val="FootnoteText"/>
      </w:pPr>
      <w:r>
        <w:tab/>
      </w:r>
      <w:r>
        <w:rPr>
          <w:rStyle w:val="FootnoteReference"/>
        </w:rPr>
        <w:footnoteRef/>
      </w:r>
      <w:r>
        <w:tab/>
      </w:r>
      <w:r>
        <w:rPr>
          <w:lang w:val="fr-FR" w:eastAsia="fr-FR"/>
        </w:rPr>
        <w:t>Art.4. La Commission est composée des représentants des Ministères, entités et organismes ci-après: le Ministère de la justice; le Ministère en charge de la population, de la protection sociale et des loisirs; le Ministère en charge de la sécurité publique; le Ministère en charge du travail, de la fonction publique et des lois sociales; le Ministère en charge de l’information; le Ministère en charge de la culture et du tourisme; le Ministère en charge de l’éducation nationale; le Ministère en charge de la santé et du planning familial; le Ministère en charge des affaires étrangères; le Ministère en charge de l’intérieur; le Ministère en charge de la jeunesse et des sports; le Comité national de lutte contre le sida (CNLS); la faculté de droit; l’ordre des avocats; la société civile; l’UNICEF; le BIT, IPEC; deux représentants des ONG.</w:t>
      </w:r>
      <w:r>
        <w:t xml:space="preserve"> </w:t>
      </w:r>
    </w:p>
  </w:footnote>
  <w:footnote w:id="6">
    <w:p w:rsidR="00000000" w:rsidRDefault="00000000">
      <w:pPr>
        <w:pStyle w:val="FootnoteText"/>
      </w:pPr>
      <w:r>
        <w:tab/>
      </w:r>
      <w:r>
        <w:rPr>
          <w:rStyle w:val="FootnoteReference"/>
        </w:rPr>
        <w:footnoteRef/>
      </w:r>
      <w:r>
        <w:tab/>
      </w:r>
      <w:r>
        <w:rPr>
          <w:lang w:val="fr-FR"/>
        </w:rPr>
        <w:t>Publications de l’oderoi: Rapport sur la violence a l’égard de l’enfant dans la région de l’océan Indien (2006), Rapport sur les adolescents (2008), Rapport sur la pauvreté de l’enfant (en préparation).</w:t>
      </w:r>
      <w:r>
        <w:t xml:space="preserve"> </w:t>
      </w:r>
    </w:p>
  </w:footnote>
  <w:footnote w:id="7">
    <w:p w:rsidR="00000000" w:rsidRDefault="00000000">
      <w:pPr>
        <w:pStyle w:val="FootnoteText"/>
      </w:pPr>
      <w:r>
        <w:tab/>
      </w:r>
      <w:r>
        <w:rPr>
          <w:rStyle w:val="FootnoteReference"/>
        </w:rPr>
        <w:footnoteRef/>
      </w:r>
      <w:r>
        <w:tab/>
        <w:t xml:space="preserve">Ne sont considérés ici que les secteurs de la santé, de l’éducation, de la justice et de la population/protection sociale. </w:t>
      </w:r>
    </w:p>
  </w:footnote>
  <w:footnote w:id="8">
    <w:p w:rsidR="00000000" w:rsidRDefault="00000000">
      <w:pPr>
        <w:pStyle w:val="FootnoteText"/>
      </w:pPr>
      <w:r>
        <w:tab/>
      </w:r>
      <w:r>
        <w:rPr>
          <w:rStyle w:val="FootnoteReference"/>
        </w:rPr>
        <w:footnoteRef/>
      </w:r>
      <w:r>
        <w:tab/>
      </w:r>
      <w:r>
        <w:rPr>
          <w:lang w:val="fr-FR"/>
        </w:rPr>
        <w:t>«Les moyens de communications à Madagascar − enquête sur l’audience 2004».</w:t>
      </w:r>
      <w:r>
        <w:t xml:space="preserve"> </w:t>
      </w:r>
    </w:p>
  </w:footnote>
  <w:footnote w:id="9">
    <w:p w:rsidR="00000000" w:rsidRDefault="00000000">
      <w:pPr>
        <w:pStyle w:val="FootnoteText"/>
      </w:pPr>
      <w:r>
        <w:tab/>
      </w:r>
      <w:r>
        <w:rPr>
          <w:rStyle w:val="FootnoteReference"/>
        </w:rPr>
        <w:footnoteRef/>
      </w:r>
      <w:r>
        <w:tab/>
      </w:r>
      <w:r>
        <w:rPr>
          <w:lang w:val="fr-FR"/>
        </w:rPr>
        <w:t>Crée par arrêté municipal le 17 septembre 2003.</w:t>
      </w:r>
    </w:p>
  </w:footnote>
  <w:footnote w:id="10">
    <w:p w:rsidR="00000000" w:rsidRDefault="00000000">
      <w:pPr>
        <w:pStyle w:val="FootnoteText"/>
      </w:pPr>
      <w:r>
        <w:tab/>
      </w:r>
      <w:r>
        <w:rPr>
          <w:rStyle w:val="FootnoteReference"/>
        </w:rPr>
        <w:footnoteRef/>
      </w:r>
      <w:r>
        <w:tab/>
      </w:r>
      <w:r>
        <w:rPr>
          <w:lang w:val="fr-FR"/>
        </w:rPr>
        <w:t>Source : Analyse de la situation de l’enfant à Madagascar draft 0 2008.</w:t>
      </w:r>
    </w:p>
  </w:footnote>
  <w:footnote w:id="11">
    <w:p w:rsidR="00000000" w:rsidRDefault="00000000">
      <w:pPr>
        <w:pStyle w:val="FootnoteText"/>
      </w:pPr>
      <w:r>
        <w:tab/>
      </w:r>
      <w:r>
        <w:rPr>
          <w:rStyle w:val="FootnoteReference"/>
        </w:rPr>
        <w:footnoteRef/>
      </w:r>
      <w:r>
        <w:tab/>
      </w:r>
      <w:r>
        <w:rPr>
          <w:lang w:val="fr-FR"/>
        </w:rPr>
        <w:t>Source : Programme de Santé oculaire.</w:t>
      </w:r>
    </w:p>
  </w:footnote>
  <w:footnote w:id="12">
    <w:p w:rsidR="00000000" w:rsidRDefault="00000000">
      <w:pPr>
        <w:pStyle w:val="FootnoteText"/>
      </w:pPr>
      <w:r>
        <w:tab/>
      </w:r>
      <w:r>
        <w:rPr>
          <w:rStyle w:val="FootnoteReference"/>
        </w:rPr>
        <w:footnoteRef/>
      </w:r>
      <w:r>
        <w:tab/>
      </w:r>
      <w:r>
        <w:rPr>
          <w:lang w:val="fr-FR"/>
        </w:rPr>
        <w:t>Source : Rapport suivi et évaluation de la SSME avril 2007 MinSanPFPS.</w:t>
      </w:r>
      <w:r>
        <w:t xml:space="preserve"> </w:t>
      </w:r>
    </w:p>
  </w:footnote>
  <w:footnote w:id="13">
    <w:p w:rsidR="00000000" w:rsidRDefault="00000000">
      <w:pPr>
        <w:pStyle w:val="FootnoteText"/>
      </w:pPr>
      <w:r>
        <w:tab/>
      </w:r>
      <w:r>
        <w:rPr>
          <w:rStyle w:val="FootnoteReference"/>
        </w:rPr>
        <w:footnoteRef/>
      </w:r>
      <w:r>
        <w:tab/>
      </w:r>
      <w:r>
        <w:rPr>
          <w:lang w:val="fr-FR"/>
        </w:rPr>
        <w:t>Source : PNN et enquêtes anthropométriques et de mortalité: ONN/Snut/PNAN/UNICEF.</w:t>
      </w:r>
      <w:r>
        <w:t xml:space="preserve"> </w:t>
      </w:r>
    </w:p>
  </w:footnote>
  <w:footnote w:id="14">
    <w:p w:rsidR="00000000" w:rsidRDefault="00000000">
      <w:pPr>
        <w:pStyle w:val="FootnoteText"/>
      </w:pPr>
      <w:r>
        <w:tab/>
      </w:r>
      <w:r>
        <w:rPr>
          <w:rStyle w:val="FootnoteReference"/>
        </w:rPr>
        <w:footnoteRef/>
      </w:r>
      <w:r>
        <w:tab/>
      </w:r>
      <w:r>
        <w:rPr>
          <w:lang w:val="fr-FR"/>
        </w:rPr>
        <w:t>Source : Analyse de situation nutrition draft 0 2008.</w:t>
      </w:r>
      <w:r>
        <w:t xml:space="preserve"> </w:t>
      </w:r>
    </w:p>
  </w:footnote>
  <w:footnote w:id="15">
    <w:p w:rsidR="00000000" w:rsidRDefault="00000000">
      <w:pPr>
        <w:pStyle w:val="FootnoteText"/>
      </w:pPr>
      <w:r>
        <w:tab/>
      </w:r>
      <w:r>
        <w:rPr>
          <w:rStyle w:val="FootnoteReference"/>
        </w:rPr>
        <w:footnoteRef/>
      </w:r>
      <w:r>
        <w:tab/>
      </w:r>
      <w:r>
        <w:rPr>
          <w:lang w:val="fr-FR"/>
        </w:rPr>
        <w:t>Source : Rapport annuel ONN 2007.</w:t>
      </w:r>
      <w:r>
        <w:t xml:space="preserve"> </w:t>
      </w:r>
    </w:p>
  </w:footnote>
  <w:footnote w:id="16">
    <w:p w:rsidR="00000000" w:rsidRDefault="00000000">
      <w:pPr>
        <w:pStyle w:val="FootnoteText"/>
      </w:pPr>
      <w:r>
        <w:tab/>
      </w:r>
      <w:r>
        <w:rPr>
          <w:rStyle w:val="FootnoteReference"/>
        </w:rPr>
        <w:footnoteRef/>
      </w:r>
      <w:r>
        <w:tab/>
      </w:r>
      <w:r>
        <w:rPr>
          <w:lang w:val="fr-FR"/>
        </w:rPr>
        <w:t>En partenariat avec le CITE, l’hôtel Carlton , la société civile, les universités, les écoles et instituts d’enseignement secondaire et supérieur publics et privés (ISCAM, INSCAE, IST, ISPM…) à Antananarivo et dans les chefs-lieux des régions de Boeny, Haute Matsiatra, Atsimo Andrefana, Atsinanana, Diana)</w:t>
      </w:r>
      <w:r>
        <w:t xml:space="preserve"> </w:t>
      </w:r>
    </w:p>
  </w:footnote>
  <w:footnote w:id="17">
    <w:p w:rsidR="00000000" w:rsidRDefault="00000000">
      <w:pPr>
        <w:pStyle w:val="FootnoteText"/>
      </w:pPr>
      <w:r>
        <w:tab/>
      </w:r>
      <w:r>
        <w:rPr>
          <w:rStyle w:val="FootnoteReference"/>
        </w:rPr>
        <w:footnoteRef/>
      </w:r>
      <w:r>
        <w:tab/>
      </w:r>
      <w:r>
        <w:rPr>
          <w:lang w:val="fr-FR"/>
        </w:rPr>
        <w:t>Le décret n° 2007- 563 du 03 juillet 2007 relatif au travail des enfants.</w:t>
      </w:r>
      <w:r>
        <w:t xml:space="preserve"> </w:t>
      </w:r>
    </w:p>
  </w:footnote>
  <w:footnote w:id="18">
    <w:p w:rsidR="00000000" w:rsidRDefault="00000000">
      <w:pPr>
        <w:pStyle w:val="FootnoteText"/>
      </w:pPr>
      <w:r>
        <w:tab/>
      </w:r>
      <w:r>
        <w:rPr>
          <w:rStyle w:val="FootnoteReference"/>
        </w:rPr>
        <w:footnoteRef/>
      </w:r>
      <w:r>
        <w:tab/>
      </w:r>
      <w:r>
        <w:rPr>
          <w:lang w:val="fr-FR"/>
        </w:rPr>
        <w:t>Cf. BIT étude de base sur les PFTE dans le nord et sud en décembre 2006.</w:t>
      </w:r>
      <w:r>
        <w:t xml:space="preserve"> </w:t>
      </w:r>
    </w:p>
  </w:footnote>
  <w:footnote w:id="19">
    <w:p w:rsidR="00000000" w:rsidRDefault="00000000">
      <w:pPr>
        <w:pStyle w:val="FootnoteText"/>
      </w:pPr>
      <w:r>
        <w:tab/>
      </w:r>
      <w:r>
        <w:rPr>
          <w:rStyle w:val="FootnoteReference"/>
        </w:rPr>
        <w:footnoteRef/>
      </w:r>
      <w:r>
        <w:tab/>
      </w:r>
      <w:r>
        <w:rPr>
          <w:lang w:val="fr-FR"/>
        </w:rPr>
        <w:t>Il reste à vérifier si cette situation correspond à une propension favorable à la dénonciation de l’infraction de type sexuelle concernant les filles dans quelque perspective que ce soit – par rapport à d’autres types d’infractions.</w:t>
      </w:r>
      <w:r>
        <w:t xml:space="preserve"> </w:t>
      </w:r>
    </w:p>
  </w:footnote>
  <w:footnote w:id="20">
    <w:p w:rsidR="00000000" w:rsidRDefault="00000000">
      <w:pPr>
        <w:pStyle w:val="FootnoteText"/>
      </w:pPr>
      <w:r>
        <w:tab/>
      </w:r>
      <w:r>
        <w:rPr>
          <w:rStyle w:val="FootnoteReference"/>
        </w:rPr>
        <w:footnoteRef/>
      </w:r>
      <w:r>
        <w:tab/>
      </w:r>
      <w:r>
        <w:rPr>
          <w:lang w:val="fr-FR"/>
        </w:rPr>
        <w:t>Le Code pénal ne caractérise pas l’infraction d’inceste.</w:t>
      </w:r>
      <w: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CRC/C/MDG/3-4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CRC/C/MDG/3-4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 w:numId="3">
    <w:abstractNumId w:val="1"/>
  </w:num>
  <w:num w:numId="4">
    <w:abstractNumId w:val="1"/>
  </w:num>
  <w:num w:numId="5">
    <w:abstractNumId w:val="1"/>
  </w:num>
  <w:num w:numId="6">
    <w:abstractNumId w:val="1"/>
  </w:num>
  <w:num w:numId="7">
    <w:abstractNumId w:val="1"/>
  </w:num>
  <w:num w:numId="8">
    <w:abstractNumId w:val="1"/>
  </w:num>
  <w:num w:numId="9">
    <w:abstractNumId w:val="1"/>
  </w:num>
  <w:num w:numId="10">
    <w:abstractNumId w:val="1"/>
  </w:num>
  <w:num w:numId="11">
    <w:abstractNumId w:val="1"/>
  </w:num>
  <w:num w:numId="12">
    <w:abstractNumId w:val="1"/>
  </w:num>
  <w:num w:numId="13">
    <w:abstractNumId w:val="1"/>
  </w:num>
  <w:num w:numId="14">
    <w:abstractNumId w:val="1"/>
  </w:num>
  <w:num w:numId="15">
    <w:abstractNumId w:val="1"/>
  </w:num>
  <w:num w:numId="16">
    <w:abstractNumId w:val="1"/>
  </w:num>
  <w:num w:numId="17">
    <w:abstractNumId w:val="1"/>
  </w:num>
  <w:num w:numId="18">
    <w:abstractNumId w:val="1"/>
  </w:num>
  <w:num w:numId="19">
    <w:abstractNumId w:val="1"/>
  </w:num>
  <w:num w:numId="20">
    <w:abstractNumId w:val="1"/>
  </w:num>
  <w:num w:numId="21">
    <w:abstractNumId w:val="0"/>
  </w:num>
  <w:num w:numId="22">
    <w:abstractNumId w:val="0"/>
  </w:num>
  <w:num w:numId="23">
    <w:abstractNumId w:val="0"/>
  </w:num>
  <w:num w:numId="24">
    <w:abstractNumId w:val="0"/>
  </w:num>
  <w:num w:numId="25">
    <w:abstractNumId w:val="0"/>
  </w:num>
  <w:num w:numId="26">
    <w:abstractNumId w:val="1"/>
  </w:num>
  <w:num w:numId="27">
    <w:abstractNumId w:val="1"/>
  </w:num>
  <w:num w:numId="28">
    <w:abstractNumId w:val="1"/>
  </w:num>
  <w:num w:numId="29">
    <w:abstractNumId w:val="1"/>
  </w:num>
  <w:num w:numId="30">
    <w:abstractNumId w:val="1"/>
  </w:num>
  <w:num w:numId="31">
    <w:abstractNumId w:val="1"/>
  </w:num>
  <w:num w:numId="32">
    <w:abstractNumId w:val="1"/>
  </w:num>
  <w:num w:numId="33">
    <w:abstractNumId w:val="1"/>
  </w:num>
  <w:num w:numId="34">
    <w:abstractNumId w:val="1"/>
  </w:num>
  <w:num w:numId="35">
    <w:abstractNumId w:val="1"/>
  </w:num>
  <w:num w:numId="36">
    <w:abstractNumId w:val="1"/>
  </w:num>
  <w:num w:numId="37">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n-GB" w:vendorID="64" w:dllVersion="131078" w:nlCheck="1" w:checkStyle="1"/>
  <w:activeWritingStyle w:appName="MSWord" w:lang="es-ES_tradnl" w:vendorID="64" w:dllVersion="131078" w:nlCheck="1" w:checkStyle="1"/>
  <w:activeWritingStyle w:appName="MSWord" w:lang="en-US" w:vendorID="64" w:dllVersion="131078" w:nlCheck="1" w:checkStyle="1"/>
  <w:activeWritingStyle w:appName="MSWord" w:lang="fr-SN"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eastAsia="en-US"/>
    </w:rPr>
  </w:style>
  <w:style w:type="paragraph" w:styleId="Heading1">
    <w:name w:val="heading 1"/>
    <w:aliases w:val="Table_G"/>
    <w:basedOn w:val="SingleTxtG"/>
    <w:next w:val="SingleTxtG"/>
    <w:qFormat/>
    <w:pPr>
      <w:keepNext/>
      <w:keepLines/>
      <w:spacing w:after="0" w:line="240" w:lineRule="auto"/>
      <w:ind w:right="0"/>
      <w:jc w:val="left"/>
      <w:outlineLvl w:val="0"/>
    </w:pPr>
  </w:style>
  <w:style w:type="paragraph" w:styleId="Heading2">
    <w:name w:val="heading 2"/>
    <w:basedOn w:val="Normal"/>
    <w:next w:val="Normal"/>
    <w:qFormat/>
    <w:pPr>
      <w:outlineLvl w:val="1"/>
    </w:pPr>
  </w:style>
  <w:style w:type="paragraph" w:styleId="Heading3">
    <w:name w:val="heading 3"/>
    <w:basedOn w:val="Normal"/>
    <w:next w:val="Normal"/>
    <w:qFormat/>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SingleTxtG">
    <w:name w:val="_ Single Txt_G"/>
    <w:basedOn w:val="Normal"/>
    <w:link w:val="SingleTxtGCar"/>
    <w:pPr>
      <w:spacing w:after="120"/>
      <w:ind w:left="1134" w:right="1134"/>
      <w:jc w:val="both"/>
    </w:pPr>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ar"/>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
      </w:numPr>
      <w:spacing w:after="120"/>
      <w:ind w:right="1134"/>
      <w:jc w:val="both"/>
    </w:pPr>
  </w:style>
  <w:style w:type="paragraph" w:customStyle="1" w:styleId="Bullet2G">
    <w:name w:val="_Bullet 2_G"/>
    <w:basedOn w:val="Normal"/>
    <w:pPr>
      <w:numPr>
        <w:numId w:val="2"/>
      </w:numPr>
      <w:spacing w:after="120"/>
      <w:ind w:right="1134"/>
      <w:jc w:val="both"/>
    </w:pPr>
  </w:style>
  <w:style w:type="character" w:styleId="FootnoteReference">
    <w:name w:val="footnote reference"/>
    <w:aliases w:val="4_G"/>
    <w:rPr>
      <w:rFonts w:ascii="Times New Roman" w:hAnsi="Times New Roman"/>
      <w:sz w:val="18"/>
      <w:vertAlign w:val="superscript"/>
      <w:lang w:val="fr-CH"/>
    </w:rPr>
  </w:style>
  <w:style w:type="character" w:styleId="EndnoteReference">
    <w:name w:val="endnote reference"/>
    <w:aliases w:val="1_G"/>
    <w:basedOn w:val="FootnoteReference"/>
    <w:rPr>
      <w:rFonts w:ascii="Times New Roman" w:hAnsi="Times New Roman"/>
      <w:sz w:val="18"/>
      <w:vertAlign w:val="superscript"/>
      <w:lang w:val="fr-CH"/>
    </w:rPr>
  </w:style>
  <w:style w:type="paragraph" w:styleId="Header">
    <w:name w:val="header"/>
    <w:aliases w:val="6_G"/>
    <w:basedOn w:val="Normal"/>
    <w:next w:val="Normal"/>
    <w:pPr>
      <w:pBdr>
        <w:bottom w:val="single" w:sz="4" w:space="4" w:color="auto"/>
      </w:pBdr>
      <w:spacing w:line="240" w:lineRule="auto"/>
    </w:pPr>
    <w:rPr>
      <w:b/>
      <w:sz w:val="18"/>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styleId="EndnoteText">
    <w:name w:val="endnote text"/>
    <w:aliases w:val="2_G"/>
    <w:basedOn w:val="FootnoteText"/>
  </w:style>
  <w:style w:type="character" w:styleId="PageNumber">
    <w:name w:val="page number"/>
    <w:aliases w:val="7_G"/>
    <w:rPr>
      <w:rFonts w:ascii="Times New Roman" w:hAnsi="Times New Roman"/>
      <w:b/>
      <w:sz w:val="18"/>
      <w:lang w:val="fr-CH"/>
    </w:rPr>
  </w:style>
  <w:style w:type="paragraph" w:styleId="Footer">
    <w:name w:val="footer"/>
    <w:aliases w:val="3_G"/>
    <w:basedOn w:val="Normal"/>
    <w:next w:val="Normal"/>
    <w:pPr>
      <w:spacing w:line="240" w:lineRule="auto"/>
    </w:pPr>
    <w:rPr>
      <w:sz w:val="16"/>
    </w:rPr>
  </w:style>
  <w:style w:type="character" w:styleId="Hyperlink">
    <w:name w:val="Hyperlink"/>
    <w:rPr>
      <w:color w:val="auto"/>
      <w:u w:val="none"/>
    </w:rPr>
  </w:style>
  <w:style w:type="character" w:styleId="FollowedHyperlink">
    <w:name w:val="FollowedHyperlink"/>
    <w:rPr>
      <w:color w:val="auto"/>
      <w:u w:val="none"/>
    </w:rPr>
  </w:style>
  <w:style w:type="table" w:styleId="TableGrid">
    <w:name w:val="Table Grid"/>
    <w:basedOn w:val="TableNormal"/>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23GCar">
    <w:name w:val="_ H_2/3_G Car"/>
    <w:link w:val="H23G"/>
    <w:rPr>
      <w:b/>
      <w:lang w:val="fr-CH" w:eastAsia="en-US" w:bidi="ar-SA"/>
    </w:rPr>
  </w:style>
  <w:style w:type="character" w:customStyle="1" w:styleId="SingleTxtGCar">
    <w:name w:val="_ Single Txt_G Car"/>
    <w:link w:val="SingleTxtG"/>
    <w:rPr>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image" Target="media/image5.png"/><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emf"/><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oleObject" Target="embeddings/oleObject1.bin"/><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1" Type="http://schemas.openxmlformats.org/officeDocument/2006/relationships/image" Target="media/image6.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127</Pages>
  <Words>51353</Words>
  <Characters>273214</Characters>
  <Application>Microsoft Office Word</Application>
  <DocSecurity>4</DocSecurity>
  <Lines>6712</Lines>
  <Paragraphs>3881</Paragraphs>
  <ScaleCrop>false</ScaleCrop>
  <HeadingPairs>
    <vt:vector size="2" baseType="variant">
      <vt:variant>
        <vt:lpstr>Titre</vt:lpstr>
      </vt:variant>
      <vt:variant>
        <vt:i4>1</vt:i4>
      </vt:variant>
    </vt:vector>
  </HeadingPairs>
  <TitlesOfParts>
    <vt:vector size="1" baseType="lpstr">
      <vt:lpstr>CRC/C/MDG/3-4</vt:lpstr>
    </vt:vector>
  </TitlesOfParts>
  <Company>Corine</Company>
  <LinksUpToDate>false</LinksUpToDate>
  <CharactersWithSpaces>321454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CRC/C/MDG/3-4</dc:title>
  <dc:subject>final</dc:subject>
  <dc:creator>Dunand</dc:creator>
  <cp:keywords/>
  <dc:description/>
  <cp:lastModifiedBy>Dunand</cp:lastModifiedBy>
  <cp:revision>2</cp:revision>
  <cp:lastPrinted>2010-05-17T14:57:00Z</cp:lastPrinted>
  <dcterms:created xsi:type="dcterms:W3CDTF">2010-05-17T14:59:00Z</dcterms:created>
  <dcterms:modified xsi:type="dcterms:W3CDTF">2010-05-17T14:59:00Z</dcterms:modified>
</cp:coreProperties>
</file>