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702A" w:rsidRDefault="0094702A" w:rsidP="0094702A">
      <w:pPr>
        <w:spacing w:line="60" w:lineRule="exact"/>
        <w:rPr>
          <w:sz w:val="6"/>
        </w:rPr>
        <w:sectPr w:rsidR="0094702A" w:rsidSect="0094702A">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94702A" w:rsidRDefault="0094702A" w:rsidP="0094702A">
      <w:pPr>
        <w:spacing w:line="60" w:lineRule="exact"/>
        <w:rPr>
          <w:rFonts w:hint="eastAsia"/>
          <w:sz w:val="6"/>
        </w:rPr>
      </w:pPr>
    </w:p>
    <w:p w:rsidR="0094702A" w:rsidRDefault="00636E32" w:rsidP="0094702A">
      <w:pPr>
        <w:pStyle w:val="H1"/>
        <w:rPr>
          <w:rFonts w:ascii="Times New Roman" w:hint="eastAsia"/>
        </w:rPr>
      </w:pPr>
      <w:r>
        <w:rPr>
          <w:rFonts w:ascii="Times New Roman" w:hint="eastAsia"/>
        </w:rPr>
        <w:t>人权委员会</w:t>
      </w:r>
    </w:p>
    <w:p w:rsidR="00636E32" w:rsidRPr="00636E32" w:rsidRDefault="00636E32" w:rsidP="00636E32">
      <w:pPr>
        <w:pStyle w:val="H23"/>
        <w:spacing w:after="60"/>
        <w:rPr>
          <w:rFonts w:hint="eastAsia"/>
        </w:rPr>
      </w:pPr>
      <w:r>
        <w:rPr>
          <w:rFonts w:hint="eastAsia"/>
        </w:rPr>
        <w:t>第九十八届会议</w:t>
      </w:r>
    </w:p>
    <w:p w:rsidR="0094702A" w:rsidRDefault="0094702A" w:rsidP="0094702A">
      <w:pPr>
        <w:spacing w:line="120" w:lineRule="exact"/>
        <w:rPr>
          <w:rFonts w:hint="eastAsia"/>
          <w:sz w:val="12"/>
        </w:rPr>
      </w:pPr>
    </w:p>
    <w:p w:rsidR="0094702A" w:rsidRDefault="0094702A" w:rsidP="0094702A">
      <w:pPr>
        <w:pStyle w:val="H23"/>
        <w:rPr>
          <w:rFonts w:hint="eastAsia"/>
        </w:rPr>
      </w:pPr>
      <w:r>
        <w:rPr>
          <w:rFonts w:hint="eastAsia"/>
        </w:rPr>
        <w:t>第</w:t>
      </w:r>
      <w:r w:rsidR="00636E32">
        <w:rPr>
          <w:rFonts w:hint="eastAsia"/>
        </w:rPr>
        <w:t>2687</w:t>
      </w:r>
      <w:r>
        <w:rPr>
          <w:rFonts w:hint="eastAsia"/>
        </w:rPr>
        <w:t>次会议简要记录</w:t>
      </w:r>
    </w:p>
    <w:p w:rsidR="0094702A" w:rsidRDefault="00636E32" w:rsidP="0094702A">
      <w:pPr>
        <w:rPr>
          <w:rFonts w:hint="eastAsia"/>
        </w:rPr>
      </w:pPr>
      <w:r>
        <w:rPr>
          <w:rFonts w:hint="eastAsia"/>
        </w:rPr>
        <w:t>2010</w:t>
      </w:r>
      <w:r w:rsidR="0094702A">
        <w:rPr>
          <w:rFonts w:hint="eastAsia"/>
        </w:rPr>
        <w:t>年</w:t>
      </w:r>
      <w:r>
        <w:rPr>
          <w:rFonts w:hint="eastAsia"/>
        </w:rPr>
        <w:t>3</w:t>
      </w:r>
      <w:r w:rsidR="0094702A">
        <w:rPr>
          <w:rFonts w:hint="eastAsia"/>
        </w:rPr>
        <w:t>月</w:t>
      </w:r>
      <w:r>
        <w:rPr>
          <w:rFonts w:hint="eastAsia"/>
        </w:rPr>
        <w:t>9</w:t>
      </w:r>
      <w:r w:rsidR="0094702A">
        <w:rPr>
          <w:rFonts w:hint="eastAsia"/>
        </w:rPr>
        <w:t>日星期</w:t>
      </w:r>
      <w:r>
        <w:rPr>
          <w:rFonts w:hint="eastAsia"/>
        </w:rPr>
        <w:t>二上</w:t>
      </w:r>
      <w:r w:rsidR="0094702A">
        <w:rPr>
          <w:rFonts w:hint="eastAsia"/>
        </w:rPr>
        <w:t>午</w:t>
      </w:r>
      <w:r>
        <w:rPr>
          <w:rFonts w:hint="eastAsia"/>
        </w:rPr>
        <w:t>10</w:t>
      </w:r>
      <w:r w:rsidR="0094702A">
        <w:rPr>
          <w:rFonts w:hint="eastAsia"/>
        </w:rPr>
        <w:t>时在纽约总部举行</w:t>
      </w:r>
    </w:p>
    <w:p w:rsidR="0094702A" w:rsidRPr="0094702A" w:rsidRDefault="0094702A" w:rsidP="0094702A">
      <w:pPr>
        <w:spacing w:line="120" w:lineRule="exact"/>
        <w:rPr>
          <w:rFonts w:hint="eastAsia"/>
          <w:sz w:val="10"/>
        </w:rPr>
      </w:pPr>
    </w:p>
    <w:p w:rsidR="0094702A" w:rsidRDefault="0094702A" w:rsidP="0094702A">
      <w:pPr>
        <w:tabs>
          <w:tab w:val="left" w:pos="1267"/>
          <w:tab w:val="right" w:leader="dot" w:pos="8568"/>
        </w:tabs>
        <w:ind w:right="1267"/>
        <w:rPr>
          <w:rFonts w:hint="eastAsia"/>
          <w:color w:val="000000"/>
        </w:rPr>
      </w:pPr>
      <w:r>
        <w:rPr>
          <w:rFonts w:eastAsia="KaiTi_GB2312" w:hint="eastAsia"/>
        </w:rPr>
        <w:t>主席：</w:t>
      </w:r>
      <w:r>
        <w:rPr>
          <w:color w:val="000000"/>
        </w:rPr>
        <w:tab/>
      </w:r>
      <w:r w:rsidR="00636E32">
        <w:rPr>
          <w:rFonts w:hint="eastAsia"/>
          <w:color w:val="000000"/>
        </w:rPr>
        <w:t>岩泽先生</w:t>
      </w:r>
    </w:p>
    <w:p w:rsidR="0094702A" w:rsidRPr="0094702A" w:rsidRDefault="0094702A" w:rsidP="0094702A">
      <w:pPr>
        <w:tabs>
          <w:tab w:val="left" w:pos="1267"/>
          <w:tab w:val="right" w:leader="dot" w:pos="8568"/>
        </w:tabs>
        <w:spacing w:line="120" w:lineRule="exact"/>
        <w:ind w:right="1267"/>
        <w:rPr>
          <w:rFonts w:hint="eastAsia"/>
          <w:color w:val="000000"/>
          <w:sz w:val="10"/>
        </w:rPr>
      </w:pPr>
    </w:p>
    <w:p w:rsidR="0094702A" w:rsidRPr="0094702A" w:rsidRDefault="0094702A" w:rsidP="0094702A">
      <w:pPr>
        <w:tabs>
          <w:tab w:val="left" w:pos="1267"/>
          <w:tab w:val="right" w:leader="dot" w:pos="8568"/>
        </w:tabs>
        <w:spacing w:line="120" w:lineRule="exact"/>
        <w:ind w:right="1267"/>
        <w:rPr>
          <w:rFonts w:hint="eastAsia"/>
          <w:color w:val="000000"/>
          <w:sz w:val="10"/>
        </w:rPr>
      </w:pPr>
    </w:p>
    <w:p w:rsidR="0094702A" w:rsidRPr="0094702A" w:rsidRDefault="0094702A" w:rsidP="0094702A">
      <w:pPr>
        <w:tabs>
          <w:tab w:val="left" w:pos="1267"/>
          <w:tab w:val="right" w:leader="dot" w:pos="8568"/>
        </w:tabs>
        <w:spacing w:line="120" w:lineRule="exact"/>
        <w:ind w:right="1267"/>
        <w:rPr>
          <w:rFonts w:hint="eastAsia"/>
          <w:color w:val="000000"/>
          <w:sz w:val="10"/>
        </w:rPr>
      </w:pPr>
    </w:p>
    <w:p w:rsidR="0094702A" w:rsidRDefault="0094702A" w:rsidP="0094702A">
      <w:pPr>
        <w:pStyle w:val="HCh"/>
        <w:rPr>
          <w:rFonts w:eastAsia="SimSun" w:hint="eastAsia"/>
        </w:rPr>
      </w:pPr>
      <w:r>
        <w:rPr>
          <w:rFonts w:eastAsia="SimSun" w:hint="eastAsia"/>
        </w:rPr>
        <w:t>目录</w:t>
      </w:r>
    </w:p>
    <w:p w:rsidR="0094702A" w:rsidRDefault="0094702A" w:rsidP="0094702A">
      <w:pPr>
        <w:pStyle w:val="HCh"/>
        <w:spacing w:line="240" w:lineRule="auto"/>
        <w:rPr>
          <w:rFonts w:eastAsia="SimSun" w:hint="eastAsia"/>
          <w:sz w:val="14"/>
        </w:rPr>
      </w:pPr>
    </w:p>
    <w:p w:rsidR="00636E32" w:rsidRDefault="00636E32" w:rsidP="00636E32">
      <w:pPr>
        <w:pStyle w:val="SingleTxt"/>
        <w:rPr>
          <w:rFonts w:hint="eastAsia"/>
        </w:rPr>
      </w:pPr>
      <w:r>
        <w:rPr>
          <w:rFonts w:hint="eastAsia"/>
        </w:rPr>
        <w:t>审议缔约国根据《公约》第40条提交的报告(</w:t>
      </w:r>
      <w:r w:rsidRPr="005F159B">
        <w:rPr>
          <w:rFonts w:ascii="KaiTi_GB2312" w:eastAsia="KaiTi_GB2312" w:hint="eastAsia"/>
        </w:rPr>
        <w:t>续</w:t>
      </w:r>
      <w:r>
        <w:rPr>
          <w:rFonts w:hint="eastAsia"/>
        </w:rPr>
        <w:t>)</w:t>
      </w:r>
    </w:p>
    <w:p w:rsidR="0094702A" w:rsidRDefault="005F159B" w:rsidP="00636E32">
      <w:pPr>
        <w:pStyle w:val="SingleTxt"/>
        <w:rPr>
          <w:rFonts w:hint="eastAsia"/>
        </w:rPr>
      </w:pPr>
      <w:r>
        <w:rPr>
          <w:rFonts w:hint="eastAsia"/>
        </w:rPr>
        <w:tab/>
      </w:r>
      <w:r w:rsidR="00636E32" w:rsidRPr="005F159B">
        <w:rPr>
          <w:rFonts w:ascii="KaiTi_GB2312" w:eastAsia="KaiTi_GB2312" w:hint="eastAsia"/>
        </w:rPr>
        <w:t>墨西哥的第五次定期报告</w:t>
      </w:r>
      <w:r w:rsidR="00636E32">
        <w:rPr>
          <w:rFonts w:hint="eastAsia"/>
        </w:rPr>
        <w:t>(</w:t>
      </w:r>
      <w:r w:rsidR="00636E32" w:rsidRPr="005F159B">
        <w:rPr>
          <w:rFonts w:ascii="KaiTi_GB2312" w:eastAsia="KaiTi_GB2312" w:hint="eastAsia"/>
        </w:rPr>
        <w:t>续</w:t>
      </w:r>
      <w:r w:rsidR="00636E32">
        <w:rPr>
          <w:rFonts w:hint="eastAsia"/>
        </w:rPr>
        <w:t>)</w:t>
      </w:r>
    </w:p>
    <w:p w:rsidR="0094702A" w:rsidRDefault="0094702A" w:rsidP="0094702A">
      <w:pPr>
        <w:pStyle w:val="SingleTxt"/>
        <w:spacing w:line="40" w:lineRule="exact"/>
        <w:sectPr w:rsidR="0094702A" w:rsidSect="0094702A">
          <w:type w:val="continuous"/>
          <w:pgSz w:w="12240" w:h="15840" w:code="1"/>
          <w:pgMar w:top="1742" w:right="1195" w:bottom="1898" w:left="1195" w:header="576" w:footer="1030" w:gutter="0"/>
          <w:cols w:space="425"/>
          <w:noEndnote/>
          <w:docGrid w:linePitch="312"/>
        </w:sectPr>
      </w:pPr>
      <w:r>
        <w:br w:type="page"/>
      </w:r>
    </w:p>
    <w:p w:rsidR="00636E32" w:rsidRPr="00636E32" w:rsidRDefault="00636E32" w:rsidP="00636E32">
      <w:pPr>
        <w:pStyle w:val="DualTxt"/>
        <w:rPr>
          <w:rFonts w:ascii="KaiTi_GB2312" w:eastAsia="KaiTi_GB2312" w:hint="eastAsia"/>
        </w:rPr>
      </w:pPr>
      <w:r>
        <w:rPr>
          <w:rFonts w:hint="eastAsia"/>
        </w:rPr>
        <w:tab/>
      </w:r>
      <w:r w:rsidRPr="00636E32">
        <w:rPr>
          <w:rFonts w:ascii="KaiTi_GB2312" w:eastAsia="KaiTi_GB2312" w:hint="eastAsia"/>
        </w:rPr>
        <w:t>上午10时12分开会</w:t>
      </w:r>
      <w:r>
        <w:rPr>
          <w:rFonts w:ascii="KaiTi_GB2312" w:eastAsia="KaiTi_GB2312" w:hint="eastAsia"/>
        </w:rPr>
        <w:t>。</w:t>
      </w:r>
    </w:p>
    <w:p w:rsidR="00636E32" w:rsidRPr="00636E32" w:rsidRDefault="00636E32" w:rsidP="00636E32">
      <w:pPr>
        <w:pStyle w:val="DualTxt"/>
        <w:rPr>
          <w:rFonts w:ascii="SimHei" w:eastAsia="SimHei" w:hint="eastAsia"/>
        </w:rPr>
      </w:pPr>
      <w:r w:rsidRPr="00636E32">
        <w:rPr>
          <w:rFonts w:ascii="SimHei" w:eastAsia="SimHei" w:hint="eastAsia"/>
        </w:rPr>
        <w:t>审议缔约国根据《公约》第40条提交的报告</w:t>
      </w:r>
      <w:r w:rsidRPr="00636E32">
        <w:rPr>
          <w:rFonts w:hint="eastAsia"/>
        </w:rPr>
        <w:t>(</w:t>
      </w:r>
      <w:r w:rsidRPr="00636E32">
        <w:rPr>
          <w:rFonts w:ascii="KaiTi_GB2312" w:eastAsia="KaiTi_GB2312" w:hint="eastAsia"/>
        </w:rPr>
        <w:t>续</w:t>
      </w:r>
      <w:r w:rsidRPr="00636E32">
        <w:rPr>
          <w:rFonts w:hint="eastAsia"/>
        </w:rPr>
        <w:t>)</w:t>
      </w:r>
    </w:p>
    <w:p w:rsidR="00636E32" w:rsidRDefault="00636E32" w:rsidP="00636E32">
      <w:pPr>
        <w:pStyle w:val="DualTxt"/>
        <w:ind w:left="432"/>
        <w:rPr>
          <w:rFonts w:hint="eastAsia"/>
        </w:rPr>
      </w:pPr>
      <w:r w:rsidRPr="00636E32">
        <w:rPr>
          <w:rFonts w:ascii="KaiTi_GB2312" w:eastAsia="KaiTi_GB2312" w:hint="eastAsia"/>
        </w:rPr>
        <w:t>墨西哥的第五次定期报告</w:t>
      </w:r>
      <w:r>
        <w:rPr>
          <w:rFonts w:hint="eastAsia"/>
        </w:rPr>
        <w:t>(</w:t>
      </w:r>
      <w:r w:rsidRPr="00636E32">
        <w:rPr>
          <w:rFonts w:ascii="KaiTi_GB2312" w:eastAsia="KaiTi_GB2312" w:hint="eastAsia"/>
        </w:rPr>
        <w:t>续</w:t>
      </w:r>
      <w:r>
        <w:rPr>
          <w:rFonts w:hint="eastAsia"/>
        </w:rPr>
        <w:t>)(CCPR/C/MEX/5)</w:t>
      </w:r>
    </w:p>
    <w:p w:rsidR="00636E32" w:rsidRPr="00636E32" w:rsidRDefault="00636E32" w:rsidP="00636E32">
      <w:pPr>
        <w:pStyle w:val="DualTxt"/>
        <w:rPr>
          <w:rFonts w:ascii="KaiTi_GB2312" w:eastAsia="KaiTi_GB2312" w:hint="eastAsia"/>
        </w:rPr>
      </w:pPr>
      <w:r>
        <w:rPr>
          <w:rFonts w:hint="eastAsia"/>
        </w:rPr>
        <w:t>1.</w:t>
      </w:r>
      <w:r>
        <w:rPr>
          <w:rFonts w:hint="eastAsia"/>
        </w:rPr>
        <w:tab/>
      </w:r>
      <w:r w:rsidRPr="00636E32">
        <w:rPr>
          <w:rFonts w:ascii="KaiTi_GB2312" w:eastAsia="KaiTi_GB2312" w:hint="eastAsia"/>
        </w:rPr>
        <w:t>应主席邀请，墨西哥代表团成员在委员会议席就座。</w:t>
      </w:r>
    </w:p>
    <w:p w:rsidR="00636E32" w:rsidRDefault="00636E32" w:rsidP="00636E32">
      <w:pPr>
        <w:pStyle w:val="DualTxt"/>
        <w:rPr>
          <w:rFonts w:hint="eastAsia"/>
        </w:rPr>
      </w:pPr>
      <w:r>
        <w:rPr>
          <w:rFonts w:hint="eastAsia"/>
        </w:rPr>
        <w:t>2.</w:t>
      </w:r>
      <w:r>
        <w:rPr>
          <w:rFonts w:hint="eastAsia"/>
        </w:rPr>
        <w:tab/>
      </w:r>
      <w:r w:rsidRPr="00322044">
        <w:rPr>
          <w:rFonts w:ascii="SimHei" w:eastAsia="SimHei" w:hint="eastAsia"/>
        </w:rPr>
        <w:t>主席</w:t>
      </w:r>
      <w:r>
        <w:rPr>
          <w:rFonts w:hint="eastAsia"/>
        </w:rPr>
        <w:t>邀请墨西哥代表团成员回答委员会成员在上一次会议上提出的口头问题。</w:t>
      </w:r>
    </w:p>
    <w:p w:rsidR="00636E32" w:rsidRDefault="00636E32" w:rsidP="00636E32">
      <w:pPr>
        <w:pStyle w:val="DualTxt"/>
        <w:rPr>
          <w:rFonts w:hint="eastAsia"/>
        </w:rPr>
      </w:pPr>
      <w:r>
        <w:rPr>
          <w:rFonts w:hint="eastAsia"/>
        </w:rPr>
        <w:t>3.</w:t>
      </w:r>
      <w:r>
        <w:rPr>
          <w:rFonts w:hint="eastAsia"/>
        </w:rPr>
        <w:tab/>
      </w:r>
      <w:r w:rsidRPr="00322044">
        <w:rPr>
          <w:rFonts w:ascii="SimHei" w:eastAsia="SimHei" w:hint="eastAsia"/>
        </w:rPr>
        <w:t>Mercado Casillas先生</w:t>
      </w:r>
      <w:r>
        <w:rPr>
          <w:rFonts w:hint="eastAsia"/>
        </w:rPr>
        <w:t xml:space="preserve">(墨西哥)说，政府最近在华雷斯市启动了一个方案，将所有联邦部门纳入消除暴力根源和重建该市社会结构的干预计划。该计划以最脆弱的地区为重点，市民参与该计划的制订、执行和后续行动是计划的关键方面。该计划涉及五点内容，即贫穷和脆弱、健康、教育、创造和恢复空间以及经济发展和就业机会。 </w:t>
      </w:r>
    </w:p>
    <w:p w:rsidR="00636E32" w:rsidRDefault="00636E32" w:rsidP="00636E32">
      <w:pPr>
        <w:pStyle w:val="DualTxt"/>
        <w:spacing w:after="180"/>
        <w:rPr>
          <w:rFonts w:hint="eastAsia"/>
        </w:rPr>
      </w:pPr>
      <w:r>
        <w:rPr>
          <w:rFonts w:hint="eastAsia"/>
        </w:rPr>
        <w:t>4.</w:t>
      </w:r>
      <w:r>
        <w:rPr>
          <w:rFonts w:hint="eastAsia"/>
        </w:rPr>
        <w:tab/>
        <w:t>联邦政府致力于提高法律标准，确保妇女享有无暴力生活的权利得到认可，确保这项权利得到履行，并建立惩处暴力行为和防止暴力行为重复发生的机构机制。这是一个全面的进程，其目的是通过在各级进行改革，包括在民事立法和刑事立法领域进行改革，加强和巩固现有制度。政府正在落实那些有关消除歧视性立法和修正阻碍妇女诉诸法律的刑事立法的建议。</w:t>
      </w:r>
    </w:p>
    <w:p w:rsidR="00636E32" w:rsidRDefault="00636E32" w:rsidP="00636E32">
      <w:pPr>
        <w:pStyle w:val="DualTxt"/>
        <w:rPr>
          <w:rFonts w:hint="eastAsia"/>
        </w:rPr>
      </w:pPr>
      <w:r>
        <w:rPr>
          <w:rFonts w:hint="eastAsia"/>
        </w:rPr>
        <w:t>5.</w:t>
      </w:r>
      <w:r>
        <w:rPr>
          <w:rFonts w:hint="eastAsia"/>
        </w:rPr>
        <w:tab/>
      </w:r>
      <w:r w:rsidRPr="00322044">
        <w:rPr>
          <w:rFonts w:ascii="SimHei" w:eastAsia="SimHei" w:hint="eastAsia"/>
        </w:rPr>
        <w:t>Navarrete Gutiérrez先生</w:t>
      </w:r>
      <w:r>
        <w:rPr>
          <w:rFonts w:hint="eastAsia"/>
        </w:rPr>
        <w:t>(墨西哥)说，虽然墨西哥政府明确谴责暴力侵害妇女的行为，但是，保证妇女享有无暴力生活却是一项重大挑战。立法框架尚不足以消除轻视妇女现象。尽管如此，政府已努力加强公共政策，以改变暴力的结构性根源。尽管面临着经济危机，政府仍然为遏制歧视妇女现象划拨了有史以来最高的专项资金，并且每季度对资金进行审查。12个联邦政府部门设立了两性平等股，说明两性平等是贯穿各领域的关切问题。所有31个联邦实体均设有提高妇女地位的机制，并为此获得联邦的财政支持和其他支持。已创建近900个市政机构，以便在地方一级处理两性平等问题，司法机构也制订了若干促进两性平等的举措。包括最高法院和选举法庭在内的机构设立了两性平等股，为司法人员提供两性平等和人权方面的培训。虽然这一进程很缓慢，但是2007年以来的培训人数超过了10 500人。国防部在所有职位的征聘流程中纳入两性平等观点。教育大纲中已纳入两性平等和人权科目，并消除了军队内的薪金差距，使更多妇女可获得中高级别的指挥职位。妇女如今可在具有排他性的海军工程学校就学。 国防部和海军事务部近期公布了其两性平等方案。</w:t>
      </w:r>
    </w:p>
    <w:p w:rsidR="00636E32" w:rsidRDefault="00636E32" w:rsidP="00636E32">
      <w:pPr>
        <w:pStyle w:val="DualTxt"/>
        <w:spacing w:after="180"/>
        <w:rPr>
          <w:rFonts w:hint="eastAsia"/>
        </w:rPr>
      </w:pPr>
      <w:r>
        <w:rPr>
          <w:rFonts w:hint="eastAsia"/>
        </w:rPr>
        <w:t>6.</w:t>
      </w:r>
      <w:r>
        <w:rPr>
          <w:rFonts w:hint="eastAsia"/>
        </w:rPr>
        <w:tab/>
        <w:t xml:space="preserve">反对暴力的法律虽然不完善，却仅仅用了两年时间就得到执行。有些州正在调整立法，使之与联邦法律和国际条约相一致。奇瓦瓦和恰帕斯最近对立法进行了修正，以便规定建立联邦两性平等警报系统的后续机制，该系统已在墨西哥全境、甚至在那些未将该系统纳入其立法的州投入使用。 </w:t>
      </w:r>
    </w:p>
    <w:p w:rsidR="00636E32" w:rsidRDefault="00636E32" w:rsidP="00636E32">
      <w:pPr>
        <w:pStyle w:val="DualTxt"/>
        <w:spacing w:after="180"/>
        <w:rPr>
          <w:rFonts w:hint="eastAsia"/>
        </w:rPr>
      </w:pPr>
      <w:r>
        <w:rPr>
          <w:rFonts w:hint="eastAsia"/>
        </w:rPr>
        <w:t>7.</w:t>
      </w:r>
      <w:r>
        <w:rPr>
          <w:rFonts w:hint="eastAsia"/>
        </w:rPr>
        <w:tab/>
        <w:t xml:space="preserve">他在谈及生命权问题时说，已对18个州的宪法进行了修改，以保障生命权；其中10个州继续禁止人工流产。只有4个州由于联邦宪政改革修正了其刑事立法。正如最高法院在提及联邦区的人工流产改革时所指出的那样，地方立法改革并未使各州免予遵守国际条约或国家监督机制的标准。在全国适用有关家庭暴力的第46号国家正式标准以及消除各州立法与《宪法》和(或)各项国际人权条约规定之间的差异不是一件容易的任务。不过，政府仍致力于促进妇女权利，特别是其生殖权和性权利，并确保这些权利得到充分的履行。 </w:t>
      </w:r>
    </w:p>
    <w:p w:rsidR="00636E32" w:rsidRDefault="00636E32" w:rsidP="00636E32">
      <w:pPr>
        <w:pStyle w:val="DualTxt"/>
        <w:spacing w:after="180"/>
        <w:rPr>
          <w:rFonts w:hint="eastAsia"/>
        </w:rPr>
      </w:pPr>
      <w:r>
        <w:rPr>
          <w:rFonts w:hint="eastAsia"/>
        </w:rPr>
        <w:t>8.</w:t>
      </w:r>
      <w:r>
        <w:rPr>
          <w:rFonts w:hint="eastAsia"/>
        </w:rPr>
        <w:tab/>
      </w:r>
      <w:r w:rsidRPr="00322044">
        <w:rPr>
          <w:rFonts w:ascii="SimHei" w:eastAsia="SimHei" w:hint="eastAsia"/>
        </w:rPr>
        <w:t>Fernández del Castillo先生</w:t>
      </w:r>
      <w:r>
        <w:rPr>
          <w:rFonts w:hint="eastAsia"/>
        </w:rPr>
        <w:t>(墨西哥)说，1996年开始对保健服务进行分散管理，将保健管辖权移交各州。尽管卫生部制订了保健立法应用程序，特别是向强奸受害人提供服务方面的应用程序，但地方当局可根据情况酌情采纳国家的建议。</w:t>
      </w:r>
    </w:p>
    <w:p w:rsidR="00636E32" w:rsidRDefault="00636E32" w:rsidP="00636E32">
      <w:pPr>
        <w:pStyle w:val="DualTxt"/>
        <w:rPr>
          <w:rFonts w:hint="eastAsia"/>
        </w:rPr>
      </w:pPr>
      <w:r>
        <w:rPr>
          <w:rFonts w:hint="eastAsia"/>
        </w:rPr>
        <w:t>9.</w:t>
      </w:r>
      <w:r>
        <w:rPr>
          <w:rFonts w:hint="eastAsia"/>
        </w:rPr>
        <w:tab/>
      </w:r>
      <w:r w:rsidRPr="00322044">
        <w:rPr>
          <w:rFonts w:ascii="SimHei" w:eastAsia="SimHei" w:hint="eastAsia"/>
        </w:rPr>
        <w:t>Ballados Villagómez先生</w:t>
      </w:r>
      <w:r>
        <w:rPr>
          <w:rFonts w:hint="eastAsia"/>
        </w:rPr>
        <w:t>(墨西哥)说，选举法庭解决了涉及妇女参与政治生活的若干案件。旨在确保妇女担任政治职务的条例得到了澄清。委员会可借鉴独立学术机构对一起案件的重大审查结果。更多妇女在联邦一级提出申诉；选举法庭在2009年审理的案件中有50</w:t>
      </w:r>
      <w:r w:rsidR="00322044">
        <w:rPr>
          <w:rFonts w:hint="eastAsia"/>
        </w:rPr>
        <w:t>%</w:t>
      </w:r>
      <w:r>
        <w:rPr>
          <w:rFonts w:hint="eastAsia"/>
        </w:rPr>
        <w:t>以上的案件是妇女提出的。墨西哥代表团提供了200多起选举法庭在判决时援引《公约》的案件清单，这些判决已向美洲国家组织和美洲人权研究所充分披露。选举法庭一贯优先考虑有利于平等获得选举权和平等利用司法系统的所有解释，并已呼吁支持这类案件，尽管现行选举准则并未规定这样做。报告中关于《公约》第26条(法律面前平等和不歧视)的一节(CCPR/C/MEX/5，第954至957段)详细阐述了在保障土著居民选举权方面取得的进步。</w:t>
      </w:r>
    </w:p>
    <w:p w:rsidR="00636E32" w:rsidRDefault="00636E32" w:rsidP="00636E32">
      <w:pPr>
        <w:pStyle w:val="DualTxt"/>
        <w:rPr>
          <w:rFonts w:hint="eastAsia"/>
        </w:rPr>
      </w:pPr>
      <w:r>
        <w:rPr>
          <w:rFonts w:hint="eastAsia"/>
        </w:rPr>
        <w:t>10.</w:t>
      </w:r>
      <w:r>
        <w:rPr>
          <w:rFonts w:hint="eastAsia"/>
        </w:rPr>
        <w:tab/>
      </w:r>
      <w:r w:rsidRPr="00322044">
        <w:rPr>
          <w:rFonts w:ascii="SimHei" w:eastAsia="SimHei" w:hint="eastAsia"/>
        </w:rPr>
        <w:t>Durán Ortegón先生</w:t>
      </w:r>
      <w:r>
        <w:rPr>
          <w:rFonts w:hint="eastAsia"/>
        </w:rPr>
        <w:t>(墨西哥)说，政府正在开展工作，增强土著妇女行使权利的能力。为此，政府启动了富有成效的组织方案，其中包括人权、两性平等观点、多种文化问题和可持续性方面的培训；参与该方案的土著妇女中有70</w:t>
      </w:r>
      <w:r w:rsidR="00322044">
        <w:rPr>
          <w:rFonts w:hint="eastAsia"/>
        </w:rPr>
        <w:t>%</w:t>
      </w:r>
      <w:r>
        <w:rPr>
          <w:rFonts w:hint="eastAsia"/>
        </w:rPr>
        <w:t>报告说，实施该方案后，歧视现象有所减少。三分之二的参与者表示她们的收入增加了，有证据表明她们对家庭和社区生活的参与程度也有所提高。为加强两性平等举办了1 000多期讲习班，使40 000多名土著妇女从中受益。显然，只有保障土著人民的权利，才能有效战胜贫穷和边缘化趋势。</w:t>
      </w:r>
    </w:p>
    <w:p w:rsidR="00636E32" w:rsidRDefault="00636E32" w:rsidP="00636E32">
      <w:pPr>
        <w:pStyle w:val="DualTxt"/>
        <w:rPr>
          <w:rFonts w:hint="eastAsia"/>
        </w:rPr>
      </w:pPr>
      <w:r>
        <w:rPr>
          <w:rFonts w:hint="eastAsia"/>
        </w:rPr>
        <w:t>11.</w:t>
      </w:r>
      <w:r>
        <w:rPr>
          <w:rFonts w:hint="eastAsia"/>
        </w:rPr>
        <w:tab/>
      </w:r>
      <w:r w:rsidRPr="00322044">
        <w:rPr>
          <w:rFonts w:ascii="SimHei" w:eastAsia="SimHei" w:hint="eastAsia"/>
        </w:rPr>
        <w:t>Heredia Rubio女士</w:t>
      </w:r>
      <w:r>
        <w:rPr>
          <w:rFonts w:hint="eastAsia"/>
        </w:rPr>
        <w:t>(墨西哥)说，尽管在妇女参政方面取得了重要的成就，但是要做的工作还有很多。宪政改革保障了所有公民的选举权，并要求各政党确保妇女在国会候选人名单上至少占40</w:t>
      </w:r>
      <w:r w:rsidR="00322044">
        <w:rPr>
          <w:rFonts w:hint="eastAsia"/>
        </w:rPr>
        <w:t>%</w:t>
      </w:r>
      <w:r>
        <w:rPr>
          <w:rFonts w:hint="eastAsia"/>
        </w:rPr>
        <w:t>。近28</w:t>
      </w:r>
      <w:r w:rsidR="00322044">
        <w:rPr>
          <w:rFonts w:hint="eastAsia"/>
        </w:rPr>
        <w:t>%</w:t>
      </w:r>
      <w:r>
        <w:rPr>
          <w:rFonts w:hint="eastAsia"/>
        </w:rPr>
        <w:t>的众议院议员都是妇女，而2000年仅为17</w:t>
      </w:r>
      <w:r w:rsidR="00322044">
        <w:rPr>
          <w:rFonts w:hint="eastAsia"/>
        </w:rPr>
        <w:t>%</w:t>
      </w:r>
      <w:r>
        <w:rPr>
          <w:rFonts w:hint="eastAsia"/>
        </w:rPr>
        <w:t xml:space="preserve">。选举法庭可对违反选举法的案件提起诉讼，公民可向选举法庭提出申诉，以保护他们的政治权利。2009年12月，行政部门提交了继续扩大和加强所有公民参政的提案，其他政治实体也提交了这方面的重要提案。参议院排期讨论的至少3项举措都明确要求扩大参政，禁止议员多次连选、鼓励公民直接提出倡议，允许独立候选人竞选公职。 </w:t>
      </w:r>
    </w:p>
    <w:p w:rsidR="00636E32" w:rsidRDefault="00636E32" w:rsidP="00636E32">
      <w:pPr>
        <w:pStyle w:val="DualTxt"/>
        <w:rPr>
          <w:rFonts w:hint="eastAsia"/>
        </w:rPr>
      </w:pPr>
      <w:r>
        <w:rPr>
          <w:rFonts w:hint="eastAsia"/>
        </w:rPr>
        <w:t>12.</w:t>
      </w:r>
      <w:r>
        <w:rPr>
          <w:rFonts w:hint="eastAsia"/>
        </w:rPr>
        <w:tab/>
      </w:r>
      <w:r w:rsidRPr="00322044">
        <w:rPr>
          <w:rFonts w:ascii="SimHei" w:eastAsia="SimHei" w:hint="eastAsia"/>
        </w:rPr>
        <w:t>Guevara Bermúdez先生</w:t>
      </w:r>
      <w:r>
        <w:rPr>
          <w:rFonts w:hint="eastAsia"/>
        </w:rPr>
        <w:t>(墨西哥)说，《宪法》第33条修正案明确规定，对外国人的驱逐由行政部门最后决定，行政部门还负责监督与拘留场所和时间有关的行政程序。尽管参议院承诺从速复核，但是由于墨西哥立法程序复杂，不可能提出一个完成宪政改革的时间表。“保护手段”一词(对问题清单上问题1的书面答复)旨在将对人权的保护与其他法律保护机制区别开来。政府正在与若干联合国机构合作，并且正在审议强迫失踪问题委员会的管辖权。虽然执行问题确实十分复杂，但是政府仍然致力于全面执行Campo Algodonero案的判决和美洲人权法院作出的其他判决。法院的裁决以印本形式公布，并公布在因特网上。修正《联邦刑法典》第215条使其符合国际条约就是一个例子，表明政府承诺以立法形式回应美洲法院的所有裁决。正在开展全国性的努力，以便与《明尼苏达议定书》及为处理华雷斯市的情况而制订的《阿尔巴议定书》协调调查方法。此外，检察长办公室正在建立失踪人员DNA数据库。</w:t>
      </w:r>
    </w:p>
    <w:p w:rsidR="00636E32" w:rsidRDefault="00636E32" w:rsidP="00322044">
      <w:pPr>
        <w:pStyle w:val="DualTxt"/>
        <w:spacing w:after="180" w:line="340" w:lineRule="exact"/>
        <w:rPr>
          <w:rFonts w:hint="eastAsia"/>
        </w:rPr>
      </w:pPr>
      <w:r>
        <w:rPr>
          <w:rFonts w:hint="eastAsia"/>
        </w:rPr>
        <w:t>13.</w:t>
      </w:r>
      <w:r>
        <w:rPr>
          <w:rFonts w:hint="eastAsia"/>
        </w:rPr>
        <w:tab/>
        <w:t xml:space="preserve">联邦实体在人权领域的进展情况参差不齐，不过，各个级别的合作却得到了促进。联邦和地方政府签订协议后，开展了人权研究，联邦实体制订了人权方案，为安保人员进行了人权培训，并在全国范围内宣传人权。政府机构之间的协调机制促进了对国际机构各项报告和建议采取后续行动，包括对美洲人权法院和人权委员会的报告和建议采取后续行动。政府正在开展工作，加强有关机制，加快地方调查工作，同时避免对个人权利造成不可挽回的损害。 </w:t>
      </w:r>
    </w:p>
    <w:p w:rsidR="00636E32" w:rsidRDefault="00636E32" w:rsidP="00322044">
      <w:pPr>
        <w:pStyle w:val="DualTxt"/>
        <w:spacing w:line="340" w:lineRule="exact"/>
        <w:rPr>
          <w:rFonts w:hint="eastAsia"/>
        </w:rPr>
      </w:pPr>
      <w:r>
        <w:rPr>
          <w:rFonts w:hint="eastAsia"/>
        </w:rPr>
        <w:t>14.</w:t>
      </w:r>
      <w:r>
        <w:rPr>
          <w:rFonts w:hint="eastAsia"/>
        </w:rPr>
        <w:tab/>
        <w:t>墨西哥认识到非政府组织和人权维护者促进和维护人权的作用。《2008-2012年全国人权方案》载有保护这些权利不受侵犯的措施。政府已接受普遍定期审议机制和人权理事会的大部分建议，包括与人权维护者有关的建议。为促进和保护人权维护者的权利，并为制订和加强各项措施以履行普遍定期审议机制的建议编写了行动计划草案。该行动计划鼓励各州政府公布与人权维护者工作有关的国际法律文书，并建立和促进保护记者和人权维护者的机制。该行动计划还包括各项措施，用以对骚扰和威胁人权维护者的行为和其他罪行展开调查。</w:t>
      </w:r>
    </w:p>
    <w:p w:rsidR="00636E32" w:rsidRDefault="00636E32" w:rsidP="00636E32">
      <w:pPr>
        <w:pStyle w:val="DualTxt"/>
        <w:rPr>
          <w:rFonts w:hint="eastAsia"/>
        </w:rPr>
      </w:pPr>
      <w:r>
        <w:rPr>
          <w:rFonts w:hint="eastAsia"/>
        </w:rPr>
        <w:t>15.</w:t>
      </w:r>
      <w:r w:rsidRPr="00322044">
        <w:rPr>
          <w:rFonts w:ascii="SimHei" w:eastAsia="SimHei" w:hint="eastAsia"/>
        </w:rPr>
        <w:tab/>
        <w:t>Alcántara Martí</w:t>
      </w:r>
      <w:r w:rsidR="00322044">
        <w:rPr>
          <w:rFonts w:ascii="SimHei" w:eastAsia="SimHei" w:hint="eastAsia"/>
        </w:rPr>
        <w:t>nez</w:t>
      </w:r>
      <w:r w:rsidRPr="00322044">
        <w:rPr>
          <w:rFonts w:ascii="SimHei" w:eastAsia="SimHei" w:hint="eastAsia"/>
        </w:rPr>
        <w:t>先生</w:t>
      </w:r>
      <w:r>
        <w:rPr>
          <w:rFonts w:hint="eastAsia"/>
        </w:rPr>
        <w:t>(墨西哥)说，最高法院承认国家批准的所有国际人权条约。其近期作出的裁决不影响国际条约在法律等级中的优先地位。这项裁定属于公共信息，可在因特网上查阅。</w:t>
      </w:r>
    </w:p>
    <w:p w:rsidR="00636E32" w:rsidRDefault="00636E32" w:rsidP="00636E32">
      <w:pPr>
        <w:pStyle w:val="DualTxt"/>
        <w:rPr>
          <w:rFonts w:hint="eastAsia"/>
        </w:rPr>
      </w:pPr>
      <w:r>
        <w:rPr>
          <w:rFonts w:hint="eastAsia"/>
        </w:rPr>
        <w:t>16.</w:t>
      </w:r>
      <w:r>
        <w:rPr>
          <w:rFonts w:hint="eastAsia"/>
        </w:rPr>
        <w:tab/>
      </w:r>
      <w:r w:rsidRPr="00322044">
        <w:rPr>
          <w:rFonts w:ascii="SimHei" w:eastAsia="SimHei" w:hint="eastAsia"/>
        </w:rPr>
        <w:t>Guevara Bermúdez先生</w:t>
      </w:r>
      <w:r>
        <w:rPr>
          <w:rFonts w:hint="eastAsia"/>
        </w:rPr>
        <w:t>(墨西哥)说，国家防止歧视委员会审查了3 184起指控歧视案件，其中1 790起案件涉及联邦公务员，3 024起案件已经解决。委员会采取了行政措施，为私人公司和联邦机构举办宣传、咨询和培训讲习班。《宪法》禁止所有基于性别的歧视，包括以性取向和性偏好为由的歧视。旨在促使人们接受性偏好和性别认同的方案和各项保健法律都在审查之中，目的是使换性者和变性人获得更多的保健服务机会。《2008-2012年国家人权方案》规定了一项义务，即必须将换性者和变性人视为法人，还必须执行平等权利行动纲领，以保证在性别上被边缘化的群体获得就业。政府人权政策委员会关于指定5月17日为全国打击仇视同性恋行为日的提案即将获得核准。最高法院保护任何在变性后要求获得新出生证的人；联邦区的政策对于这类人给予同样的尊重。法律允许登记的同性伴侣同居；联邦区96</w:t>
      </w:r>
      <w:r w:rsidR="00322044">
        <w:rPr>
          <w:rFonts w:hint="eastAsia"/>
        </w:rPr>
        <w:t>%</w:t>
      </w:r>
      <w:r>
        <w:rPr>
          <w:rFonts w:hint="eastAsia"/>
        </w:rPr>
        <w:t>的此类伴侣都已登记。经修正的联邦区民法规定，同性伴侣可结婚和领养孩子。高等法院过去曾驳回有关该修正案违宪的申诉，但在检察长办公室采取行动后正在对其裁定进行复核。</w:t>
      </w:r>
    </w:p>
    <w:p w:rsidR="00636E32" w:rsidRDefault="00636E32" w:rsidP="00636E32">
      <w:pPr>
        <w:pStyle w:val="DualTxt"/>
        <w:rPr>
          <w:rFonts w:hint="eastAsia"/>
        </w:rPr>
      </w:pPr>
      <w:r>
        <w:rPr>
          <w:rFonts w:hint="eastAsia"/>
        </w:rPr>
        <w:t>17.</w:t>
      </w:r>
      <w:r>
        <w:rPr>
          <w:rFonts w:hint="eastAsia"/>
        </w:rPr>
        <w:tab/>
        <w:t>所有杀人罪均由检察署负责调查，其中也包括仇恨罪。联邦区根据A/02 2010号协议设立了检察官办公室，负责调查与仇视同性恋有关的罪行。国家对普遍定期审议机制提出的建议采取了后续行动，同样也将通过政府人权政策委员会对人权委员会关于第五次定期报告的结论意见采取后续行动。政府人权政策委员会的一个小组委员会正在制订全国人权教育方案，以促进和维护人权，并传播国际人权条约，该方案将于2010年年中开始执行。</w:t>
      </w:r>
    </w:p>
    <w:p w:rsidR="00636E32" w:rsidRDefault="00636E32" w:rsidP="00322044">
      <w:pPr>
        <w:pStyle w:val="DualTxt"/>
        <w:spacing w:line="340" w:lineRule="exact"/>
        <w:rPr>
          <w:rFonts w:hint="eastAsia"/>
        </w:rPr>
      </w:pPr>
      <w:r>
        <w:rPr>
          <w:rFonts w:hint="eastAsia"/>
        </w:rPr>
        <w:t>18.</w:t>
      </w:r>
      <w:r>
        <w:rPr>
          <w:rFonts w:hint="eastAsia"/>
        </w:rPr>
        <w:tab/>
      </w:r>
      <w:r w:rsidR="00322044">
        <w:rPr>
          <w:rFonts w:ascii="SimHei" w:eastAsia="SimHei" w:hint="eastAsia"/>
        </w:rPr>
        <w:t>de la Madrid</w:t>
      </w:r>
      <w:r w:rsidRPr="00322044">
        <w:rPr>
          <w:rFonts w:ascii="SimHei" w:eastAsia="SimHei" w:hint="eastAsia"/>
        </w:rPr>
        <w:t>女士</w:t>
      </w:r>
      <w:r>
        <w:rPr>
          <w:rFonts w:hint="eastAsia"/>
        </w:rPr>
        <w:t xml:space="preserve">(墨西哥)说，酷刑案件的数目并不说明在适用防止酷刑原则方面缺乏意愿或能力。《2008-2012年国家人权方案》就是表明政府承诺的一个例证，该方案包括酷刑案例数据库，用于查明趋势和行为模式。联邦区和31个联邦实体在公共部门、公共安全部门以及所有检察官办公室都提供了培训，讲授《关于可能的酷刑和(或)虐待案件的医疗-心理专业意见》。13个检察官办公室承诺遵守《伊斯坦布尔议定书》和(或)《关于可能的酷刑和(或)虐待案件的医疗-心理专业意见》，并就这一事项制订了立法。 </w:t>
      </w:r>
    </w:p>
    <w:p w:rsidR="00636E32" w:rsidRDefault="00636E32" w:rsidP="00322044">
      <w:pPr>
        <w:pStyle w:val="DualTxt"/>
        <w:spacing w:line="340" w:lineRule="exact"/>
        <w:rPr>
          <w:rFonts w:hint="eastAsia"/>
        </w:rPr>
      </w:pPr>
      <w:r>
        <w:rPr>
          <w:rFonts w:hint="eastAsia"/>
        </w:rPr>
        <w:t>19.</w:t>
      </w:r>
      <w:r>
        <w:rPr>
          <w:rFonts w:hint="eastAsia"/>
        </w:rPr>
        <w:tab/>
        <w:t>共和国检察长办公室在2003年9月至2009年12月期间作出了172项裁决，认定34起酷刑案件，包括9起肉体酷刑和11起心理酷刑案件，其余案件两种酷刑兼而有之。从2003年至2010年，共和国检察长办公室培训了数千名联邦、保健和安保人员，讲授如何适用《关于可能的酷刑和(或)虐待案件的医疗-心理专业意见》。目前正在进行第二轮培训，并制订了在另外7个检察官办公室提供培训的计划。另外还建立了酷刑医疗意见的记录机制。</w:t>
      </w:r>
    </w:p>
    <w:p w:rsidR="00636E32" w:rsidRDefault="00636E32" w:rsidP="00322044">
      <w:pPr>
        <w:pStyle w:val="DualTxt"/>
        <w:spacing w:line="340" w:lineRule="exact"/>
        <w:rPr>
          <w:rFonts w:hint="eastAsia"/>
        </w:rPr>
      </w:pPr>
      <w:r>
        <w:rPr>
          <w:rFonts w:hint="eastAsia"/>
        </w:rPr>
        <w:t>20.</w:t>
      </w:r>
      <w:r>
        <w:rPr>
          <w:rFonts w:hint="eastAsia"/>
        </w:rPr>
        <w:tab/>
        <w:t xml:space="preserve">她在谈及酷刑案件举证责任时说，刑事司法和公共安全制度改革之后，《宪法》第20条纳入了无罪推定内容。《防止和惩处酷刑的联邦法》的依据是《美洲防止和惩处酷刑公约》和《联合国禁止酷刑和其他残忍、不人道或有辱人格的待遇或处罚公约》。统筹协调工作虽然艰难，但进展很快。 </w:t>
      </w:r>
    </w:p>
    <w:p w:rsidR="00636E32" w:rsidRDefault="00636E32" w:rsidP="00322044">
      <w:pPr>
        <w:pStyle w:val="DualTxt"/>
        <w:spacing w:line="340" w:lineRule="exact"/>
        <w:rPr>
          <w:rFonts w:hint="eastAsia"/>
        </w:rPr>
      </w:pPr>
      <w:r>
        <w:rPr>
          <w:rFonts w:hint="eastAsia"/>
        </w:rPr>
        <w:t>21.</w:t>
      </w:r>
      <w:r>
        <w:rPr>
          <w:rFonts w:hint="eastAsia"/>
        </w:rPr>
        <w:tab/>
        <w:t>共和国检察长办公室只有在案件属于地方和联邦性质、而且涉及境外煽动、准备或实施并对墨西哥境内已经产生或意图产生影响的罪行或在案情与有组织犯罪有关的情况下，才可参与处理贩运人口或暴力侵害妇女的案件。共和国检察长办公室正在起草立法修正案，以将其管辖权扩大到整个社会关注的、个人利益阻碍诉讼的案件。虽然大部分贩运人口或暴力侵害妇女的罪行归各州管辖，但截至2010年2月16日，联邦一级收到389项申诉，其中涉及贩运的有51项(其中1项涉及1名联邦公务员)，暴力侵害妇女的有228项。8起酷刑案件、4起涉及有组织犯罪的案件以及16起暴力侵害妇女的案件已经得到裁决。截至2009年10月，2起暴力侵害妇女的案件已经宣判，其中1起涉及性虐待；其余案件归各州管辖。</w:t>
      </w:r>
    </w:p>
    <w:p w:rsidR="00636E32" w:rsidRDefault="00636E32" w:rsidP="00636E32">
      <w:pPr>
        <w:pStyle w:val="DualTxt"/>
        <w:rPr>
          <w:rFonts w:hint="eastAsia"/>
        </w:rPr>
      </w:pPr>
      <w:r>
        <w:rPr>
          <w:rFonts w:hint="eastAsia"/>
        </w:rPr>
        <w:t>22.</w:t>
      </w:r>
      <w:r>
        <w:rPr>
          <w:rFonts w:hint="eastAsia"/>
        </w:rPr>
        <w:tab/>
        <w:t xml:space="preserve">墨西哥正在调整《联邦刑法典》所载强迫失踪的定义，使之与国际标准特别是《美洲被迫失踪人士公约》规定的标准协调一致。共和国检察长办公室根据A/317/06号协议关闭了过去社会和政治运动特别检察官办公室，并将待审案件移交检察长办公室的调查总协调人而没有中断服务。总协调人正在采用先进技术调查551起案件。关于重新开放过去社会和政治运动特别检察官办公室的建议没有得到重视，因为有关案件已由总协调人处理。 </w:t>
      </w:r>
    </w:p>
    <w:p w:rsidR="00636E32" w:rsidRDefault="00636E32" w:rsidP="00636E32">
      <w:pPr>
        <w:pStyle w:val="DualTxt"/>
        <w:rPr>
          <w:rFonts w:hint="eastAsia"/>
        </w:rPr>
      </w:pPr>
      <w:r>
        <w:rPr>
          <w:rFonts w:hint="eastAsia"/>
        </w:rPr>
        <w:t>23.</w:t>
      </w:r>
      <w:r>
        <w:rPr>
          <w:rFonts w:hint="eastAsia"/>
        </w:rPr>
        <w:tab/>
        <w:t>政府致力于为记者和新闻机构提供更安全的环境。《2008-2012年国家发展计划》规定，言论自由是公共政策的核心要素。共和国检察长办公室正与各州当局合作调查侵害记者的罪行并惩处犯罪人。政府希望委员会就其提及的14起案件提供具体资料。</w:t>
      </w:r>
    </w:p>
    <w:p w:rsidR="00636E32" w:rsidRDefault="00636E32" w:rsidP="00636E32">
      <w:pPr>
        <w:pStyle w:val="DualTxt"/>
        <w:rPr>
          <w:rFonts w:hint="eastAsia"/>
        </w:rPr>
      </w:pPr>
      <w:r>
        <w:rPr>
          <w:rFonts w:hint="eastAsia"/>
        </w:rPr>
        <w:t>24.</w:t>
      </w:r>
      <w:r>
        <w:rPr>
          <w:rFonts w:hint="eastAsia"/>
        </w:rPr>
        <w:tab/>
      </w:r>
      <w:r w:rsidRPr="00322044">
        <w:rPr>
          <w:rFonts w:ascii="SimHei" w:eastAsia="SimHei" w:hint="eastAsia"/>
        </w:rPr>
        <w:t>Pérez先生</w:t>
      </w:r>
      <w:r>
        <w:rPr>
          <w:rFonts w:hint="eastAsia"/>
        </w:rPr>
        <w:t xml:space="preserve">(墨西哥)说，即便是在紧急状态下，未经行政部门和立法部门双方同意不得中止权利(《宪法》第29条)。宣布进入紧急状态也必须经议会、政府各部门和共和国检察长办公室核准。紧急状态必须限时，所采取措施必须是具有普遍适用的性质。《国家安全法》及其修正案中规定了保障权利的机制。没有在任何州为防止犯罪或促进公共秩序而中止基本人权。《宪法》第89条规定，准许公共安全部队请武装部队提供援助，最高法院确认这一规定具有合法性。因此，议会没有改动《宪法》或法律的任何内容以使武装部队的权限超过奇瓦瓦宣布进入紧急状态之前。对《军法典》第57条进行的修改为武装部队的干预规定了限制。此外，还采取行动宣传了尊重人权的文化并对武装部队的行为进行管制。 </w:t>
      </w:r>
    </w:p>
    <w:p w:rsidR="00636E32" w:rsidRDefault="00636E32" w:rsidP="00636E32">
      <w:pPr>
        <w:pStyle w:val="DualTxt"/>
        <w:rPr>
          <w:rFonts w:hint="eastAsia"/>
        </w:rPr>
      </w:pPr>
      <w:r>
        <w:rPr>
          <w:rFonts w:hint="eastAsia"/>
        </w:rPr>
        <w:t>25.</w:t>
      </w:r>
      <w:r>
        <w:rPr>
          <w:rFonts w:hint="eastAsia"/>
        </w:rPr>
        <w:tab/>
        <w:t xml:space="preserve">感化制度亟需关注，国家为此在2008年开始采取中短期行动。为了支持囚犯重新融入社会，囚犯可参加工作和技术培训方案以及教育、健康和运动方案。工商界也愿意配合重新融入社会方案，使囚犯能够赚取收入并向受害人提供赔偿。目标是建立一个经济上独立和可持续的制度。最紧迫的问题之一是442座监狱中有231座过度拥挤。为了应对这一局面，公共安全部已提议建立国家信息系统以协助分配囚犯，建立新的基础设施以及具有统一、对性别问题有敏感认识的联邦和州立人权标准，并采用监视自由和提前释放等替代性办法。根据社会援助方案，没有足够收入的人和被控犯有不严重罪行的人都免交保释金。 </w:t>
      </w:r>
    </w:p>
    <w:p w:rsidR="00636E32" w:rsidRDefault="00636E32" w:rsidP="00636E32">
      <w:pPr>
        <w:pStyle w:val="DualTxt"/>
        <w:rPr>
          <w:rFonts w:hint="eastAsia"/>
        </w:rPr>
      </w:pPr>
      <w:r>
        <w:rPr>
          <w:rFonts w:hint="eastAsia"/>
        </w:rPr>
        <w:t>26.</w:t>
      </w:r>
      <w:r>
        <w:rPr>
          <w:rFonts w:hint="eastAsia"/>
        </w:rPr>
        <w:tab/>
        <w:t>由于每个州均有自己的司法系统，关押女囚犯的设施之间存在巨大的不对称性。从全国范围来看，所有囚犯中有5</w:t>
      </w:r>
      <w:r w:rsidR="00322044">
        <w:rPr>
          <w:rFonts w:hint="eastAsia"/>
        </w:rPr>
        <w:t>%</w:t>
      </w:r>
      <w:r>
        <w:rPr>
          <w:rFonts w:hint="eastAsia"/>
        </w:rPr>
        <w:t xml:space="preserve">是妇女，有31个不同的感化制度。由于全国人权委员会建议不得将妇女关押在联邦设施内，因此有263个州立设施用于关押女囚犯。有些设施中设有单独关押妇女的中心，有的则男女混合。州立设施正在根据各项建议和列举两性不平等各个方面问题的报告克服不足之处。玛丽群岛设施关押了59名妇女，她们不久将被释放到可与其家属生活在一起的单独院落。尽管国家尽力使儿童囚犯和女囚犯的待遇符合国际人权标准，但目前不同设施地点提供的服务各不相同。 </w:t>
      </w:r>
    </w:p>
    <w:p w:rsidR="00636E32" w:rsidRDefault="00636E32" w:rsidP="00636E32">
      <w:pPr>
        <w:pStyle w:val="DualTxt"/>
        <w:rPr>
          <w:rFonts w:hint="eastAsia"/>
        </w:rPr>
      </w:pPr>
      <w:r>
        <w:rPr>
          <w:rFonts w:hint="eastAsia"/>
        </w:rPr>
        <w:t>27.</w:t>
      </w:r>
      <w:r>
        <w:rPr>
          <w:rFonts w:hint="eastAsia"/>
        </w:rPr>
        <w:tab/>
      </w:r>
      <w:r w:rsidRPr="00322044">
        <w:rPr>
          <w:rFonts w:ascii="SimHei" w:eastAsia="SimHei" w:hint="eastAsia"/>
        </w:rPr>
        <w:t>Chávez García先生</w:t>
      </w:r>
      <w:r>
        <w:rPr>
          <w:rFonts w:hint="eastAsia"/>
        </w:rPr>
        <w:t xml:space="preserve">(墨西哥)说，在2008年的宪政改革之后，联邦实体正在修正其刑事司法制度，其中包括《军法典》。修正的目的是实现全国人权方案的目标，并与各项国际人权条约协调一致。《军法典》第439条和《宪法》第20条都规定，军事法庭受害人享有查阅记录的权利。 </w:t>
      </w:r>
    </w:p>
    <w:p w:rsidR="00636E32" w:rsidRDefault="00636E32" w:rsidP="00636E32">
      <w:pPr>
        <w:pStyle w:val="DualTxt"/>
        <w:rPr>
          <w:rFonts w:hint="eastAsia"/>
        </w:rPr>
      </w:pPr>
      <w:r>
        <w:rPr>
          <w:rFonts w:hint="eastAsia"/>
        </w:rPr>
        <w:t>28.</w:t>
      </w:r>
      <w:r>
        <w:rPr>
          <w:rFonts w:hint="eastAsia"/>
        </w:rPr>
        <w:tab/>
      </w:r>
      <w:r w:rsidRPr="00322044">
        <w:rPr>
          <w:rFonts w:ascii="SimHei" w:eastAsia="SimHei" w:hint="eastAsia"/>
        </w:rPr>
        <w:t>Thelin先生</w:t>
      </w:r>
      <w:r>
        <w:rPr>
          <w:rFonts w:hint="eastAsia"/>
        </w:rPr>
        <w:t xml:space="preserve">说，每个国家均有权为了维护人权采用最有力的可用办法打击有组织的犯罪活动。他注意到墨西哥政府努力打击暴力侵害人权维护者的行为，并努力打击酷刑罪。他希望澄清，宪法或具体修正后的《联邦刑法典》是否规定暴力取得的证据或供词无效。在向诉讼辩护制度转变后，就不再需要审问式的诉讼制度所特有的提前招供。 </w:t>
      </w:r>
    </w:p>
    <w:p w:rsidR="00636E32" w:rsidRDefault="00636E32" w:rsidP="00636E32">
      <w:pPr>
        <w:pStyle w:val="DualTxt"/>
        <w:rPr>
          <w:rFonts w:hint="eastAsia"/>
        </w:rPr>
      </w:pPr>
      <w:r>
        <w:rPr>
          <w:rFonts w:hint="eastAsia"/>
        </w:rPr>
        <w:t>29.</w:t>
      </w:r>
      <w:r>
        <w:rPr>
          <w:rFonts w:hint="eastAsia"/>
        </w:rPr>
        <w:tab/>
      </w:r>
      <w:r w:rsidRPr="00322044">
        <w:rPr>
          <w:rFonts w:ascii="SimHei" w:eastAsia="SimHei" w:hint="eastAsia"/>
        </w:rPr>
        <w:t>Chanet女士</w:t>
      </w:r>
      <w:r>
        <w:rPr>
          <w:rFonts w:hint="eastAsia"/>
        </w:rPr>
        <w:t>说，委托军方对公民事务进行司法审判违反了人权。由于与军事敌方作战不同于维持公共秩序，军方应考虑为被指派处理公民示威和破坏活动的人员及被指派打击贩运毒品和有组织犯罪活动的人员提供不同的培训。关于对《公约》的保留问题和涉及</w:t>
      </w:r>
      <w:r w:rsidR="00026790">
        <w:rPr>
          <w:rFonts w:hint="eastAsia"/>
        </w:rPr>
        <w:t>Herrera</w:t>
      </w:r>
      <w:r>
        <w:rPr>
          <w:rFonts w:hint="eastAsia"/>
        </w:rPr>
        <w:t>先生的问题都没有得到回答。虽然该代表团不必立即回应，但是委员会仍欢迎在其起草结论意见前得到答复。她愿意提供她所掌握的关于</w:t>
      </w:r>
      <w:r w:rsidR="00322044">
        <w:rPr>
          <w:rFonts w:hint="eastAsia"/>
        </w:rPr>
        <w:t>Herrera</w:t>
      </w:r>
      <w:r>
        <w:rPr>
          <w:rFonts w:hint="eastAsia"/>
        </w:rPr>
        <w:t>先生的资料。</w:t>
      </w:r>
    </w:p>
    <w:p w:rsidR="00636E32" w:rsidRDefault="00636E32" w:rsidP="00636E32">
      <w:pPr>
        <w:pStyle w:val="DualTxt"/>
        <w:rPr>
          <w:rFonts w:hint="eastAsia"/>
        </w:rPr>
      </w:pPr>
      <w:r>
        <w:rPr>
          <w:rFonts w:hint="eastAsia"/>
        </w:rPr>
        <w:t>30.</w:t>
      </w:r>
      <w:r w:rsidRPr="00636E32">
        <w:rPr>
          <w:rFonts w:ascii="KaiTi_GB2312" w:eastAsia="KaiTi_GB2312" w:hint="eastAsia"/>
        </w:rPr>
        <w:tab/>
      </w:r>
      <w:r w:rsidRPr="00322044">
        <w:rPr>
          <w:rFonts w:ascii="SimHei" w:eastAsia="SimHei" w:hint="eastAsia"/>
        </w:rPr>
        <w:t>Nigel Rodley爵士</w:t>
      </w:r>
      <w:r>
        <w:rPr>
          <w:rFonts w:hint="eastAsia"/>
        </w:rPr>
        <w:t xml:space="preserve">说，各项国际人权条约在墨西哥法律等级中的地位仍然不明确。他希望墨西哥代表团详细解释国际义务如何才能优先于国家和各州的立法。缔约国是否了解军事司法不应该被适用于涉及侵犯人权行为的刑事案件？军方为何设有自己的司法系统？缔约国应更具体地解释举证责任，并说明制作审讯音像记录的任何举措。最后，他想了解共和国检察长办公室的改组是否意味着其任务将不再包括医疗法证。 </w:t>
      </w:r>
    </w:p>
    <w:p w:rsidR="00636E32" w:rsidRDefault="00636E32" w:rsidP="00636E32">
      <w:pPr>
        <w:pStyle w:val="DualTxt"/>
        <w:rPr>
          <w:rFonts w:hint="eastAsia"/>
        </w:rPr>
      </w:pPr>
      <w:r>
        <w:rPr>
          <w:rFonts w:hint="eastAsia"/>
        </w:rPr>
        <w:t>31.</w:t>
      </w:r>
      <w:r>
        <w:rPr>
          <w:rFonts w:hint="eastAsia"/>
        </w:rPr>
        <w:tab/>
      </w:r>
      <w:r w:rsidRPr="00322044">
        <w:rPr>
          <w:rFonts w:ascii="SimHei" w:eastAsia="SimHei" w:hint="eastAsia"/>
        </w:rPr>
        <w:t>Bouzid先生</w:t>
      </w:r>
      <w:r>
        <w:rPr>
          <w:rFonts w:hint="eastAsia"/>
        </w:rPr>
        <w:t>要求提供更多资料,说明据报告在警方和军队的检查站杀害无辜者的情况。</w:t>
      </w:r>
    </w:p>
    <w:p w:rsidR="00636E32" w:rsidRDefault="00636E32" w:rsidP="00636E32">
      <w:pPr>
        <w:pStyle w:val="DualTxt"/>
        <w:rPr>
          <w:rFonts w:hint="eastAsia"/>
        </w:rPr>
      </w:pPr>
      <w:r>
        <w:rPr>
          <w:rFonts w:hint="eastAsia"/>
        </w:rPr>
        <w:t>32.</w:t>
      </w:r>
      <w:r>
        <w:rPr>
          <w:rFonts w:hint="eastAsia"/>
        </w:rPr>
        <w:tab/>
      </w:r>
      <w:r w:rsidRPr="00322044">
        <w:rPr>
          <w:rFonts w:ascii="SimHei" w:eastAsia="SimHei" w:hint="eastAsia"/>
        </w:rPr>
        <w:t>Salvioli先生</w:t>
      </w:r>
      <w:r>
        <w:rPr>
          <w:rFonts w:hint="eastAsia"/>
        </w:rPr>
        <w:t xml:space="preserve">说，在委员会起草结论意见之前，墨西哥代表团应以书面形式说明，向司法人员提供人权和两性平等方面的培训课程后，法院是否更频繁地援引国际人权准则。他高兴地表示，墨西哥致力于在所有州级强奸罪受害人救援服务中适用关于家庭暴力的第46号国家正式标准。 </w:t>
      </w:r>
    </w:p>
    <w:p w:rsidR="00636E32" w:rsidRDefault="00636E32" w:rsidP="00322044">
      <w:pPr>
        <w:pStyle w:val="DualTxt"/>
        <w:spacing w:after="180" w:line="340" w:lineRule="exact"/>
        <w:rPr>
          <w:rFonts w:hint="eastAsia"/>
        </w:rPr>
      </w:pPr>
      <w:r>
        <w:rPr>
          <w:rFonts w:hint="eastAsia"/>
        </w:rPr>
        <w:t>33.</w:t>
      </w:r>
      <w:r w:rsidR="00322044">
        <w:tab/>
      </w:r>
      <w:r w:rsidRPr="00322044">
        <w:rPr>
          <w:rFonts w:ascii="SimHei" w:eastAsia="SimHei" w:hint="eastAsia"/>
        </w:rPr>
        <w:t>Amor先生</w:t>
      </w:r>
      <w:r>
        <w:rPr>
          <w:rFonts w:hint="eastAsia"/>
        </w:rPr>
        <w:t>要求澄清最高法院近期在这方面作出的决定，包括具体举例说明法官何时可以决定国际标准优先于国家法律。</w:t>
      </w:r>
    </w:p>
    <w:p w:rsidR="00636E32" w:rsidRDefault="00636E32" w:rsidP="00322044">
      <w:pPr>
        <w:pStyle w:val="DualTxt"/>
        <w:spacing w:after="160"/>
        <w:rPr>
          <w:rFonts w:hint="eastAsia"/>
        </w:rPr>
      </w:pPr>
      <w:r>
        <w:rPr>
          <w:rFonts w:hint="eastAsia"/>
        </w:rPr>
        <w:t>34.</w:t>
      </w:r>
      <w:r>
        <w:rPr>
          <w:rFonts w:hint="eastAsia"/>
        </w:rPr>
        <w:tab/>
      </w:r>
      <w:r w:rsidRPr="00322044">
        <w:rPr>
          <w:rFonts w:ascii="SimHei" w:eastAsia="SimHei" w:hint="eastAsia"/>
        </w:rPr>
        <w:t>Gómez Sánchez先生</w:t>
      </w:r>
      <w:r>
        <w:rPr>
          <w:rFonts w:hint="eastAsia"/>
        </w:rPr>
        <w:t>(墨西哥)说，不受酷刑的权利是绝对和无可争辩的。通过酷刑得到的供词永远不得采纳。举证责任没有强加给被告人，而且法官有办法查明供词是如何获得的。虽然一般而言提前招供由于给予被告人较少的思考时间而更有价值，但这并不是绝对的。没有任何机制控制法官适用《宪法》或次级法律。如有关方面认为法院的裁决违反了国际条约或《宪法》所保障的基本权利，他们可对该裁决提出上诉，该裁决可能被认定无效。</w:t>
      </w:r>
    </w:p>
    <w:p w:rsidR="00636E32" w:rsidRDefault="00636E32" w:rsidP="00636E32">
      <w:pPr>
        <w:pStyle w:val="DualTxt"/>
        <w:rPr>
          <w:rFonts w:hint="eastAsia"/>
        </w:rPr>
      </w:pPr>
      <w:r>
        <w:rPr>
          <w:rFonts w:hint="eastAsia"/>
        </w:rPr>
        <w:t>35.</w:t>
      </w:r>
      <w:r>
        <w:rPr>
          <w:rFonts w:hint="eastAsia"/>
        </w:rPr>
        <w:tab/>
      </w:r>
      <w:r w:rsidRPr="00322044">
        <w:rPr>
          <w:rFonts w:ascii="SimHei" w:eastAsia="SimHei" w:hint="eastAsia"/>
        </w:rPr>
        <w:t>Natarén Nandayapa先生</w:t>
      </w:r>
      <w:r>
        <w:rPr>
          <w:rFonts w:hint="eastAsia"/>
        </w:rPr>
        <w:t>(墨西哥)说，宪政改革应在法律上和事实上消除审问式的诉讼制度。根据同样适用于提前招供的新法规，只有公开获取的证据才可以接受。虽然新的模式到2016年才开始采用，墨西哥仍然致力于尽快在所有联邦实体对该制度进行改革。新制度已经在6个州实行，一年内还将有2个州计划改用新制度。政府设立了专门机构，以便在这一过程中提供技术援助和资金。</w:t>
      </w:r>
    </w:p>
    <w:p w:rsidR="00636E32" w:rsidRDefault="00636E32" w:rsidP="00636E32">
      <w:pPr>
        <w:pStyle w:val="DualTxt"/>
        <w:rPr>
          <w:rFonts w:hint="eastAsia"/>
        </w:rPr>
      </w:pPr>
      <w:r>
        <w:rPr>
          <w:rFonts w:hint="eastAsia"/>
        </w:rPr>
        <w:t>36.</w:t>
      </w:r>
      <w:r>
        <w:rPr>
          <w:rFonts w:hint="eastAsia"/>
        </w:rPr>
        <w:tab/>
      </w:r>
      <w:r w:rsidRPr="00322044">
        <w:rPr>
          <w:rFonts w:ascii="SimHei" w:eastAsia="SimHei" w:hint="eastAsia"/>
        </w:rPr>
        <w:t>Ló</w:t>
      </w:r>
      <w:r w:rsidR="00322044" w:rsidRPr="00322044">
        <w:rPr>
          <w:rFonts w:ascii="SimHei" w:eastAsia="SimHei" w:hint="eastAsia"/>
        </w:rPr>
        <w:t>pez Portillo</w:t>
      </w:r>
      <w:r w:rsidRPr="00322044">
        <w:rPr>
          <w:rFonts w:ascii="SimHei" w:eastAsia="SimHei" w:hint="eastAsia"/>
        </w:rPr>
        <w:t>先生</w:t>
      </w:r>
      <w:r>
        <w:rPr>
          <w:rFonts w:hint="eastAsia"/>
        </w:rPr>
        <w:t>(墨西哥)说，墨西哥正在努力执行美洲人权法院的所有判决。国防部正在修改《军法典》第57条，使其符合指控制度，并且正在进行尝试，使该条更有利于判决的执行。另外，国防部还在探索如何使该法典与司法制度相互统一。由于改革进程尚未结束，目前调查的案件仍适用以前的制度。全国人权委员会处理了2 000多项申诉并针对这些申诉提出了建议，包括对军事人员作出判决。其他案件已转交军事司法系统和国防部。</w:t>
      </w:r>
    </w:p>
    <w:p w:rsidR="00636E32" w:rsidRDefault="00636E32" w:rsidP="00636E32">
      <w:pPr>
        <w:pStyle w:val="DualTxt"/>
        <w:rPr>
          <w:rFonts w:hint="eastAsia"/>
        </w:rPr>
      </w:pPr>
      <w:r>
        <w:rPr>
          <w:rFonts w:hint="eastAsia"/>
        </w:rPr>
        <w:t>37.</w:t>
      </w:r>
      <w:r w:rsidRPr="00322044">
        <w:rPr>
          <w:rFonts w:ascii="KaiTi_GB2312" w:eastAsia="KaiTi_GB2312" w:hint="eastAsia"/>
        </w:rPr>
        <w:tab/>
      </w:r>
      <w:r w:rsidRPr="00322044">
        <w:rPr>
          <w:rFonts w:ascii="SimHei" w:eastAsia="SimHei" w:hint="eastAsia"/>
        </w:rPr>
        <w:t>Castillo Sánchez先生</w:t>
      </w:r>
      <w:r>
        <w:rPr>
          <w:rFonts w:hint="eastAsia"/>
        </w:rPr>
        <w:t>(墨西哥)说，家庭法官在若干案件中援引了高于国家和地方法律的《儿童权利公约》，法官还适用了《公约》规定的准则。</w:t>
      </w:r>
    </w:p>
    <w:p w:rsidR="00636E32" w:rsidRDefault="00636E32" w:rsidP="00322044">
      <w:pPr>
        <w:pStyle w:val="DualTxt"/>
        <w:spacing w:line="340" w:lineRule="exact"/>
        <w:rPr>
          <w:rFonts w:hint="eastAsia"/>
        </w:rPr>
      </w:pPr>
      <w:r>
        <w:rPr>
          <w:rFonts w:hint="eastAsia"/>
        </w:rPr>
        <w:t>38.</w:t>
      </w:r>
      <w:r>
        <w:rPr>
          <w:rFonts w:hint="eastAsia"/>
        </w:rPr>
        <w:tab/>
      </w:r>
      <w:r w:rsidRPr="00322044">
        <w:rPr>
          <w:rFonts w:ascii="SimHei" w:eastAsia="SimHei" w:hint="eastAsia"/>
        </w:rPr>
        <w:t>Negrín Mu</w:t>
      </w:r>
      <w:r w:rsidRPr="00322044">
        <w:rPr>
          <w:rFonts w:ascii="SimHei" w:eastAsia="SimHei" w:hint="eastAsia"/>
        </w:rPr>
        <w:t>ñ</w:t>
      </w:r>
      <w:r w:rsidRPr="00322044">
        <w:rPr>
          <w:rFonts w:ascii="SimHei" w:eastAsia="SimHei" w:hint="eastAsia"/>
        </w:rPr>
        <w:t>oz先生</w:t>
      </w:r>
      <w:r>
        <w:rPr>
          <w:rFonts w:hint="eastAsia"/>
        </w:rPr>
        <w:t xml:space="preserve">(墨西哥)说，国家人权署正在探讨如何加快撤回对条约的保留，包括对《公约》第13条的保留，以及如何加快批准国际文书和任择议定书。美洲人权法院已宣布，对《美洲被迫失踪人士公约》第14条提出的保留无效。 </w:t>
      </w:r>
    </w:p>
    <w:p w:rsidR="00636E32" w:rsidRDefault="00636E32" w:rsidP="00322044">
      <w:pPr>
        <w:pStyle w:val="DualTxt"/>
        <w:spacing w:line="340" w:lineRule="exact"/>
        <w:rPr>
          <w:rFonts w:hint="eastAsia"/>
        </w:rPr>
      </w:pPr>
      <w:r>
        <w:rPr>
          <w:rFonts w:hint="eastAsia"/>
        </w:rPr>
        <w:t>39.</w:t>
      </w:r>
      <w:r>
        <w:rPr>
          <w:rFonts w:hint="eastAsia"/>
        </w:rPr>
        <w:tab/>
      </w:r>
      <w:r w:rsidRPr="00322044">
        <w:rPr>
          <w:rFonts w:ascii="SimHei" w:eastAsia="SimHei" w:hint="eastAsia"/>
        </w:rPr>
        <w:t>Guevara Bermúdez先生</w:t>
      </w:r>
      <w:r>
        <w:rPr>
          <w:rFonts w:hint="eastAsia"/>
        </w:rPr>
        <w:t>(墨西哥)说，政府了解Herrera 先生失踪，并已采取措施对犯罪行为进行调查。与失踪人员代表及其家属召开了会议，全国人权委员会、共和国检察长办公室和国防部已启动调查。2010年3月4日，美洲人权法院命令墨西哥政府采取3项保护受害人的预防措施以及支援其家庭的其他措施。一个工作组将在华雷斯市开会，以便开始有效执行这些措施。</w:t>
      </w:r>
    </w:p>
    <w:p w:rsidR="00636E32" w:rsidRDefault="00636E32" w:rsidP="00636E32">
      <w:pPr>
        <w:pStyle w:val="DualTxt"/>
        <w:rPr>
          <w:rFonts w:hint="eastAsia"/>
        </w:rPr>
      </w:pPr>
      <w:r>
        <w:rPr>
          <w:rFonts w:hint="eastAsia"/>
        </w:rPr>
        <w:t>40.</w:t>
      </w:r>
      <w:r>
        <w:rPr>
          <w:rFonts w:hint="eastAsia"/>
        </w:rPr>
        <w:tab/>
      </w:r>
      <w:r w:rsidRPr="00322044">
        <w:rPr>
          <w:rFonts w:ascii="SimHei" w:eastAsia="SimHei" w:hint="eastAsia"/>
        </w:rPr>
        <w:t>Alcántara Martínez先生</w:t>
      </w:r>
      <w:r>
        <w:rPr>
          <w:rFonts w:hint="eastAsia"/>
        </w:rPr>
        <w:t>(墨西哥)说，他将在起草结论意见前提交书面资料说明人权和两性平等认识培训的影响。最高法院近期的决定没有改变各项国际条约相对于《宪法》和国家法律的地位。由于这一决定是近期作出的，尚无法获得案文。他建议，要想充分理解法官的意见，须等待获得案文。要求保护宪法权利的办法是一种地方程序，可能在合宪性和与国际文书的协调一致性方面遭到质疑。</w:t>
      </w:r>
    </w:p>
    <w:p w:rsidR="00636E32" w:rsidRDefault="00636E32" w:rsidP="00322044">
      <w:pPr>
        <w:pStyle w:val="DualTxt"/>
        <w:spacing w:line="340" w:lineRule="exact"/>
        <w:rPr>
          <w:rFonts w:hint="eastAsia"/>
        </w:rPr>
      </w:pPr>
      <w:r>
        <w:rPr>
          <w:rFonts w:hint="eastAsia"/>
        </w:rPr>
        <w:t>41.</w:t>
      </w:r>
      <w:r>
        <w:rPr>
          <w:rFonts w:hint="eastAsia"/>
        </w:rPr>
        <w:tab/>
      </w:r>
      <w:r w:rsidRPr="00322044">
        <w:rPr>
          <w:rFonts w:ascii="SimHei" w:eastAsia="SimHei" w:hint="eastAsia"/>
        </w:rPr>
        <w:t>Ballados Villagómez先生</w:t>
      </w:r>
      <w:r>
        <w:rPr>
          <w:rFonts w:hint="eastAsia"/>
        </w:rPr>
        <w:t>(墨西哥)说，他将提供书面的详细资料，说明在两性平等方面的裁决情况。选举法庭在其关于Villareal 诉民主革命党案的裁决中援引了两性平等观点，并宣布各政党在拟订候选人名单时必须铭记性别构成比例。法庭在国家行动党挑战比例代表制时，指示该党要顾及两性平等。</w:t>
      </w:r>
    </w:p>
    <w:p w:rsidR="00636E32" w:rsidRDefault="00636E32" w:rsidP="00322044">
      <w:pPr>
        <w:pStyle w:val="DualTxt"/>
        <w:spacing w:line="340" w:lineRule="exact"/>
        <w:rPr>
          <w:rFonts w:hint="eastAsia"/>
        </w:rPr>
      </w:pPr>
      <w:r>
        <w:rPr>
          <w:rFonts w:hint="eastAsia"/>
        </w:rPr>
        <w:t>42.</w:t>
      </w:r>
      <w:r>
        <w:rPr>
          <w:rFonts w:hint="eastAsia"/>
        </w:rPr>
        <w:tab/>
      </w:r>
      <w:r w:rsidRPr="00322044">
        <w:rPr>
          <w:rFonts w:ascii="SimHei" w:eastAsia="SimHei" w:hint="eastAsia"/>
        </w:rPr>
        <w:t>de la Madrid 女士</w:t>
      </w:r>
      <w:r>
        <w:rPr>
          <w:rFonts w:hint="eastAsia"/>
        </w:rPr>
        <w:t>(墨西哥)说，如果怀疑在招供时动用了酷刑，检察官和被告代表必须对此进行调查。国家检察长、公共安全部和武装部队都了解《伊斯坦布尔议定书》及其对酷刑的定义。共和国检察长办公室的改组没有影响被视为证明有罪或无罪的技术手段的事务。联邦区、哈利斯科州和共和国检察长办公室制作了审讯音像记录。国防部制订了一项人权方案；该方案的说明将书面递交。</w:t>
      </w:r>
    </w:p>
    <w:p w:rsidR="00636E32" w:rsidRDefault="00636E32" w:rsidP="00636E32">
      <w:pPr>
        <w:pStyle w:val="DualTxt"/>
        <w:rPr>
          <w:rFonts w:hint="eastAsia"/>
        </w:rPr>
      </w:pPr>
      <w:r>
        <w:rPr>
          <w:rFonts w:hint="eastAsia"/>
        </w:rPr>
        <w:t>43.</w:t>
      </w:r>
      <w:r>
        <w:rPr>
          <w:rFonts w:hint="eastAsia"/>
        </w:rPr>
        <w:tab/>
      </w:r>
      <w:r w:rsidRPr="00322044">
        <w:rPr>
          <w:rFonts w:ascii="SimHei" w:eastAsia="SimHei" w:hint="eastAsia"/>
        </w:rPr>
        <w:t>Flores Gonzá</w:t>
      </w:r>
      <w:r w:rsidR="00322044" w:rsidRPr="00322044">
        <w:rPr>
          <w:rFonts w:ascii="SimHei" w:eastAsia="SimHei" w:hint="eastAsia"/>
        </w:rPr>
        <w:t>lez</w:t>
      </w:r>
      <w:r w:rsidRPr="00322044">
        <w:rPr>
          <w:rFonts w:ascii="SimHei" w:eastAsia="SimHei" w:hint="eastAsia"/>
        </w:rPr>
        <w:t>先生</w:t>
      </w:r>
      <w:r>
        <w:rPr>
          <w:rFonts w:hint="eastAsia"/>
        </w:rPr>
        <w:t>(墨西哥)说，国防部和海军事务部了解人权方面的公共政策，并希望与各机构合作，帮助执行这些政策。这两个部门均通过与全国人权委员会合作得到了加强，以处理涉及人权的所有机构事项，针对全国人权方案采取后续行动，并克服不足之处。海军事务部为管制联合国文书规定的合法使用武力行为而采取的措施已在《政府公报》上公布；相关资料将书面提交给委员会。</w:t>
      </w:r>
    </w:p>
    <w:p w:rsidR="00322044" w:rsidRDefault="00636E32" w:rsidP="00636E32">
      <w:pPr>
        <w:pStyle w:val="DualTxt"/>
      </w:pPr>
      <w:r>
        <w:rPr>
          <w:rFonts w:hint="eastAsia"/>
        </w:rPr>
        <w:t>44.</w:t>
      </w:r>
      <w:r>
        <w:rPr>
          <w:rFonts w:hint="eastAsia"/>
        </w:rPr>
        <w:tab/>
      </w:r>
      <w:r w:rsidRPr="00322044">
        <w:rPr>
          <w:rFonts w:ascii="SimHei" w:eastAsia="SimHei" w:hint="eastAsia"/>
        </w:rPr>
        <w:t>主席</w:t>
      </w:r>
      <w:r>
        <w:rPr>
          <w:rFonts w:hint="eastAsia"/>
        </w:rPr>
        <w:t>邀请墨西哥代表团回答问题清单(CCPR/C/</w:t>
      </w:r>
      <w:r w:rsidR="00322044">
        <w:br/>
      </w:r>
    </w:p>
    <w:p w:rsidR="00636E32" w:rsidRDefault="00322044" w:rsidP="00636E32">
      <w:pPr>
        <w:pStyle w:val="DualTxt"/>
        <w:rPr>
          <w:rFonts w:hint="eastAsia"/>
        </w:rPr>
      </w:pPr>
      <w:r>
        <w:br w:type="column"/>
      </w:r>
      <w:r w:rsidR="00636E32">
        <w:rPr>
          <w:rFonts w:hint="eastAsia"/>
        </w:rPr>
        <w:t>MEX/Q/5)上的问题14至26。</w:t>
      </w:r>
    </w:p>
    <w:p w:rsidR="00636E32" w:rsidRDefault="00636E32" w:rsidP="00322044">
      <w:pPr>
        <w:pStyle w:val="DualTxt"/>
        <w:spacing w:after="120"/>
        <w:rPr>
          <w:rFonts w:hint="eastAsia"/>
        </w:rPr>
      </w:pPr>
      <w:r>
        <w:rPr>
          <w:rFonts w:hint="eastAsia"/>
        </w:rPr>
        <w:t>45.</w:t>
      </w:r>
      <w:r>
        <w:rPr>
          <w:rFonts w:hint="eastAsia"/>
        </w:rPr>
        <w:tab/>
      </w:r>
      <w:r w:rsidRPr="00322044">
        <w:rPr>
          <w:rFonts w:ascii="SimHei" w:eastAsia="SimHei" w:hint="eastAsia"/>
        </w:rPr>
        <w:t>Negrín Mu</w:t>
      </w:r>
      <w:r w:rsidRPr="00322044">
        <w:rPr>
          <w:rFonts w:ascii="SimHei" w:eastAsia="SimHei" w:hint="eastAsia"/>
        </w:rPr>
        <w:t>ñ</w:t>
      </w:r>
      <w:r w:rsidRPr="00322044">
        <w:rPr>
          <w:rFonts w:ascii="SimHei" w:eastAsia="SimHei" w:hint="eastAsia"/>
        </w:rPr>
        <w:t>oz先生</w:t>
      </w:r>
      <w:r>
        <w:rPr>
          <w:rFonts w:hint="eastAsia"/>
        </w:rPr>
        <w:t>(墨西哥)在回答问题清单上的问题14时说，宪政改革的重点是人权。他请大家注意对问题清单的答复(CCPR/C/MEX/Q/5/Add.1)第152段，并指出《刑法典》的所有条款几乎都得到修订。改革的实施是渐进而持续的。其中包括修改联邦和军方的刑罚制度以及所有31个联邦实体的刑罚制度。还必须考虑预算、出版和培训问题。40</w:t>
      </w:r>
      <w:r w:rsidR="00322044">
        <w:rPr>
          <w:rFonts w:hint="eastAsia"/>
        </w:rPr>
        <w:t>%</w:t>
      </w:r>
      <w:r>
        <w:rPr>
          <w:rFonts w:hint="eastAsia"/>
        </w:rPr>
        <w:t xml:space="preserve">的联邦实体已开始实施改革，25个州应该能在2012年年底前完成改革。一项州开展了口头审判。对制度进行的宪政改革应在2016年之前完成。 </w:t>
      </w:r>
    </w:p>
    <w:p w:rsidR="00636E32" w:rsidRDefault="00636E32" w:rsidP="00322044">
      <w:pPr>
        <w:pStyle w:val="DualTxt"/>
        <w:spacing w:after="120"/>
        <w:rPr>
          <w:rFonts w:hint="eastAsia"/>
        </w:rPr>
      </w:pPr>
      <w:r>
        <w:rPr>
          <w:rFonts w:hint="eastAsia"/>
        </w:rPr>
        <w:t>46.</w:t>
      </w:r>
      <w:r>
        <w:rPr>
          <w:rFonts w:hint="eastAsia"/>
        </w:rPr>
        <w:tab/>
        <w:t>他在谈及关于短期拘留的问题15(CCPR/C/MEX/</w:t>
      </w:r>
      <w:r w:rsidR="00322044">
        <w:br/>
      </w:r>
      <w:r>
        <w:rPr>
          <w:rFonts w:hint="eastAsia"/>
        </w:rPr>
        <w:t>Q/5)时说，管制法律框架的是第五次定期报告所附的《打击有组织犯罪联邦法》。宪政改革使短期拘留成为在不违反国际人权标准的前提下打击有组织犯罪的有效手段。短期拘留应受司法监督，包括保证防止酷刑的措施。短期拘留者的适当程序得到了保证，他们可选择提出申诉；不过，没有出现短期拘留者遭受酷刑的案件。</w:t>
      </w:r>
    </w:p>
    <w:p w:rsidR="00636E32" w:rsidRDefault="00636E32" w:rsidP="00636E32">
      <w:pPr>
        <w:pStyle w:val="DualTxt"/>
      </w:pPr>
      <w:r>
        <w:rPr>
          <w:rFonts w:hint="eastAsia"/>
        </w:rPr>
        <w:t>47.</w:t>
      </w:r>
      <w:r>
        <w:rPr>
          <w:rFonts w:hint="eastAsia"/>
        </w:rPr>
        <w:tab/>
        <w:t>答复(CCPR/C/MEX/Q/5/Add.1)第182段阐述了与起诉军事人员(问题清单上的问题16)有关的5项改革。监狱改革得到密切的关注，包括修建15所新设施，其中3所设施专门用于关押青少年。目前正在努力管理移徙者关押中心(答复第195至199段)，其中包括改善移徙者关押中心的条件、采用地理定位系统以及为妇女和儿童提供医疗服务。《宪法》第33条一度未予执行，移徙者和外来移民的人权得到了尊重。</w:t>
      </w:r>
      <w:r w:rsidR="00322044">
        <w:rPr>
          <w:rFonts w:hint="eastAsia"/>
        </w:rPr>
        <w:t xml:space="preserve"> </w:t>
      </w:r>
    </w:p>
    <w:p w:rsidR="00EA31C3" w:rsidRPr="00322044" w:rsidRDefault="00322044" w:rsidP="00636E32">
      <w:pPr>
        <w:pStyle w:val="DualTxt"/>
        <w:rPr>
          <w:rFonts w:ascii="KaiTi_GB2312" w:eastAsia="KaiTi_GB2312" w:hint="eastAsia"/>
        </w:rPr>
      </w:pPr>
      <w:r>
        <w:rPr>
          <w:rFonts w:ascii="Times New Roman" w:eastAsia="KaiTi_GB2312"/>
        </w:rPr>
        <w:tab/>
      </w:r>
      <w:r w:rsidR="00636E32" w:rsidRPr="00322044">
        <w:rPr>
          <w:rFonts w:ascii="KaiTi_GB2312" w:eastAsia="KaiTi_GB2312" w:hint="eastAsia"/>
        </w:rPr>
        <w:t>下午1时会议结束。</w:t>
      </w:r>
    </w:p>
    <w:sectPr w:rsidR="00EA31C3" w:rsidRPr="00322044" w:rsidSect="0094702A">
      <w:type w:val="continuous"/>
      <w:pgSz w:w="12240" w:h="15840" w:code="1"/>
      <w:pgMar w:top="1742" w:right="1195" w:bottom="1898" w:left="1195" w:header="576" w:footer="1030" w:gutter="0"/>
      <w:cols w:num="2" w:space="240"/>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23T15:06:00Z" w:initials="Start">
    <w:p w:rsidR="005F159B" w:rsidRDefault="005F159B">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NO&gt;&gt;N1026432C&lt;&lt;ODS JOB NO&gt;&gt;</w:t>
      </w:r>
    </w:p>
    <w:p w:rsidR="005F159B" w:rsidRDefault="005F159B">
      <w:pPr>
        <w:pStyle w:val="CommentText"/>
      </w:pPr>
      <w:r>
        <w:t>&lt;&lt;ODS DOC SYMBOL1&gt;&gt;CCPR/C/SR.2687&lt;&lt;ODS DOC SYMBOL1&gt;&gt;</w:t>
      </w:r>
    </w:p>
    <w:p w:rsidR="005F159B" w:rsidRDefault="005F159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3742" w:rsidRDefault="00E43742">
      <w:r>
        <w:separator/>
      </w:r>
    </w:p>
  </w:endnote>
  <w:endnote w:type="continuationSeparator" w:id="0">
    <w:p w:rsidR="00E43742" w:rsidRDefault="00E437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F159B" w:rsidTr="0094702A">
      <w:tblPrEx>
        <w:tblCellMar>
          <w:top w:w="0" w:type="dxa"/>
          <w:bottom w:w="0" w:type="dxa"/>
        </w:tblCellMar>
      </w:tblPrEx>
      <w:tc>
        <w:tcPr>
          <w:tcW w:w="5033" w:type="dxa"/>
          <w:shd w:val="clear" w:color="auto" w:fill="auto"/>
        </w:tcPr>
        <w:p w:rsidR="005F159B" w:rsidRPr="0094702A" w:rsidRDefault="005F159B" w:rsidP="0094702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92572">
            <w:rPr>
              <w:b w:val="0"/>
              <w:w w:val="103"/>
              <w:sz w:val="14"/>
            </w:rPr>
            <w:t>10-26432 (C)</w:t>
          </w:r>
          <w:r>
            <w:rPr>
              <w:b w:val="0"/>
              <w:w w:val="103"/>
              <w:sz w:val="14"/>
            </w:rPr>
            <w:fldChar w:fldCharType="end"/>
          </w:r>
        </w:p>
      </w:tc>
      <w:tc>
        <w:tcPr>
          <w:tcW w:w="5033" w:type="dxa"/>
          <w:shd w:val="clear" w:color="auto" w:fill="auto"/>
        </w:tcPr>
        <w:p w:rsidR="005F159B" w:rsidRPr="0094702A" w:rsidRDefault="005F159B" w:rsidP="0094702A">
          <w:pPr>
            <w:pStyle w:val="Footer"/>
            <w:jc w:val="left"/>
            <w:rPr>
              <w:w w:val="103"/>
            </w:rPr>
          </w:pPr>
          <w:r>
            <w:rPr>
              <w:w w:val="103"/>
            </w:rPr>
            <w:fldChar w:fldCharType="begin"/>
          </w:r>
          <w:r>
            <w:rPr>
              <w:w w:val="103"/>
            </w:rPr>
            <w:instrText xml:space="preserve"> PAGE  \* MERGEFORMAT </w:instrText>
          </w:r>
          <w:r>
            <w:rPr>
              <w:w w:val="103"/>
            </w:rPr>
            <w:fldChar w:fldCharType="separate"/>
          </w:r>
          <w:r w:rsidR="00634FC6">
            <w:rPr>
              <w:w w:val="103"/>
            </w:rPr>
            <w:t>6</w:t>
          </w:r>
          <w:r>
            <w:rPr>
              <w:w w:val="103"/>
            </w:rPr>
            <w:fldChar w:fldCharType="end"/>
          </w:r>
        </w:p>
      </w:tc>
    </w:tr>
  </w:tbl>
  <w:p w:rsidR="005F159B" w:rsidRPr="0094702A" w:rsidRDefault="005F159B" w:rsidP="0094702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F159B" w:rsidTr="0094702A">
      <w:tblPrEx>
        <w:tblCellMar>
          <w:top w:w="0" w:type="dxa"/>
          <w:bottom w:w="0" w:type="dxa"/>
        </w:tblCellMar>
      </w:tblPrEx>
      <w:tc>
        <w:tcPr>
          <w:tcW w:w="5033" w:type="dxa"/>
          <w:shd w:val="clear" w:color="auto" w:fill="auto"/>
        </w:tcPr>
        <w:p w:rsidR="005F159B" w:rsidRPr="0094702A" w:rsidRDefault="005F159B" w:rsidP="0094702A">
          <w:pPr>
            <w:pStyle w:val="Footer"/>
            <w:jc w:val="right"/>
          </w:pPr>
          <w:r>
            <w:fldChar w:fldCharType="begin"/>
          </w:r>
          <w:r>
            <w:instrText xml:space="preserve"> PAGE  \* MERGEFORMAT </w:instrText>
          </w:r>
          <w:r>
            <w:fldChar w:fldCharType="separate"/>
          </w:r>
          <w:r w:rsidR="00634FC6">
            <w:t>7</w:t>
          </w:r>
          <w:r>
            <w:fldChar w:fldCharType="end"/>
          </w:r>
        </w:p>
      </w:tc>
      <w:tc>
        <w:tcPr>
          <w:tcW w:w="5033" w:type="dxa"/>
          <w:shd w:val="clear" w:color="auto" w:fill="auto"/>
        </w:tcPr>
        <w:p w:rsidR="005F159B" w:rsidRPr="0094702A" w:rsidRDefault="005F159B" w:rsidP="0094702A">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92572">
            <w:rPr>
              <w:b w:val="0"/>
              <w:w w:val="103"/>
              <w:sz w:val="14"/>
            </w:rPr>
            <w:t>10-26432 (C)</w:t>
          </w:r>
          <w:r>
            <w:rPr>
              <w:b w:val="0"/>
              <w:w w:val="103"/>
              <w:sz w:val="14"/>
            </w:rPr>
            <w:fldChar w:fldCharType="end"/>
          </w:r>
        </w:p>
      </w:tc>
    </w:tr>
  </w:tbl>
  <w:p w:rsidR="005F159B" w:rsidRPr="0094702A" w:rsidRDefault="005F159B" w:rsidP="0094702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59B" w:rsidRPr="0094702A" w:rsidRDefault="005F159B">
    <w:pPr>
      <w:pStyle w:val="Footer"/>
      <w:rPr>
        <w:b w:val="0"/>
      </w:rPr>
    </w:pPr>
  </w:p>
  <w:p w:rsidR="005F159B" w:rsidRPr="0094702A" w:rsidRDefault="005F159B" w:rsidP="0094702A">
    <w:pPr>
      <w:pStyle w:val="Footer"/>
      <w:pBdr>
        <w:top w:val="single" w:sz="2" w:space="0" w:color="000000"/>
      </w:pBdr>
      <w:rPr>
        <w:b w:val="0"/>
        <w:sz w:val="2"/>
      </w:rPr>
    </w:pPr>
  </w:p>
  <w:p w:rsidR="005F159B" w:rsidRPr="00636E32" w:rsidRDefault="005F159B" w:rsidP="00636E32">
    <w:pPr>
      <w:pStyle w:val="FootnoteText"/>
      <w:ind w:left="1267" w:right="1267"/>
      <w:rPr>
        <w:rFonts w:hint="eastAsia"/>
        <w:snapToGrid w:val="0"/>
        <w:w w:val="104"/>
        <w:szCs w:val="18"/>
      </w:rPr>
    </w:pPr>
    <w:r>
      <w:rPr>
        <w:rFonts w:hint="eastAsia"/>
        <w:snapToGrid w:val="0"/>
        <w:w w:val="104"/>
        <w:szCs w:val="18"/>
      </w:rPr>
      <w:tab/>
    </w:r>
    <w:r w:rsidRPr="00636E32">
      <w:rPr>
        <w:rFonts w:hint="eastAsia"/>
        <w:snapToGrid w:val="0"/>
        <w:w w:val="104"/>
        <w:szCs w:val="18"/>
      </w:rPr>
      <w:t>本记录可以更正。</w:t>
    </w:r>
  </w:p>
  <w:p w:rsidR="005F159B" w:rsidRPr="00636E32" w:rsidRDefault="005F159B" w:rsidP="00636E32">
    <w:pPr>
      <w:pStyle w:val="FootnoteText"/>
      <w:ind w:left="1264" w:right="1094"/>
      <w:rPr>
        <w:rFonts w:hint="eastAsia"/>
        <w:snapToGrid w:val="0"/>
        <w:w w:val="104"/>
        <w:szCs w:val="18"/>
      </w:rPr>
    </w:pPr>
    <w:r>
      <w:rPr>
        <w:rFonts w:hint="eastAsia"/>
        <w:snapToGrid w:val="0"/>
        <w:w w:val="104"/>
        <w:szCs w:val="18"/>
      </w:rPr>
      <w:tab/>
    </w:r>
    <w:r w:rsidRPr="00636E32">
      <w:rPr>
        <w:rFonts w:hint="eastAsia"/>
        <w:snapToGrid w:val="0"/>
        <w:w w:val="104"/>
        <w:szCs w:val="18"/>
      </w:rPr>
      <w:t>更正请以一种工作语文提出。更正应列在一份备忘录内并反映在有关记录的印本上。更正应在</w:t>
    </w:r>
    <w:r w:rsidRPr="00636E32">
      <w:rPr>
        <w:rFonts w:ascii="KaiTi_GB2312" w:eastAsia="KaiTi_GB2312" w:hint="eastAsia"/>
        <w:snapToGrid w:val="0"/>
        <w:w w:val="104"/>
        <w:szCs w:val="18"/>
      </w:rPr>
      <w:t>本文件印发之日后一星期内</w:t>
    </w:r>
    <w:r w:rsidRPr="00636E32">
      <w:rPr>
        <w:rFonts w:hint="eastAsia"/>
        <w:snapToGrid w:val="0"/>
        <w:w w:val="104"/>
        <w:szCs w:val="18"/>
      </w:rPr>
      <w:t>送交正式记录编辑科科长（</w:t>
    </w:r>
    <w:r>
      <w:rPr>
        <w:rFonts w:hint="eastAsia"/>
        <w:snapToGrid w:val="0"/>
        <w:w w:val="104"/>
        <w:szCs w:val="18"/>
      </w:rPr>
      <w:t>DC2-750，</w:t>
    </w:r>
    <w:r w:rsidRPr="00636E32">
      <w:rPr>
        <w:rFonts w:hint="eastAsia"/>
        <w:snapToGrid w:val="0"/>
        <w:w w:val="104"/>
        <w:szCs w:val="18"/>
      </w:rPr>
      <w:t>2 United Nations Plaza）。</w:t>
    </w:r>
  </w:p>
  <w:p w:rsidR="005F159B" w:rsidRDefault="005F159B" w:rsidP="00636E32">
    <w:pPr>
      <w:pStyle w:val="FootnoteText"/>
      <w:ind w:left="1267" w:right="1267"/>
      <w:rPr>
        <w:rFonts w:hint="eastAsia"/>
        <w:snapToGrid w:val="0"/>
        <w:w w:val="104"/>
        <w:szCs w:val="18"/>
      </w:rPr>
    </w:pPr>
    <w:r>
      <w:rPr>
        <w:rFonts w:hint="eastAsia"/>
        <w:snapToGrid w:val="0"/>
        <w:w w:val="104"/>
        <w:szCs w:val="18"/>
      </w:rPr>
      <w:tab/>
    </w:r>
    <w:r w:rsidRPr="00636E32">
      <w:rPr>
        <w:rFonts w:hint="eastAsia"/>
        <w:snapToGrid w:val="0"/>
        <w:w w:val="104"/>
        <w:szCs w:val="18"/>
      </w:rPr>
      <w:t>对委员会本次会议各次公开会议记录的更正，将汇编成一份更正文件，在届会结束后随即印发</w:t>
    </w:r>
    <w:r w:rsidRPr="0094702A">
      <w:rPr>
        <w:rFonts w:hint="eastAsia"/>
        <w:snapToGrid w:val="0"/>
        <w:w w:val="104"/>
        <w:szCs w:val="18"/>
      </w:rPr>
      <w:t>。</w:t>
    </w:r>
  </w:p>
  <w:tbl>
    <w:tblPr>
      <w:tblW w:w="0" w:type="auto"/>
      <w:tblLayout w:type="fixed"/>
      <w:tblLook w:val="0000" w:firstRow="0" w:lastRow="0" w:firstColumn="0" w:lastColumn="0" w:noHBand="0" w:noVBand="0"/>
    </w:tblPr>
    <w:tblGrid>
      <w:gridCol w:w="5033"/>
      <w:gridCol w:w="5033"/>
    </w:tblGrid>
    <w:tr w:rsidR="005F159B">
      <w:tblPrEx>
        <w:tblCellMar>
          <w:top w:w="0" w:type="dxa"/>
          <w:bottom w:w="0" w:type="dxa"/>
        </w:tblCellMar>
      </w:tblPrEx>
      <w:tc>
        <w:tcPr>
          <w:tcW w:w="5033" w:type="dxa"/>
        </w:tcPr>
        <w:p w:rsidR="005F159B" w:rsidRDefault="005F159B" w:rsidP="0094702A">
          <w:pPr>
            <w:pStyle w:val="Footer"/>
            <w:rPr>
              <w:b w:val="0"/>
              <w:snapToGrid w:val="0"/>
              <w:w w:val="104"/>
              <w:sz w:val="21"/>
            </w:rPr>
          </w:pPr>
          <w:r>
            <w:rPr>
              <w:b w:val="0"/>
              <w:snapToGrid w:val="0"/>
              <w:w w:val="104"/>
              <w:sz w:val="21"/>
            </w:rPr>
            <w:fldChar w:fldCharType="begin"/>
          </w:r>
          <w:r>
            <w:rPr>
              <w:b w:val="0"/>
              <w:snapToGrid w:val="0"/>
              <w:w w:val="104"/>
              <w:sz w:val="21"/>
            </w:rPr>
            <w:instrText xml:space="preserve"> </w:instrText>
          </w:r>
          <w:r>
            <w:rPr>
              <w:rFonts w:hint="eastAsia"/>
              <w:b w:val="0"/>
              <w:snapToGrid w:val="0"/>
              <w:w w:val="104"/>
              <w:sz w:val="21"/>
            </w:rPr>
            <w:instrText>DOCVARIABLE "jobn" \* MERGEFORMAT</w:instrText>
          </w:r>
          <w:r>
            <w:rPr>
              <w:b w:val="0"/>
              <w:snapToGrid w:val="0"/>
              <w:w w:val="104"/>
              <w:sz w:val="21"/>
            </w:rPr>
            <w:instrText xml:space="preserve"> </w:instrText>
          </w:r>
          <w:r>
            <w:rPr>
              <w:b w:val="0"/>
              <w:snapToGrid w:val="0"/>
              <w:w w:val="104"/>
              <w:sz w:val="21"/>
            </w:rPr>
            <w:fldChar w:fldCharType="separate"/>
          </w:r>
          <w:r w:rsidR="00692572">
            <w:rPr>
              <w:b w:val="0"/>
              <w:snapToGrid w:val="0"/>
              <w:w w:val="104"/>
              <w:sz w:val="21"/>
            </w:rPr>
            <w:t>10-26432 (C)</w:t>
          </w:r>
          <w:r>
            <w:rPr>
              <w:b w:val="0"/>
              <w:snapToGrid w:val="0"/>
              <w:w w:val="104"/>
              <w:sz w:val="21"/>
            </w:rPr>
            <w:fldChar w:fldCharType="end"/>
          </w:r>
        </w:p>
        <w:p w:rsidR="005F159B" w:rsidRPr="0094702A" w:rsidRDefault="005F159B" w:rsidP="0094702A">
          <w:pPr>
            <w:spacing w:before="80" w:line="210" w:lineRule="exact"/>
            <w:rPr>
              <w:rFonts w:ascii="Barcode 3 of 9 by request" w:hAnsi="Barcode 3 of 9 by request" w:hint="eastAsia"/>
              <w:snapToGrid w:val="0"/>
              <w:sz w:val="24"/>
            </w:rPr>
          </w:pPr>
          <w:r>
            <w:rPr>
              <w:rFonts w:ascii="Barcode 3 of 9 by request" w:hAnsi="Barcode 3 of 9 by request"/>
              <w:snapToGrid w:val="0"/>
              <w:sz w:val="24"/>
            </w:rPr>
            <w:fldChar w:fldCharType="begin"/>
          </w:r>
          <w:r>
            <w:rPr>
              <w:rFonts w:ascii="Barcode 3 of 9 by request" w:hAnsi="Barcode 3 of 9 by request"/>
              <w:snapToGrid w:val="0"/>
              <w:sz w:val="24"/>
            </w:rPr>
            <w:instrText xml:space="preserve"> </w:instrText>
          </w:r>
          <w:r>
            <w:rPr>
              <w:rFonts w:ascii="Barcode 3 of 9 by request" w:hAnsi="Barcode 3 of 9 by request" w:hint="eastAsia"/>
              <w:snapToGrid w:val="0"/>
              <w:sz w:val="24"/>
            </w:rPr>
            <w:instrText>DOCVARIABLE "Barcode" \* MERGEFORMAT</w:instrText>
          </w:r>
          <w:r>
            <w:rPr>
              <w:rFonts w:ascii="Barcode 3 of 9 by request" w:hAnsi="Barcode 3 of 9 by request"/>
              <w:snapToGrid w:val="0"/>
              <w:sz w:val="24"/>
            </w:rPr>
            <w:instrText xml:space="preserve"> </w:instrText>
          </w:r>
          <w:r>
            <w:rPr>
              <w:rFonts w:ascii="Barcode 3 of 9 by request" w:hAnsi="Barcode 3 of 9 by request"/>
              <w:snapToGrid w:val="0"/>
              <w:sz w:val="24"/>
            </w:rPr>
            <w:fldChar w:fldCharType="separate"/>
          </w:r>
          <w:r w:rsidR="00692572">
            <w:rPr>
              <w:rFonts w:ascii="Barcode 3 of 9 by request" w:hAnsi="Barcode 3 of 9 by request"/>
              <w:snapToGrid w:val="0"/>
              <w:sz w:val="24"/>
            </w:rPr>
            <w:t>*1026432*</w:t>
          </w:r>
          <w:r>
            <w:rPr>
              <w:rFonts w:ascii="Barcode 3 of 9 by request" w:hAnsi="Barcode 3 of 9 by request"/>
              <w:snapToGrid w:val="0"/>
              <w:sz w:val="24"/>
            </w:rPr>
            <w:fldChar w:fldCharType="end"/>
          </w:r>
        </w:p>
      </w:tc>
      <w:tc>
        <w:tcPr>
          <w:tcW w:w="5033" w:type="dxa"/>
        </w:tcPr>
        <w:p w:rsidR="005F159B" w:rsidRDefault="005F159B" w:rsidP="0094702A">
          <w:pPr>
            <w:pStyle w:val="Footer"/>
            <w:jc w:val="right"/>
            <w:rPr>
              <w:rFonts w:hint="eastAsia"/>
              <w:b w:val="0"/>
              <w:snapToGrid w:val="0"/>
              <w:w w:val="104"/>
              <w:sz w:val="21"/>
            </w:rPr>
          </w:pPr>
          <w:r w:rsidRPr="0094702A">
            <w:rPr>
              <w:rFonts w:hint="eastAsia"/>
              <w:b w:val="0"/>
              <w:snapToGrid w:val="0"/>
              <w:w w:val="104"/>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5F159B" w:rsidRPr="0094702A" w:rsidRDefault="005F159B" w:rsidP="0094702A">
    <w:pPr>
      <w:pStyle w:val="Footer"/>
      <w:spacing w:line="56" w:lineRule="auto"/>
      <w:jc w:val="left"/>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3742" w:rsidRDefault="00E43742">
      <w:r>
        <w:separator/>
      </w:r>
    </w:p>
  </w:footnote>
  <w:footnote w:type="continuationSeparator" w:id="0">
    <w:p w:rsidR="00E43742" w:rsidRDefault="00E437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F159B" w:rsidTr="0094702A">
      <w:tblPrEx>
        <w:tblCellMar>
          <w:top w:w="0" w:type="dxa"/>
          <w:bottom w:w="0" w:type="dxa"/>
        </w:tblCellMar>
      </w:tblPrEx>
      <w:trPr>
        <w:trHeight w:hRule="exact" w:val="864"/>
      </w:trPr>
      <w:tc>
        <w:tcPr>
          <w:tcW w:w="4838" w:type="dxa"/>
          <w:shd w:val="clear" w:color="auto" w:fill="auto"/>
          <w:vAlign w:val="bottom"/>
        </w:tcPr>
        <w:p w:rsidR="005F159B" w:rsidRPr="0094702A" w:rsidRDefault="005F159B" w:rsidP="0094702A">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692572">
            <w:rPr>
              <w:b/>
              <w:sz w:val="17"/>
            </w:rPr>
            <w:t>CCPR/C/SR.2687</w:t>
          </w:r>
          <w:r>
            <w:rPr>
              <w:b/>
              <w:sz w:val="17"/>
            </w:rPr>
            <w:fldChar w:fldCharType="end"/>
          </w:r>
        </w:p>
      </w:tc>
      <w:tc>
        <w:tcPr>
          <w:tcW w:w="5033" w:type="dxa"/>
          <w:shd w:val="clear" w:color="auto" w:fill="auto"/>
          <w:vAlign w:val="bottom"/>
        </w:tcPr>
        <w:p w:rsidR="005F159B" w:rsidRDefault="005F159B" w:rsidP="0094702A">
          <w:pPr>
            <w:pStyle w:val="Header"/>
          </w:pPr>
        </w:p>
      </w:tc>
    </w:tr>
  </w:tbl>
  <w:p w:rsidR="005F159B" w:rsidRPr="0094702A" w:rsidRDefault="005F159B" w:rsidP="0094702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F159B" w:rsidTr="0094702A">
      <w:tblPrEx>
        <w:tblCellMar>
          <w:top w:w="0" w:type="dxa"/>
          <w:bottom w:w="0" w:type="dxa"/>
        </w:tblCellMar>
      </w:tblPrEx>
      <w:trPr>
        <w:trHeight w:hRule="exact" w:val="864"/>
      </w:trPr>
      <w:tc>
        <w:tcPr>
          <w:tcW w:w="4838" w:type="dxa"/>
          <w:shd w:val="clear" w:color="auto" w:fill="auto"/>
          <w:vAlign w:val="bottom"/>
        </w:tcPr>
        <w:p w:rsidR="005F159B" w:rsidRDefault="005F159B" w:rsidP="0094702A">
          <w:pPr>
            <w:pStyle w:val="Header"/>
          </w:pPr>
        </w:p>
      </w:tc>
      <w:tc>
        <w:tcPr>
          <w:tcW w:w="5033" w:type="dxa"/>
          <w:shd w:val="clear" w:color="auto" w:fill="auto"/>
          <w:vAlign w:val="bottom"/>
        </w:tcPr>
        <w:p w:rsidR="005F159B" w:rsidRPr="0094702A" w:rsidRDefault="005F159B" w:rsidP="0094702A">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692572">
            <w:rPr>
              <w:b/>
              <w:sz w:val="17"/>
            </w:rPr>
            <w:t>CCPR/C/SR.2687</w:t>
          </w:r>
          <w:r>
            <w:rPr>
              <w:b/>
              <w:sz w:val="17"/>
            </w:rPr>
            <w:fldChar w:fldCharType="end"/>
          </w:r>
        </w:p>
      </w:tc>
    </w:tr>
  </w:tbl>
  <w:p w:rsidR="005F159B" w:rsidRPr="0094702A" w:rsidRDefault="005F159B" w:rsidP="0094702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F159B" w:rsidTr="0094702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F159B" w:rsidRDefault="005F159B" w:rsidP="0094702A">
          <w:pPr>
            <w:pStyle w:val="Header"/>
            <w:spacing w:after="120"/>
          </w:pPr>
        </w:p>
      </w:tc>
      <w:tc>
        <w:tcPr>
          <w:tcW w:w="1872" w:type="dxa"/>
          <w:tcBorders>
            <w:bottom w:val="single" w:sz="4" w:space="0" w:color="auto"/>
          </w:tcBorders>
          <w:shd w:val="clear" w:color="auto" w:fill="auto"/>
          <w:vAlign w:val="bottom"/>
        </w:tcPr>
        <w:p w:rsidR="005F159B" w:rsidRPr="0094702A" w:rsidRDefault="005F159B" w:rsidP="0094702A">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5F159B" w:rsidRDefault="005F159B" w:rsidP="0094702A">
          <w:pPr>
            <w:pStyle w:val="Header"/>
            <w:spacing w:after="120"/>
          </w:pPr>
        </w:p>
      </w:tc>
      <w:tc>
        <w:tcPr>
          <w:tcW w:w="6523" w:type="dxa"/>
          <w:gridSpan w:val="3"/>
          <w:tcBorders>
            <w:bottom w:val="single" w:sz="4" w:space="0" w:color="auto"/>
          </w:tcBorders>
          <w:shd w:val="clear" w:color="auto" w:fill="auto"/>
          <w:vAlign w:val="bottom"/>
        </w:tcPr>
        <w:p w:rsidR="005F159B" w:rsidRPr="00636E32" w:rsidRDefault="005F159B" w:rsidP="00636E32">
          <w:pPr>
            <w:spacing w:after="80" w:line="240" w:lineRule="auto"/>
            <w:jc w:val="right"/>
            <w:rPr>
              <w:rFonts w:ascii="Times New Roman"/>
              <w:position w:val="-4"/>
            </w:rPr>
          </w:pPr>
          <w:r>
            <w:rPr>
              <w:rFonts w:ascii="Times New Roman"/>
              <w:position w:val="-4"/>
              <w:sz w:val="40"/>
            </w:rPr>
            <w:t>CCPR</w:t>
          </w:r>
          <w:r>
            <w:rPr>
              <w:rFonts w:ascii="Times New Roman"/>
              <w:position w:val="-4"/>
            </w:rPr>
            <w:t>/C/SR.2687</w:t>
          </w:r>
        </w:p>
      </w:tc>
    </w:tr>
    <w:tr w:rsidR="005F159B" w:rsidRPr="0094702A" w:rsidTr="0094702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F159B" w:rsidRDefault="005F159B" w:rsidP="0094702A">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5F159B" w:rsidRPr="0094702A" w:rsidRDefault="005F159B" w:rsidP="0094702A">
          <w:pPr>
            <w:pStyle w:val="Header"/>
            <w:spacing w:before="109"/>
            <w:ind w:left="-72"/>
          </w:pPr>
        </w:p>
      </w:tc>
      <w:tc>
        <w:tcPr>
          <w:tcW w:w="5227" w:type="dxa"/>
          <w:gridSpan w:val="3"/>
          <w:tcBorders>
            <w:top w:val="single" w:sz="4" w:space="0" w:color="auto"/>
            <w:bottom w:val="single" w:sz="12" w:space="0" w:color="auto"/>
          </w:tcBorders>
          <w:shd w:val="clear" w:color="auto" w:fill="auto"/>
        </w:tcPr>
        <w:p w:rsidR="005F159B" w:rsidRPr="003021B3" w:rsidRDefault="005F159B" w:rsidP="0094702A">
          <w:pPr>
            <w:pStyle w:val="XLarge"/>
            <w:spacing w:before="109" w:after="140" w:line="440" w:lineRule="exact"/>
            <w:rPr>
              <w:rFonts w:ascii="Times New Roman" w:hint="eastAsia"/>
              <w:sz w:val="38"/>
            </w:rPr>
          </w:pPr>
          <w:r>
            <w:rPr>
              <w:rFonts w:ascii="Times New Roman" w:hint="eastAsia"/>
              <w:sz w:val="38"/>
            </w:rPr>
            <w:t>公民及政治权利国际公约</w:t>
          </w:r>
        </w:p>
      </w:tc>
      <w:tc>
        <w:tcPr>
          <w:tcW w:w="245" w:type="dxa"/>
          <w:tcBorders>
            <w:top w:val="single" w:sz="4" w:space="0" w:color="auto"/>
            <w:bottom w:val="single" w:sz="12" w:space="0" w:color="auto"/>
          </w:tcBorders>
          <w:shd w:val="clear" w:color="auto" w:fill="auto"/>
        </w:tcPr>
        <w:p w:rsidR="005F159B" w:rsidRPr="0094702A" w:rsidRDefault="005F159B" w:rsidP="0094702A">
          <w:pPr>
            <w:pStyle w:val="Header"/>
            <w:spacing w:before="109"/>
          </w:pPr>
        </w:p>
      </w:tc>
      <w:tc>
        <w:tcPr>
          <w:tcW w:w="3180" w:type="dxa"/>
          <w:gridSpan w:val="2"/>
          <w:tcBorders>
            <w:top w:val="single" w:sz="4" w:space="0" w:color="auto"/>
            <w:bottom w:val="single" w:sz="12" w:space="0" w:color="auto"/>
          </w:tcBorders>
          <w:shd w:val="clear" w:color="auto" w:fill="auto"/>
        </w:tcPr>
        <w:p w:rsidR="005F159B" w:rsidRDefault="005F159B" w:rsidP="0094702A">
          <w:pPr>
            <w:spacing w:before="240" w:line="240" w:lineRule="exact"/>
            <w:rPr>
              <w:rFonts w:ascii="Times New Roman"/>
            </w:rPr>
          </w:pPr>
          <w:r>
            <w:rPr>
              <w:rFonts w:ascii="Times New Roman"/>
            </w:rPr>
            <w:t>Distr.: General</w:t>
          </w:r>
        </w:p>
        <w:p w:rsidR="005F159B" w:rsidRDefault="00634FC6" w:rsidP="0094702A">
          <w:pPr>
            <w:spacing w:line="240" w:lineRule="exact"/>
            <w:rPr>
              <w:rFonts w:ascii="Times New Roman"/>
            </w:rPr>
          </w:pPr>
          <w:r>
            <w:rPr>
              <w:rFonts w:ascii="Times New Roman"/>
            </w:rPr>
            <w:t>6</w:t>
          </w:r>
          <w:r w:rsidR="005F159B">
            <w:rPr>
              <w:rFonts w:ascii="Times New Roman"/>
            </w:rPr>
            <w:t xml:space="preserve"> Ju</w:t>
          </w:r>
          <w:r>
            <w:rPr>
              <w:rFonts w:ascii="Times New Roman"/>
            </w:rPr>
            <w:t>ly</w:t>
          </w:r>
          <w:r w:rsidR="005F159B">
            <w:rPr>
              <w:rFonts w:ascii="Times New Roman"/>
            </w:rPr>
            <w:t xml:space="preserve"> 2010</w:t>
          </w:r>
        </w:p>
        <w:p w:rsidR="005F159B" w:rsidRDefault="005F159B" w:rsidP="0094702A">
          <w:pPr>
            <w:spacing w:line="240" w:lineRule="exact"/>
            <w:rPr>
              <w:rFonts w:ascii="Times New Roman"/>
            </w:rPr>
          </w:pPr>
          <w:r>
            <w:rPr>
              <w:rFonts w:ascii="Times New Roman"/>
            </w:rPr>
            <w:t>Chinese</w:t>
          </w:r>
        </w:p>
        <w:p w:rsidR="005F159B" w:rsidRPr="0094702A" w:rsidRDefault="005F159B" w:rsidP="0094702A">
          <w:pPr>
            <w:spacing w:line="240" w:lineRule="exact"/>
            <w:rPr>
              <w:rFonts w:ascii="Times New Roman"/>
            </w:rPr>
          </w:pPr>
          <w:r>
            <w:rPr>
              <w:rFonts w:ascii="Times New Roman"/>
            </w:rPr>
            <w:t>Original: English</w:t>
          </w:r>
        </w:p>
      </w:tc>
    </w:tr>
  </w:tbl>
  <w:p w:rsidR="005F159B" w:rsidRPr="0094702A" w:rsidRDefault="005F159B" w:rsidP="0094702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6432*"/>
    <w:docVar w:name="CreationDt" w:val="23/06/2010 14:46:49"/>
    <w:docVar w:name="DocCategory" w:val="SROthers"/>
    <w:docVar w:name="DocType" w:val="Final"/>
    <w:docVar w:name="FooterJN" w:val="10-26432 (C)"/>
    <w:docVar w:name="jobn" w:val="10-26432 (C)"/>
    <w:docVar w:name="jobnDT" w:val="10-26432 (C)   230610"/>
    <w:docVar w:name="jobnDTDT" w:val="10-26432 (C)   230610   230610"/>
    <w:docVar w:name="JobNo" w:val="1026432C"/>
    <w:docVar w:name="OandT" w:val="yanghua"/>
    <w:docVar w:name="sss1" w:val="CCPR/C/SR.2687"/>
    <w:docVar w:name="sss2" w:val="-"/>
    <w:docVar w:name="Symbol1" w:val="CCPR/C/SR.2687"/>
    <w:docVar w:name="Symbol2" w:val="-"/>
  </w:docVars>
  <w:rsids>
    <w:rsidRoot w:val="00F17680"/>
    <w:rsid w:val="0000347C"/>
    <w:rsid w:val="000125BC"/>
    <w:rsid w:val="00021A2B"/>
    <w:rsid w:val="00026790"/>
    <w:rsid w:val="00037B39"/>
    <w:rsid w:val="00044CA4"/>
    <w:rsid w:val="00045EFE"/>
    <w:rsid w:val="0007337D"/>
    <w:rsid w:val="000758DF"/>
    <w:rsid w:val="00076EB8"/>
    <w:rsid w:val="00095C67"/>
    <w:rsid w:val="000A31F9"/>
    <w:rsid w:val="000C1786"/>
    <w:rsid w:val="000C4DDE"/>
    <w:rsid w:val="000E240F"/>
    <w:rsid w:val="000E49A4"/>
    <w:rsid w:val="000F1058"/>
    <w:rsid w:val="00101C4E"/>
    <w:rsid w:val="001113F8"/>
    <w:rsid w:val="001212F9"/>
    <w:rsid w:val="00121328"/>
    <w:rsid w:val="00122458"/>
    <w:rsid w:val="0012708E"/>
    <w:rsid w:val="001329F7"/>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0B62"/>
    <w:rsid w:val="002D4ACE"/>
    <w:rsid w:val="002D5503"/>
    <w:rsid w:val="002E66D5"/>
    <w:rsid w:val="002F1CA9"/>
    <w:rsid w:val="002F41E2"/>
    <w:rsid w:val="002F6A46"/>
    <w:rsid w:val="003021B3"/>
    <w:rsid w:val="00320C99"/>
    <w:rsid w:val="00322044"/>
    <w:rsid w:val="003274A9"/>
    <w:rsid w:val="00331221"/>
    <w:rsid w:val="003649EE"/>
    <w:rsid w:val="00371BC6"/>
    <w:rsid w:val="00373A15"/>
    <w:rsid w:val="00383ACA"/>
    <w:rsid w:val="00394A02"/>
    <w:rsid w:val="003C7B20"/>
    <w:rsid w:val="003D075F"/>
    <w:rsid w:val="003E4565"/>
    <w:rsid w:val="003E748F"/>
    <w:rsid w:val="003E7612"/>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26D7C"/>
    <w:rsid w:val="005335B9"/>
    <w:rsid w:val="00536CCE"/>
    <w:rsid w:val="005541E4"/>
    <w:rsid w:val="00562FE7"/>
    <w:rsid w:val="0057450D"/>
    <w:rsid w:val="0058302A"/>
    <w:rsid w:val="005B7338"/>
    <w:rsid w:val="005C02AB"/>
    <w:rsid w:val="005C5FC3"/>
    <w:rsid w:val="005D0F04"/>
    <w:rsid w:val="005F12F0"/>
    <w:rsid w:val="005F159B"/>
    <w:rsid w:val="005F3273"/>
    <w:rsid w:val="005F34A3"/>
    <w:rsid w:val="00610CF2"/>
    <w:rsid w:val="006328DE"/>
    <w:rsid w:val="00634FC6"/>
    <w:rsid w:val="006353DE"/>
    <w:rsid w:val="00636E32"/>
    <w:rsid w:val="006479F1"/>
    <w:rsid w:val="00650BEE"/>
    <w:rsid w:val="006520FA"/>
    <w:rsid w:val="0065377D"/>
    <w:rsid w:val="00666F57"/>
    <w:rsid w:val="006740A7"/>
    <w:rsid w:val="006767D5"/>
    <w:rsid w:val="00691524"/>
    <w:rsid w:val="00692572"/>
    <w:rsid w:val="006A654B"/>
    <w:rsid w:val="006E2924"/>
    <w:rsid w:val="006E7A26"/>
    <w:rsid w:val="006F2B3D"/>
    <w:rsid w:val="007052CC"/>
    <w:rsid w:val="007319E0"/>
    <w:rsid w:val="007345AA"/>
    <w:rsid w:val="00737B00"/>
    <w:rsid w:val="0075155C"/>
    <w:rsid w:val="00753A05"/>
    <w:rsid w:val="00757193"/>
    <w:rsid w:val="00761190"/>
    <w:rsid w:val="00776537"/>
    <w:rsid w:val="00783A25"/>
    <w:rsid w:val="007877F4"/>
    <w:rsid w:val="007C74B9"/>
    <w:rsid w:val="007E1B5E"/>
    <w:rsid w:val="007E6253"/>
    <w:rsid w:val="007F2278"/>
    <w:rsid w:val="00803014"/>
    <w:rsid w:val="00805783"/>
    <w:rsid w:val="00806F57"/>
    <w:rsid w:val="00806F90"/>
    <w:rsid w:val="008246FC"/>
    <w:rsid w:val="00824C19"/>
    <w:rsid w:val="00826250"/>
    <w:rsid w:val="008378D1"/>
    <w:rsid w:val="00846462"/>
    <w:rsid w:val="0086691F"/>
    <w:rsid w:val="00883DB0"/>
    <w:rsid w:val="00884C8F"/>
    <w:rsid w:val="00896D38"/>
    <w:rsid w:val="008B5ED5"/>
    <w:rsid w:val="008C3296"/>
    <w:rsid w:val="008E2D03"/>
    <w:rsid w:val="008F2BB5"/>
    <w:rsid w:val="008F425D"/>
    <w:rsid w:val="008F5472"/>
    <w:rsid w:val="008F5D0F"/>
    <w:rsid w:val="009122E0"/>
    <w:rsid w:val="00913351"/>
    <w:rsid w:val="0094702A"/>
    <w:rsid w:val="0096193C"/>
    <w:rsid w:val="009769E1"/>
    <w:rsid w:val="00977E0D"/>
    <w:rsid w:val="00986132"/>
    <w:rsid w:val="00986C04"/>
    <w:rsid w:val="00994475"/>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0956"/>
    <w:rsid w:val="00A95404"/>
    <w:rsid w:val="00A968C5"/>
    <w:rsid w:val="00AA3C28"/>
    <w:rsid w:val="00AA759D"/>
    <w:rsid w:val="00AB2786"/>
    <w:rsid w:val="00AD4308"/>
    <w:rsid w:val="00AF2A33"/>
    <w:rsid w:val="00B309DD"/>
    <w:rsid w:val="00B36621"/>
    <w:rsid w:val="00B36D64"/>
    <w:rsid w:val="00B41B48"/>
    <w:rsid w:val="00B52BE3"/>
    <w:rsid w:val="00B56194"/>
    <w:rsid w:val="00B60F41"/>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62EF9"/>
    <w:rsid w:val="00C76854"/>
    <w:rsid w:val="00C92AE0"/>
    <w:rsid w:val="00CA450F"/>
    <w:rsid w:val="00CB2B1E"/>
    <w:rsid w:val="00CC3E8B"/>
    <w:rsid w:val="00CC4E84"/>
    <w:rsid w:val="00CD5641"/>
    <w:rsid w:val="00CE64AC"/>
    <w:rsid w:val="00CF7718"/>
    <w:rsid w:val="00D177F1"/>
    <w:rsid w:val="00D323B5"/>
    <w:rsid w:val="00D42ACC"/>
    <w:rsid w:val="00D51086"/>
    <w:rsid w:val="00D51DC5"/>
    <w:rsid w:val="00D676D7"/>
    <w:rsid w:val="00D71517"/>
    <w:rsid w:val="00D7168D"/>
    <w:rsid w:val="00D874E1"/>
    <w:rsid w:val="00D9586D"/>
    <w:rsid w:val="00DA51B2"/>
    <w:rsid w:val="00DB0932"/>
    <w:rsid w:val="00DC2506"/>
    <w:rsid w:val="00DC49FA"/>
    <w:rsid w:val="00DD3D6B"/>
    <w:rsid w:val="00DD4467"/>
    <w:rsid w:val="00DD61C8"/>
    <w:rsid w:val="00DD772B"/>
    <w:rsid w:val="00E01642"/>
    <w:rsid w:val="00E041F4"/>
    <w:rsid w:val="00E050BA"/>
    <w:rsid w:val="00E25442"/>
    <w:rsid w:val="00E25A1F"/>
    <w:rsid w:val="00E37EEB"/>
    <w:rsid w:val="00E43742"/>
    <w:rsid w:val="00E710FB"/>
    <w:rsid w:val="00E806D9"/>
    <w:rsid w:val="00E82CA2"/>
    <w:rsid w:val="00E94E5A"/>
    <w:rsid w:val="00E95594"/>
    <w:rsid w:val="00EA31C3"/>
    <w:rsid w:val="00EB33AC"/>
    <w:rsid w:val="00EC6F21"/>
    <w:rsid w:val="00EE0913"/>
    <w:rsid w:val="00F01440"/>
    <w:rsid w:val="00F13305"/>
    <w:rsid w:val="00F17680"/>
    <w:rsid w:val="00F40463"/>
    <w:rsid w:val="00F50336"/>
    <w:rsid w:val="00F55E5B"/>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986132"/>
    <w:pPr>
      <w:keepNext/>
      <w:keepLines/>
      <w:suppressAutoHyphens/>
      <w:outlineLvl w:val="0"/>
    </w:pPr>
    <w:rPr>
      <w:rFonts w:ascii="SimHei" w:eastAsia="SimHei"/>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basedOn w:val="Footnote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link w:val="FooterChar"/>
    <w:rsid w:val="001E5A51"/>
    <w:pPr>
      <w:tabs>
        <w:tab w:val="center" w:pos="4320"/>
        <w:tab w:val="right" w:pos="8640"/>
      </w:tabs>
      <w:jc w:val="both"/>
    </w:pPr>
    <w:rPr>
      <w:b/>
      <w:noProof/>
      <w:sz w:val="18"/>
      <w:szCs w:val="18"/>
      <w:lang w:val="en-US" w:eastAsia="zh-CN"/>
    </w:rPr>
  </w:style>
  <w:style w:type="character" w:customStyle="1" w:styleId="FooterChar">
    <w:name w:val="Footer Char"/>
    <w:link w:val="Footer"/>
    <w:rsid w:val="0094702A"/>
    <w:rPr>
      <w:rFonts w:eastAsia="SimSun"/>
      <w:b/>
      <w:noProof/>
      <w:sz w:val="18"/>
      <w:szCs w:val="18"/>
      <w:lang w:val="en-US" w:eastAsia="zh-CN" w:bidi="ar-SA"/>
    </w:rPr>
  </w:style>
  <w:style w:type="paragraph" w:customStyle="1" w:styleId="GB2312">
    <w:name w:val="样式 页脚 + 楷体_GB2312 小五 非加粗 蓝色"/>
    <w:basedOn w:val="Footer"/>
    <w:link w:val="GB2312Char"/>
    <w:rsid w:val="0094702A"/>
    <w:pPr>
      <w:jc w:val="left"/>
    </w:pPr>
    <w:rPr>
      <w:rFonts w:ascii="KaiTi_GB2312" w:eastAsia="KaiTi_GB2312" w:hAnsi="KaiTi_GB2312"/>
      <w:b w:val="0"/>
      <w:w w:val="104"/>
      <w:szCs w:val="20"/>
    </w:rPr>
  </w:style>
  <w:style w:type="character" w:customStyle="1" w:styleId="GB2312Char">
    <w:name w:val="样式 页脚 + 楷体_GB2312 小五 非加粗 蓝色 Char"/>
    <w:link w:val="GB2312"/>
    <w:rsid w:val="0094702A"/>
    <w:rPr>
      <w:rFonts w:ascii="KaiTi_GB2312" w:eastAsia="KaiTi_GB2312" w:hAnsi="KaiTi_GB2312"/>
      <w:b/>
      <w:noProof/>
      <w:w w:val="104"/>
      <w:sz w:val="18"/>
      <w:szCs w:val="18"/>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33</TotalTime>
  <Pages>1</Pages>
  <Words>1421</Words>
  <Characters>8103</Characters>
  <Application>Microsoft Office Word</Application>
  <DocSecurity>4</DocSecurity>
  <Lines>67</Lines>
  <Paragraphs>19</Paragraphs>
  <ScaleCrop>false</ScaleCrop>
  <Company>United Nations</Company>
  <LinksUpToDate>false</LinksUpToDate>
  <CharactersWithSpaces>9505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13</cp:revision>
  <cp:lastPrinted>2010-06-24T07:06:00Z</cp:lastPrinted>
  <dcterms:created xsi:type="dcterms:W3CDTF">2010-06-23T12:45:00Z</dcterms:created>
  <dcterms:modified xsi:type="dcterms:W3CDTF">2010-07-06T08:00:00Z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1026432</vt:lpwstr>
  </property>
  <property fmtid="{D5CDD505-2E9C-101B-9397-08002B2CF9AE}" pid="3" name="Symbol2">
    <vt:lpwstr/>
  </property>
  <property fmtid="{D5CDD505-2E9C-101B-9397-08002B2CF9AE}" pid="4" name="Translator">
    <vt:lpwstr/>
  </property>
  <property fmtid="{D5CDD505-2E9C-101B-9397-08002B2CF9AE}" pid="5" name="Symbol1">
    <vt:lpwstr>CCPR/C/SR.2687</vt:lpwstr>
  </property>
  <property fmtid="{D5CDD505-2E9C-101B-9397-08002B2CF9AE}" pid="6" name="sss1">
    <vt:lpwstr>CCPR/C/SR.2687</vt:lpwstr>
  </property>
  <property fmtid="{D5CDD505-2E9C-101B-9397-08002B2CF9AE}" pid="7" name="Comment">
    <vt:lpwstr/>
  </property>
  <property fmtid="{D5CDD505-2E9C-101B-9397-08002B2CF9AE}" pid="8" name="DraftPages">
    <vt:lpwstr> </vt:lpwstr>
  </property>
  <property fmtid="{D5CDD505-2E9C-101B-9397-08002B2CF9AE}" pid="9" name="Operator">
    <vt:lpwstr>yanghua</vt:lpwstr>
  </property>
</Properties>
</file>