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145" w:rsidRDefault="009B3145" w:rsidP="009B3145">
      <w:pPr>
        <w:spacing w:line="60" w:lineRule="exact"/>
        <w:rPr>
          <w:sz w:val="6"/>
        </w:rPr>
        <w:sectPr w:rsidR="009B3145" w:rsidSect="009B314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B3145" w:rsidRDefault="009B3145" w:rsidP="009B3145">
      <w:pPr>
        <w:spacing w:line="60" w:lineRule="exact"/>
        <w:rPr>
          <w:sz w:val="6"/>
        </w:rPr>
      </w:pPr>
    </w:p>
    <w:p w:rsidR="001553DD" w:rsidRDefault="001553DD" w:rsidP="001553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1553DD" w:rsidRPr="001553DD" w:rsidRDefault="001553DD" w:rsidP="001553DD">
      <w:pPr>
        <w:pStyle w:val="SingleTxt"/>
        <w:spacing w:after="60"/>
        <w:ind w:left="0"/>
        <w:rPr>
          <w:rFonts w:ascii="SimHei" w:eastAsia="SimHei" w:hint="eastAsia"/>
          <w:color w:val="FF0000"/>
        </w:rPr>
      </w:pPr>
      <w:r w:rsidRPr="001553DD">
        <w:rPr>
          <w:rFonts w:ascii="SimHei" w:eastAsia="SimHei" w:hint="eastAsia"/>
          <w:color w:val="FF0000"/>
        </w:rPr>
        <w:t>第四十四届会议</w:t>
      </w:r>
    </w:p>
    <w:p w:rsidR="001553DD" w:rsidRDefault="001553DD" w:rsidP="001553DD">
      <w:pPr>
        <w:pStyle w:val="SingleTxt"/>
        <w:spacing w:after="0"/>
        <w:ind w:left="0"/>
        <w:rPr>
          <w:rFonts w:hint="eastAsia"/>
        </w:rPr>
      </w:pPr>
      <w:r>
        <w:rPr>
          <w:rFonts w:hint="eastAsia"/>
        </w:rPr>
        <w:t>2009年7月20日至8月7日</w:t>
      </w:r>
    </w:p>
    <w:p w:rsidR="001553DD" w:rsidRPr="001553DD" w:rsidRDefault="001553DD" w:rsidP="001553DD">
      <w:pPr>
        <w:pStyle w:val="SingleTxt"/>
        <w:spacing w:after="0" w:line="120" w:lineRule="exact"/>
        <w:rPr>
          <w:sz w:val="10"/>
        </w:rPr>
      </w:pPr>
    </w:p>
    <w:p w:rsidR="001553DD" w:rsidRPr="001553DD" w:rsidRDefault="001553DD" w:rsidP="001553DD">
      <w:pPr>
        <w:pStyle w:val="SingleTxt"/>
        <w:spacing w:after="0" w:line="120" w:lineRule="exact"/>
        <w:rPr>
          <w:rFonts w:hint="eastAsia"/>
          <w:sz w:val="10"/>
        </w:rPr>
      </w:pPr>
    </w:p>
    <w:p w:rsidR="001553DD" w:rsidRPr="001553DD" w:rsidRDefault="001553DD" w:rsidP="001553DD">
      <w:pPr>
        <w:pStyle w:val="SingleTxt"/>
        <w:spacing w:after="0" w:line="120" w:lineRule="exact"/>
        <w:rPr>
          <w:rFonts w:hint="eastAsia"/>
          <w:sz w:val="10"/>
        </w:rPr>
      </w:pPr>
    </w:p>
    <w:p w:rsidR="001553DD" w:rsidRDefault="001553DD" w:rsidP="001553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1553DD" w:rsidRPr="001553DD" w:rsidRDefault="001553DD" w:rsidP="001553DD">
      <w:pPr>
        <w:pStyle w:val="SingleTxt"/>
        <w:spacing w:after="0" w:line="120" w:lineRule="exact"/>
        <w:rPr>
          <w:sz w:val="10"/>
        </w:rPr>
      </w:pPr>
    </w:p>
    <w:p w:rsidR="001553DD" w:rsidRPr="001553DD" w:rsidRDefault="001553DD" w:rsidP="001553DD">
      <w:pPr>
        <w:pStyle w:val="SingleTxt"/>
        <w:spacing w:after="0" w:line="120" w:lineRule="exact"/>
        <w:rPr>
          <w:rFonts w:hint="eastAsia"/>
          <w:sz w:val="10"/>
        </w:rPr>
      </w:pPr>
    </w:p>
    <w:p w:rsidR="001553DD" w:rsidRDefault="001553DD" w:rsidP="001553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丹麦</w:t>
      </w:r>
    </w:p>
    <w:p w:rsidR="001553DD" w:rsidRPr="001553DD" w:rsidRDefault="001553DD" w:rsidP="001553DD">
      <w:pPr>
        <w:pStyle w:val="SingleTxt"/>
        <w:spacing w:after="0" w:line="120" w:lineRule="exact"/>
        <w:rPr>
          <w:sz w:val="10"/>
        </w:rPr>
      </w:pPr>
    </w:p>
    <w:p w:rsidR="001553DD" w:rsidRDefault="001553DD" w:rsidP="001553DD">
      <w:pPr>
        <w:pStyle w:val="SingleTxt"/>
        <w:rPr>
          <w:rFonts w:hint="eastAsia"/>
        </w:rPr>
      </w:pPr>
      <w:r>
        <w:rPr>
          <w:rFonts w:hint="eastAsia"/>
        </w:rPr>
        <w:t>1.</w:t>
      </w:r>
      <w:r>
        <w:rPr>
          <w:rFonts w:hint="eastAsia"/>
        </w:rPr>
        <w:tab/>
        <w:t>2009年7月22日，委员会第888次和第889次会议审议了丹麦第七次定期报告(CEDAW/C/DEN/7)(见CEDAW/C/SR.888和889)。委员会的议题和问题清单载于CEDAW/C/DEN/Q/7，丹麦政府的答复载于CEDAW/C/DEN/Q/7/Add.1。</w:t>
      </w:r>
    </w:p>
    <w:p w:rsidR="00EA31C3" w:rsidRDefault="001553DD" w:rsidP="00C26C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导言</w:t>
      </w:r>
    </w:p>
    <w:p w:rsidR="00C26CDD" w:rsidRPr="00C26CDD" w:rsidRDefault="00C26CDD" w:rsidP="00C26CDD">
      <w:pPr>
        <w:pStyle w:val="SingleTxt"/>
        <w:spacing w:after="0" w:line="120" w:lineRule="exact"/>
        <w:rPr>
          <w:rFonts w:hint="eastAsia"/>
          <w:sz w:val="10"/>
        </w:rPr>
      </w:pPr>
    </w:p>
    <w:p w:rsidR="001553DD" w:rsidRDefault="001553DD" w:rsidP="001553DD">
      <w:pPr>
        <w:pStyle w:val="SingleTxt"/>
        <w:spacing w:after="120" w:line="312" w:lineRule="exact"/>
        <w:rPr>
          <w:rFonts w:hint="eastAsia"/>
        </w:rPr>
      </w:pPr>
      <w:r>
        <w:rPr>
          <w:rFonts w:hint="eastAsia"/>
        </w:rPr>
        <w:t>2.</w:t>
      </w:r>
      <w:r>
        <w:rPr>
          <w:rFonts w:hint="eastAsia"/>
        </w:rPr>
        <w:tab/>
        <w:t>委员会赞扬缔约国遵循委员会前定期报告编写导则并考虑到委员会以往的结论意见提交第七次定期报告。委员会还赞赏缔约国对会前工作组提出的议题和问题清单的书面答复以及对委员会提出的问题的口头说明和答复。但委员会对报告中关于法罗群岛和格陵兰妇女状况的信息仍然太过有限感到遗憾。</w:t>
      </w:r>
    </w:p>
    <w:p w:rsidR="001553DD" w:rsidRDefault="001553DD" w:rsidP="001553DD">
      <w:pPr>
        <w:pStyle w:val="SingleTxt"/>
        <w:spacing w:after="120" w:line="312" w:lineRule="exact"/>
        <w:rPr>
          <w:rFonts w:hint="eastAsia"/>
        </w:rPr>
      </w:pPr>
      <w:r>
        <w:rPr>
          <w:rFonts w:hint="eastAsia"/>
        </w:rPr>
        <w:t>3.</w:t>
      </w:r>
      <w:r>
        <w:rPr>
          <w:rFonts w:hint="eastAsia"/>
        </w:rPr>
        <w:tab/>
        <w:t>委员会赞赏缔约国派遣由两性平等司常务副司长率领的代表团出席会议，成员包括政府各部门的代表，以及法罗群岛和格陵兰的代表。委员会对代表团与委员会成员之间开展了坦诚、公开和建设性的对话表示感谢。</w:t>
      </w:r>
    </w:p>
    <w:p w:rsidR="001553DD" w:rsidRDefault="001553DD" w:rsidP="001553DD">
      <w:pPr>
        <w:pStyle w:val="SingleTxt"/>
        <w:rPr>
          <w:rFonts w:hint="eastAsia"/>
        </w:rPr>
      </w:pPr>
      <w:r>
        <w:rPr>
          <w:rFonts w:hint="eastAsia"/>
        </w:rPr>
        <w:t>4.</w:t>
      </w:r>
      <w:r>
        <w:rPr>
          <w:rFonts w:hint="eastAsia"/>
        </w:rPr>
        <w:tab/>
        <w:t>委员会欢迎缔约国承认人权和妇女非政府组织对编写缔约国报告作出的积极贡献，但对没有收到关于法罗群岛和格陵兰的信息感到遗憾。</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积极方面</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spacing w:after="120" w:line="312" w:lineRule="exact"/>
        <w:rPr>
          <w:rFonts w:hint="eastAsia"/>
        </w:rPr>
      </w:pPr>
      <w:r>
        <w:rPr>
          <w:rFonts w:hint="eastAsia"/>
        </w:rPr>
        <w:t>5.</w:t>
      </w:r>
      <w:r>
        <w:rPr>
          <w:rFonts w:hint="eastAsia"/>
        </w:rPr>
        <w:tab/>
        <w:t>委员会赞扬2007年9月《两性平等综合法》，该法使得有可能在就业以外领域的试行发展举措中实施暂行特别措施。</w:t>
      </w:r>
    </w:p>
    <w:p w:rsidR="001553DD" w:rsidRDefault="001553DD" w:rsidP="001553DD">
      <w:pPr>
        <w:pStyle w:val="SingleTxt"/>
        <w:rPr>
          <w:rFonts w:hint="eastAsia"/>
        </w:rPr>
      </w:pPr>
      <w:r>
        <w:rPr>
          <w:rFonts w:hint="eastAsia"/>
        </w:rPr>
        <w:t>6.</w:t>
      </w:r>
      <w:r>
        <w:rPr>
          <w:rFonts w:hint="eastAsia"/>
        </w:rPr>
        <w:tab/>
        <w:t>委员会满意地注意到对2006年5月《两性平等法》的修正案延长了确保以两性平等的方式任命市镇和地区两级议会、局和委员会职务的要求，使得关于性别构成的规定更有活力。</w:t>
      </w:r>
    </w:p>
    <w:p w:rsidR="001553DD" w:rsidRDefault="001553DD" w:rsidP="001553DD">
      <w:pPr>
        <w:pStyle w:val="SingleTxt"/>
        <w:spacing w:after="120" w:line="312" w:lineRule="exact"/>
        <w:rPr>
          <w:rFonts w:hint="eastAsia"/>
        </w:rPr>
      </w:pPr>
      <w:r>
        <w:rPr>
          <w:rFonts w:hint="eastAsia"/>
        </w:rPr>
        <w:t>7.</w:t>
      </w:r>
      <w:r>
        <w:rPr>
          <w:rFonts w:hint="eastAsia"/>
        </w:rPr>
        <w:tab/>
        <w:t>委员会欢迎缔约国通过2005-2008年国家行动计划，以打击男子对妇女儿童的家庭暴力行为，目的是增加关于妇女的信息和对妇女的服务，包括少数族裔妇女在内，并通过各种针对妇女和男子、男孩和女孩以及少数民族妇女的举措，提高公众的意识。</w:t>
      </w:r>
    </w:p>
    <w:p w:rsidR="001553DD" w:rsidRDefault="001553DD" w:rsidP="001553DD">
      <w:pPr>
        <w:pStyle w:val="SingleTxt"/>
        <w:spacing w:after="120" w:line="312" w:lineRule="exact"/>
        <w:rPr>
          <w:rFonts w:hint="eastAsia"/>
        </w:rPr>
      </w:pPr>
      <w:r>
        <w:rPr>
          <w:rFonts w:hint="eastAsia"/>
        </w:rPr>
        <w:t>8.</w:t>
      </w:r>
      <w:r>
        <w:rPr>
          <w:rFonts w:hint="eastAsia"/>
        </w:rPr>
        <w:tab/>
        <w:t>委员会欢迎作出努力，提高公众对贩运人口问题的认识，以打击这一祸害，尤其是通过规定了具体和可衡量目标的2007-2010年国家行动计划。委员会还欢迎成立了贩运问题部际工作组，任务是执行各项国家举措。委员会还欢迎设立了打击贩运中心，负责处理国家行动计划的社会层面，以及在每一警区派驻贩运问题协调员。</w:t>
      </w:r>
    </w:p>
    <w:p w:rsidR="001553DD" w:rsidRDefault="001553DD" w:rsidP="001553DD">
      <w:pPr>
        <w:pStyle w:val="SingleTxt"/>
        <w:spacing w:after="120" w:line="312" w:lineRule="exact"/>
        <w:rPr>
          <w:rFonts w:hint="eastAsia"/>
        </w:rPr>
      </w:pPr>
      <w:r>
        <w:rPr>
          <w:rFonts w:hint="eastAsia"/>
        </w:rPr>
        <w:t>9.</w:t>
      </w:r>
      <w:r>
        <w:rPr>
          <w:rFonts w:hint="eastAsia"/>
        </w:rPr>
        <w:tab/>
        <w:t>委员会祝贺缔约国将两性平等和妇女赋权纳入其发展合作活动的主流，并为此目的调拨大量财政资源。</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主要关切领域和建议</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10.</w:t>
      </w:r>
      <w:r>
        <w:rPr>
          <w:rFonts w:hint="eastAsia"/>
        </w:rPr>
        <w:tab/>
      </w:r>
      <w:r w:rsidRPr="00AA1BD2">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w:t>
      </w:r>
      <w:r>
        <w:rPr>
          <w:rFonts w:ascii="SimHei" w:eastAsia="SimHei" w:hint="eastAsia"/>
          <w:color w:val="FF0000"/>
        </w:rPr>
        <w:t>敦促</w:t>
      </w:r>
      <w:r w:rsidRPr="00AA1BD2">
        <w:rPr>
          <w:rFonts w:ascii="SimHei" w:eastAsia="SimHei" w:hint="eastAsia"/>
          <w:color w:val="FF0000"/>
        </w:rPr>
        <w:t>缔约国将执行活动的重点放在这些领域上，并在下一次定期报告中汇报所采取的行动和取得的成果。委员会还吁请丹麦、法罗群岛和格陵兰政府，将本结论意见发交各相关部委、议会和司法部门，以确保这些意见得到充分执行</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先前的结论意见</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11.</w:t>
      </w:r>
      <w:r>
        <w:rPr>
          <w:rFonts w:hint="eastAsia"/>
        </w:rPr>
        <w:tab/>
        <w:t>委员会承认，上一次结论意见从通过到审议其执行情况之间的时间相对较短。但委员会感到遗憾的是，它在2006年审议缔约国第六次定期报告(CEDAW/C/DEN/6)后表示的某些关切和通过的建议没有受到足够重视。例如，其中包括有关妇女在市一级政界代表不足、工资差距、育儿假、有临时居住许可的外国已婚妇女的状况、对配偶团聚的最低年龄要求等方面的关切和建议。</w:t>
      </w:r>
    </w:p>
    <w:p w:rsidR="001553DD" w:rsidRDefault="001553DD" w:rsidP="001553DD">
      <w:pPr>
        <w:pStyle w:val="SingleTxt"/>
        <w:rPr>
          <w:rFonts w:hint="eastAsia"/>
        </w:rPr>
      </w:pPr>
      <w:r>
        <w:rPr>
          <w:rFonts w:hint="eastAsia"/>
        </w:rPr>
        <w:t>12.</w:t>
      </w:r>
      <w:r>
        <w:rPr>
          <w:rFonts w:hint="eastAsia"/>
        </w:rPr>
        <w:tab/>
      </w:r>
      <w:r w:rsidRPr="00AA1BD2">
        <w:rPr>
          <w:rFonts w:ascii="SimHei" w:eastAsia="SimHei" w:hint="eastAsia"/>
          <w:color w:val="FF0000"/>
        </w:rPr>
        <w:t>委员会敦促缔约国竭尽全力处理尚未充分执行的前一次建议，以及本结论意见所载关切</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议会</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13.</w:t>
      </w:r>
      <w:r>
        <w:rPr>
          <w:rFonts w:hint="eastAsia"/>
        </w:rPr>
        <w:tab/>
      </w:r>
      <w:r w:rsidRPr="00AA1BD2">
        <w:rPr>
          <w:rFonts w:ascii="SimHei" w:eastAsia="SimHei" w:hint="eastAsia"/>
          <w:color w:val="FF0000"/>
        </w:rPr>
        <w:t>委员会重申，政府对全面执行《公约》规定的缔约国义务负有首要责任，尤其要为此承担问责责任，同时委员会强调《公约》对政府各部门都具有约束力，并邀请缔约国</w:t>
      </w:r>
      <w:r>
        <w:rPr>
          <w:rFonts w:ascii="SimHei" w:eastAsia="SimHei" w:hint="eastAsia"/>
          <w:color w:val="FF0000"/>
        </w:rPr>
        <w:t>，包括</w:t>
      </w:r>
      <w:r w:rsidRPr="00B71ED4">
        <w:rPr>
          <w:rFonts w:ascii="SimHei" w:eastAsia="SimHei" w:hint="eastAsia"/>
          <w:color w:val="FF0000"/>
        </w:rPr>
        <w:t>法罗群岛</w:t>
      </w:r>
      <w:r>
        <w:rPr>
          <w:rFonts w:ascii="SimHei" w:eastAsia="SimHei" w:hint="eastAsia"/>
          <w:color w:val="FF0000"/>
        </w:rPr>
        <w:t>和格陵兰</w:t>
      </w:r>
      <w:r w:rsidRPr="00AA1BD2">
        <w:rPr>
          <w:rFonts w:ascii="SimHei" w:eastAsia="SimHei" w:hint="eastAsia"/>
          <w:color w:val="FF0000"/>
        </w:rPr>
        <w:t>鼓励其议会酌情根据其程序，就本结论意见的执行和《公约》规定的政府下一个报告过程采取必要措施</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《公约》的法律地位</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14.</w:t>
      </w:r>
      <w:r>
        <w:rPr>
          <w:rFonts w:hint="eastAsia"/>
        </w:rPr>
        <w:tab/>
        <w:t>委员会承认缔约国的某些国内法律体现了《公约》的条款，但委员会对缔约国决定不将《公约》纳入其国内法令表示关切。委员会还重申它在前一次的结论意见中所表达的关切，即法罗群岛和格陵兰没有充分纳入《公约》的规定和权利。此外，鉴于法罗群岛和格陵兰自治领土的特殊地位，委员会认为将《公约》纳入宪法或其他适当的立法，将为丹麦管辖下的所有公民提供充分的保护。委员会注意到，按照《地方自治法》，丹麦议会将立法和行政权力下放给法罗群岛和格陵兰当局。但委员会强调，缔约国对确保《公约》在丹麦管辖范围内得到全面执行以及在这方面与自治领土分配责任负有主要责任。此外，委员会虽然注意到在丹麦、法罗群岛和格陵兰存在两性平等机构和规章，但对在缔约国所有领土实施《公约》以及按照《公约》第18条提出报告缺乏足够的有效协调感到关切。</w:t>
      </w:r>
    </w:p>
    <w:p w:rsidR="001553DD" w:rsidRDefault="001553DD" w:rsidP="001553DD">
      <w:pPr>
        <w:pStyle w:val="SingleTxt"/>
        <w:rPr>
          <w:rFonts w:hint="eastAsia"/>
        </w:rPr>
      </w:pPr>
      <w:r>
        <w:rPr>
          <w:rFonts w:hint="eastAsia"/>
        </w:rPr>
        <w:t>15.</w:t>
      </w:r>
      <w:r>
        <w:rPr>
          <w:rFonts w:hint="eastAsia"/>
        </w:rPr>
        <w:tab/>
      </w:r>
      <w:r w:rsidRPr="00AA1BD2">
        <w:rPr>
          <w:rFonts w:ascii="SimHei" w:eastAsia="SimHei" w:hint="eastAsia"/>
          <w:color w:val="FF0000"/>
        </w:rPr>
        <w:t>委员会呼吁缔约国重新考虑它不将《公约》纳入国内法令的决定，以便确保《公约》规定保护的所有权利在国内法中充分生效。委员会提请注意按照《公约》第2</w:t>
      </w:r>
      <w:r>
        <w:rPr>
          <w:rFonts w:ascii="SimHei" w:eastAsia="SimHei" w:hint="eastAsia"/>
          <w:color w:val="FF0000"/>
        </w:rPr>
        <w:t>(</w:t>
      </w:r>
      <w:r w:rsidRPr="00AA1BD2">
        <w:rPr>
          <w:rFonts w:ascii="SimHei" w:eastAsia="SimHei" w:hint="eastAsia"/>
          <w:color w:val="FF0000"/>
        </w:rPr>
        <w:t>a</w:t>
      </w:r>
      <w:r>
        <w:rPr>
          <w:rFonts w:ascii="SimHei" w:eastAsia="SimHei" w:hint="eastAsia"/>
          <w:color w:val="FF0000"/>
        </w:rPr>
        <w:t>)</w:t>
      </w:r>
      <w:r w:rsidRPr="00AA1BD2">
        <w:rPr>
          <w:rFonts w:ascii="SimHei" w:eastAsia="SimHei" w:hint="eastAsia"/>
          <w:color w:val="FF0000"/>
        </w:rPr>
        <w:t>条的规定，缔约国有义务在其国家宪法和其他适当立法中体现男女平等的原则。委员会建议缔约国确保《公约》在缔约国的整个领土，包括在法罗群岛和格陵兰得到全面执行。委员会还要求通过建立有效的协调和报告机制，保证有效</w:t>
      </w:r>
      <w:r>
        <w:rPr>
          <w:rFonts w:ascii="SimHei" w:eastAsia="SimHei" w:hint="eastAsia"/>
          <w:color w:val="FF0000"/>
        </w:rPr>
        <w:t>的</w:t>
      </w:r>
      <w:r w:rsidRPr="00AA1BD2">
        <w:rPr>
          <w:rFonts w:ascii="SimHei" w:eastAsia="SimHei" w:hint="eastAsia"/>
          <w:color w:val="FF0000"/>
        </w:rPr>
        <w:t>责任</w:t>
      </w:r>
      <w:r>
        <w:rPr>
          <w:rFonts w:ascii="SimHei" w:eastAsia="SimHei" w:hint="eastAsia"/>
          <w:color w:val="FF0000"/>
        </w:rPr>
        <w:t>划分并按照《公约》的</w:t>
      </w:r>
      <w:r w:rsidRPr="00AA1BD2">
        <w:rPr>
          <w:rFonts w:ascii="SimHei" w:eastAsia="SimHei" w:hint="eastAsia"/>
          <w:color w:val="FF0000"/>
        </w:rPr>
        <w:t>规定</w:t>
      </w:r>
      <w:r>
        <w:rPr>
          <w:rFonts w:ascii="SimHei" w:eastAsia="SimHei" w:hint="eastAsia"/>
          <w:color w:val="FF0000"/>
        </w:rPr>
        <w:t>进行</w:t>
      </w:r>
      <w:r w:rsidRPr="00AA1BD2">
        <w:rPr>
          <w:rFonts w:ascii="SimHei" w:eastAsia="SimHei" w:hint="eastAsia"/>
          <w:color w:val="FF0000"/>
        </w:rPr>
        <w:t>报告</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《公约》及其任择议定书的知名度</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16.</w:t>
      </w:r>
      <w:r>
        <w:rPr>
          <w:rFonts w:hint="eastAsia"/>
        </w:rPr>
        <w:tab/>
        <w:t>委员会注意到缔约国为提高《公约》及其任择议定书的知名度而做的努力，但仍关切《公约》及其任择议定书尚未得到较高的知名度和重视，因此在缔约国，包括在法罗群岛和格陵兰，没有被经常用作包括立法在内的消除对妇女歧视和促进两性平等措施的核心法律基础。委员会还关切在法庭判例中仅使用过一次《公约》的规定，这也许表明司法机构和法律行业缺乏对《公约》的认识。</w:t>
      </w:r>
    </w:p>
    <w:p w:rsidR="001553DD" w:rsidRDefault="001553DD" w:rsidP="001553DD">
      <w:pPr>
        <w:pStyle w:val="SingleTxt"/>
        <w:rPr>
          <w:rFonts w:hint="eastAsia"/>
        </w:rPr>
      </w:pPr>
      <w:r>
        <w:rPr>
          <w:rFonts w:hint="eastAsia"/>
        </w:rPr>
        <w:t>17.</w:t>
      </w:r>
      <w:r>
        <w:rPr>
          <w:rFonts w:hint="eastAsia"/>
        </w:rPr>
        <w:tab/>
      </w:r>
      <w:r w:rsidRPr="004B6276">
        <w:rPr>
          <w:rFonts w:ascii="SimHei" w:eastAsia="SimHei" w:hint="eastAsia"/>
          <w:color w:val="FF0000"/>
        </w:rPr>
        <w:t>委员会吁请缔约国，包括法罗群岛和格陵兰</w:t>
      </w:r>
      <w:r>
        <w:rPr>
          <w:rFonts w:ascii="SimHei" w:eastAsia="SimHei" w:hint="eastAsia"/>
          <w:color w:val="FF0000"/>
        </w:rPr>
        <w:t>，</w:t>
      </w:r>
      <w:r w:rsidRPr="004B6276">
        <w:rPr>
          <w:rFonts w:ascii="SimHei" w:eastAsia="SimHei" w:hint="eastAsia"/>
          <w:color w:val="FF0000"/>
        </w:rPr>
        <w:t>在消除对妇女歧视的努力中，把</w:t>
      </w:r>
      <w:r>
        <w:rPr>
          <w:rFonts w:ascii="SimHei" w:eastAsia="SimHei" w:hint="eastAsia"/>
          <w:color w:val="FF0000"/>
        </w:rPr>
        <w:t>《公约》</w:t>
      </w:r>
      <w:r w:rsidRPr="004B6276">
        <w:rPr>
          <w:rFonts w:ascii="SimHei" w:eastAsia="SimHei" w:hint="eastAsia"/>
          <w:color w:val="FF0000"/>
        </w:rPr>
        <w:t>作为具有法律约束力的妇女人权核心法律文书，予以更多的重视。委员会还吁请缔约国采取积极措施，提高各级，尤其是司法机构和法律行业、政党、议会和政府官员以及公众对《公约》及其任择议定书的认识，以便在制定和执行旨在实现男女平等原则的法律、政策和方案时加强对《公约》的使用。委员会鼓励缔约国系统地推广有关《公约》及其任择议定书的知识和理解，以及委员会的一般性建议和就个人来文和询问所提出的意见，并确保它们成为教育大纲，包括法律教育和对司法人员的培训的不可或缺的一部分</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性别平等主流化</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18.</w:t>
      </w:r>
      <w:r>
        <w:rPr>
          <w:rFonts w:hint="eastAsia"/>
        </w:rPr>
        <w:tab/>
        <w:t>委员会赞赏2007-2011年在各部委执行性别平等主流化战略的第二个行动计划，但对各部委、区域和市政当局内部执行性别平等主流化战略的不均衡情况表示遗憾，并注意到只有6%的市政当局具有性别平等主流化的协同战略。委员会还关切，缺乏有效执行这一战略的协调机制，而且接受性别影响评估的法案数量较少。</w:t>
      </w:r>
    </w:p>
    <w:p w:rsidR="001553DD" w:rsidRDefault="001553DD" w:rsidP="001553DD">
      <w:pPr>
        <w:pStyle w:val="SingleTxt"/>
        <w:rPr>
          <w:rFonts w:hint="eastAsia"/>
        </w:rPr>
      </w:pPr>
      <w:r>
        <w:rPr>
          <w:rFonts w:hint="eastAsia"/>
        </w:rPr>
        <w:t>19.</w:t>
      </w:r>
      <w:r>
        <w:rPr>
          <w:rFonts w:hint="eastAsia"/>
        </w:rPr>
        <w:tab/>
      </w:r>
      <w:r w:rsidRPr="004B6276">
        <w:rPr>
          <w:rFonts w:ascii="SimHei" w:eastAsia="SimHei" w:hint="eastAsia"/>
          <w:color w:val="FF0000"/>
        </w:rPr>
        <w:t>委员会吁请缔约国设立专门的协调机制，在部委、区域和市各级引入执行性别主流化战略的有效监测和问责机制，并在这些机制中加入对不遵守行为的处罚。委员会还建议缔约国对所有新法案进行性别影响评估，以确保法律的执行不会对实现事实上的两性平等产生不利影响。委员会建议法罗群岛和格陵兰政府也拟议通过性别主流化战略</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暂行特别措施</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20.</w:t>
      </w:r>
      <w:r>
        <w:rPr>
          <w:rFonts w:hint="eastAsia"/>
        </w:rPr>
        <w:tab/>
        <w:t>委员会欣见法律提供了采取暂行特别措施的框架，但关切缔约国对《公约》关于暂行特别措施的第4条第1款的实施十分有限，并对两个自治领土对引入和执行暂行特别措施的需要了解不足感到遗憾。</w:t>
      </w:r>
    </w:p>
    <w:p w:rsidR="001553DD" w:rsidRPr="00396451" w:rsidRDefault="001553DD" w:rsidP="001553DD">
      <w:pPr>
        <w:pStyle w:val="SingleTxt"/>
        <w:rPr>
          <w:rFonts w:ascii="SimHei" w:eastAsia="SimHei" w:hint="eastAsia"/>
          <w:color w:val="FF0000"/>
        </w:rPr>
      </w:pPr>
      <w:r>
        <w:rPr>
          <w:rFonts w:hint="eastAsia"/>
        </w:rPr>
        <w:t>21.</w:t>
      </w:r>
      <w:r>
        <w:rPr>
          <w:rFonts w:hint="eastAsia"/>
        </w:rPr>
        <w:tab/>
      </w:r>
      <w:r w:rsidRPr="00396451">
        <w:rPr>
          <w:rFonts w:ascii="SimHei" w:eastAsia="SimHei" w:hint="eastAsia"/>
          <w:color w:val="FF0000"/>
        </w:rPr>
        <w:t>委员会建议缔约国，包括法罗群岛和格陵兰，采取具体措施，包括根据</w:t>
      </w:r>
      <w:r>
        <w:rPr>
          <w:rFonts w:ascii="SimHei" w:eastAsia="SimHei" w:hint="eastAsia"/>
          <w:color w:val="FF0000"/>
        </w:rPr>
        <w:t>《</w:t>
      </w:r>
      <w:r w:rsidRPr="00396451">
        <w:rPr>
          <w:rFonts w:ascii="SimHei" w:eastAsia="SimHei" w:hint="eastAsia"/>
          <w:color w:val="FF0000"/>
        </w:rPr>
        <w:t>公约</w:t>
      </w:r>
      <w:r>
        <w:rPr>
          <w:rFonts w:ascii="SimHei" w:eastAsia="SimHei" w:hint="eastAsia"/>
          <w:color w:val="FF0000"/>
        </w:rPr>
        <w:t>》</w:t>
      </w:r>
      <w:r w:rsidRPr="00396451">
        <w:rPr>
          <w:rFonts w:ascii="SimHei" w:eastAsia="SimHei" w:hint="eastAsia"/>
          <w:color w:val="FF0000"/>
        </w:rPr>
        <w:t>第4条第1款和第25号一般性建议采取暂行特别措施，加速实现男女在事实上的平等。</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参政和参与公共生活</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22.</w:t>
      </w:r>
      <w:r>
        <w:rPr>
          <w:rFonts w:hint="eastAsia"/>
        </w:rPr>
        <w:tab/>
        <w:t>委员会注意到参加丹麦议会决策的妇女人数较多，并且此种妇女代表比例在法罗群岛有所上升,但重申其对参与地方政治事务的妇女人数较少表示关切。委员会特别关切地注意到，尽管该国在此领域采取了一些举措，这一比例在过去20年中却变动甚少，女市长的比例自1997年后还在下降，目前仅为8%。</w:t>
      </w:r>
    </w:p>
    <w:p w:rsidR="001553DD" w:rsidRDefault="001553DD" w:rsidP="001553DD">
      <w:pPr>
        <w:pStyle w:val="SingleTxt"/>
        <w:rPr>
          <w:rFonts w:hint="eastAsia"/>
        </w:rPr>
      </w:pPr>
      <w:r>
        <w:rPr>
          <w:rFonts w:hint="eastAsia"/>
        </w:rPr>
        <w:t>23.</w:t>
      </w:r>
      <w:r>
        <w:rPr>
          <w:rFonts w:hint="eastAsia"/>
        </w:rPr>
        <w:tab/>
      </w:r>
      <w:r w:rsidRPr="004B6276">
        <w:rPr>
          <w:rFonts w:ascii="SimHei" w:eastAsia="SimHei" w:hint="eastAsia"/>
          <w:color w:val="FF0000"/>
        </w:rPr>
        <w:t>委员会敦促缔约国采取积极措施，大幅提高妇女在区域和地方两级的参政人数，并在议会全面实现两性平等。委员会承认缔约国的立场，即在丹麦议会或区域和地方政府中采取席位配额制的做法可能不符合丹麦宪法，但指出若在其中纳入</w:t>
      </w:r>
      <w:r>
        <w:rPr>
          <w:rFonts w:ascii="SimHei" w:eastAsia="SimHei" w:hint="eastAsia"/>
          <w:color w:val="FF0000"/>
        </w:rPr>
        <w:t>《</w:t>
      </w:r>
      <w:r w:rsidRPr="004B6276">
        <w:rPr>
          <w:rFonts w:ascii="SimHei" w:eastAsia="SimHei" w:hint="eastAsia"/>
          <w:color w:val="FF0000"/>
        </w:rPr>
        <w:t>公约</w:t>
      </w:r>
      <w:r>
        <w:rPr>
          <w:rFonts w:ascii="SimHei" w:eastAsia="SimHei" w:hint="eastAsia"/>
          <w:color w:val="FF0000"/>
        </w:rPr>
        <w:t>》</w:t>
      </w:r>
      <w:r w:rsidRPr="004B6276">
        <w:rPr>
          <w:rFonts w:ascii="SimHei" w:eastAsia="SimHei" w:hint="eastAsia"/>
          <w:color w:val="FF0000"/>
        </w:rPr>
        <w:t>第4条第1款，这一问题将会解决。委员会还认为，如委员会第25号一般性建议所指出</w:t>
      </w:r>
      <w:r>
        <w:rPr>
          <w:rFonts w:ascii="SimHei" w:eastAsia="SimHei" w:hint="eastAsia"/>
          <w:color w:val="FF0000"/>
        </w:rPr>
        <w:t>的</w:t>
      </w:r>
      <w:r w:rsidRPr="004B6276">
        <w:rPr>
          <w:rFonts w:ascii="SimHei" w:eastAsia="SimHei" w:hint="eastAsia"/>
          <w:color w:val="FF0000"/>
        </w:rPr>
        <w:t>，这一立场不应阻碍为全国和地方选举制定暂行特别措施。因此，委员会敦促缔约国采取适当的暂行特别措施，以增加缔约国，包括法罗群岛和格陵兰的妇女参政人数，尤其是在区域和地方两级的妇女参政人数</w:t>
      </w:r>
      <w:r>
        <w:rPr>
          <w:rFonts w:hint="eastAsia"/>
        </w:rPr>
        <w:t>。</w:t>
      </w:r>
    </w:p>
    <w:p w:rsidR="001553DD" w:rsidRDefault="001553DD" w:rsidP="001553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妇女担任学术界、公共部门和私营部门最高级管理职务</w:t>
      </w:r>
    </w:p>
    <w:p w:rsidR="001553DD" w:rsidRPr="00727229" w:rsidRDefault="001553DD" w:rsidP="001553DD">
      <w:pPr>
        <w:pStyle w:val="SingleTxt"/>
        <w:spacing w:after="0" w:line="120" w:lineRule="exact"/>
        <w:ind w:right="0"/>
        <w:rPr>
          <w:rFonts w:hint="eastAsia"/>
          <w:sz w:val="10"/>
        </w:rPr>
      </w:pPr>
    </w:p>
    <w:p w:rsidR="001553DD" w:rsidRDefault="001553DD" w:rsidP="001553DD">
      <w:pPr>
        <w:pStyle w:val="SingleTxt"/>
        <w:rPr>
          <w:rFonts w:hint="eastAsia"/>
        </w:rPr>
      </w:pPr>
      <w:r>
        <w:rPr>
          <w:rFonts w:hint="eastAsia"/>
        </w:rPr>
        <w:t>24.</w:t>
      </w:r>
      <w:r>
        <w:rPr>
          <w:rFonts w:hint="eastAsia"/>
        </w:rPr>
        <w:tab/>
        <w:t>委员会仍感关切的是，妇女担任高级职位，特别是担任学术界高级职位的比率很低，学术职位愈高，妇女任职人数愈少，她们目前仅占教授职位的13</w:t>
      </w:r>
      <w:r>
        <w:t>%</w:t>
      </w:r>
      <w:r>
        <w:rPr>
          <w:rFonts w:hint="eastAsia"/>
        </w:rPr>
        <w:t>。委员会欢迎于2008年通过了妇女参与管理宪章，公司因而承诺制定提高妇女在管理层中所占比例的战略并设定有关目标，但委员会仍关切在私营公司担任最高管理职位和进入董事会的妇女人数极少。</w:t>
      </w:r>
    </w:p>
    <w:p w:rsidR="001553DD" w:rsidRPr="004B6276" w:rsidRDefault="001553DD" w:rsidP="001553DD">
      <w:pPr>
        <w:pStyle w:val="SingleTxt"/>
        <w:rPr>
          <w:rFonts w:hint="eastAsia"/>
        </w:rPr>
      </w:pPr>
      <w:r>
        <w:rPr>
          <w:rFonts w:hint="eastAsia"/>
        </w:rPr>
        <w:t>25.</w:t>
      </w:r>
      <w:r>
        <w:rPr>
          <w:rFonts w:hint="eastAsia"/>
        </w:rPr>
        <w:tab/>
      </w:r>
      <w:r w:rsidRPr="004B6276">
        <w:rPr>
          <w:rFonts w:ascii="SimHei" w:eastAsia="SimHei" w:hint="eastAsia"/>
          <w:color w:val="FF0000"/>
        </w:rPr>
        <w:t>委员会敦促缔约国加强努力，增加妇女担任高级职位，特别是学术界高级职位的人数。委员会建议采取有效的积极措施，鼓励更多妇女申请高级职位，并鼓励缔约国效仿哥本哈根大学使用暂行特别措施征聘更多女性教授的做法。因此，委员会鼓励缔约国审查其对采取暂行特别措施的立场，以加速实现男女在各个领域事实上的平等。委员会建议在关于劳动力市场和企业部门妇女担任管理职位的战略中加入有效的监测和问责机制，包括对雇主和其他相关团体不履行自愿承诺的处罚，并鼓励缔约国根据要求采取进一步的立法措施。除了上述建议，委员会请法罗群岛和格陵兰政府在下一次的定期报告中，提供充分的统计数据，说明妇女在其各自领土上的民选机构和任命机构中担任管理职务和在行政机构</w:t>
      </w:r>
      <w:r>
        <w:rPr>
          <w:rFonts w:ascii="SimHei" w:eastAsia="SimHei" w:hint="eastAsia"/>
          <w:color w:val="FF0000"/>
        </w:rPr>
        <w:t>(</w:t>
      </w:r>
      <w:r w:rsidRPr="004B6276">
        <w:rPr>
          <w:rFonts w:ascii="SimHei" w:eastAsia="SimHei" w:hint="eastAsia"/>
          <w:color w:val="FF0000"/>
        </w:rPr>
        <w:t>包括司法机构</w:t>
      </w:r>
      <w:r>
        <w:rPr>
          <w:rFonts w:ascii="SimHei" w:eastAsia="SimHei" w:hint="eastAsia"/>
          <w:color w:val="FF0000"/>
        </w:rPr>
        <w:t>)</w:t>
      </w:r>
      <w:r w:rsidRPr="004B6276">
        <w:rPr>
          <w:rFonts w:ascii="SimHei" w:eastAsia="SimHei" w:hint="eastAsia"/>
          <w:color w:val="FF0000"/>
        </w:rPr>
        <w:t>中担任高级官员的情况</w:t>
      </w:r>
      <w:r>
        <w:rPr>
          <w:rFonts w:hint="eastAsia"/>
        </w:rPr>
        <w:t>。</w:t>
      </w:r>
    </w:p>
    <w:p w:rsidR="001553DD" w:rsidRPr="00B8698A" w:rsidRDefault="001553DD" w:rsidP="001553DD">
      <w:pPr>
        <w:pStyle w:val="SingleTxt"/>
        <w:rPr>
          <w:rFonts w:ascii="SimHei" w:eastAsia="SimHei" w:hint="eastAsia"/>
          <w:color w:val="FF0000"/>
        </w:rPr>
      </w:pPr>
      <w:r w:rsidRPr="00B8698A">
        <w:rPr>
          <w:rFonts w:ascii="SimHei" w:eastAsia="SimHei" w:hint="eastAsia"/>
          <w:color w:val="FF0000"/>
        </w:rPr>
        <w:t>劳动力市场</w:t>
      </w:r>
    </w:p>
    <w:p w:rsidR="001553DD" w:rsidRDefault="001553DD" w:rsidP="001553DD">
      <w:pPr>
        <w:pStyle w:val="SingleTxt"/>
        <w:rPr>
          <w:rFonts w:hint="eastAsia"/>
        </w:rPr>
      </w:pPr>
      <w:r>
        <w:rPr>
          <w:rFonts w:hint="eastAsia"/>
        </w:rPr>
        <w:t>26.</w:t>
      </w:r>
      <w:r>
        <w:rPr>
          <w:rFonts w:hint="eastAsia"/>
        </w:rPr>
        <w:tab/>
        <w:t>委员会赞扬妇女一如既往地高度参与劳动力市场，以及缔约国为支持这种参与而采取的措施，这些措施使妇女和男子都能够通过延长产假和陪产假计划兼顾工作与家庭生活。但是，委员会重申在先前的结论性意见中对职业上的显著隔离和持续存在的工资差距表示的关切，这是由于妇女担任的多数工作仍然是非全职工作。</w:t>
      </w:r>
    </w:p>
    <w:p w:rsidR="001553DD" w:rsidRDefault="001553DD" w:rsidP="001553DD">
      <w:pPr>
        <w:pStyle w:val="SingleTxt"/>
        <w:rPr>
          <w:rFonts w:hint="eastAsia"/>
        </w:rPr>
      </w:pPr>
      <w:r>
        <w:rPr>
          <w:rFonts w:hint="eastAsia"/>
        </w:rPr>
        <w:t>27.</w:t>
      </w:r>
      <w:r>
        <w:rPr>
          <w:rFonts w:hint="eastAsia"/>
        </w:rPr>
        <w:tab/>
      </w:r>
      <w:r w:rsidRPr="00B8698A">
        <w:rPr>
          <w:rFonts w:ascii="SimHei" w:eastAsia="SimHei" w:hint="eastAsia"/>
          <w:color w:val="FF0000"/>
        </w:rPr>
        <w:t>委员会敦促缔约国采取积极主动的具体措施，以消除横向和纵向的职业隔离，并缩小男女之间的工资差距。委员会建议缔约国考虑将同工同酬监测和报告的义务延伸到员工不足35人的公司。委员会在先前的结论性意见中提出建议，为缩小男女之间现有的工资差距，确保制定建立在对性别问题有敏感认识的标准基础上的职务评价制度。委员会重申这个建议。委员会还呼吁缔约国及法罗群岛和格陵兰政府进行调查，以便更好地了解持续的职业隔离和男女工资差距并监测趋势，包括通过收集和分析非全职工作与全职工作中按性别、技能和部门分列的数据，以及所采取措施的影响和取得的成果，并采取必要的纠正措施。委员会建议缔约国、包括法罗群岛和格陵兰，继续努力确保男女兼顾家庭和职业责任、促进男女平等分担家务和家庭的任务，包括通过增加激励措施鼓励男子休育儿假，以及优先考虑妇女担任全职职位。</w:t>
      </w:r>
    </w:p>
    <w:p w:rsidR="001553DD" w:rsidRDefault="001553DD" w:rsidP="001553DD">
      <w:pPr>
        <w:pStyle w:val="SingleTxt"/>
        <w:rPr>
          <w:rFonts w:hint="eastAsia"/>
        </w:rPr>
      </w:pPr>
      <w:r>
        <w:rPr>
          <w:rFonts w:hint="eastAsia"/>
        </w:rPr>
        <w:t>28.</w:t>
      </w:r>
      <w:r>
        <w:rPr>
          <w:rFonts w:hint="eastAsia"/>
        </w:rPr>
        <w:tab/>
      </w:r>
      <w:r w:rsidRPr="00C26CDD">
        <w:rPr>
          <w:rFonts w:hint="eastAsia"/>
        </w:rPr>
        <w:t>委员会关切地注意到，缔约国新的公共采购立法中未包括两性平等政策。</w:t>
      </w:r>
    </w:p>
    <w:p w:rsidR="001553DD" w:rsidRPr="00396451" w:rsidRDefault="001553DD" w:rsidP="001553DD">
      <w:pPr>
        <w:pStyle w:val="SingleTxt"/>
        <w:rPr>
          <w:rFonts w:hint="eastAsia"/>
          <w:spacing w:val="4"/>
        </w:rPr>
      </w:pPr>
      <w:r>
        <w:rPr>
          <w:rFonts w:hint="eastAsia"/>
        </w:rPr>
        <w:t>29.</w:t>
      </w:r>
      <w:r>
        <w:rPr>
          <w:rFonts w:hint="eastAsia"/>
        </w:rPr>
        <w:tab/>
      </w:r>
      <w:r w:rsidRPr="00C26CDD">
        <w:rPr>
          <w:rFonts w:hint="eastAsia"/>
        </w:rPr>
        <w:t>委员会建议缔约国确保实行两性平等政策成为获得公共采购合同的条件之一。</w:t>
      </w:r>
    </w:p>
    <w:p w:rsidR="001553DD" w:rsidRPr="00B8698A" w:rsidRDefault="001553DD" w:rsidP="001553DD">
      <w:pPr>
        <w:pStyle w:val="SingleTxt"/>
        <w:rPr>
          <w:rFonts w:ascii="SimHei" w:eastAsia="SimHei" w:hint="eastAsia"/>
          <w:color w:val="FF0000"/>
        </w:rPr>
      </w:pPr>
      <w:r w:rsidRPr="00B8698A">
        <w:rPr>
          <w:rFonts w:ascii="SimHei" w:eastAsia="SimHei" w:hint="eastAsia"/>
          <w:color w:val="FF0000"/>
        </w:rPr>
        <w:t>暴力侵害妇女</w:t>
      </w:r>
    </w:p>
    <w:p w:rsidR="001553DD" w:rsidRDefault="001553DD" w:rsidP="001553DD">
      <w:pPr>
        <w:pStyle w:val="SingleTxt"/>
        <w:rPr>
          <w:rFonts w:hint="eastAsia"/>
        </w:rPr>
      </w:pPr>
      <w:r>
        <w:rPr>
          <w:rFonts w:hint="eastAsia"/>
        </w:rPr>
        <w:t>30.</w:t>
      </w:r>
      <w:r>
        <w:rPr>
          <w:rFonts w:hint="eastAsia"/>
        </w:rPr>
        <w:tab/>
        <w:t>委员会欢迎缔约国采取政治和法律措施，打击暴力侵害妇女行为，并欢迎丹麦向性暴力受害人提供的总体而言高品质的保护和服务。委员会注意到在2000-2005年期间，伴侣施暴的女性受害者人数减少，但仍然关注的是，在此期间遭受身体暴力的妇女总人数有所增加，而且移民妇女受影响最严重。委员会注意到代表团提供的资料显示，遭受家庭暴力的外国妇女获得居留许可证的人数增加，但它仍然关注的是，法律保护的基础薄弱，加之正常情况下获得永久居留许可证需要七年居留时间，若想获得豁免要求十分苛刻，可能会使遭受家庭暴力的外国已婚妇女无法离开其施暴伴侣或寻求援助。对于法罗群岛和格陵兰，委员会关注的是，缺乏包括禁止令在内的规定有效保护受害者的立法，而且有关一切形式暴力侵害妇女行为普遍性的数据不充分。</w:t>
      </w:r>
    </w:p>
    <w:p w:rsidR="001553DD" w:rsidRDefault="001553DD" w:rsidP="001553DD">
      <w:pPr>
        <w:pStyle w:val="SingleTxt"/>
        <w:rPr>
          <w:rFonts w:hint="eastAsia"/>
        </w:rPr>
      </w:pPr>
      <w:r>
        <w:rPr>
          <w:rFonts w:hint="eastAsia"/>
        </w:rPr>
        <w:t>31.</w:t>
      </w:r>
      <w:r>
        <w:rPr>
          <w:rFonts w:hint="eastAsia"/>
        </w:rPr>
        <w:tab/>
      </w:r>
      <w:r w:rsidRPr="00B8698A">
        <w:rPr>
          <w:rFonts w:ascii="SimHei" w:eastAsia="SimHei" w:hint="eastAsia"/>
          <w:color w:val="FF0000"/>
        </w:rPr>
        <w:t>委员会呼吁缔约国，包括法罗群岛和格陵兰，继续努力防止和打击暴力侵害妇女的行为，并采取针对暴力侵害妇女行为的协调政策，确保家庭暴力的受害者可以立即获得包括保护令在内的救济和保护，可进入足够数量的国家资助的安全收容所，并可获得法律援助。委员会还建议缔约国考虑按照委员会第19号一般性建议，通过一项针对包括家庭暴力在内的暴力侵害妇女行为的具体法律。委员会呼吁缔约国确保为遭受家庭暴力的外国已婚妇女提供灵活的居留许可证解决办法，并建议为保护她们设立明确的法律保障和行政准则。在将基于性别的迫害作为确定难民地位的条件之一方面，委员会鼓励缔约国借鉴其他北欧国家的良好做法。</w:t>
      </w:r>
    </w:p>
    <w:p w:rsidR="001553DD" w:rsidRPr="00B8698A" w:rsidRDefault="001553DD" w:rsidP="001553DD">
      <w:pPr>
        <w:pStyle w:val="SingleTxt"/>
        <w:rPr>
          <w:rFonts w:ascii="SimHei" w:eastAsia="SimHei" w:hint="eastAsia"/>
          <w:color w:val="FF0000"/>
        </w:rPr>
      </w:pPr>
      <w:r w:rsidRPr="00B8698A">
        <w:rPr>
          <w:rFonts w:ascii="SimHei" w:eastAsia="SimHei" w:hint="eastAsia"/>
          <w:color w:val="FF0000"/>
        </w:rPr>
        <w:t>贩运</w:t>
      </w:r>
    </w:p>
    <w:p w:rsidR="001553DD" w:rsidRDefault="001553DD" w:rsidP="001553DD">
      <w:pPr>
        <w:pStyle w:val="SingleTxt"/>
        <w:rPr>
          <w:rFonts w:hint="eastAsia"/>
        </w:rPr>
      </w:pPr>
      <w:r>
        <w:rPr>
          <w:rFonts w:hint="eastAsia"/>
        </w:rPr>
        <w:t>32.</w:t>
      </w:r>
      <w:r>
        <w:rPr>
          <w:rFonts w:hint="eastAsia"/>
        </w:rPr>
        <w:tab/>
        <w:t>委员会赞扬缔约国于2007年9月19日批准了欧洲委员会《关于采取行动打击贩运人口行为的公约》，并采取许多其他措施解决贩运妇女和儿童的问题。委员会还赞扬向原籍国以及设在这些国家的非政府组织提供财政援助，用于人口贩运活动受害者的联系、鉴定和康复，以及预防贩运和执法打击贩运项目。委员会欢迎2007年8月1日对《外国人法》进行的修订，其中规定思考期最多可延长至100天，在此期间贩运活动的受害者可留在丹麦，如果同意被遣返并配合调查，还可接受法律、医疗和心理援助。然而，委员会感到遗憾的是，缔约国将重点放在受害人迅速遣返原籍国，而不是其恢复和复原，此外，难民局和移民部极少因为这些妇女属于性别或贩运活动受害者这一特定社会团体或基于人道主义理由给予其居留许可。</w:t>
      </w:r>
    </w:p>
    <w:p w:rsidR="001553DD" w:rsidRDefault="001553DD" w:rsidP="001553DD">
      <w:pPr>
        <w:pStyle w:val="SingleTxt"/>
        <w:rPr>
          <w:rFonts w:hint="eastAsia"/>
        </w:rPr>
      </w:pPr>
      <w:r>
        <w:rPr>
          <w:rFonts w:hint="eastAsia"/>
        </w:rPr>
        <w:t>33.</w:t>
      </w:r>
      <w:r>
        <w:rPr>
          <w:rFonts w:hint="eastAsia"/>
        </w:rPr>
        <w:tab/>
      </w:r>
      <w:r w:rsidRPr="00B8698A">
        <w:rPr>
          <w:rFonts w:ascii="SimHei" w:eastAsia="SimHei" w:hint="eastAsia"/>
          <w:color w:val="FF0000"/>
        </w:rPr>
        <w:t>委员会呼吁缔约国更加重视所有贩运活动受害者的恢复和</w:t>
      </w:r>
      <w:r>
        <w:rPr>
          <w:rFonts w:ascii="SimHei" w:eastAsia="SimHei" w:hint="eastAsia"/>
          <w:color w:val="FF0000"/>
        </w:rPr>
        <w:t>重返社会</w:t>
      </w:r>
      <w:r w:rsidRPr="00B8698A">
        <w:rPr>
          <w:rFonts w:ascii="SimHei" w:eastAsia="SimHei" w:hint="eastAsia"/>
          <w:color w:val="FF0000"/>
        </w:rPr>
        <w:t>，不论受害者是否配合调查。委员会鼓励缔约国继续与原籍国密切合作，确保受害者安全遣返并可获得足够的护理与康复，并继续进行双边、区域和国际合作，以进一步遏制这种现象。它吁请缔约国制定在丹麦庇</w:t>
      </w:r>
      <w:r>
        <w:rPr>
          <w:rFonts w:ascii="SimHei" w:eastAsia="SimHei" w:hint="eastAsia"/>
          <w:color w:val="FF0000"/>
        </w:rPr>
        <w:t>护法律和惯例内处理与性别有关的迫害案件的指导原则，以制定一个确认</w:t>
      </w:r>
      <w:r w:rsidRPr="00B8698A">
        <w:rPr>
          <w:rFonts w:ascii="SimHei" w:eastAsia="SimHei" w:hint="eastAsia"/>
          <w:color w:val="FF0000"/>
        </w:rPr>
        <w:t>人口贩运和基于性别的迫害受害者的更全面的途经。</w:t>
      </w:r>
    </w:p>
    <w:p w:rsidR="001553DD" w:rsidRPr="00B8698A" w:rsidRDefault="001553DD" w:rsidP="001553DD">
      <w:pPr>
        <w:pStyle w:val="SingleTxt"/>
        <w:rPr>
          <w:rFonts w:ascii="SimHei" w:eastAsia="SimHei" w:hint="eastAsia"/>
          <w:color w:val="FF0000"/>
        </w:rPr>
      </w:pPr>
      <w:r w:rsidRPr="00B8698A">
        <w:rPr>
          <w:rFonts w:ascii="SimHei" w:eastAsia="SimHei" w:hint="eastAsia"/>
          <w:color w:val="FF0000"/>
        </w:rPr>
        <w:t>利用卖淫营利</w:t>
      </w:r>
    </w:p>
    <w:p w:rsidR="001553DD" w:rsidRDefault="001553DD" w:rsidP="001553DD">
      <w:pPr>
        <w:pStyle w:val="SingleTxt"/>
        <w:rPr>
          <w:rFonts w:hint="eastAsia"/>
        </w:rPr>
      </w:pPr>
      <w:r>
        <w:rPr>
          <w:rFonts w:hint="eastAsia"/>
        </w:rPr>
        <w:t>34.</w:t>
      </w:r>
      <w:r>
        <w:rPr>
          <w:rFonts w:hint="eastAsia"/>
        </w:rPr>
        <w:tab/>
        <w:t>委员会赞扬在2005年“新生活”行动计划框架内采取的许多措施和倡议，该行动计划启动了打击卖淫的综合途径，并设立了打击卖淫活动中心。它还欢迎在2006年推出加强打击控制卖淫的罪犯的警察行动战略，从而导致卖淫环境得到清查。然而，在本报告所述期间，由于其他斯堪的纳维亚国家禁止购买性服务，从事卖淫的妇女人数有所增加并预计还将进一步增加，这一点令人忧虑。在这方面，委员会担心缺乏以进一步抑制对卖淫的需求为目的的法律法规和其他措施。</w:t>
      </w:r>
    </w:p>
    <w:p w:rsidR="001553DD" w:rsidRDefault="001553DD" w:rsidP="00C26CDD">
      <w:pPr>
        <w:pStyle w:val="SingleTxt"/>
        <w:spacing w:line="328" w:lineRule="exact"/>
        <w:rPr>
          <w:rFonts w:hint="eastAsia"/>
        </w:rPr>
      </w:pPr>
      <w:r>
        <w:rPr>
          <w:rFonts w:hint="eastAsia"/>
        </w:rPr>
        <w:t>35.</w:t>
      </w:r>
      <w:r>
        <w:rPr>
          <w:rFonts w:hint="eastAsia"/>
        </w:rPr>
        <w:tab/>
      </w:r>
      <w:r w:rsidRPr="00881D1C">
        <w:rPr>
          <w:rFonts w:ascii="SimHei" w:eastAsia="SimHei" w:hint="eastAsia"/>
          <w:color w:val="FF0000"/>
        </w:rPr>
        <w:t>委员会要求缔约国加强旨在解决该国利用卖淫营利问题的措施，特别是对卖淫的需求。委员会还吁请缔约国解决迫使妇女和女童卖淫的因素，加强帮助她们康复和重新融入社会的服务。</w:t>
      </w:r>
    </w:p>
    <w:p w:rsidR="001553DD" w:rsidRPr="00881D1C" w:rsidRDefault="001553DD" w:rsidP="00C26CDD">
      <w:pPr>
        <w:pStyle w:val="SingleTxt"/>
        <w:spacing w:line="328" w:lineRule="exact"/>
        <w:rPr>
          <w:rFonts w:ascii="SimHei" w:eastAsia="SimHei" w:hint="eastAsia"/>
          <w:color w:val="FF0000"/>
        </w:rPr>
      </w:pPr>
      <w:r w:rsidRPr="00881D1C">
        <w:rPr>
          <w:rFonts w:ascii="SimHei" w:eastAsia="SimHei" w:hint="eastAsia"/>
          <w:color w:val="FF0000"/>
        </w:rPr>
        <w:t>卫生</w:t>
      </w:r>
    </w:p>
    <w:p w:rsidR="001553DD" w:rsidRDefault="001553DD" w:rsidP="00C26CDD">
      <w:pPr>
        <w:pStyle w:val="SingleTxt"/>
        <w:spacing w:line="328" w:lineRule="exact"/>
        <w:rPr>
          <w:rFonts w:hint="eastAsia"/>
        </w:rPr>
      </w:pPr>
      <w:r>
        <w:rPr>
          <w:rFonts w:hint="eastAsia"/>
        </w:rPr>
        <w:t>36.</w:t>
      </w:r>
      <w:r>
        <w:tab/>
      </w:r>
      <w:r>
        <w:rPr>
          <w:rFonts w:hint="eastAsia"/>
        </w:rPr>
        <w:t>委员会欢迎在2008-2011年期间落实旨在减少丹麦堕胎和性传播疾病数量的行动计划，但对15岁至19岁年轻女性中的堕胎率不断增加表示关切。</w:t>
      </w:r>
    </w:p>
    <w:p w:rsidR="001553DD" w:rsidRDefault="001553DD" w:rsidP="00C26CDD">
      <w:pPr>
        <w:pStyle w:val="SingleTxt"/>
        <w:spacing w:line="328" w:lineRule="exact"/>
        <w:rPr>
          <w:rFonts w:hint="eastAsia"/>
        </w:rPr>
      </w:pPr>
      <w:r>
        <w:rPr>
          <w:rFonts w:hint="eastAsia"/>
        </w:rPr>
        <w:t>37.</w:t>
      </w:r>
      <w:r>
        <w:tab/>
      </w:r>
      <w:r w:rsidRPr="00881D1C">
        <w:rPr>
          <w:rFonts w:ascii="SimHei" w:eastAsia="SimHei" w:hint="eastAsia"/>
          <w:color w:val="FF0000"/>
        </w:rPr>
        <w:t>委员会呼吁缔约国继续努力，在青少年中广泛促进性教育，以增加他们对避孕方法的了解和使用。委员会还鼓励缔约国研究和/或调查年轻妇女堕胎增加的根源。</w:t>
      </w:r>
    </w:p>
    <w:p w:rsidR="001553DD" w:rsidRPr="00881D1C" w:rsidRDefault="001553DD" w:rsidP="00C26CDD">
      <w:pPr>
        <w:pStyle w:val="SingleTxt"/>
        <w:spacing w:line="328" w:lineRule="exact"/>
        <w:rPr>
          <w:rFonts w:ascii="SimHei" w:eastAsia="SimHei" w:hint="eastAsia"/>
          <w:color w:val="FF0000"/>
        </w:rPr>
      </w:pPr>
      <w:r w:rsidRPr="00881D1C">
        <w:rPr>
          <w:rFonts w:ascii="SimHei" w:eastAsia="SimHei" w:hint="eastAsia"/>
          <w:color w:val="FF0000"/>
        </w:rPr>
        <w:t>少数民族妇女</w:t>
      </w:r>
    </w:p>
    <w:p w:rsidR="001553DD" w:rsidRDefault="001553DD" w:rsidP="00C26CDD">
      <w:pPr>
        <w:pStyle w:val="SingleTxt"/>
        <w:spacing w:line="328" w:lineRule="exact"/>
        <w:rPr>
          <w:rFonts w:hint="eastAsia"/>
        </w:rPr>
      </w:pPr>
      <w:r>
        <w:rPr>
          <w:rFonts w:hint="eastAsia"/>
        </w:rPr>
        <w:t>38.</w:t>
      </w:r>
      <w:r>
        <w:tab/>
      </w:r>
      <w:r>
        <w:rPr>
          <w:rFonts w:hint="eastAsia"/>
        </w:rPr>
        <w:t>委员会注意到，丹麦已采取措施使少数民族妇女更多地融入丹麦社会并将这些妇女纳入劳动力市场，但仍对少数民族妇女的人权状况以及她们继续遭受各种形式的歧视感到关切。委员会欢迎为消除非丹麦种族背景的人在教育、工作和结社活动方面遇到的基于性别的障碍而执行的2006-2009年“就业、参与和人人机会平等”行动计划，但仍对少数民族妇女在获得教育、就业和医疗保健以及遭受暴力侵害方面的状况感到关切。委员会还重申其以往对大多数艾滋病毒抗体阳性的妇女是在外国出生的少数民族妇女这一问题表示的关切。</w:t>
      </w:r>
    </w:p>
    <w:p w:rsidR="001553DD" w:rsidRDefault="001553DD" w:rsidP="00C26CDD">
      <w:pPr>
        <w:pStyle w:val="SingleTxt"/>
        <w:spacing w:line="328" w:lineRule="exact"/>
        <w:rPr>
          <w:rFonts w:hint="eastAsia"/>
        </w:rPr>
      </w:pPr>
      <w:r>
        <w:rPr>
          <w:rFonts w:hint="eastAsia"/>
        </w:rPr>
        <w:t>39.</w:t>
      </w:r>
      <w:r>
        <w:tab/>
      </w:r>
      <w:r w:rsidRPr="00881D1C">
        <w:rPr>
          <w:rFonts w:ascii="SimHei" w:eastAsia="SimHei" w:hint="eastAsia"/>
          <w:color w:val="FF0000"/>
        </w:rPr>
        <w:t>委员会</w:t>
      </w:r>
      <w:r>
        <w:rPr>
          <w:rFonts w:ascii="SimHei" w:eastAsia="SimHei" w:hint="eastAsia"/>
          <w:color w:val="FF0000"/>
        </w:rPr>
        <w:t>敦促</w:t>
      </w:r>
      <w:r w:rsidRPr="00881D1C">
        <w:rPr>
          <w:rFonts w:ascii="SimHei" w:eastAsia="SimHei" w:hint="eastAsia"/>
          <w:color w:val="FF0000"/>
        </w:rPr>
        <w:t>缔约国加强努力，消除对少数民族妇女的歧视。委员会鼓励缔约国防止这些妇女在其社区以及在整个社会遭受歧视，打击暴力侵害她们的行为，增强她们对可利用的社会服务和法律补救办法的了解，让她们熟悉自己享有两性平等和不受歧视的权利。委员会建议充分解决外国妇女的保健需求，特别是对防治艾滋病毒信息的需求。此外，委员会还要求缔约国定期、全面研究少数民族妇女遭受的歧视，收集有关其就业、教育和保健状况的统计数据，以及关于她们可能遭受的各种形式暴力的统计数据，并在下一次定期报告中提供这些资料。</w:t>
      </w:r>
    </w:p>
    <w:p w:rsidR="001553DD" w:rsidRPr="00881D1C" w:rsidRDefault="001553DD" w:rsidP="00C26CDD">
      <w:pPr>
        <w:pStyle w:val="SingleTxt"/>
        <w:spacing w:line="328" w:lineRule="exact"/>
        <w:rPr>
          <w:rFonts w:ascii="SimHei" w:eastAsia="SimHei" w:hint="eastAsia"/>
          <w:color w:val="FF0000"/>
        </w:rPr>
      </w:pPr>
      <w:r w:rsidRPr="00881D1C">
        <w:rPr>
          <w:rFonts w:ascii="SimHei" w:eastAsia="SimHei" w:hint="eastAsia"/>
          <w:color w:val="FF0000"/>
        </w:rPr>
        <w:t>家庭团聚</w:t>
      </w:r>
    </w:p>
    <w:p w:rsidR="001553DD" w:rsidRDefault="001553DD" w:rsidP="00C26CDD">
      <w:pPr>
        <w:pStyle w:val="SingleTxt"/>
        <w:spacing w:line="328" w:lineRule="exact"/>
        <w:rPr>
          <w:rFonts w:hint="eastAsia"/>
        </w:rPr>
      </w:pPr>
      <w:r>
        <w:rPr>
          <w:rFonts w:hint="eastAsia"/>
        </w:rPr>
        <w:t>40.</w:t>
      </w:r>
      <w:r>
        <w:tab/>
      </w:r>
      <w:r>
        <w:rPr>
          <w:rFonts w:hint="eastAsia"/>
        </w:rPr>
        <w:t>委员会注意到有关强迫婚姻和包办婚姻的提高认识运动在缔约国内产生了积极影响，但重申其在先前的结论性意见中所表示的关切，即对移民配偶团聚的24岁年龄限制可能对在缔约国的家庭生活权构成障碍。</w:t>
      </w:r>
    </w:p>
    <w:p w:rsidR="001553DD" w:rsidRDefault="001553DD" w:rsidP="00C26CDD">
      <w:pPr>
        <w:pStyle w:val="SingleTxt"/>
        <w:spacing w:line="328" w:lineRule="exact"/>
        <w:rPr>
          <w:rFonts w:hint="eastAsia"/>
        </w:rPr>
      </w:pPr>
      <w:r>
        <w:rPr>
          <w:rFonts w:hint="eastAsia"/>
        </w:rPr>
        <w:t>41.</w:t>
      </w:r>
      <w:r>
        <w:tab/>
      </w:r>
      <w:r w:rsidRPr="00881D1C">
        <w:rPr>
          <w:rFonts w:ascii="SimHei" w:eastAsia="SimHei" w:hint="eastAsia"/>
          <w:color w:val="FF0000"/>
        </w:rPr>
        <w:t>在呼吁缔约国继续把强迫婚姻问题放在政治议程重要位置的同时，委员会建议审查24岁这一年龄限制，以使其与适用于丹麦夫妇的规则相一致。此外，鉴于提高认识运动取得了积极成果，委员会鼓励缔约国继续探讨打击强迫婚姻的其他办法。</w:t>
      </w:r>
    </w:p>
    <w:p w:rsidR="001553DD" w:rsidRPr="00881D1C" w:rsidRDefault="001553DD" w:rsidP="001553DD">
      <w:pPr>
        <w:pStyle w:val="SingleTxt"/>
        <w:rPr>
          <w:rFonts w:ascii="SimHei" w:eastAsia="SimHei" w:hint="eastAsia"/>
          <w:color w:val="FF0000"/>
        </w:rPr>
      </w:pPr>
      <w:r w:rsidRPr="00881D1C">
        <w:rPr>
          <w:rFonts w:ascii="SimHei" w:eastAsia="SimHei" w:hint="eastAsia"/>
          <w:color w:val="FF0000"/>
        </w:rPr>
        <w:t>与非政府组织的合作</w:t>
      </w:r>
    </w:p>
    <w:p w:rsidR="001553DD" w:rsidRDefault="001553DD" w:rsidP="00C26CDD">
      <w:pPr>
        <w:pStyle w:val="SingleTxt"/>
        <w:spacing w:line="330" w:lineRule="exact"/>
        <w:rPr>
          <w:rFonts w:hint="eastAsia"/>
        </w:rPr>
      </w:pPr>
      <w:r>
        <w:rPr>
          <w:rFonts w:hint="eastAsia"/>
        </w:rPr>
        <w:t>42.</w:t>
      </w:r>
      <w:r>
        <w:tab/>
      </w:r>
      <w:r>
        <w:rPr>
          <w:rFonts w:hint="eastAsia"/>
        </w:rPr>
        <w:t>委员会满意地注意到缔约国与民间社会组织，特别是妇女组织的合作，其中大部分是通过政府与这些组织在具体方案和项目上进行合作来实现的。委员会关切的是，过去几年丹麦非政府组织的可用资金数额没有变化，妇女非政府组织获取资金变得更加困难。</w:t>
      </w:r>
    </w:p>
    <w:p w:rsidR="001553DD" w:rsidRDefault="001553DD" w:rsidP="00C26CDD">
      <w:pPr>
        <w:pStyle w:val="SingleTxt"/>
        <w:spacing w:line="330" w:lineRule="exact"/>
        <w:rPr>
          <w:rFonts w:hint="eastAsia"/>
        </w:rPr>
      </w:pPr>
      <w:r>
        <w:rPr>
          <w:rFonts w:hint="eastAsia"/>
        </w:rPr>
        <w:t>43.</w:t>
      </w:r>
      <w:r>
        <w:tab/>
      </w:r>
      <w:r w:rsidRPr="00881D1C">
        <w:rPr>
          <w:rFonts w:ascii="SimHei" w:eastAsia="SimHei" w:hint="eastAsia"/>
          <w:color w:val="FF0000"/>
        </w:rPr>
        <w:t>委员会鼓励缔约国，其中包括法罗群岛和格陵兰，继续发展与民间社会的协作，同时建议缔约国确保有足够的资金提供给非政府组织开展工作，包括协助消除对妇女歧视委员会的工作。</w:t>
      </w:r>
    </w:p>
    <w:p w:rsidR="001553DD" w:rsidRPr="00881D1C" w:rsidRDefault="001553DD" w:rsidP="00C26CDD">
      <w:pPr>
        <w:pStyle w:val="SingleTxt"/>
        <w:spacing w:line="330" w:lineRule="exact"/>
        <w:rPr>
          <w:rFonts w:ascii="SimHei" w:eastAsia="SimHei" w:hint="eastAsia"/>
          <w:color w:val="FF0000"/>
        </w:rPr>
      </w:pPr>
      <w:r w:rsidRPr="00881D1C">
        <w:rPr>
          <w:rFonts w:ascii="SimHei" w:eastAsia="SimHei" w:hint="eastAsia"/>
          <w:color w:val="FF0000"/>
        </w:rPr>
        <w:t>《北京宣言和行动纲要》的后续行动</w:t>
      </w:r>
    </w:p>
    <w:p w:rsidR="001553DD" w:rsidRDefault="001553DD" w:rsidP="00C26CDD">
      <w:pPr>
        <w:pStyle w:val="SingleTxt"/>
        <w:spacing w:line="330" w:lineRule="exact"/>
        <w:rPr>
          <w:rFonts w:hint="eastAsia"/>
        </w:rPr>
      </w:pPr>
      <w:r>
        <w:rPr>
          <w:rFonts w:hint="eastAsia"/>
        </w:rPr>
        <w:t>44.</w:t>
      </w:r>
      <w:r>
        <w:tab/>
      </w:r>
      <w:r w:rsidRPr="00881D1C">
        <w:rPr>
          <w:rFonts w:ascii="SimHei" w:eastAsia="SimHei" w:hint="eastAsia"/>
          <w:color w:val="FF0000"/>
        </w:rPr>
        <w:t>委员会促请缔约国在履行《公约》义务时，充分利用加强《公约》各项规定的《北京宣言和行动纲要》，并请缔约国在下一次定期报告中提供有关资料。</w:t>
      </w:r>
    </w:p>
    <w:p w:rsidR="001553DD" w:rsidRPr="00881D1C" w:rsidRDefault="001553DD" w:rsidP="00C26CDD">
      <w:pPr>
        <w:pStyle w:val="SingleTxt"/>
        <w:spacing w:line="330" w:lineRule="exact"/>
        <w:rPr>
          <w:rFonts w:ascii="SimHei" w:eastAsia="SimHei" w:hint="eastAsia"/>
          <w:color w:val="FF0000"/>
        </w:rPr>
      </w:pPr>
      <w:r w:rsidRPr="00881D1C">
        <w:rPr>
          <w:rFonts w:ascii="SimHei" w:eastAsia="SimHei" w:hint="eastAsia"/>
          <w:color w:val="FF0000"/>
        </w:rPr>
        <w:t>千年发展目标</w:t>
      </w:r>
    </w:p>
    <w:p w:rsidR="001553DD" w:rsidRDefault="001553DD" w:rsidP="00C26CDD">
      <w:pPr>
        <w:pStyle w:val="SingleTxt"/>
        <w:spacing w:line="330" w:lineRule="exact"/>
        <w:rPr>
          <w:rFonts w:hint="eastAsia"/>
        </w:rPr>
      </w:pPr>
      <w:r>
        <w:rPr>
          <w:rFonts w:hint="eastAsia"/>
        </w:rPr>
        <w:t>45.</w:t>
      </w:r>
      <w:r>
        <w:tab/>
      </w:r>
      <w:r w:rsidRPr="00881D1C">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委员会强调，充分和有效地执行《公约》对实现千年发展目标不可或缺。委员会要求在实现千年发展目标的一切工作中纳入性别观点，明确体现《公约》各项规定，并请缔约国在下一次定期报告中提供有关资料。</w:t>
      </w:r>
    </w:p>
    <w:p w:rsidR="001553DD" w:rsidRPr="00881D1C" w:rsidRDefault="001553DD" w:rsidP="00C26CDD">
      <w:pPr>
        <w:pStyle w:val="SingleTxt"/>
        <w:spacing w:line="330" w:lineRule="exact"/>
        <w:rPr>
          <w:rFonts w:ascii="SimHei" w:eastAsia="SimHei" w:hint="eastAsia"/>
          <w:color w:val="FF0000"/>
        </w:rPr>
      </w:pPr>
      <w:r w:rsidRPr="00881D1C">
        <w:rPr>
          <w:rFonts w:ascii="SimHei" w:eastAsia="SimHei" w:hint="eastAsia"/>
          <w:color w:val="FF0000"/>
        </w:rPr>
        <w:t>其他条约的批准</w:t>
      </w:r>
    </w:p>
    <w:p w:rsidR="001553DD" w:rsidRDefault="001553DD" w:rsidP="00C26CDD">
      <w:pPr>
        <w:pStyle w:val="SingleTxt"/>
        <w:spacing w:line="330" w:lineRule="exact"/>
        <w:rPr>
          <w:rFonts w:hint="eastAsia"/>
        </w:rPr>
      </w:pPr>
      <w:r>
        <w:rPr>
          <w:rFonts w:hint="eastAsia"/>
        </w:rPr>
        <w:t>46.</w:t>
      </w:r>
      <w:r>
        <w:tab/>
      </w:r>
      <w:r w:rsidRPr="00881D1C">
        <w:rPr>
          <w:rFonts w:ascii="SimHei" w:eastAsia="SimHei" w:hint="eastAsia"/>
          <w:color w:val="FF0000"/>
        </w:rPr>
        <w:t>委员会指出，各国参加九项主要国际人权文书</w:t>
      </w:r>
      <w:r w:rsidRPr="001553DD">
        <w:rPr>
          <w:rStyle w:val="FootnoteReference"/>
          <w:rFonts w:ascii="SimHei" w:eastAsia="SimHei"/>
          <w:color w:val="FF0000"/>
        </w:rPr>
        <w:footnoteReference w:id="1"/>
      </w:r>
      <w:r w:rsidRPr="00881D1C">
        <w:rPr>
          <w:rFonts w:ascii="SimHei" w:eastAsia="SimHei" w:hint="eastAsia"/>
          <w:color w:val="FF0000"/>
        </w:rPr>
        <w:t xml:space="preserve"> 有助于促进妇女在生活的各个方面享受人权和基本自由。因此，委员会鼓励丹麦政府考虑批准它尚未成为缔约国的条约，即《保护所有移徙工人及其家庭成员权利国际公约》、《保护所有人免遭强迫失踪国际公约》和《残疾人权利公约》。</w:t>
      </w:r>
    </w:p>
    <w:p w:rsidR="001553DD" w:rsidRPr="00881D1C" w:rsidRDefault="001553DD" w:rsidP="00C26CDD">
      <w:pPr>
        <w:pStyle w:val="SingleTxt"/>
        <w:spacing w:line="330" w:lineRule="exact"/>
        <w:rPr>
          <w:rFonts w:ascii="SimHei" w:eastAsia="SimHei" w:hint="eastAsia"/>
          <w:color w:val="FF0000"/>
        </w:rPr>
      </w:pPr>
      <w:r w:rsidRPr="00881D1C">
        <w:rPr>
          <w:rFonts w:ascii="SimHei" w:eastAsia="SimHei" w:hint="eastAsia"/>
          <w:color w:val="FF0000"/>
        </w:rPr>
        <w:t>结论意见的传播</w:t>
      </w:r>
    </w:p>
    <w:p w:rsidR="001553DD" w:rsidRDefault="001553DD" w:rsidP="00C26CDD">
      <w:pPr>
        <w:pStyle w:val="SingleTxt"/>
        <w:spacing w:line="330" w:lineRule="exact"/>
        <w:rPr>
          <w:rFonts w:ascii="Times New Roman" w:eastAsia="SimHei"/>
          <w:color w:val="FF0000"/>
        </w:rPr>
      </w:pPr>
      <w:r>
        <w:rPr>
          <w:rFonts w:hint="eastAsia"/>
        </w:rPr>
        <w:t>47.</w:t>
      </w:r>
      <w:r>
        <w:tab/>
      </w:r>
      <w:r w:rsidRPr="00881D1C">
        <w:rPr>
          <w:rFonts w:ascii="SimHei" w:eastAsia="SimHei" w:hint="eastAsia"/>
          <w:color w:val="FF0000"/>
        </w:rPr>
        <w:t>委员会请丹麦、法罗群岛和格陵兰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C26CDD" w:rsidRPr="00C26CDD" w:rsidRDefault="00C26CDD" w:rsidP="00C26CDD">
      <w:pPr>
        <w:pStyle w:val="SingleTxt"/>
        <w:spacing w:line="330" w:lineRule="exact"/>
        <w:rPr>
          <w:rFonts w:ascii="Times New Roman"/>
        </w:rPr>
      </w:pPr>
    </w:p>
    <w:p w:rsidR="001553DD" w:rsidRPr="00881D1C" w:rsidRDefault="001553DD" w:rsidP="001553DD">
      <w:pPr>
        <w:pStyle w:val="SingleTxt"/>
        <w:rPr>
          <w:rFonts w:ascii="SimHei" w:eastAsia="SimHei" w:hint="eastAsia"/>
          <w:color w:val="FF0000"/>
        </w:rPr>
      </w:pPr>
      <w:r w:rsidRPr="00881D1C">
        <w:rPr>
          <w:rFonts w:ascii="SimHei" w:eastAsia="SimHei" w:hint="eastAsia"/>
          <w:color w:val="FF0000"/>
        </w:rPr>
        <w:t>结论意见的后续行动</w:t>
      </w:r>
    </w:p>
    <w:p w:rsidR="001553DD" w:rsidRDefault="001553DD" w:rsidP="001553DD">
      <w:pPr>
        <w:pStyle w:val="SingleTxt"/>
        <w:rPr>
          <w:rFonts w:hint="eastAsia"/>
        </w:rPr>
      </w:pPr>
      <w:r>
        <w:rPr>
          <w:rFonts w:hint="eastAsia"/>
        </w:rPr>
        <w:t>48.</w:t>
      </w:r>
      <w:r>
        <w:tab/>
      </w:r>
      <w:r w:rsidRPr="00881D1C">
        <w:rPr>
          <w:rFonts w:ascii="SimHei" w:eastAsia="SimHei" w:hint="eastAsia"/>
          <w:color w:val="FF0000"/>
        </w:rPr>
        <w:t>委</w:t>
      </w:r>
      <w:r w:rsidR="00162884">
        <w:rPr>
          <w:rFonts w:ascii="Times New Roman" w:eastAsia="SimHei" w:hint="eastAsia"/>
          <w:color w:val="FF0000"/>
        </w:rPr>
        <w:t>员</w:t>
      </w:r>
      <w:r w:rsidRPr="00881D1C">
        <w:rPr>
          <w:rFonts w:ascii="SimHei" w:eastAsia="SimHei" w:hint="eastAsia"/>
          <w:color w:val="FF0000"/>
        </w:rPr>
        <w:t>会请缔约国在两年内提供书面资料，说明为执行第1</w:t>
      </w:r>
      <w:r>
        <w:rPr>
          <w:rFonts w:ascii="SimHei" w:eastAsia="SimHei" w:hint="eastAsia"/>
          <w:color w:val="FF0000"/>
        </w:rPr>
        <w:t>5</w:t>
      </w:r>
      <w:r w:rsidRPr="00881D1C">
        <w:rPr>
          <w:rFonts w:ascii="SimHei" w:eastAsia="SimHei" w:hint="eastAsia"/>
          <w:color w:val="FF0000"/>
        </w:rPr>
        <w:t>段和第</w:t>
      </w:r>
      <w:r>
        <w:rPr>
          <w:rFonts w:ascii="SimHei" w:eastAsia="SimHei" w:hint="eastAsia"/>
          <w:color w:val="FF0000"/>
        </w:rPr>
        <w:t>31</w:t>
      </w:r>
      <w:r w:rsidRPr="00881D1C">
        <w:rPr>
          <w:rFonts w:ascii="SimHei" w:eastAsia="SimHei" w:hint="eastAsia"/>
          <w:color w:val="FF0000"/>
        </w:rPr>
        <w:t>段所载建议而采取的步骤。</w:t>
      </w:r>
    </w:p>
    <w:p w:rsidR="001553DD" w:rsidRPr="00881D1C" w:rsidRDefault="001553DD" w:rsidP="001553DD">
      <w:pPr>
        <w:pStyle w:val="SingleTxt"/>
        <w:rPr>
          <w:rFonts w:ascii="SimHei" w:eastAsia="SimHei" w:hint="eastAsia"/>
          <w:color w:val="FF0000"/>
        </w:rPr>
      </w:pPr>
      <w:r w:rsidRPr="00881D1C">
        <w:rPr>
          <w:rFonts w:ascii="SimHei" w:eastAsia="SimHei" w:hint="eastAsia"/>
          <w:color w:val="FF0000"/>
        </w:rPr>
        <w:t>下一次报告的日期</w:t>
      </w:r>
    </w:p>
    <w:p w:rsidR="001553DD" w:rsidRDefault="001553DD" w:rsidP="001553DD">
      <w:pPr>
        <w:pStyle w:val="SingleTxt"/>
        <w:rPr>
          <w:rFonts w:ascii="SimHei" w:eastAsia="SimHei" w:hint="eastAsia"/>
          <w:color w:val="FF0000"/>
        </w:rPr>
      </w:pPr>
      <w:r>
        <w:rPr>
          <w:rFonts w:hint="eastAsia"/>
        </w:rPr>
        <w:t>49.</w:t>
      </w:r>
      <w:r>
        <w:tab/>
      </w:r>
      <w:r w:rsidRPr="00881D1C">
        <w:rPr>
          <w:rFonts w:ascii="SimHei" w:eastAsia="SimHei" w:hint="eastAsia"/>
          <w:color w:val="FF0000"/>
        </w:rPr>
        <w:t>委员会请缔约国在根据《公约》第18条提交的下一次定期报告中答复本结论意见所提出的各项关切。委员会请缔约国在201</w:t>
      </w:r>
      <w:r>
        <w:rPr>
          <w:rFonts w:ascii="SimHei" w:eastAsia="SimHei" w:hint="eastAsia"/>
          <w:color w:val="FF0000"/>
        </w:rPr>
        <w:t>3</w:t>
      </w:r>
      <w:r w:rsidRPr="00881D1C">
        <w:rPr>
          <w:rFonts w:ascii="SimHei" w:eastAsia="SimHei" w:hint="eastAsia"/>
          <w:color w:val="FF0000"/>
        </w:rPr>
        <w:t>年5月21日前提交第八次定期报告。</w:t>
      </w:r>
    </w:p>
    <w:p w:rsidR="001553DD" w:rsidRPr="001553DD" w:rsidRDefault="001553DD" w:rsidP="001553D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1553DD" w:rsidRPr="009B3145" w:rsidRDefault="001553DD" w:rsidP="001553DD">
      <w:pPr>
        <w:pStyle w:val="SingleTxt"/>
        <w:rPr>
          <w:rFonts w:hint="eastAsia"/>
        </w:rPr>
      </w:pPr>
    </w:p>
    <w:sectPr w:rsidR="001553DD" w:rsidRPr="009B3145" w:rsidSect="009B314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5T10:22:00Z" w:initials="Start">
    <w:p w:rsidR="00162884" w:rsidRDefault="0016288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NO&gt;&gt;N0946000C&lt;&lt;ODS JOB NO&gt;&gt;</w:t>
      </w:r>
    </w:p>
    <w:p w:rsidR="00162884" w:rsidRDefault="00162884">
      <w:pPr>
        <w:pStyle w:val="CommentText"/>
      </w:pPr>
      <w:r>
        <w:t>&lt;&lt;ODS DOC SYMBOL1&gt;&gt;CEDAW/C/DEN/CO/7&lt;&lt;ODS DOC SYMBOL1&gt;&gt;</w:t>
      </w:r>
    </w:p>
    <w:p w:rsidR="00162884" w:rsidRDefault="001628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95D" w:rsidRDefault="00BD095D">
      <w:r>
        <w:separator/>
      </w:r>
    </w:p>
  </w:endnote>
  <w:endnote w:type="continuationSeparator" w:id="0">
    <w:p w:rsidR="00BD095D" w:rsidRDefault="00BD0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2884" w:rsidTr="009B3145">
      <w:tblPrEx>
        <w:tblCellMar>
          <w:top w:w="0" w:type="dxa"/>
          <w:bottom w:w="0" w:type="dxa"/>
        </w:tblCellMar>
      </w:tblPrEx>
      <w:tc>
        <w:tcPr>
          <w:tcW w:w="5033" w:type="dxa"/>
          <w:shd w:val="clear" w:color="auto" w:fill="auto"/>
        </w:tcPr>
        <w:p w:rsidR="00162884" w:rsidRPr="009B3145" w:rsidRDefault="00162884" w:rsidP="009B31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09-46000 (C)</w:t>
          </w:r>
          <w:r>
            <w:rPr>
              <w:b w:val="0"/>
              <w:w w:val="103"/>
              <w:sz w:val="14"/>
            </w:rPr>
            <w:fldChar w:fldCharType="end"/>
          </w:r>
        </w:p>
      </w:tc>
      <w:tc>
        <w:tcPr>
          <w:tcW w:w="5033" w:type="dxa"/>
          <w:shd w:val="clear" w:color="auto" w:fill="auto"/>
        </w:tcPr>
        <w:p w:rsidR="00162884" w:rsidRPr="009B3145" w:rsidRDefault="00162884" w:rsidP="009B3145">
          <w:pPr>
            <w:pStyle w:val="Footer"/>
            <w:jc w:val="left"/>
            <w:rPr>
              <w:w w:val="103"/>
            </w:rPr>
          </w:pPr>
          <w:r>
            <w:rPr>
              <w:w w:val="103"/>
            </w:rPr>
            <w:fldChar w:fldCharType="begin"/>
          </w:r>
          <w:r>
            <w:rPr>
              <w:w w:val="103"/>
            </w:rPr>
            <w:instrText xml:space="preserve"> PAGE  \* MERGEFORMAT </w:instrText>
          </w:r>
          <w:r>
            <w:rPr>
              <w:w w:val="103"/>
            </w:rPr>
            <w:fldChar w:fldCharType="separate"/>
          </w:r>
          <w:r w:rsidR="00EF657F">
            <w:rPr>
              <w:w w:val="103"/>
            </w:rPr>
            <w:t>8</w:t>
          </w:r>
          <w:r>
            <w:rPr>
              <w:w w:val="103"/>
            </w:rPr>
            <w:fldChar w:fldCharType="end"/>
          </w:r>
        </w:p>
      </w:tc>
    </w:tr>
  </w:tbl>
  <w:p w:rsidR="00162884" w:rsidRPr="009B3145" w:rsidRDefault="00162884" w:rsidP="009B3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2884" w:rsidTr="009B3145">
      <w:tblPrEx>
        <w:tblCellMar>
          <w:top w:w="0" w:type="dxa"/>
          <w:bottom w:w="0" w:type="dxa"/>
        </w:tblCellMar>
      </w:tblPrEx>
      <w:tc>
        <w:tcPr>
          <w:tcW w:w="5033" w:type="dxa"/>
          <w:shd w:val="clear" w:color="auto" w:fill="auto"/>
        </w:tcPr>
        <w:p w:rsidR="00162884" w:rsidRPr="009B3145" w:rsidRDefault="00162884" w:rsidP="009B3145">
          <w:pPr>
            <w:pStyle w:val="Footer"/>
            <w:jc w:val="right"/>
          </w:pPr>
          <w:r>
            <w:fldChar w:fldCharType="begin"/>
          </w:r>
          <w:r>
            <w:instrText xml:space="preserve"> PAGE  \* MERGEFORMAT </w:instrText>
          </w:r>
          <w:r>
            <w:fldChar w:fldCharType="separate"/>
          </w:r>
          <w:r w:rsidR="00EF657F">
            <w:t>9</w:t>
          </w:r>
          <w:r>
            <w:fldChar w:fldCharType="end"/>
          </w:r>
        </w:p>
      </w:tc>
      <w:tc>
        <w:tcPr>
          <w:tcW w:w="5033" w:type="dxa"/>
          <w:shd w:val="clear" w:color="auto" w:fill="auto"/>
        </w:tcPr>
        <w:p w:rsidR="00162884" w:rsidRPr="009B3145" w:rsidRDefault="00162884" w:rsidP="009B314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09-46000 (C)</w:t>
          </w:r>
          <w:r>
            <w:rPr>
              <w:b w:val="0"/>
              <w:w w:val="103"/>
              <w:sz w:val="14"/>
            </w:rPr>
            <w:fldChar w:fldCharType="end"/>
          </w:r>
        </w:p>
      </w:tc>
    </w:tr>
  </w:tbl>
  <w:p w:rsidR="00162884" w:rsidRPr="009B3145" w:rsidRDefault="00162884" w:rsidP="009B31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62884">
      <w:tblPrEx>
        <w:tblCellMar>
          <w:top w:w="0" w:type="dxa"/>
          <w:bottom w:w="0" w:type="dxa"/>
        </w:tblCellMar>
      </w:tblPrEx>
      <w:tc>
        <w:tcPr>
          <w:tcW w:w="5033" w:type="dxa"/>
        </w:tcPr>
        <w:p w:rsidR="00162884" w:rsidRDefault="00162884" w:rsidP="009B314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09-46000 (C)</w:t>
          </w:r>
          <w:r>
            <w:rPr>
              <w:b w:val="0"/>
              <w:sz w:val="21"/>
            </w:rPr>
            <w:fldChar w:fldCharType="end"/>
          </w:r>
          <w:r>
            <w:rPr>
              <w:b w:val="0"/>
              <w:sz w:val="21"/>
            </w:rPr>
            <w:t xml:space="preserve">    2</w:t>
          </w:r>
          <w:r>
            <w:rPr>
              <w:rFonts w:hint="eastAsia"/>
              <w:b w:val="0"/>
              <w:sz w:val="21"/>
            </w:rPr>
            <w:t>0</w:t>
          </w:r>
          <w:r>
            <w:rPr>
              <w:b w:val="0"/>
              <w:sz w:val="21"/>
            </w:rPr>
            <w:t>0809    2</w:t>
          </w:r>
          <w:r>
            <w:rPr>
              <w:rFonts w:hint="eastAsia"/>
              <w:b w:val="0"/>
              <w:sz w:val="21"/>
            </w:rPr>
            <w:t>7</w:t>
          </w:r>
          <w:r>
            <w:rPr>
              <w:b w:val="0"/>
              <w:sz w:val="21"/>
            </w:rPr>
            <w:t>0809</w:t>
          </w:r>
        </w:p>
        <w:p w:rsidR="00162884" w:rsidRPr="009B3145" w:rsidRDefault="00162884" w:rsidP="009B314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*0946000*</w:t>
          </w:r>
          <w:r>
            <w:rPr>
              <w:rFonts w:ascii="Barcode 3 of 9 by request" w:hAnsi="Barcode 3 of 9 by request"/>
              <w:sz w:val="24"/>
            </w:rPr>
            <w:fldChar w:fldCharType="end"/>
          </w:r>
        </w:p>
      </w:tc>
      <w:tc>
        <w:tcPr>
          <w:tcW w:w="5033" w:type="dxa"/>
        </w:tcPr>
        <w:p w:rsidR="00162884" w:rsidRDefault="00162884" w:rsidP="009B3145">
          <w:pPr>
            <w:pStyle w:val="Footer"/>
            <w:jc w:val="right"/>
            <w:rPr>
              <w:b w:val="0"/>
              <w:sz w:val="21"/>
            </w:rPr>
          </w:pPr>
          <w:r w:rsidRPr="009B314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62884" w:rsidRPr="009B3145" w:rsidRDefault="00162884" w:rsidP="009B3145">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95D" w:rsidRPr="001553DD" w:rsidRDefault="00BD095D" w:rsidP="001553DD">
      <w:pPr>
        <w:pStyle w:val="Footer"/>
        <w:spacing w:after="80"/>
        <w:ind w:left="792"/>
        <w:rPr>
          <w:sz w:val="16"/>
        </w:rPr>
      </w:pPr>
      <w:r w:rsidRPr="001553DD">
        <w:rPr>
          <w:sz w:val="16"/>
        </w:rPr>
        <w:t>__________________</w:t>
      </w:r>
    </w:p>
  </w:footnote>
  <w:footnote w:type="continuationSeparator" w:id="0">
    <w:p w:rsidR="00BD095D" w:rsidRPr="001553DD" w:rsidRDefault="00BD095D" w:rsidP="001553DD">
      <w:pPr>
        <w:pStyle w:val="Footer"/>
        <w:spacing w:after="80"/>
        <w:ind w:left="792"/>
        <w:rPr>
          <w:sz w:val="16"/>
        </w:rPr>
      </w:pPr>
      <w:r w:rsidRPr="001553DD">
        <w:rPr>
          <w:sz w:val="16"/>
        </w:rPr>
        <w:t>__________________</w:t>
      </w:r>
    </w:p>
  </w:footnote>
  <w:footnote w:id="1">
    <w:p w:rsidR="00162884" w:rsidRPr="00B8698A" w:rsidRDefault="00162884" w:rsidP="001553D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B8698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2884" w:rsidTr="009B3145">
      <w:tblPrEx>
        <w:tblCellMar>
          <w:top w:w="0" w:type="dxa"/>
          <w:bottom w:w="0" w:type="dxa"/>
        </w:tblCellMar>
      </w:tblPrEx>
      <w:trPr>
        <w:trHeight w:hRule="exact" w:val="864"/>
      </w:trPr>
      <w:tc>
        <w:tcPr>
          <w:tcW w:w="4838" w:type="dxa"/>
          <w:shd w:val="clear" w:color="auto" w:fill="auto"/>
          <w:vAlign w:val="bottom"/>
        </w:tcPr>
        <w:p w:rsidR="00162884" w:rsidRPr="009B3145" w:rsidRDefault="00162884" w:rsidP="009B314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CEDAW/C/DEN/CO/7</w:t>
          </w:r>
          <w:r>
            <w:rPr>
              <w:b/>
              <w:sz w:val="17"/>
            </w:rPr>
            <w:fldChar w:fldCharType="end"/>
          </w:r>
        </w:p>
      </w:tc>
      <w:tc>
        <w:tcPr>
          <w:tcW w:w="5033" w:type="dxa"/>
          <w:shd w:val="clear" w:color="auto" w:fill="auto"/>
          <w:vAlign w:val="bottom"/>
        </w:tcPr>
        <w:p w:rsidR="00162884" w:rsidRDefault="00162884" w:rsidP="009B3145">
          <w:pPr>
            <w:pStyle w:val="Header"/>
          </w:pPr>
        </w:p>
      </w:tc>
    </w:tr>
  </w:tbl>
  <w:p w:rsidR="00162884" w:rsidRPr="009B3145" w:rsidRDefault="00162884" w:rsidP="009B31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2884" w:rsidTr="009B3145">
      <w:tblPrEx>
        <w:tblCellMar>
          <w:top w:w="0" w:type="dxa"/>
          <w:bottom w:w="0" w:type="dxa"/>
        </w:tblCellMar>
      </w:tblPrEx>
      <w:trPr>
        <w:trHeight w:hRule="exact" w:val="864"/>
      </w:trPr>
      <w:tc>
        <w:tcPr>
          <w:tcW w:w="4838" w:type="dxa"/>
          <w:shd w:val="clear" w:color="auto" w:fill="auto"/>
          <w:vAlign w:val="bottom"/>
        </w:tcPr>
        <w:p w:rsidR="00162884" w:rsidRDefault="00162884" w:rsidP="009B3145">
          <w:pPr>
            <w:pStyle w:val="Header"/>
          </w:pPr>
        </w:p>
      </w:tc>
      <w:tc>
        <w:tcPr>
          <w:tcW w:w="5033" w:type="dxa"/>
          <w:shd w:val="clear" w:color="auto" w:fill="auto"/>
          <w:vAlign w:val="bottom"/>
        </w:tcPr>
        <w:p w:rsidR="00162884" w:rsidRPr="009B3145" w:rsidRDefault="00162884" w:rsidP="009B314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CEDAW/C/DEN/CO/7</w:t>
          </w:r>
          <w:r>
            <w:rPr>
              <w:b/>
              <w:sz w:val="17"/>
            </w:rPr>
            <w:fldChar w:fldCharType="end"/>
          </w:r>
        </w:p>
      </w:tc>
    </w:tr>
  </w:tbl>
  <w:p w:rsidR="00162884" w:rsidRPr="009B3145" w:rsidRDefault="00162884" w:rsidP="009B31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62884" w:rsidTr="009B314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62884" w:rsidRDefault="00162884" w:rsidP="009B3145">
          <w:pPr>
            <w:pStyle w:val="Header"/>
            <w:spacing w:after="120"/>
          </w:pPr>
        </w:p>
      </w:tc>
      <w:tc>
        <w:tcPr>
          <w:tcW w:w="1872" w:type="dxa"/>
          <w:tcBorders>
            <w:bottom w:val="single" w:sz="4" w:space="0" w:color="auto"/>
          </w:tcBorders>
          <w:shd w:val="clear" w:color="auto" w:fill="auto"/>
          <w:vAlign w:val="bottom"/>
        </w:tcPr>
        <w:p w:rsidR="00162884" w:rsidRPr="009B3145" w:rsidRDefault="00162884" w:rsidP="009B314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62884" w:rsidRDefault="00162884" w:rsidP="009B3145">
          <w:pPr>
            <w:pStyle w:val="Header"/>
            <w:spacing w:after="120"/>
          </w:pPr>
        </w:p>
      </w:tc>
      <w:tc>
        <w:tcPr>
          <w:tcW w:w="6523" w:type="dxa"/>
          <w:gridSpan w:val="3"/>
          <w:tcBorders>
            <w:bottom w:val="single" w:sz="4" w:space="0" w:color="auto"/>
          </w:tcBorders>
          <w:shd w:val="clear" w:color="auto" w:fill="auto"/>
          <w:vAlign w:val="bottom"/>
        </w:tcPr>
        <w:p w:rsidR="00162884" w:rsidRPr="009B3145" w:rsidRDefault="00162884" w:rsidP="009B3145">
          <w:pPr>
            <w:spacing w:after="80" w:line="240" w:lineRule="auto"/>
            <w:jc w:val="right"/>
            <w:rPr>
              <w:rFonts w:ascii="Times New Roman"/>
              <w:position w:val="-4"/>
            </w:rPr>
          </w:pPr>
          <w:r>
            <w:rPr>
              <w:rFonts w:ascii="Times New Roman"/>
              <w:position w:val="-4"/>
              <w:sz w:val="40"/>
            </w:rPr>
            <w:t>CEDAW</w:t>
          </w:r>
          <w:r>
            <w:rPr>
              <w:rFonts w:ascii="Times New Roman"/>
              <w:position w:val="-4"/>
            </w:rPr>
            <w:t>/C/DEN/CO/7</w:t>
          </w:r>
        </w:p>
      </w:tc>
    </w:tr>
    <w:tr w:rsidR="00162884" w:rsidRPr="009B3145" w:rsidTr="009B314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62884" w:rsidRDefault="00162884" w:rsidP="009B314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62884" w:rsidRPr="009B3145" w:rsidRDefault="00162884" w:rsidP="009B3145">
          <w:pPr>
            <w:pStyle w:val="Header"/>
            <w:spacing w:before="109"/>
            <w:ind w:left="-72"/>
          </w:pPr>
        </w:p>
      </w:tc>
      <w:tc>
        <w:tcPr>
          <w:tcW w:w="5227" w:type="dxa"/>
          <w:gridSpan w:val="3"/>
          <w:tcBorders>
            <w:top w:val="single" w:sz="4" w:space="0" w:color="auto"/>
            <w:bottom w:val="single" w:sz="12" w:space="0" w:color="auto"/>
          </w:tcBorders>
          <w:shd w:val="clear" w:color="auto" w:fill="auto"/>
        </w:tcPr>
        <w:p w:rsidR="00162884" w:rsidRPr="009B3145" w:rsidRDefault="00162884" w:rsidP="009B314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62884" w:rsidRPr="009B3145" w:rsidRDefault="00162884" w:rsidP="009B3145">
          <w:pPr>
            <w:pStyle w:val="Header"/>
            <w:spacing w:before="109"/>
          </w:pPr>
        </w:p>
      </w:tc>
      <w:tc>
        <w:tcPr>
          <w:tcW w:w="3180" w:type="dxa"/>
          <w:gridSpan w:val="2"/>
          <w:tcBorders>
            <w:top w:val="single" w:sz="4" w:space="0" w:color="auto"/>
            <w:bottom w:val="single" w:sz="12" w:space="0" w:color="auto"/>
          </w:tcBorders>
          <w:shd w:val="clear" w:color="auto" w:fill="auto"/>
        </w:tcPr>
        <w:p w:rsidR="00162884" w:rsidRDefault="00162884" w:rsidP="009B3145">
          <w:pPr>
            <w:spacing w:before="240" w:line="240" w:lineRule="exact"/>
            <w:rPr>
              <w:rFonts w:ascii="Times New Roman"/>
            </w:rPr>
          </w:pPr>
          <w:r>
            <w:rPr>
              <w:rFonts w:ascii="Times New Roman"/>
            </w:rPr>
            <w:t>Distr.: General</w:t>
          </w:r>
        </w:p>
        <w:p w:rsidR="00162884" w:rsidRDefault="00162884" w:rsidP="009B3145">
          <w:pPr>
            <w:spacing w:line="240" w:lineRule="exact"/>
            <w:rPr>
              <w:rFonts w:ascii="Times New Roman"/>
            </w:rPr>
          </w:pPr>
          <w:r>
            <w:rPr>
              <w:rFonts w:ascii="Times New Roman"/>
            </w:rPr>
            <w:t>7 August 2009</w:t>
          </w:r>
        </w:p>
        <w:p w:rsidR="00162884" w:rsidRDefault="00162884" w:rsidP="009B3145">
          <w:pPr>
            <w:spacing w:line="240" w:lineRule="exact"/>
            <w:rPr>
              <w:rFonts w:ascii="Times New Roman"/>
            </w:rPr>
          </w:pPr>
          <w:r>
            <w:rPr>
              <w:rFonts w:ascii="Times New Roman"/>
            </w:rPr>
            <w:t>Chinese</w:t>
          </w:r>
        </w:p>
        <w:p w:rsidR="00162884" w:rsidRPr="009B3145" w:rsidRDefault="00162884" w:rsidP="009B3145">
          <w:pPr>
            <w:spacing w:line="240" w:lineRule="exact"/>
            <w:rPr>
              <w:rFonts w:ascii="Times New Roman"/>
            </w:rPr>
          </w:pPr>
          <w:r>
            <w:rPr>
              <w:rFonts w:ascii="Times New Roman"/>
            </w:rPr>
            <w:t>Original: English</w:t>
          </w:r>
        </w:p>
      </w:tc>
    </w:tr>
  </w:tbl>
  <w:p w:rsidR="00162884" w:rsidRPr="009B3145" w:rsidRDefault="00162884" w:rsidP="009B314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00*"/>
    <w:docVar w:name="CreationDt" w:val="25/08/2009 10:03:04"/>
    <w:docVar w:name="DocCategory" w:val="Doc"/>
    <w:docVar w:name="DocType" w:val="Final"/>
    <w:docVar w:name="FooterJN" w:val="09-46000 (C)"/>
    <w:docVar w:name="jobn" w:val="09-46000 (C)"/>
    <w:docVar w:name="jobnDT" w:val="09-46000 (C)   250809"/>
    <w:docVar w:name="jobnDTDT" w:val="09-46000 (C)   250809   250809"/>
    <w:docVar w:name="JobNo" w:val="0946000C"/>
    <w:docVar w:name="OandT" w:val="zxs"/>
    <w:docVar w:name="sss1" w:val="CEDAW/C/DEN/CO/7"/>
    <w:docVar w:name="sss2" w:val="-"/>
    <w:docVar w:name="Symbol1" w:val="CEDAW/C/DEN/CO/7"/>
    <w:docVar w:name="Symbol2" w:val="-"/>
  </w:docVars>
  <w:rsids>
    <w:rsidRoot w:val="00F46238"/>
    <w:rsid w:val="0000347C"/>
    <w:rsid w:val="000125BC"/>
    <w:rsid w:val="00021A2B"/>
    <w:rsid w:val="00037B39"/>
    <w:rsid w:val="00044CA4"/>
    <w:rsid w:val="00045EFE"/>
    <w:rsid w:val="0007337D"/>
    <w:rsid w:val="000758DF"/>
    <w:rsid w:val="00076EB8"/>
    <w:rsid w:val="00095C67"/>
    <w:rsid w:val="000A1A8F"/>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553DD"/>
    <w:rsid w:val="00161E69"/>
    <w:rsid w:val="00161F54"/>
    <w:rsid w:val="00162884"/>
    <w:rsid w:val="00170FBE"/>
    <w:rsid w:val="0017506F"/>
    <w:rsid w:val="001B2814"/>
    <w:rsid w:val="001B4F95"/>
    <w:rsid w:val="001C3F7F"/>
    <w:rsid w:val="001C5166"/>
    <w:rsid w:val="001D0354"/>
    <w:rsid w:val="001E20EC"/>
    <w:rsid w:val="001E4442"/>
    <w:rsid w:val="001E5A51"/>
    <w:rsid w:val="001F03A7"/>
    <w:rsid w:val="00204313"/>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D6805"/>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732A8"/>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0486C"/>
    <w:rsid w:val="00610CF2"/>
    <w:rsid w:val="006328DE"/>
    <w:rsid w:val="006353DE"/>
    <w:rsid w:val="006479F1"/>
    <w:rsid w:val="00650BEE"/>
    <w:rsid w:val="006520FA"/>
    <w:rsid w:val="0065377D"/>
    <w:rsid w:val="00662CA9"/>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B3145"/>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0B0E"/>
    <w:rsid w:val="00B36621"/>
    <w:rsid w:val="00B36D64"/>
    <w:rsid w:val="00B41B48"/>
    <w:rsid w:val="00B56194"/>
    <w:rsid w:val="00B61A34"/>
    <w:rsid w:val="00B64E8E"/>
    <w:rsid w:val="00B65E8B"/>
    <w:rsid w:val="00B8025A"/>
    <w:rsid w:val="00B827B1"/>
    <w:rsid w:val="00BB23A4"/>
    <w:rsid w:val="00BC2276"/>
    <w:rsid w:val="00BD095D"/>
    <w:rsid w:val="00BD2150"/>
    <w:rsid w:val="00BD760B"/>
    <w:rsid w:val="00BE1CC3"/>
    <w:rsid w:val="00BE365A"/>
    <w:rsid w:val="00BE47C4"/>
    <w:rsid w:val="00C052A2"/>
    <w:rsid w:val="00C06A4A"/>
    <w:rsid w:val="00C1391A"/>
    <w:rsid w:val="00C14CE6"/>
    <w:rsid w:val="00C15218"/>
    <w:rsid w:val="00C26CDD"/>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64698"/>
    <w:rsid w:val="00E710FB"/>
    <w:rsid w:val="00E806D9"/>
    <w:rsid w:val="00E82CA2"/>
    <w:rsid w:val="00E94E5A"/>
    <w:rsid w:val="00E95594"/>
    <w:rsid w:val="00EA31C3"/>
    <w:rsid w:val="00EB33AC"/>
    <w:rsid w:val="00EC6F21"/>
    <w:rsid w:val="00EE0913"/>
    <w:rsid w:val="00EF657F"/>
    <w:rsid w:val="00F01440"/>
    <w:rsid w:val="00F13305"/>
    <w:rsid w:val="00F26D3D"/>
    <w:rsid w:val="00F40463"/>
    <w:rsid w:val="00F46238"/>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3751</Words>
  <Characters>4089</Characters>
  <Application>Microsoft Office Word</Application>
  <DocSecurity>4</DocSecurity>
  <Lines>177</Lines>
  <Paragraphs>113</Paragraphs>
  <ScaleCrop>false</ScaleCrop>
  <Company>United Nations</Company>
  <LinksUpToDate>false</LinksUpToDate>
  <CharactersWithSpaces>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20</cp:revision>
  <cp:lastPrinted>2009-08-27T09:31:00Z</cp:lastPrinted>
  <dcterms:created xsi:type="dcterms:W3CDTF">2009-08-25T09:02:00Z</dcterms:created>
  <dcterms:modified xsi:type="dcterms:W3CDTF">2009-08-27T09:31:00Z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0946000</vt:lpwstr>
  </property>
  <property fmtid="{D5CDD505-2E9C-101B-9397-08002B2CF9AE}" pid="3" name="Symbol1">
    <vt:lpwstr>CEDAW/C/DEN/CO/7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