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3BB" w:rsidRPr="001A53BB" w:rsidRDefault="001A53BB" w:rsidP="001A53BB">
      <w:pPr>
        <w:pStyle w:val="Heading1"/>
        <w:spacing w:before="0" w:line="60" w:lineRule="exact"/>
        <w:jc w:val="both"/>
        <w:rPr>
          <w:sz w:val="6"/>
        </w:rPr>
      </w:pPr>
      <w:r>
        <w:rPr>
          <w:rStyle w:val="CommentReference"/>
          <w:b w:val="0"/>
        </w:rPr>
        <w:commentReference w:id="0"/>
      </w:r>
    </w:p>
    <w:p w:rsidR="00CD27D6" w:rsidRDefault="00CD27D6">
      <w:pPr>
        <w:pStyle w:val="Heading1"/>
        <w:spacing w:before="0" w:line="240" w:lineRule="auto"/>
        <w:jc w:val="both"/>
      </w:pPr>
      <w:r>
        <w:t>Комитет по ликвидации дискриминации</w:t>
      </w:r>
    </w:p>
    <w:p w:rsidR="00CD27D6" w:rsidRDefault="00CD27D6">
      <w:pPr>
        <w:jc w:val="both"/>
        <w:rPr>
          <w:b/>
          <w:sz w:val="20"/>
        </w:rPr>
      </w:pPr>
      <w:r>
        <w:rPr>
          <w:b/>
        </w:rPr>
        <w:t>в отношении женщин</w:t>
      </w:r>
    </w:p>
    <w:p w:rsidR="00CD27D6" w:rsidRDefault="00CD27D6">
      <w:pPr>
        <w:pStyle w:val="Heading3"/>
      </w:pPr>
      <w:r>
        <w:t>Тридцать седьмая сессия</w:t>
      </w:r>
    </w:p>
    <w:p w:rsidR="00CD27D6" w:rsidRDefault="00CD27D6">
      <w:pPr>
        <w:spacing w:before="240"/>
        <w:jc w:val="both"/>
        <w:rPr>
          <w:b/>
          <w:bCs/>
          <w:sz w:val="20"/>
        </w:rPr>
      </w:pPr>
      <w:r>
        <w:rPr>
          <w:b/>
          <w:bCs/>
          <w:sz w:val="20"/>
        </w:rPr>
        <w:t xml:space="preserve">Краткий отчет о 758-м заседании (Камера </w:t>
      </w:r>
      <w:r>
        <w:rPr>
          <w:b/>
          <w:bCs/>
          <w:sz w:val="20"/>
          <w:lang w:val="en-US"/>
        </w:rPr>
        <w:t>B</w:t>
      </w:r>
      <w:r>
        <w:rPr>
          <w:b/>
          <w:bCs/>
          <w:sz w:val="20"/>
        </w:rPr>
        <w:t>),</w:t>
      </w:r>
    </w:p>
    <w:p w:rsidR="00CD27D6" w:rsidRDefault="00CD27D6">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во вторник, 16 января 2007 года, в 15 ч. 00 м.</w:t>
      </w:r>
    </w:p>
    <w:p w:rsidR="00CD27D6" w:rsidRDefault="00CD27D6">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Гаспар (заместитель Председателя)</w:t>
      </w:r>
    </w:p>
    <w:p w:rsidR="00CD27D6" w:rsidRDefault="00CD27D6">
      <w:pPr>
        <w:jc w:val="both"/>
        <w:rPr>
          <w:sz w:val="20"/>
        </w:rPr>
      </w:pPr>
    </w:p>
    <w:p w:rsidR="00CD27D6" w:rsidRDefault="00CD27D6">
      <w:pPr>
        <w:jc w:val="both"/>
        <w:rPr>
          <w:sz w:val="20"/>
        </w:rPr>
      </w:pPr>
    </w:p>
    <w:p w:rsidR="00CD27D6" w:rsidRDefault="00CD27D6">
      <w:pPr>
        <w:jc w:val="both"/>
        <w:rPr>
          <w:sz w:val="28"/>
        </w:rPr>
      </w:pPr>
      <w:r>
        <w:rPr>
          <w:sz w:val="28"/>
        </w:rPr>
        <w:t>Содержание</w:t>
      </w:r>
    </w:p>
    <w:p w:rsidR="00CD27D6" w:rsidRDefault="00CD27D6">
      <w:pPr>
        <w:jc w:val="both"/>
        <w:rPr>
          <w:sz w:val="20"/>
        </w:rPr>
      </w:pPr>
      <w:r>
        <w:rPr>
          <w:sz w:val="20"/>
        </w:rPr>
        <w:tab/>
      </w:r>
    </w:p>
    <w:p w:rsidR="00CD27D6" w:rsidRDefault="00CD27D6">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CD27D6" w:rsidRDefault="00CD27D6">
      <w:pPr>
        <w:pStyle w:val="Heading4"/>
        <w:rPr>
          <w:iCs/>
        </w:rPr>
      </w:pPr>
      <w:r>
        <w:rPr>
          <w:i w:val="0"/>
        </w:rPr>
        <w:t>Объединенные четвертый и пятый периодические доклады и шестой периодический доклад Польши (</w:t>
      </w:r>
      <w:r>
        <w:rPr>
          <w:iCs/>
        </w:rPr>
        <w:t>продолжение</w:t>
      </w:r>
      <w:r>
        <w:rPr>
          <w:i w:val="0"/>
        </w:rPr>
        <w:t>)</w:t>
      </w:r>
    </w:p>
    <w:p w:rsidR="00CD27D6" w:rsidRDefault="00CD27D6">
      <w:pPr>
        <w:ind w:left="1701" w:right="1134"/>
        <w:jc w:val="both"/>
        <w:rPr>
          <w:i/>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jc w:val="both"/>
        <w:rPr>
          <w:sz w:val="20"/>
        </w:rPr>
      </w:pPr>
    </w:p>
    <w:p w:rsidR="00CD27D6" w:rsidRDefault="00CD27D6">
      <w:pPr>
        <w:pStyle w:val="Header"/>
        <w:pBdr>
          <w:bottom w:val="single" w:sz="4" w:space="15" w:color="auto"/>
        </w:pBdr>
        <w:tabs>
          <w:tab w:val="clear" w:pos="4677"/>
          <w:tab w:val="clear" w:pos="9355"/>
        </w:tabs>
        <w:spacing w:before="120"/>
        <w:jc w:val="both"/>
        <w:rPr>
          <w:sz w:val="20"/>
        </w:rPr>
      </w:pPr>
    </w:p>
    <w:p w:rsidR="00CD27D6" w:rsidRDefault="00CD27D6">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CD27D6" w:rsidRDefault="00CD27D6">
      <w:pPr>
        <w:pStyle w:val="std"/>
        <w:ind w:left="1701" w:right="1134"/>
        <w:rPr>
          <w:color w:val="000000"/>
          <w:sz w:val="17"/>
          <w:szCs w:val="17"/>
        </w:rPr>
      </w:pPr>
    </w:p>
    <w:p w:rsidR="00CD27D6" w:rsidRDefault="00CD27D6">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CD27D6" w:rsidRDefault="00CD27D6">
      <w:pPr>
        <w:pStyle w:val="std"/>
        <w:ind w:left="1701" w:right="1134"/>
        <w:rPr>
          <w:sz w:val="17"/>
        </w:rPr>
      </w:pPr>
    </w:p>
    <w:p w:rsidR="00CD27D6" w:rsidRDefault="00CD27D6">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CD27D6" w:rsidRPr="001A53BB" w:rsidRDefault="00CD27D6">
      <w:pPr>
        <w:spacing w:before="240"/>
        <w:jc w:val="both"/>
        <w:rPr>
          <w:rFonts w:ascii="Barcode 3 of 9 by request" w:hAnsi="Barcode 3 of 9 by request"/>
          <w:sz w:val="20"/>
          <w:lang w:val="en-US"/>
        </w:rPr>
      </w:pPr>
      <w:r>
        <w:rPr>
          <w:sz w:val="20"/>
        </w:rPr>
        <w:t>07-21118.R</w:t>
      </w:r>
      <w:r w:rsidR="001A53BB">
        <w:rPr>
          <w:sz w:val="20"/>
          <w:lang w:val="en-US"/>
        </w:rPr>
        <w:br/>
      </w:r>
      <w:r w:rsidR="001A53BB" w:rsidRPr="001A53BB">
        <w:rPr>
          <w:rFonts w:ascii="Barcode 3 of 9 by request" w:hAnsi="Barcode 3 of 9 by request"/>
          <w:sz w:val="20"/>
          <w:lang w:val="en-US"/>
        </w:rPr>
        <w:t>*0721118*</w:t>
      </w:r>
    </w:p>
    <w:p w:rsidR="001A53BB" w:rsidRPr="001A53BB" w:rsidRDefault="001A53BB">
      <w:pPr>
        <w:spacing w:before="240"/>
        <w:jc w:val="both"/>
        <w:rPr>
          <w:sz w:val="20"/>
          <w:lang w:val="en-US"/>
        </w:rPr>
      </w:pPr>
    </w:p>
    <w:p w:rsidR="00CD27D6" w:rsidRDefault="00CD27D6">
      <w:pPr>
        <w:spacing w:before="240"/>
        <w:jc w:val="both"/>
        <w:rPr>
          <w:i/>
          <w:sz w:val="20"/>
        </w:rPr>
        <w:sectPr w:rsidR="00CD27D6">
          <w:headerReference w:type="even" r:id="rId8"/>
          <w:headerReference w:type="default" r:id="rId9"/>
          <w:pgSz w:w="12242" w:h="15842" w:code="1"/>
          <w:pgMar w:top="1134" w:right="1298" w:bottom="1701" w:left="1298" w:header="680" w:footer="1304" w:gutter="0"/>
          <w:cols w:space="708"/>
          <w:docGrid w:linePitch="360"/>
        </w:sectPr>
      </w:pPr>
    </w:p>
    <w:p w:rsidR="00CD27D6" w:rsidRDefault="00CD27D6">
      <w:pPr>
        <w:pStyle w:val="BodyText"/>
        <w:tabs>
          <w:tab w:val="left" w:pos="454"/>
        </w:tabs>
        <w:spacing w:after="120"/>
        <w:rPr>
          <w:i/>
          <w:iCs/>
          <w:w w:val="100"/>
        </w:rPr>
      </w:pPr>
      <w:r>
        <w:rPr>
          <w:i/>
          <w:iCs/>
          <w:w w:val="100"/>
        </w:rPr>
        <w:t xml:space="preserve">В отсутствие г-жи Шимонович место Председателя занимает заместитель Председателя г-жа </w:t>
      </w:r>
      <w:r>
        <w:rPr>
          <w:i/>
          <w:w w:val="100"/>
        </w:rPr>
        <w:t>Гаспар</w:t>
      </w:r>
      <w:r>
        <w:rPr>
          <w:i/>
          <w:iCs/>
          <w:w w:val="100"/>
        </w:rPr>
        <w:t>.</w:t>
      </w:r>
    </w:p>
    <w:p w:rsidR="00CD27D6" w:rsidRDefault="00CD27D6">
      <w:pPr>
        <w:tabs>
          <w:tab w:val="left" w:pos="454"/>
        </w:tabs>
        <w:spacing w:after="280"/>
        <w:jc w:val="both"/>
        <w:rPr>
          <w:i/>
          <w:sz w:val="20"/>
        </w:rPr>
      </w:pPr>
      <w:r>
        <w:rPr>
          <w:i/>
          <w:sz w:val="20"/>
        </w:rPr>
        <w:t>Заседание открывается в 15 ч. 05 м.</w:t>
      </w:r>
    </w:p>
    <w:p w:rsidR="00CD27D6" w:rsidRDefault="00CD27D6">
      <w:pPr>
        <w:tabs>
          <w:tab w:val="left" w:pos="454"/>
        </w:tabs>
        <w:spacing w:after="120"/>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CD27D6" w:rsidRDefault="00CD27D6">
      <w:pPr>
        <w:tabs>
          <w:tab w:val="left" w:pos="454"/>
        </w:tabs>
        <w:spacing w:after="120"/>
        <w:ind w:left="454" w:hanging="454"/>
        <w:rPr>
          <w:sz w:val="20"/>
        </w:rPr>
      </w:pPr>
      <w:r>
        <w:rPr>
          <w:i/>
          <w:sz w:val="20"/>
        </w:rPr>
        <w:tab/>
        <w:t xml:space="preserve">Объединенные четвертый и пятый периодические доклады и шестой периодический доклад Польши </w:t>
      </w:r>
      <w:r>
        <w:rPr>
          <w:iCs/>
          <w:sz w:val="20"/>
        </w:rPr>
        <w:t>(</w:t>
      </w:r>
      <w:r>
        <w:rPr>
          <w:i/>
          <w:sz w:val="20"/>
        </w:rPr>
        <w:t>продолжение</w:t>
      </w:r>
      <w:r>
        <w:rPr>
          <w:iCs/>
          <w:sz w:val="20"/>
        </w:rPr>
        <w:t>)</w:t>
      </w:r>
      <w:r>
        <w:rPr>
          <w:sz w:val="20"/>
        </w:rPr>
        <w:t xml:space="preserve"> (CEDAW/C/POL/4-5, CEDAW/C/POL/6, CEDAW/C/POL/Q/6 и Add.1)</w:t>
      </w:r>
    </w:p>
    <w:p w:rsidR="00CD27D6" w:rsidRDefault="00CD27D6">
      <w:pPr>
        <w:tabs>
          <w:tab w:val="left" w:pos="454"/>
        </w:tabs>
        <w:spacing w:after="120"/>
        <w:jc w:val="both"/>
        <w:rPr>
          <w:sz w:val="20"/>
        </w:rPr>
      </w:pPr>
      <w:r>
        <w:rPr>
          <w:sz w:val="20"/>
        </w:rPr>
        <w:t>1.</w:t>
      </w:r>
      <w:r>
        <w:rPr>
          <w:sz w:val="20"/>
        </w:rPr>
        <w:tab/>
      </w:r>
      <w:r>
        <w:rPr>
          <w:i/>
          <w:sz w:val="20"/>
        </w:rPr>
        <w:t>По приглашению Председателя члены делегации Польши занимают места за столом Комитета.</w:t>
      </w:r>
    </w:p>
    <w:p w:rsidR="00CD27D6" w:rsidRDefault="00CD27D6">
      <w:pPr>
        <w:tabs>
          <w:tab w:val="left" w:pos="454"/>
        </w:tabs>
        <w:spacing w:after="120"/>
        <w:jc w:val="both"/>
        <w:rPr>
          <w:i/>
          <w:sz w:val="20"/>
        </w:rPr>
      </w:pPr>
      <w:r>
        <w:rPr>
          <w:i/>
          <w:sz w:val="20"/>
        </w:rPr>
        <w:t>Статьи 10–14</w:t>
      </w:r>
    </w:p>
    <w:p w:rsidR="00CD27D6" w:rsidRDefault="00CD27D6">
      <w:pPr>
        <w:tabs>
          <w:tab w:val="left" w:pos="454"/>
        </w:tabs>
        <w:spacing w:after="130"/>
        <w:jc w:val="both"/>
        <w:rPr>
          <w:sz w:val="20"/>
        </w:rPr>
      </w:pPr>
      <w:r>
        <w:rPr>
          <w:sz w:val="20"/>
        </w:rPr>
        <w:t>2.</w:t>
      </w:r>
      <w:r>
        <w:rPr>
          <w:sz w:val="20"/>
        </w:rPr>
        <w:tab/>
      </w:r>
      <w:r>
        <w:rPr>
          <w:b/>
          <w:sz w:val="20"/>
        </w:rPr>
        <w:t>Г-жа Паттен</w:t>
      </w:r>
      <w:r>
        <w:rPr>
          <w:sz w:val="20"/>
        </w:rPr>
        <w:t>, касаясь статей 10 и 11 Конвенции, спрашивает, какие меры были приняты соответствующими министерствами в целях диверсификации возможностей выбора женщинами специальности и оказывает ли правительство поддержку проведению исследований по женской и гендерной проблематике в университетах Польши. Она также хотела бы знать, приступила ли Польша к осуществлению своего плана по введению одинакового возраста выхода на пенсию для мужчин и для женщин, какие трудности возникли в деле ликвидации разрыва в оплате труда мужчин и женщин и имеются ли механизмы для борьбы с проявлениями дискриминации на рынке труда. Государство-участник должно указать, приняло ли оно какие-либо меры по пересмотру ставок оплаты труда для профессий, в которых преобладают женщины, и предприняло ли оно какие-либо шаги в защиту сезонных работников и трудящихся, занятых в течение неполного рабочего дня. Наконец, хотя Комитет высоко оценивает поправку, которую Польша внесла в свой Трудовой кодекс, она хотела бы знать, достаточно ли эффективно осуществляется этот новый Кодекс.</w:t>
      </w:r>
    </w:p>
    <w:p w:rsidR="00CD27D6" w:rsidRDefault="00CD27D6">
      <w:pPr>
        <w:tabs>
          <w:tab w:val="left" w:pos="454"/>
        </w:tabs>
        <w:spacing w:after="130"/>
        <w:jc w:val="both"/>
        <w:rPr>
          <w:sz w:val="20"/>
        </w:rPr>
      </w:pPr>
      <w:r>
        <w:rPr>
          <w:sz w:val="20"/>
        </w:rPr>
        <w:t>3.</w:t>
      </w:r>
      <w:r>
        <w:rPr>
          <w:sz w:val="20"/>
        </w:rPr>
        <w:tab/>
      </w:r>
      <w:r>
        <w:rPr>
          <w:b/>
          <w:sz w:val="20"/>
        </w:rPr>
        <w:t>Председатель</w:t>
      </w:r>
      <w:r>
        <w:rPr>
          <w:sz w:val="20"/>
        </w:rPr>
        <w:t>, выступая в качестве члена Комитета, также хочет получить информацию о ситуации в Польше в отношении исследований в области женской и гендерной проблематики. Такие исследования являются важным подспорьем в подготовке специалистов по борьбе с дискриминацией в отношении женщин.</w:t>
      </w:r>
    </w:p>
    <w:p w:rsidR="00CD27D6" w:rsidRDefault="00CD27D6">
      <w:pPr>
        <w:tabs>
          <w:tab w:val="left" w:pos="454"/>
        </w:tabs>
        <w:spacing w:after="140"/>
        <w:jc w:val="both"/>
        <w:rPr>
          <w:sz w:val="20"/>
        </w:rPr>
      </w:pPr>
      <w:r>
        <w:rPr>
          <w:sz w:val="20"/>
        </w:rPr>
        <w:t>4.</w:t>
      </w:r>
      <w:r>
        <w:rPr>
          <w:sz w:val="20"/>
        </w:rPr>
        <w:tab/>
      </w:r>
      <w:r>
        <w:rPr>
          <w:b/>
          <w:sz w:val="20"/>
        </w:rPr>
        <w:t>Г-жа Тан</w:t>
      </w:r>
      <w:r>
        <w:rPr>
          <w:sz w:val="20"/>
        </w:rPr>
        <w:t xml:space="preserve"> приветствует поправки, внесенные в Трудовой кодекс Польши в целях запрета гендерной дискриминации на рабочем месте. Вместе с тем, результаты проведенных обследований свидетельствуют о том, что женщины все еще сталкиваются с дискриминацией. В связи с этим оратор хотела бы знать, считают ли женщины, что эти поправки дали им возможность возбуждать в судах иски, в связи с проявлениями дискриминации.</w:t>
      </w:r>
    </w:p>
    <w:p w:rsidR="00CD27D6" w:rsidRDefault="00CD27D6">
      <w:pPr>
        <w:tabs>
          <w:tab w:val="left" w:pos="454"/>
        </w:tabs>
        <w:spacing w:after="160"/>
        <w:jc w:val="both"/>
        <w:rPr>
          <w:sz w:val="20"/>
        </w:rPr>
      </w:pPr>
      <w:r>
        <w:rPr>
          <w:sz w:val="20"/>
        </w:rPr>
        <w:t>5.</w:t>
      </w:r>
      <w:r>
        <w:rPr>
          <w:sz w:val="20"/>
        </w:rPr>
        <w:tab/>
      </w:r>
      <w:r>
        <w:rPr>
          <w:b/>
          <w:sz w:val="20"/>
        </w:rPr>
        <w:t>Г-жа Цзоу Сяоцяо</w:t>
      </w:r>
      <w:r>
        <w:rPr>
          <w:sz w:val="20"/>
        </w:rPr>
        <w:t xml:space="preserve"> спрашивает, скольким женщинам и мужчинам помогла действующая в Польше программа реинтеграции трудящихся, которые ушли с рынка труда в результате перехода к рыночной экономике. Как указывается в докладах государства-участника, некоторые женщины, не имеющие достаточного уровня образования, вынуждены искать работу на черном рынке, где они не защищены Трудовым кодексом, что способствует феминизации бедности. Имеются также сведения о проявлениях дискриминации по возрастному признаку. В связи с этим оратор хочет знать, какие меры принимает правительство для исправления данной ситуации, разрабатываются ли какие либо специальные стратегии для переподготовки таких женщин, и, если да, то скольким женщинам такие стратегии помогли. Оратор также хотела бы знать, какие были созданы механизмы для отслеживания случаев дискриминации, домогательств и неравной оплаты труда женщин и мужчин и какие меры были приняты для оказания помощи женщинам, пострадавшим от дискриминации.</w:t>
      </w:r>
    </w:p>
    <w:p w:rsidR="00CD27D6" w:rsidRDefault="00CD27D6">
      <w:pPr>
        <w:tabs>
          <w:tab w:val="left" w:pos="454"/>
        </w:tabs>
        <w:spacing w:after="160"/>
        <w:jc w:val="both"/>
        <w:rPr>
          <w:sz w:val="20"/>
        </w:rPr>
      </w:pPr>
      <w:r>
        <w:rPr>
          <w:sz w:val="20"/>
        </w:rPr>
        <w:t>6.</w:t>
      </w:r>
      <w:r>
        <w:rPr>
          <w:sz w:val="20"/>
        </w:rPr>
        <w:tab/>
      </w:r>
      <w:r>
        <w:rPr>
          <w:b/>
          <w:sz w:val="20"/>
        </w:rPr>
        <w:t>Г-жа Клузик-Ростковска</w:t>
      </w:r>
      <w:r>
        <w:rPr>
          <w:sz w:val="20"/>
        </w:rPr>
        <w:t xml:space="preserve"> (Польша) говорит, что, поскольку в составе делегации ее страны нет эксперта по вопросам образования, она представит подробные ответы в отношении сектора образования Польши в письменной форме. В целом в сфере образования занято больше женщин, чем мужчин, и нельзя сказать, что женщины получают менее качественное образование. Тем не менее женщинам следует оказывать более значительную помощь в процессе перехода от обучения к производственной деятельности и прилагать более активные усилия, чтобы облегчить женщинам совмещение их производственных и семейных обязанностей. Несмотря на то, что действительно в некоторых низкооплачиваемых секторах происходит феминизация, мужчинам также все чаще приходится работать в секторах, где традиционно преобладают женщины, и оба эти явления обусловлены сложной ситуацией на рынке труда.</w:t>
      </w:r>
    </w:p>
    <w:p w:rsidR="00CD27D6" w:rsidRDefault="00CD27D6">
      <w:pPr>
        <w:tabs>
          <w:tab w:val="left" w:pos="454"/>
        </w:tabs>
        <w:spacing w:after="160"/>
        <w:jc w:val="both"/>
        <w:rPr>
          <w:sz w:val="20"/>
        </w:rPr>
      </w:pPr>
      <w:r>
        <w:rPr>
          <w:sz w:val="20"/>
        </w:rPr>
        <w:t>7.</w:t>
      </w:r>
      <w:r>
        <w:rPr>
          <w:sz w:val="20"/>
        </w:rPr>
        <w:tab/>
        <w:t>Несмотря на то, что внесенные в Трудовой кодекс поправки ликвидировали дискриминацию де-юре, работодатели не применяют в должной мере эти положения, и женщины не чувствуют себя достаточно уверенно, чтобы обращаться с такими жалобами в судебные органы. В связи с этим необходимо прилагать более активные усилия для повышения информированности женщин об имеющихся у них правах и предоставлять им юридическую помощь и консультации, а также просвещать работодателей по таким проблемам, как сексуальные домогательства на работе. Хотя процессы правоприменения и судебного производства идут нередко весьма медленно, Министерство юстиции прилагает усилия для исправления данной ситуации, например путем принятия законодательства по борьбе с "домогательствами и преследованием".</w:t>
      </w:r>
    </w:p>
    <w:p w:rsidR="00CD27D6" w:rsidRDefault="00CD27D6">
      <w:pPr>
        <w:tabs>
          <w:tab w:val="left" w:pos="454"/>
        </w:tabs>
        <w:spacing w:after="140"/>
        <w:jc w:val="both"/>
        <w:rPr>
          <w:sz w:val="20"/>
        </w:rPr>
      </w:pPr>
      <w:r>
        <w:rPr>
          <w:sz w:val="20"/>
        </w:rPr>
        <w:t>8.</w:t>
      </w:r>
      <w:r>
        <w:rPr>
          <w:sz w:val="20"/>
        </w:rPr>
        <w:tab/>
        <w:t>Хотя законодательство действительно предусматривает равное вознаграждение за равный труд, оно пока еще применяется недостаточно эффективно. Из-за высокой безработицы в стране порой бывает весьма сложно убедить работодателей вводить гибкие графики работы для женщин, и поэтому для работодателей необходимо создавать соответствующие стимулы. Женщины более старшего возраста часто сталкиваются с трудностями при использовании полученного ими образования и профессиональных навыков в условиях рыночной экономики, и Польше необходимо изыскать способ, для того чтобы облегчить женщинам доступ на рынок труда и обеспечить эффективное применение принятых законов.</w:t>
      </w:r>
    </w:p>
    <w:p w:rsidR="00CD27D6" w:rsidRDefault="00CD27D6">
      <w:pPr>
        <w:tabs>
          <w:tab w:val="left" w:pos="454"/>
        </w:tabs>
        <w:spacing w:after="160"/>
        <w:jc w:val="both"/>
        <w:rPr>
          <w:sz w:val="20"/>
        </w:rPr>
      </w:pPr>
      <w:r>
        <w:rPr>
          <w:sz w:val="20"/>
        </w:rPr>
        <w:t>9.</w:t>
      </w:r>
      <w:r>
        <w:rPr>
          <w:sz w:val="20"/>
        </w:rPr>
        <w:tab/>
      </w:r>
      <w:r>
        <w:rPr>
          <w:b/>
          <w:sz w:val="20"/>
        </w:rPr>
        <w:t>Г-жа Венцель</w:t>
      </w:r>
      <w:r>
        <w:rPr>
          <w:sz w:val="20"/>
        </w:rPr>
        <w:t xml:space="preserve"> (Польша) говорит, что сексуальные домогательства преследуются по Уголовному кодексу – в случае принуждения к вступлению в половую связь виновные караются лишением свободы сроком на 3 года, – и уголовные дела в связи с такими преступлениями возбуждаются автоматически при получении заявления от потерпевшей. Преследования и домогательства также преследуются по Трудовому кодексу, и этими вопросами занимаются в основном суды по трудовым спорам; когда речь при этом идет еще и о сексуальных домогательствах, потерпевшие имеют право возбуждать и уголовные дела. Если Комитет желает получить более подробную информацию, могут быть предоставлены разагрегированные по полу данные и примеры тех дел, которые стали предметом уголовного разбирательства.</w:t>
      </w:r>
    </w:p>
    <w:p w:rsidR="00CD27D6" w:rsidRDefault="00CD27D6">
      <w:pPr>
        <w:tabs>
          <w:tab w:val="left" w:pos="454"/>
        </w:tabs>
        <w:spacing w:after="120"/>
        <w:jc w:val="both"/>
        <w:rPr>
          <w:sz w:val="20"/>
        </w:rPr>
      </w:pPr>
      <w:r>
        <w:rPr>
          <w:sz w:val="20"/>
        </w:rPr>
        <w:t>10.</w:t>
      </w:r>
      <w:r>
        <w:rPr>
          <w:sz w:val="20"/>
        </w:rPr>
        <w:tab/>
      </w:r>
      <w:r>
        <w:rPr>
          <w:b/>
          <w:sz w:val="20"/>
        </w:rPr>
        <w:t>Г-жа Тавариш да Силва</w:t>
      </w:r>
      <w:r>
        <w:rPr>
          <w:sz w:val="20"/>
        </w:rPr>
        <w:t xml:space="preserve"> отмечает, что даже в столь однородном в этническом плане обществе, как в Польше, женщины из числа некоторых меньшинств могут находиться в неблагоприятном положении. Она, в частности, интересуется, знает ли правительство о положении домохозяйств беженцев, во главе которых стоят женщины, и принимает ли оно меры для удовлетворения их потребностей. Противоречивая информация была представлена в отношении еще одного меньшинства – цыганских женщин. Хотя указывается, что опасения в отношении их дискриминации сочли неосновательными сами представители цыганского населения (а это были, несомненно, мужчины), в другом месте отмечается, что цыганские женщины получают более низкое образование и чаще бросают школу, особенно по причине ранних браков, которые являются распространенной практикой. Оратор хотела бы получить более подробную информацию о содержании и целях долгосрочной общенациональной программы по оказанию помощи цыганской общине, которая была провозглашена в 2004 году (шестой доклад, пункт 127), и о том, обеспечивается ли при этом учет гендерного фактора.</w:t>
      </w:r>
    </w:p>
    <w:p w:rsidR="00CD27D6" w:rsidRDefault="00CD27D6">
      <w:pPr>
        <w:tabs>
          <w:tab w:val="left" w:pos="454"/>
        </w:tabs>
        <w:spacing w:after="120"/>
        <w:jc w:val="both"/>
        <w:rPr>
          <w:sz w:val="20"/>
        </w:rPr>
      </w:pPr>
      <w:r>
        <w:rPr>
          <w:sz w:val="20"/>
        </w:rPr>
        <w:t>11.</w:t>
      </w:r>
      <w:r>
        <w:rPr>
          <w:sz w:val="20"/>
        </w:rPr>
        <w:tab/>
      </w:r>
      <w:r>
        <w:rPr>
          <w:b/>
          <w:sz w:val="20"/>
        </w:rPr>
        <w:t>Г-жа Ароча Домингес</w:t>
      </w:r>
      <w:r>
        <w:rPr>
          <w:sz w:val="20"/>
        </w:rPr>
        <w:t xml:space="preserve"> спрашивает, какое воздействие осуществляемая правительством перестройка системы здравоохранения, которая привела к сокращению числа клиник и аптек в сельских районах, оказала на состояние здоровья сельских женщин и каким образом им обеспечивается доступ к медицинским услугам и противозачаточным средствам. Было бы интересно узнать результаты реализации Национального плана развития на 2004–2006 годы (ответы, вопрос № 25) с точки зрения его влияния на состояние здоровья женщин, качества услуг, предоставляемых беременным женщинам, и планирования семьи. На предыдущем заседании делегация сообщила, что противозачаточными средствами пользуются 75 процентов женщин в возрасте от 15 до 46 лет; в связи с этим было бы полезно получить данные в разбивке по сельским и городским районам, а также по видам используемых противозачаточных средств. Удивляет также то, что количество выкидышей в последние годы остается неизменным несмотря на улучшения в сфере здравоохранения. С учетом факторов, являющихся причинами выкидышей (ответы, вопрос № 24), очевидно наличие расхождений между проводимой правительством политикой и реальной ситуацией. Оратор хотела бы получить более подробную информацию о политике, проводимой правительством в области планирования семьи и абортов, как в сельских, так и городских медицинских учреждений и хотела бы знать, были ли случаи, когда трудовые соглашения с какими-либо врачами действительно приостанавливались из-за невыполнения ими положений инструкции Министерства здравоохранения от 2005 года, касающейся абортов.</w:t>
      </w:r>
    </w:p>
    <w:p w:rsidR="00CD27D6" w:rsidRDefault="00CD27D6">
      <w:pPr>
        <w:tabs>
          <w:tab w:val="left" w:pos="454"/>
        </w:tabs>
        <w:spacing w:after="120"/>
        <w:jc w:val="both"/>
        <w:rPr>
          <w:sz w:val="20"/>
        </w:rPr>
      </w:pPr>
      <w:r>
        <w:rPr>
          <w:sz w:val="20"/>
        </w:rPr>
        <w:t>12.</w:t>
      </w:r>
      <w:r>
        <w:rPr>
          <w:sz w:val="20"/>
        </w:rPr>
        <w:tab/>
      </w:r>
      <w:r>
        <w:rPr>
          <w:b/>
          <w:sz w:val="20"/>
        </w:rPr>
        <w:t>Г-жа Паттен</w:t>
      </w:r>
      <w:r>
        <w:rPr>
          <w:sz w:val="20"/>
        </w:rPr>
        <w:t>, отметив применительно к статье 14, что банки выдают ссуды только под залог имущества (шестой доклад, пункт 228), просит представить статистические данные, позволяющие сравнить число женщин и число мужчин, получивших такие ссуды, ввиду ограниченности доступа женщин к собственности, и информацию о мерах, принимаемых для расширения возможностей женщин в отношении приносящей доход деятельности и доступа к производственным ресурсам, программам развития и кооперативным структурам. В связи с затрудненностью доступа сельских женщин к рынку труда оратор спрашивает, обеспечивает ли правительство учет гендерного фактора во всех своих программах, направленных на развитие сельских районов; распространяется ли разработанный им проект помощи женщинам-предпринимателям и на сельских женщин; на какое число женщин рассчитана та внушительная серия проектов, о которой рассказывалось на предыдущем заседании; планируются ли какие-либо конкретные меры для обеспечения сельским женщинам доступа к рынкам, предпринимательской деятельности, финансовым учреждениям, надлежащей технологии и другим ресурсам; и принимают ли женщины участие в разработке затрагивающей их политики министерства, отвечающего за положение сельского населения.</w:t>
      </w:r>
    </w:p>
    <w:p w:rsidR="00CD27D6" w:rsidRDefault="00CD27D6">
      <w:pPr>
        <w:tabs>
          <w:tab w:val="left" w:pos="454"/>
        </w:tabs>
        <w:spacing w:after="120"/>
        <w:jc w:val="both"/>
        <w:rPr>
          <w:sz w:val="20"/>
        </w:rPr>
      </w:pPr>
      <w:r>
        <w:rPr>
          <w:sz w:val="20"/>
        </w:rPr>
        <w:t>13.</w:t>
      </w:r>
      <w:r>
        <w:rPr>
          <w:sz w:val="20"/>
        </w:rPr>
        <w:tab/>
      </w:r>
      <w:r>
        <w:rPr>
          <w:b/>
          <w:spacing w:val="-4"/>
          <w:sz w:val="20"/>
        </w:rPr>
        <w:t>Г-жа Тан</w:t>
      </w:r>
      <w:r>
        <w:rPr>
          <w:spacing w:val="-4"/>
          <w:sz w:val="20"/>
        </w:rPr>
        <w:t xml:space="preserve"> отмечает, что, несмотря на усилия, предпринимаемые правительством начиная с 90-х годов</w:t>
      </w:r>
      <w:r>
        <w:rPr>
          <w:sz w:val="20"/>
        </w:rPr>
        <w:t xml:space="preserve"> прошлого столетия по улучшению инфраструктуры в сельских районах, почти половина респондентов в ходе проведенного в 2002 году обследования сельских домохозяйств, выразили неудовлетворенность своим уровнем жизни. Оратор интересуется, чем конкретно они не удовлетворены и повысился ли уровень их жизни после 2002 года. Кроме того, неясно, существуют ли какие-либо препятствия для участия сельских женщин в работе местных органов власти, учитывая, сколь столь слабо они там представлены. В сфере здравоохранения в сельских районах были проведены полезные реформы, однако, как представляется, их положительные результаты еще не проявились. Оратор спрашивает, имеется ли у правительства достаточно поликлиник для обслуживания сельских женщин, в частности тех, которые по материальному положению не могут позволить себе воспользоваться медицинскими услугами, и каким образом оно разъясняет им важность гинекологической медицинской помощи для снижения высоких на сегодняшний день показателей материнской смертности и преодоления сопротивления применению контрацепции по религиозным мотивам.</w:t>
      </w:r>
    </w:p>
    <w:p w:rsidR="00CD27D6" w:rsidRDefault="00CD27D6">
      <w:pPr>
        <w:tabs>
          <w:tab w:val="left" w:pos="454"/>
        </w:tabs>
        <w:spacing w:after="80"/>
        <w:jc w:val="both"/>
        <w:rPr>
          <w:sz w:val="20"/>
        </w:rPr>
      </w:pPr>
      <w:r>
        <w:rPr>
          <w:sz w:val="20"/>
        </w:rPr>
        <w:t>14.</w:t>
      </w:r>
      <w:r>
        <w:rPr>
          <w:sz w:val="20"/>
        </w:rPr>
        <w:tab/>
      </w:r>
      <w:r>
        <w:rPr>
          <w:b/>
          <w:sz w:val="20"/>
        </w:rPr>
        <w:t>Г-жа Бегум</w:t>
      </w:r>
      <w:r>
        <w:rPr>
          <w:sz w:val="20"/>
        </w:rPr>
        <w:t xml:space="preserve"> отмечает, что, хотя более половины населения Польши живет в сельских районах, ни в одном из докладов не содержится почти никакой информации о социальных и экономических показателях, характеризующих степень участия сельских женщин в процессе развития, никаких разагрегированных по полу данных о женщинах, являющихся главами домашних хозяйств, или о работающих женщинах и никаких сведений о каком-либо стратегическом плане по улучшению положения сельских женщин, ликвидации стереотипных представлений и по обучению женщин необходимым профессиям или предоставлению им беззалоговых ссуд, которые компенсировали ли бы нехватку образования и давали им возможность открыть собственные микропредприятия.</w:t>
      </w:r>
    </w:p>
    <w:p w:rsidR="00CD27D6" w:rsidRDefault="00CD27D6">
      <w:pPr>
        <w:tabs>
          <w:tab w:val="left" w:pos="454"/>
        </w:tabs>
        <w:spacing w:after="80"/>
        <w:jc w:val="both"/>
        <w:rPr>
          <w:sz w:val="20"/>
        </w:rPr>
      </w:pPr>
      <w:r>
        <w:rPr>
          <w:sz w:val="20"/>
        </w:rPr>
        <w:t>15.</w:t>
      </w:r>
      <w:r>
        <w:rPr>
          <w:sz w:val="20"/>
        </w:rPr>
        <w:tab/>
        <w:t>Оратор спрашивает, что делается для развития у сельских женщин, которые недостаточно представлены в местных органах власти, необходимых для руководящей работы качеств и для ликвидации дискриминации на низовом уровне. Она также интересуется, ведет ли правительство борьбу с распространенным среди сельских женщин неприятием использования современных медицинских услуг, в частности по религиозным соображениям.</w:t>
      </w:r>
    </w:p>
    <w:p w:rsidR="00CD27D6" w:rsidRDefault="00CD27D6">
      <w:pPr>
        <w:tabs>
          <w:tab w:val="left" w:pos="454"/>
        </w:tabs>
        <w:spacing w:after="80"/>
        <w:jc w:val="both"/>
        <w:rPr>
          <w:sz w:val="20"/>
        </w:rPr>
      </w:pPr>
      <w:r>
        <w:rPr>
          <w:sz w:val="20"/>
        </w:rPr>
        <w:t>16.</w:t>
      </w:r>
      <w:r>
        <w:rPr>
          <w:sz w:val="20"/>
        </w:rPr>
        <w:tab/>
      </w:r>
      <w:r>
        <w:rPr>
          <w:b/>
          <w:sz w:val="20"/>
        </w:rPr>
        <w:t>Г-жа Клузик-Ростковска</w:t>
      </w:r>
      <w:r>
        <w:rPr>
          <w:sz w:val="20"/>
        </w:rPr>
        <w:t xml:space="preserve"> (Польша) говорит, что, хотя Польша в настоящее время является этнически однородной страной и не имеет серьезных проблем в связи с этническими меньшинствами, это положение, несомненно, изменится к худшему после ее вступления в Европейский союз. Для того чтобы решить проблему цыган необходимо преодолеть традиции совершенно иной культуры: согласно законодательству Польши ни один ребенок в возрасте 13 лет не может оставить школу или вступить в брак, однако правительству приходится убеждать в необходимости соблюдения закона прежде всего родителей.</w:t>
      </w:r>
    </w:p>
    <w:p w:rsidR="00CD27D6" w:rsidRDefault="00CD27D6">
      <w:pPr>
        <w:tabs>
          <w:tab w:val="left" w:pos="454"/>
        </w:tabs>
        <w:spacing w:after="120"/>
        <w:jc w:val="both"/>
        <w:rPr>
          <w:sz w:val="20"/>
        </w:rPr>
      </w:pPr>
      <w:r>
        <w:rPr>
          <w:sz w:val="20"/>
        </w:rPr>
        <w:t>17.</w:t>
      </w:r>
      <w:r>
        <w:rPr>
          <w:sz w:val="20"/>
        </w:rPr>
        <w:tab/>
        <w:t>Что касается охраны здоровья женщин, то нет каких-либо крупных групп, которые жили бы в условиях крайней нищеты и были лишены доступа к базовому уровню жизни. Без выкидышей никогда не обходится, однако их число остается стабильным, и, как и в любой другой стране, они чаще всего случаются у женщин, которые слишком бедны и плохо питаются. Большинство женщин в период беременности пользуются услугами гинекологических консультаций. Действительно, в городах надлежащее, специализированное медицинское обслуживание более доступно. Цель правительства состоит в том, чтобы довести уровень гинекологических услуг в сельских районах до уровня городских районов. Большинство женщин, которые не получают таких услуг, не обращаются за ними из стыдливости или не имеют к ним доступа. Планирование размера семьи – это отдельный вопрос, и в отказе от использования противозачаточных средств определенную роль действительно играют религиозные соображения.</w:t>
      </w:r>
    </w:p>
    <w:p w:rsidR="00CD27D6" w:rsidRDefault="00CD27D6">
      <w:pPr>
        <w:tabs>
          <w:tab w:val="left" w:pos="454"/>
        </w:tabs>
        <w:spacing w:after="160"/>
        <w:jc w:val="both"/>
        <w:rPr>
          <w:sz w:val="20"/>
        </w:rPr>
      </w:pPr>
      <w:r>
        <w:rPr>
          <w:sz w:val="20"/>
        </w:rPr>
        <w:t>18.</w:t>
      </w:r>
      <w:r>
        <w:rPr>
          <w:sz w:val="20"/>
        </w:rPr>
        <w:tab/>
        <w:t>Что касается вопроса о сельских женщинах, то в Польше супруги совместно владеют нажитым имуществом. Супруги, живущие в сельских районах, владеют землей и собственностью совместно. Важно, однако, отметить, что далеко не все жители сельской местности заняты в сельском хозяйстве. Женщины часто работают вместе со своими мужьями на фермах, однако, если семья живет не за счет своего хозяйства, возникает вопрос о том, кто будет обеспечивать покрытие расходов семьи – муж или жена. В некоторых районах фермы очень малы, и хозяйство ведут представители старшего поколения, а большинство молодежи уезжает из сел навсегда. Вместе с тем, уровень жизни людей, живущих на более крупных фермах с плодородной почвой, мало чем отличается от уровня жизни горожан.</w:t>
      </w:r>
    </w:p>
    <w:p w:rsidR="00CD27D6" w:rsidRDefault="00CD27D6">
      <w:pPr>
        <w:tabs>
          <w:tab w:val="left" w:pos="454"/>
        </w:tabs>
        <w:spacing w:after="160"/>
        <w:jc w:val="both"/>
        <w:rPr>
          <w:sz w:val="20"/>
        </w:rPr>
      </w:pPr>
      <w:r>
        <w:rPr>
          <w:sz w:val="20"/>
        </w:rPr>
        <w:t>19.</w:t>
      </w:r>
      <w:r>
        <w:rPr>
          <w:sz w:val="20"/>
        </w:rPr>
        <w:tab/>
        <w:t>Сельские районы – один из самых первоочередных объектов внимания правительства, прежде всего из-за демографических тенденций: в результате "всплеска рождаемости" на селе в 90-е годы прошлого столетия, большинство взрослых граждан Польши в будущем составят люди, родившиеся и выросшие в сельской местности. Если правительство не доведет уровень образования и медицинского обслуживания в сельских районах до городского уровня, польское общество через 15 лет станет очень малообразованным. В связи с этим правительство разрабатывает многочисленные программы, внимание в которых сосредоточено на сельских районах.</w:t>
      </w:r>
    </w:p>
    <w:p w:rsidR="00CD27D6" w:rsidRDefault="00CD27D6">
      <w:pPr>
        <w:tabs>
          <w:tab w:val="left" w:pos="454"/>
        </w:tabs>
        <w:spacing w:after="140"/>
        <w:jc w:val="both"/>
        <w:rPr>
          <w:sz w:val="20"/>
        </w:rPr>
      </w:pPr>
      <w:r>
        <w:rPr>
          <w:sz w:val="20"/>
        </w:rPr>
        <w:t>20.</w:t>
      </w:r>
      <w:r>
        <w:rPr>
          <w:sz w:val="20"/>
        </w:rPr>
        <w:tab/>
        <w:t>В городах семьи платят налоги в зависимости от получаемого ими дохода. Однако по большинству сельских домохозяйств такого рода данных практически не имеется, поскольку они платят налоги иначе. Поэтому трудно определить, какое количество сельских домохозяйств находятся в особенно плохом состоянии. Соответственно, было бы неправильным говорить, что положение в городах и в селах одинаковое. Например, дети, живущие в сельских районах, не имеют таких же возможностей в сфере образования и медицинского обслуживания, какими пользуются дети, живущие в городах, несмотря на то, что число врачей и медицинских сестер в сельских школах в последнее время увеличилось. Правительство сознает наличие этой проблемы и делает все возможное, для того чтобы улучшить положение в сельских районах Польши.</w:t>
      </w:r>
    </w:p>
    <w:p w:rsidR="00CD27D6" w:rsidRDefault="00CD27D6">
      <w:pPr>
        <w:tabs>
          <w:tab w:val="left" w:pos="454"/>
        </w:tabs>
        <w:spacing w:after="120"/>
        <w:jc w:val="both"/>
        <w:rPr>
          <w:sz w:val="20"/>
        </w:rPr>
      </w:pPr>
      <w:r>
        <w:rPr>
          <w:sz w:val="20"/>
        </w:rPr>
        <w:t>21.</w:t>
      </w:r>
      <w:r>
        <w:rPr>
          <w:sz w:val="20"/>
        </w:rPr>
        <w:tab/>
      </w:r>
      <w:r>
        <w:rPr>
          <w:b/>
          <w:sz w:val="20"/>
        </w:rPr>
        <w:t>Г-жа Фургала</w:t>
      </w:r>
      <w:r>
        <w:rPr>
          <w:sz w:val="20"/>
        </w:rPr>
        <w:t xml:space="preserve"> (Польша) говорит, что правительство разработало всесторонний комплекс мер по оказанию помощи цыганским девочкам и женщинам, в частности программу, направленную на оказание содействия цыганам в Малопольском воеводстве и в основном сосредоточенную на проблеме образования. По состоянию на 2006 год на ее осуществление было ассигновано почти 23 млн. злотых (6 млн. евро), что дало возможность местным органам власти и НПО, включая цыганские организации, профинансировать достижение ряда целей, предусмотренных этой программой.</w:t>
      </w:r>
    </w:p>
    <w:p w:rsidR="00CD27D6" w:rsidRDefault="00CD27D6">
      <w:pPr>
        <w:tabs>
          <w:tab w:val="left" w:pos="454"/>
        </w:tabs>
        <w:spacing w:after="120"/>
        <w:jc w:val="both"/>
        <w:rPr>
          <w:sz w:val="20"/>
        </w:rPr>
      </w:pPr>
      <w:r>
        <w:rPr>
          <w:sz w:val="20"/>
        </w:rPr>
        <w:t>22.</w:t>
      </w:r>
      <w:r>
        <w:rPr>
          <w:sz w:val="20"/>
        </w:rPr>
        <w:tab/>
      </w:r>
      <w:r>
        <w:rPr>
          <w:b/>
          <w:sz w:val="20"/>
        </w:rPr>
        <w:t>Г-жа Пржигуцка</w:t>
      </w:r>
      <w:r>
        <w:rPr>
          <w:sz w:val="20"/>
        </w:rPr>
        <w:t xml:space="preserve"> (Польша) говорит, что правительство Польши является одним из инициаторов рекомендаций Европейского союза, касающихся медицинского обслуживания в условиях многокультурного общества. В самой Польше разработана программа, рассчитанная прежде всего на цыганское население и, в частности, направленная на совершенствование навыков и повышение квалификации медицинских работников и обеспечение большего уважения прав человека и достоинства цыганского населения. В рамках инициативы, с которой выступило Министерство здравоохранения, в медицинских учебных заведениях начали преподавать такие предметы, как биоэтика и уважение культурного многообразия, для обеспечения того, чтобы в будущем польские врачи уважали различные точки зрения и традиции различных культур.</w:t>
      </w:r>
    </w:p>
    <w:p w:rsidR="00CD27D6" w:rsidRDefault="00CD27D6">
      <w:pPr>
        <w:tabs>
          <w:tab w:val="left" w:pos="454"/>
        </w:tabs>
        <w:spacing w:after="120"/>
        <w:jc w:val="both"/>
        <w:rPr>
          <w:sz w:val="20"/>
        </w:rPr>
      </w:pPr>
      <w:r>
        <w:rPr>
          <w:sz w:val="20"/>
        </w:rPr>
        <w:t>23.</w:t>
      </w:r>
      <w:r>
        <w:rPr>
          <w:sz w:val="20"/>
        </w:rPr>
        <w:tab/>
      </w:r>
      <w:r>
        <w:rPr>
          <w:b/>
          <w:sz w:val="20"/>
        </w:rPr>
        <w:t>Г-н Грабовски</w:t>
      </w:r>
      <w:r>
        <w:rPr>
          <w:sz w:val="20"/>
        </w:rPr>
        <w:t xml:space="preserve"> (Польша) говорит, что статья 12 Конвенции соотносится с положениями Конституции, законом о работе медицинских учреждений и законом о планировании семьи, защите ребенка, находящегося в утробе матери, и условиях, при которых допустим аборт.</w:t>
      </w:r>
    </w:p>
    <w:p w:rsidR="00CD27D6" w:rsidRDefault="00CD27D6">
      <w:pPr>
        <w:tabs>
          <w:tab w:val="left" w:pos="454"/>
        </w:tabs>
        <w:spacing w:after="100"/>
        <w:jc w:val="both"/>
        <w:rPr>
          <w:sz w:val="20"/>
        </w:rPr>
      </w:pPr>
      <w:r>
        <w:rPr>
          <w:sz w:val="20"/>
        </w:rPr>
        <w:t>24.</w:t>
      </w:r>
      <w:r>
        <w:rPr>
          <w:sz w:val="20"/>
        </w:rPr>
        <w:tab/>
        <w:t>Министерство здравоохранения сформировало целевую группу, которая занимается вопросами улучшения доступа сельских женщин в медицинскому обслуживанию, в частности к гинекологическим и стоматологическим услугам и услугам в области планирования семьи. Любое лицо, нуждающееся в такой помощи, пользуется равным отношением независимо от своего экономического положения. В 2002 году правительство запретило дискриминацию в отношении женщин в плане доступа к рынку труда. После внесения поправок действующие положения включают перечень видов работ, вредных для здоровья женщин, особенно беременных женщин или кормящих матерей.</w:t>
      </w:r>
    </w:p>
    <w:p w:rsidR="00CD27D6" w:rsidRDefault="00CD27D6">
      <w:pPr>
        <w:tabs>
          <w:tab w:val="left" w:pos="454"/>
        </w:tabs>
        <w:spacing w:after="120"/>
        <w:jc w:val="both"/>
        <w:rPr>
          <w:sz w:val="20"/>
        </w:rPr>
      </w:pPr>
      <w:r>
        <w:rPr>
          <w:sz w:val="20"/>
        </w:rPr>
        <w:t>25.</w:t>
      </w:r>
      <w:r>
        <w:rPr>
          <w:sz w:val="20"/>
        </w:rPr>
        <w:tab/>
        <w:t>По данным одного из недавних обследований на предмет использования противозачаточных средств, свыше 60 процентов польских женщин пользуются презервативами, противозачаточными таблетками или другими гормональными противозачаточными средствами. На польском рынке имеются 34 соответствующих продукта, стоимость трех из которых возмещается в размере 30 процентов. Противозачаточные средства продаются в аптеках по всей стране как в городах, так и в сельских районах. Таким образом, сельские женщины имеют такой же доступ к противозачаточным средствам, как и городские.</w:t>
      </w:r>
    </w:p>
    <w:p w:rsidR="00CD27D6" w:rsidRDefault="00CD27D6">
      <w:pPr>
        <w:tabs>
          <w:tab w:val="left" w:pos="454"/>
        </w:tabs>
        <w:spacing w:after="120"/>
        <w:jc w:val="both"/>
        <w:rPr>
          <w:sz w:val="20"/>
        </w:rPr>
      </w:pPr>
      <w:r>
        <w:rPr>
          <w:sz w:val="20"/>
        </w:rPr>
        <w:t>26.</w:t>
      </w:r>
      <w:r>
        <w:rPr>
          <w:sz w:val="20"/>
        </w:rPr>
        <w:tab/>
        <w:t>Законодательство Польши допускает аборт, если женщина забеременела в результате изнасилования; если плод развивается неправильно; и если беременность угрожает здоровью матери. В 2006 году было сделано 225 абортов – на 32 больше, чем в 2004 году. Между тем количество случайных выкидышей за последние 10 лет последовательно сокращалось, снизившись с 45 тыс. в 1996 году до 40 тыс. в 2005 году. Одной из причин снижения данного показателя является то, что женщины стали чаще обращаться к гинекологам.</w:t>
      </w:r>
    </w:p>
    <w:p w:rsidR="00CD27D6" w:rsidRDefault="00CD27D6">
      <w:pPr>
        <w:tabs>
          <w:tab w:val="left" w:pos="454"/>
        </w:tabs>
        <w:spacing w:after="120"/>
        <w:jc w:val="both"/>
        <w:rPr>
          <w:sz w:val="20"/>
        </w:rPr>
      </w:pPr>
      <w:r>
        <w:rPr>
          <w:sz w:val="20"/>
        </w:rPr>
        <w:t>27.</w:t>
      </w:r>
      <w:r>
        <w:rPr>
          <w:sz w:val="20"/>
        </w:rPr>
        <w:tab/>
        <w:t>В 2002 году Министерство здравоохранения вместе с Министерством национального образования и спорта ввело в учебные программы государственных и частных школ предмет под названием "Обучение основам жизни в семье". Данный предмет охватывает и такой вопрос, как предупреждение ВИЧ/СПИДа. За период с 1986 по 2006 год в Польше было зарегистрировано немногим более 10 тыс. случаев инфицирования ВИЧ, 20 процентов которых приходится на женщин. Все люди, живущие с ВИЧ/СПИДом в Польше, проходят полный курс антиретровирусной терапии. Ввиду высокой стоимости такого лечения это большое бремя для государственного бюджета.</w:t>
      </w:r>
    </w:p>
    <w:p w:rsidR="00CD27D6" w:rsidRDefault="00CD27D6">
      <w:pPr>
        <w:tabs>
          <w:tab w:val="left" w:pos="454"/>
        </w:tabs>
        <w:spacing w:after="120"/>
        <w:jc w:val="both"/>
        <w:rPr>
          <w:sz w:val="20"/>
        </w:rPr>
      </w:pPr>
      <w:r>
        <w:rPr>
          <w:sz w:val="20"/>
        </w:rPr>
        <w:t>28.</w:t>
      </w:r>
      <w:r>
        <w:rPr>
          <w:sz w:val="20"/>
        </w:rPr>
        <w:tab/>
        <w:t>Отвечая на утверждения о том, что правительство якобы не реагирует на сообщения НПО об отказе некоторых медицинских учреждений делать аборты даже в тех случаях, когда это разрешено законом, оратор говорит, что в марте 2003 года Министерство здравоохранения напомнило руководителям медицинских учреждений всех воеводств, что они обязаны делать аборты в случаях, предписываемых законом.</w:t>
      </w:r>
    </w:p>
    <w:p w:rsidR="00CD27D6" w:rsidRDefault="00CD27D6">
      <w:pPr>
        <w:tabs>
          <w:tab w:val="left" w:pos="454"/>
        </w:tabs>
        <w:spacing w:after="120"/>
        <w:jc w:val="both"/>
        <w:rPr>
          <w:sz w:val="20"/>
        </w:rPr>
      </w:pPr>
      <w:r>
        <w:rPr>
          <w:sz w:val="20"/>
        </w:rPr>
        <w:t>29.</w:t>
      </w:r>
      <w:r>
        <w:rPr>
          <w:sz w:val="20"/>
        </w:rPr>
        <w:tab/>
      </w:r>
      <w:r>
        <w:rPr>
          <w:b/>
          <w:sz w:val="20"/>
        </w:rPr>
        <w:t>Г-жа Пржигуцка</w:t>
      </w:r>
      <w:r>
        <w:rPr>
          <w:sz w:val="20"/>
        </w:rPr>
        <w:t xml:space="preserve"> (Польша) говорит, что право врача отказаться делать аборт по нравственным соображениям не должно лишать пациентку ее права на аборт. Согласно закону о порядке работы медицинских учреждений, если все врачи одной больницы отказываются делать аборты, больница должна заключить договор с другим медицинским учреждением, которое согласно их делать. Кроме того, врачи обязаны делать аборт при наличии непосредственной угрозы жизни матери; при наличии риска серьезной травмы; или в экстренных случаях, когда по медицинским причинам аборт нельзя откладывать. Врача нельзя уволить за отказ сделать аборт по нравственным соображениям, кроме как в перечисленных выше случаях.</w:t>
      </w:r>
    </w:p>
    <w:p w:rsidR="00CD27D6" w:rsidRDefault="00CD27D6">
      <w:pPr>
        <w:tabs>
          <w:tab w:val="left" w:pos="454"/>
        </w:tabs>
        <w:spacing w:after="120"/>
        <w:jc w:val="both"/>
        <w:rPr>
          <w:sz w:val="20"/>
        </w:rPr>
      </w:pPr>
      <w:r>
        <w:rPr>
          <w:sz w:val="20"/>
        </w:rPr>
        <w:t>30.</w:t>
      </w:r>
      <w:r>
        <w:rPr>
          <w:sz w:val="20"/>
        </w:rPr>
        <w:tab/>
      </w:r>
      <w:r>
        <w:rPr>
          <w:b/>
          <w:sz w:val="20"/>
        </w:rPr>
        <w:t>Г-жа Фургала</w:t>
      </w:r>
      <w:r>
        <w:rPr>
          <w:sz w:val="20"/>
        </w:rPr>
        <w:t xml:space="preserve"> (Польша) говорит, что по сравнению с другими странами в Польше находится ограниченное число беженцев. На декабрь 2006 года страна приняла около 2 тыс. заявлений о предоставлении статуса беженца, из которых чуть более 400 были удовлетворены. На данную ситуацию повлияло и недавнее вступление Польши в Европейский союз. Теперь беженцам и иностранцам предоставляются такие услуги, как размещение, право на бесплатный проезд в общественном транспорте, всестороннее медицинское обслуживание и, в случае необходимости, психологическая помощь.</w:t>
      </w:r>
    </w:p>
    <w:p w:rsidR="00CD27D6" w:rsidRDefault="00CD27D6">
      <w:pPr>
        <w:tabs>
          <w:tab w:val="left" w:pos="454"/>
        </w:tabs>
        <w:spacing w:after="120"/>
        <w:jc w:val="both"/>
        <w:rPr>
          <w:sz w:val="20"/>
        </w:rPr>
      </w:pPr>
      <w:r>
        <w:rPr>
          <w:sz w:val="20"/>
        </w:rPr>
        <w:t>31.</w:t>
      </w:r>
      <w:r>
        <w:rPr>
          <w:sz w:val="20"/>
        </w:rPr>
        <w:tab/>
      </w:r>
      <w:r>
        <w:rPr>
          <w:b/>
          <w:sz w:val="20"/>
        </w:rPr>
        <w:t>Г-жа Тавариш да Силва</w:t>
      </w:r>
      <w:r>
        <w:rPr>
          <w:sz w:val="20"/>
        </w:rPr>
        <w:t xml:space="preserve"> говорит, что в Комитет поступили сведения о готовящемся проекте закона, направленном на ограничение доступа к гормональным противозачаточным средствам, и она хотела бы получить информацию о том, какие дополнительные ограничения предусматривает данный законопроект.</w:t>
      </w:r>
    </w:p>
    <w:p w:rsidR="00CD27D6" w:rsidRDefault="00CD27D6">
      <w:pPr>
        <w:tabs>
          <w:tab w:val="left" w:pos="454"/>
        </w:tabs>
        <w:spacing w:after="120"/>
        <w:jc w:val="both"/>
        <w:rPr>
          <w:sz w:val="20"/>
        </w:rPr>
      </w:pPr>
      <w:r>
        <w:rPr>
          <w:sz w:val="20"/>
        </w:rPr>
        <w:t>32.</w:t>
      </w:r>
      <w:r>
        <w:rPr>
          <w:sz w:val="20"/>
        </w:rPr>
        <w:tab/>
      </w:r>
      <w:r>
        <w:rPr>
          <w:b/>
          <w:sz w:val="20"/>
        </w:rPr>
        <w:t>Г-жа Клузик-Ростковска</w:t>
      </w:r>
      <w:r>
        <w:rPr>
          <w:sz w:val="20"/>
        </w:rPr>
        <w:t xml:space="preserve"> (Польша) говорит, что никакой такого рода законопроект не готовится. В течение многих лет в Польше доступны и естественные и гормональные методы планирования семьи. Действительно, одно время ультраконсервативная Лига польских семей попыталась добиться перехода исключительно на естественные методы. Эта идея не получила, однако, поддержки большинства населения, и Министерство здравоохранения сразу же дистанцировалось от него. Закон гарантирует доступ к абортам и контрацептивам независимо от того, какая партия находится у власти. Поэтому не соответствует действительности утверждение, что женщины в настоящее время имеют более ограниченный доступ к противозачаточным средствам, нежели в прошлом.</w:t>
      </w:r>
    </w:p>
    <w:p w:rsidR="00CD27D6" w:rsidRDefault="00CD27D6">
      <w:pPr>
        <w:tabs>
          <w:tab w:val="left" w:pos="454"/>
        </w:tabs>
        <w:spacing w:after="120"/>
        <w:jc w:val="both"/>
        <w:rPr>
          <w:sz w:val="20"/>
        </w:rPr>
      </w:pPr>
      <w:r>
        <w:rPr>
          <w:sz w:val="20"/>
        </w:rPr>
        <w:t>33.</w:t>
      </w:r>
      <w:r>
        <w:rPr>
          <w:sz w:val="20"/>
        </w:rPr>
        <w:tab/>
        <w:t>Тот факт, что в Польше государство возмещает часть стоимости лишь небольшой части противозачаточных средств, – это отдельный вопрос. Дело не в том, что правительство не хочет добавить к списку частично оплачиваемых лекарственных препаратов другие противозачаточные средства; оно просто не может позволить себе это сделать. Несмотря на экономический рост, отмечаемый в Польше в последние годы, правительству все же приходится соблюдать очередность приоритетов. В настоящее время приоритетом являются медицинские методы и средства для спасения жизни людей, а не контрацепция.</w:t>
      </w:r>
    </w:p>
    <w:p w:rsidR="00CD27D6" w:rsidRDefault="00CD27D6">
      <w:pPr>
        <w:tabs>
          <w:tab w:val="left" w:pos="454"/>
        </w:tabs>
        <w:spacing w:after="120"/>
        <w:jc w:val="both"/>
        <w:rPr>
          <w:sz w:val="20"/>
        </w:rPr>
      </w:pPr>
      <w:r>
        <w:rPr>
          <w:sz w:val="20"/>
        </w:rPr>
        <w:t>34.</w:t>
      </w:r>
      <w:r>
        <w:rPr>
          <w:sz w:val="20"/>
        </w:rPr>
        <w:tab/>
      </w:r>
      <w:r>
        <w:rPr>
          <w:b/>
          <w:sz w:val="20"/>
        </w:rPr>
        <w:t>Г-жа Шимонович</w:t>
      </w:r>
      <w:r>
        <w:rPr>
          <w:sz w:val="20"/>
        </w:rPr>
        <w:t xml:space="preserve"> просит представить данные о количестве незаконных абортов, которые делаются в Польше. Ей также хотелось бы знать, поощряет ли Министерство здравоохранения только естественные методы планирования семьи или же все известные методы, включая естественные.</w:t>
      </w:r>
    </w:p>
    <w:p w:rsidR="00CD27D6" w:rsidRDefault="00CD27D6">
      <w:pPr>
        <w:tabs>
          <w:tab w:val="left" w:pos="454"/>
        </w:tabs>
        <w:spacing w:after="120"/>
        <w:jc w:val="both"/>
        <w:rPr>
          <w:sz w:val="20"/>
        </w:rPr>
      </w:pPr>
      <w:r>
        <w:rPr>
          <w:sz w:val="20"/>
        </w:rPr>
        <w:t>35.</w:t>
      </w:r>
      <w:r>
        <w:rPr>
          <w:sz w:val="20"/>
        </w:rPr>
        <w:tab/>
      </w:r>
      <w:r>
        <w:rPr>
          <w:b/>
          <w:sz w:val="20"/>
        </w:rPr>
        <w:t>Г-жа Клузик-Ростковска</w:t>
      </w:r>
      <w:r>
        <w:rPr>
          <w:sz w:val="20"/>
        </w:rPr>
        <w:t xml:space="preserve"> (Польша) говорит, что статистические данные о количестве незаконных абортов весьма расходятся в зависимости от их источника. По оценкам неправительственных организаций, в стране ежегодно делается от 80 до 200 тыс. незаконных абортов, тогда как по другим источникам эти показатели гораздо ниже. В любом случае основная проблема не в количестве производимых абортов, а в том, что государство не обеспечивает достаточных льгот для молодых беременных женщин; эти женщины часто предпочитают сделать аборт, поскольку не уверены в том, что смогут вырастить ребенка в отсутствие какой-либо социальной помощи.</w:t>
      </w:r>
    </w:p>
    <w:p w:rsidR="00CD27D6" w:rsidRDefault="00CD27D6">
      <w:pPr>
        <w:tabs>
          <w:tab w:val="left" w:pos="454"/>
        </w:tabs>
        <w:spacing w:after="120"/>
        <w:jc w:val="both"/>
        <w:rPr>
          <w:sz w:val="20"/>
        </w:rPr>
      </w:pPr>
      <w:r>
        <w:rPr>
          <w:sz w:val="20"/>
        </w:rPr>
        <w:t>36.</w:t>
      </w:r>
      <w:r>
        <w:rPr>
          <w:sz w:val="20"/>
        </w:rPr>
        <w:tab/>
        <w:t>Что касается планирования семьи, то Министерство здравоохранения поощряет все методы контрацепции. Действительно, одна рабочая группа предлагала государству поощрять только естественные методы регулирования рождаемости; однако данная инициатива была решительно отклонена.</w:t>
      </w:r>
    </w:p>
    <w:p w:rsidR="00CD27D6" w:rsidRDefault="00CD27D6">
      <w:pPr>
        <w:tabs>
          <w:tab w:val="left" w:pos="454"/>
        </w:tabs>
        <w:spacing w:after="100"/>
        <w:jc w:val="both"/>
        <w:rPr>
          <w:i/>
          <w:sz w:val="20"/>
        </w:rPr>
      </w:pPr>
      <w:r>
        <w:rPr>
          <w:i/>
          <w:sz w:val="20"/>
        </w:rPr>
        <w:t>Статьи 15–16</w:t>
      </w:r>
    </w:p>
    <w:p w:rsidR="00CD27D6" w:rsidRDefault="00CD27D6">
      <w:pPr>
        <w:tabs>
          <w:tab w:val="left" w:pos="454"/>
        </w:tabs>
        <w:spacing w:after="100"/>
        <w:jc w:val="both"/>
        <w:rPr>
          <w:sz w:val="20"/>
        </w:rPr>
      </w:pPr>
      <w:r>
        <w:rPr>
          <w:sz w:val="20"/>
        </w:rPr>
        <w:t>37.</w:t>
      </w:r>
      <w:r>
        <w:rPr>
          <w:sz w:val="20"/>
        </w:rPr>
        <w:tab/>
      </w:r>
      <w:r>
        <w:rPr>
          <w:b/>
          <w:sz w:val="20"/>
        </w:rPr>
        <w:t>Г-жа Бельмихуб-Зердани</w:t>
      </w:r>
      <w:r>
        <w:rPr>
          <w:sz w:val="20"/>
        </w:rPr>
        <w:t xml:space="preserve"> (Алжир) хотела бы знать, распространяются ли положения Гражданского кодекса о браке и семейной жизни на всех людей независимо от их вероисповедания. Она отмечает, что с целью найти решение проблемы для последователей римско-католической церкви, у которых распался брак, Кодекс по вопросам семьи и опеки предусматривает, что раздельное проживание и развод должны иметь одинаковые последствия. Оратор хотела бы получить более подробную информацию по данному вопросу, поскольку она может оказаться полезной при анализе докладов других государств.</w:t>
      </w:r>
    </w:p>
    <w:p w:rsidR="00CD27D6" w:rsidRDefault="00CD27D6">
      <w:pPr>
        <w:tabs>
          <w:tab w:val="left" w:pos="454"/>
        </w:tabs>
        <w:spacing w:after="120"/>
        <w:jc w:val="both"/>
        <w:rPr>
          <w:sz w:val="20"/>
        </w:rPr>
      </w:pPr>
      <w:r>
        <w:rPr>
          <w:sz w:val="20"/>
        </w:rPr>
        <w:t>38.</w:t>
      </w:r>
      <w:r>
        <w:rPr>
          <w:sz w:val="20"/>
        </w:rPr>
        <w:tab/>
      </w:r>
      <w:r>
        <w:rPr>
          <w:b/>
          <w:sz w:val="20"/>
        </w:rPr>
        <w:t>Г-жа Тан</w:t>
      </w:r>
      <w:r>
        <w:rPr>
          <w:sz w:val="20"/>
        </w:rPr>
        <w:t xml:space="preserve"> выражает озабоченность в связи с тем, что низкий коэффициент разводимости может быть обусловлен отсутствием у женщин необходимой информации и средств, для того чтобы начать процедуру развода. В связи с этим она хотела бы знать, принял ли парламент проект закона о разводах, представленный Парламентской группой женщин в Сейме в 1994 году, который упрощает процедуру развода и возвращает дела о разводах в компетенцию семейных судов, и, если нет, то когда парламент может его принять. Она также интересуется, увеличился ли коэффициент разводимости после 1993 года. Далее оратор хотела бы знать, руководствуются ли суды при определении суммы алиментов какой-либо формулой; в течение какого времени женщина может получать алименты и вспомоществование на ребенка; и какая доля имущества мужа или семьи обычно присуждается жене. И, наконец, она хотела бы получить обновленную информацию о причинах развода и соотношении истцов мужчин и женщин.</w:t>
      </w:r>
    </w:p>
    <w:p w:rsidR="00CD27D6" w:rsidRDefault="00CD27D6">
      <w:pPr>
        <w:tabs>
          <w:tab w:val="left" w:pos="454"/>
        </w:tabs>
        <w:spacing w:after="120"/>
        <w:jc w:val="both"/>
        <w:rPr>
          <w:sz w:val="20"/>
        </w:rPr>
      </w:pPr>
      <w:r>
        <w:rPr>
          <w:sz w:val="20"/>
        </w:rPr>
        <w:t>39.</w:t>
      </w:r>
      <w:r>
        <w:rPr>
          <w:sz w:val="20"/>
        </w:rPr>
        <w:tab/>
      </w:r>
      <w:r>
        <w:rPr>
          <w:b/>
          <w:sz w:val="20"/>
        </w:rPr>
        <w:t>Г-жа Клузик-Ростковска</w:t>
      </w:r>
      <w:r>
        <w:rPr>
          <w:sz w:val="20"/>
        </w:rPr>
        <w:t xml:space="preserve"> (Польша) вновь указывает, что церковь на протяжении вот уже длительного времени отделена от государства и что никакой дискриминации на основании вероисповедания нет. Коэффициент разводимости в Польше действительно, вырос, прежде всего из-за весьма либеральных законов. Фактически, некоторые пары фиктивно заявляют, что проживают раздельно, для того чтобы мать могла получать специальную финансовую помощь, предоставляемую матерям-одиночкам.</w:t>
      </w:r>
    </w:p>
    <w:p w:rsidR="00CD27D6" w:rsidRDefault="00CD27D6">
      <w:pPr>
        <w:tabs>
          <w:tab w:val="left" w:pos="454"/>
        </w:tabs>
        <w:spacing w:after="120"/>
        <w:jc w:val="both"/>
        <w:rPr>
          <w:sz w:val="20"/>
        </w:rPr>
      </w:pPr>
      <w:r>
        <w:rPr>
          <w:sz w:val="20"/>
        </w:rPr>
        <w:t>40.</w:t>
      </w:r>
      <w:r>
        <w:rPr>
          <w:sz w:val="20"/>
        </w:rPr>
        <w:tab/>
        <w:t>Несмотря на то, что суды традиционно отдают предпочтение матерям, отцы стали все чаще требовать предоставления им права опеки над детьми. Что касается алиментов, то решение зависит от того, расторгается ли брак по вине отца или нет. Если суд признает отца "виновной стороной", то его обязывают платить такие алименты и вспомоществование на ребенка, которые позволяют семье сохранить свой прежний уровень жизни. Если же вина ни одной из сторон не доказана, то муж обязан выплачивать лишь вспомоществование на ребенка. В настоящее время парламент Польши предпринимает шаги для восстановления Алиментного фонда, который выплачивает пособия тем родителям-одиночкам, чей бывший партнер оказывается не в состоянии платить причитающуюся с него или с нее сумму алиментов. Решение о разделе имущества принимается по каждому конкретному случаю. Вместе с тем, поскольку главная забота суда состоит в том, чтобы обеспечить благополучие ребенка, и поскольку обычно ребенок остается на попечении матери, ей часто присуждается значительная доля имущества.</w:t>
      </w:r>
    </w:p>
    <w:p w:rsidR="00CD27D6" w:rsidRDefault="00CD27D6">
      <w:pPr>
        <w:tabs>
          <w:tab w:val="left" w:pos="454"/>
        </w:tabs>
        <w:spacing w:after="180"/>
        <w:jc w:val="both"/>
        <w:rPr>
          <w:sz w:val="20"/>
        </w:rPr>
      </w:pPr>
      <w:r>
        <w:rPr>
          <w:sz w:val="20"/>
        </w:rPr>
        <w:t>41.</w:t>
      </w:r>
      <w:r>
        <w:rPr>
          <w:sz w:val="20"/>
        </w:rPr>
        <w:tab/>
      </w:r>
      <w:r>
        <w:rPr>
          <w:b/>
          <w:sz w:val="20"/>
        </w:rPr>
        <w:t>Председатель</w:t>
      </w:r>
      <w:r>
        <w:rPr>
          <w:sz w:val="20"/>
        </w:rPr>
        <w:t xml:space="preserve"> говорит, что правительству Польши будут должным образом направлены заключительные замечания Комитета. Она настоятельно призывает правительство как можно шире распространить эти замечания, прежде всего в парламенте, в различных государственных учреждениях и среди гражданского общества.</w:t>
      </w:r>
    </w:p>
    <w:p w:rsidR="00CD27D6" w:rsidRDefault="00CD27D6">
      <w:pPr>
        <w:tabs>
          <w:tab w:val="left" w:pos="454"/>
        </w:tabs>
        <w:spacing w:after="120"/>
        <w:jc w:val="both"/>
        <w:rPr>
          <w:i/>
          <w:iCs/>
          <w:sz w:val="20"/>
        </w:rPr>
      </w:pPr>
      <w:r>
        <w:rPr>
          <w:i/>
          <w:sz w:val="20"/>
        </w:rPr>
        <w:t>Заседание закрывается в 17 ч. 00 м.</w:t>
      </w:r>
    </w:p>
    <w:sectPr w:rsidR="00CD27D6">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21:00Z" w:initials="Start">
    <w:p w:rsidR="001A53BB" w:rsidRPr="001A53BB" w:rsidRDefault="001A53BB">
      <w:pPr>
        <w:pStyle w:val="CommentText"/>
        <w:rPr>
          <w:lang w:val="en-US"/>
        </w:rPr>
      </w:pPr>
      <w:r>
        <w:fldChar w:fldCharType="begin"/>
      </w:r>
      <w:r w:rsidRPr="001A53BB">
        <w:rPr>
          <w:rStyle w:val="CommentReference"/>
          <w:lang w:val="en-US"/>
        </w:rPr>
        <w:instrText xml:space="preserve"> </w:instrText>
      </w:r>
      <w:r w:rsidRPr="001A53BB">
        <w:rPr>
          <w:lang w:val="en-US"/>
        </w:rPr>
        <w:instrText>PAGE \# "'Page: '#'</w:instrText>
      </w:r>
      <w:r w:rsidRPr="001A53BB">
        <w:rPr>
          <w:lang w:val="en-US"/>
        </w:rPr>
        <w:br/>
        <w:instrText>'"</w:instrText>
      </w:r>
      <w:r w:rsidRPr="001A53BB">
        <w:rPr>
          <w:rStyle w:val="CommentReference"/>
          <w:lang w:val="en-US"/>
        </w:rPr>
        <w:instrText xml:space="preserve"> </w:instrText>
      </w:r>
      <w:r>
        <w:fldChar w:fldCharType="end"/>
      </w:r>
      <w:r>
        <w:rPr>
          <w:rStyle w:val="CommentReference"/>
        </w:rPr>
        <w:annotationRef/>
      </w:r>
      <w:r w:rsidRPr="001A53BB">
        <w:rPr>
          <w:lang w:val="en-US"/>
        </w:rPr>
        <w:t>&lt;&lt;ODS JOB NO&gt;&gt;N0721118R&lt;&lt;ODS JOB NO&gt;&gt;</w:t>
      </w:r>
    </w:p>
    <w:p w:rsidR="001A53BB" w:rsidRPr="001A53BB" w:rsidRDefault="001A53BB">
      <w:pPr>
        <w:pStyle w:val="CommentText"/>
        <w:rPr>
          <w:lang w:val="en-US"/>
        </w:rPr>
      </w:pPr>
      <w:r w:rsidRPr="001A53BB">
        <w:rPr>
          <w:lang w:val="en-US"/>
        </w:rPr>
        <w:t>&lt;&lt;ODS DOC SYMBOL1&gt;&gt;CEDAW/C/SR.758 (B)&lt;&lt;ODS DOC SYMBOL1&gt;&gt;</w:t>
      </w:r>
    </w:p>
    <w:p w:rsidR="001A53BB" w:rsidRPr="001A53BB" w:rsidRDefault="001A53BB">
      <w:pPr>
        <w:pStyle w:val="CommentText"/>
        <w:rPr>
          <w:lang w:val="en-US"/>
        </w:rPr>
      </w:pPr>
      <w:r w:rsidRPr="001A53B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436" w:rsidRDefault="00556436">
      <w:r>
        <w:separator/>
      </w:r>
    </w:p>
  </w:endnote>
  <w:endnote w:type="continuationSeparator" w:id="0">
    <w:p w:rsidR="00556436" w:rsidRDefault="00556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27D6">
      <w:tblPrEx>
        <w:tblCellMar>
          <w:top w:w="0" w:type="dxa"/>
          <w:bottom w:w="0" w:type="dxa"/>
        </w:tblCellMar>
      </w:tblPrEx>
      <w:tc>
        <w:tcPr>
          <w:tcW w:w="5033" w:type="dxa"/>
        </w:tcPr>
        <w:p w:rsidR="00CD27D6" w:rsidRDefault="00CD27D6">
          <w:pPr>
            <w:pStyle w:val="Footer"/>
            <w:jc w:val="right"/>
            <w:rPr>
              <w:bCs/>
              <w:w w:val="103"/>
              <w:sz w:val="14"/>
            </w:rPr>
          </w:pPr>
          <w:r>
            <w:rPr>
              <w:bCs/>
              <w:w w:val="103"/>
              <w:sz w:val="14"/>
            </w:rPr>
            <w:t>07-21118</w:t>
          </w:r>
        </w:p>
      </w:tc>
      <w:tc>
        <w:tcPr>
          <w:tcW w:w="5033" w:type="dxa"/>
        </w:tcPr>
        <w:p w:rsidR="00CD27D6" w:rsidRDefault="00CD27D6">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1A53BB">
            <w:rPr>
              <w:b/>
              <w:bCs/>
              <w:noProof/>
              <w:w w:val="103"/>
              <w:sz w:val="17"/>
            </w:rPr>
            <w:t>6</w:t>
          </w:r>
          <w:r>
            <w:rPr>
              <w:b/>
              <w:bCs/>
              <w:w w:val="103"/>
              <w:sz w:val="17"/>
            </w:rPr>
            <w:fldChar w:fldCharType="end"/>
          </w:r>
        </w:p>
      </w:tc>
    </w:tr>
  </w:tbl>
  <w:p w:rsidR="00CD27D6" w:rsidRDefault="00CD27D6">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27D6">
      <w:tblPrEx>
        <w:tblCellMar>
          <w:top w:w="0" w:type="dxa"/>
          <w:bottom w:w="0" w:type="dxa"/>
        </w:tblCellMar>
      </w:tblPrEx>
      <w:tc>
        <w:tcPr>
          <w:tcW w:w="5033" w:type="dxa"/>
        </w:tcPr>
        <w:p w:rsidR="00CD27D6" w:rsidRDefault="00CD27D6">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1A53BB">
            <w:rPr>
              <w:b/>
              <w:bCs/>
              <w:noProof/>
              <w:w w:val="103"/>
              <w:sz w:val="17"/>
            </w:rPr>
            <w:t>7</w:t>
          </w:r>
          <w:r>
            <w:rPr>
              <w:b/>
              <w:bCs/>
              <w:w w:val="103"/>
              <w:sz w:val="17"/>
            </w:rPr>
            <w:fldChar w:fldCharType="end"/>
          </w:r>
        </w:p>
      </w:tc>
      <w:tc>
        <w:tcPr>
          <w:tcW w:w="5033" w:type="dxa"/>
        </w:tcPr>
        <w:p w:rsidR="00CD27D6" w:rsidRDefault="00CD27D6">
          <w:pPr>
            <w:pStyle w:val="Footer"/>
            <w:rPr>
              <w:bCs/>
              <w:w w:val="103"/>
              <w:sz w:val="14"/>
            </w:rPr>
          </w:pPr>
          <w:r>
            <w:rPr>
              <w:bCs/>
              <w:w w:val="103"/>
              <w:sz w:val="14"/>
            </w:rPr>
            <w:t>07-21118</w:t>
          </w:r>
        </w:p>
      </w:tc>
    </w:tr>
  </w:tbl>
  <w:p w:rsidR="00CD27D6" w:rsidRDefault="00CD27D6">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436" w:rsidRDefault="00556436">
      <w:r>
        <w:separator/>
      </w:r>
    </w:p>
  </w:footnote>
  <w:footnote w:type="continuationSeparator" w:id="0">
    <w:p w:rsidR="00556436" w:rsidRDefault="00556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D6" w:rsidRDefault="00CD27D6">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CD27D6">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CD27D6" w:rsidRDefault="00CD27D6">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CD27D6" w:rsidRDefault="00CD27D6">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58 (</w:t>
          </w:r>
          <w:r>
            <w:rPr>
              <w:position w:val="-4"/>
              <w:sz w:val="20"/>
              <w:lang w:val="en-US"/>
            </w:rPr>
            <w:t>B</w:t>
          </w:r>
          <w:r>
            <w:rPr>
              <w:position w:val="-4"/>
              <w:sz w:val="20"/>
            </w:rPr>
            <w:t>)</w:t>
          </w:r>
        </w:p>
      </w:tc>
    </w:tr>
    <w:tr w:rsidR="00CD27D6">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CD27D6" w:rsidRDefault="00CD27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D27D6" w:rsidRDefault="00CD27D6">
          <w:pPr>
            <w:pStyle w:val="Header"/>
            <w:spacing w:before="109"/>
          </w:pPr>
        </w:p>
      </w:tc>
      <w:tc>
        <w:tcPr>
          <w:tcW w:w="5227" w:type="dxa"/>
          <w:tcBorders>
            <w:left w:val="nil"/>
            <w:bottom w:val="single" w:sz="12" w:space="0" w:color="auto"/>
            <w:right w:val="nil"/>
          </w:tcBorders>
        </w:tcPr>
        <w:p w:rsidR="00CD27D6" w:rsidRDefault="00CD27D6">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CD27D6" w:rsidRDefault="00CD27D6">
          <w:pPr>
            <w:pStyle w:val="Header"/>
            <w:spacing w:before="109"/>
          </w:pPr>
        </w:p>
      </w:tc>
      <w:tc>
        <w:tcPr>
          <w:tcW w:w="3140" w:type="dxa"/>
          <w:tcBorders>
            <w:left w:val="nil"/>
            <w:bottom w:val="single" w:sz="12" w:space="0" w:color="auto"/>
            <w:right w:val="nil"/>
          </w:tcBorders>
        </w:tcPr>
        <w:p w:rsidR="00CD27D6" w:rsidRDefault="00CD27D6">
          <w:pPr>
            <w:spacing w:before="240"/>
            <w:rPr>
              <w:sz w:val="20"/>
              <w:lang w:val="en-US"/>
            </w:rPr>
          </w:pPr>
          <w:r>
            <w:rPr>
              <w:sz w:val="20"/>
              <w:lang w:val="en-US"/>
            </w:rPr>
            <w:t>Distr.: General</w:t>
          </w:r>
        </w:p>
        <w:p w:rsidR="00CD27D6" w:rsidRDefault="00CD27D6">
          <w:pPr>
            <w:pStyle w:val="FootnoteText"/>
            <w:rPr>
              <w:szCs w:val="24"/>
              <w:lang w:val="en-US"/>
            </w:rPr>
          </w:pPr>
          <w:r>
            <w:rPr>
              <w:lang w:val="en-US"/>
            </w:rPr>
            <w:t>29</w:t>
          </w:r>
          <w:r>
            <w:t xml:space="preserve"> </w:t>
          </w:r>
          <w:r>
            <w:rPr>
              <w:lang w:val="en-GB"/>
            </w:rPr>
            <w:t>January</w:t>
          </w:r>
          <w:r>
            <w:t xml:space="preserve"> 200</w:t>
          </w:r>
          <w:r>
            <w:rPr>
              <w:lang w:val="en-US"/>
            </w:rPr>
            <w:t>7</w:t>
          </w:r>
        </w:p>
        <w:p w:rsidR="00CD27D6" w:rsidRDefault="00CD27D6">
          <w:pPr>
            <w:pStyle w:val="FootnoteText"/>
            <w:spacing w:before="120"/>
            <w:rPr>
              <w:szCs w:val="24"/>
              <w:lang w:val="en-US"/>
            </w:rPr>
          </w:pPr>
          <w:r>
            <w:rPr>
              <w:lang w:val="en-US"/>
            </w:rPr>
            <w:t>Russian</w:t>
          </w:r>
        </w:p>
        <w:p w:rsidR="00CD27D6" w:rsidRDefault="00CD27D6">
          <w:pPr>
            <w:rPr>
              <w:lang w:val="en-US"/>
            </w:rPr>
          </w:pPr>
          <w:r>
            <w:rPr>
              <w:sz w:val="20"/>
              <w:lang w:val="en-US"/>
            </w:rPr>
            <w:t>Original: English</w:t>
          </w:r>
        </w:p>
      </w:tc>
    </w:tr>
  </w:tbl>
  <w:p w:rsidR="00CD27D6" w:rsidRDefault="00CD27D6">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D27D6">
      <w:tblPrEx>
        <w:tblCellMar>
          <w:top w:w="0" w:type="dxa"/>
          <w:bottom w:w="0" w:type="dxa"/>
        </w:tblCellMar>
      </w:tblPrEx>
      <w:trPr>
        <w:trHeight w:hRule="exact" w:val="864"/>
      </w:trPr>
      <w:tc>
        <w:tcPr>
          <w:tcW w:w="4838" w:type="dxa"/>
          <w:vAlign w:val="bottom"/>
        </w:tcPr>
        <w:p w:rsidR="00CD27D6" w:rsidRDefault="00CD27D6">
          <w:pPr>
            <w:pStyle w:val="Header"/>
            <w:spacing w:after="80"/>
            <w:rPr>
              <w:b/>
              <w:sz w:val="17"/>
              <w:lang w:val="en-US"/>
            </w:rPr>
          </w:pPr>
          <w:r>
            <w:rPr>
              <w:b/>
              <w:sz w:val="17"/>
              <w:lang w:val="en-US"/>
            </w:rPr>
            <w:t>CEDAW/C/SR.758 (B)</w:t>
          </w: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p>
      </w:tc>
      <w:tc>
        <w:tcPr>
          <w:tcW w:w="5033" w:type="dxa"/>
          <w:vAlign w:val="bottom"/>
        </w:tcPr>
        <w:p w:rsidR="00CD27D6" w:rsidRDefault="00CD27D6">
          <w:pPr>
            <w:pStyle w:val="Header"/>
            <w:spacing w:after="80"/>
            <w:jc w:val="right"/>
            <w:rPr>
              <w:sz w:val="17"/>
              <w:lang w:val="en-US"/>
            </w:rPr>
          </w:pPr>
        </w:p>
      </w:tc>
    </w:tr>
  </w:tbl>
  <w:p w:rsidR="00CD27D6" w:rsidRDefault="00CD27D6">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D27D6">
      <w:tblPrEx>
        <w:tblCellMar>
          <w:top w:w="0" w:type="dxa"/>
          <w:bottom w:w="0" w:type="dxa"/>
        </w:tblCellMar>
      </w:tblPrEx>
      <w:trPr>
        <w:trHeight w:hRule="exact" w:val="864"/>
      </w:trPr>
      <w:tc>
        <w:tcPr>
          <w:tcW w:w="4838" w:type="dxa"/>
          <w:vAlign w:val="bottom"/>
        </w:tcPr>
        <w:p w:rsidR="00CD27D6" w:rsidRDefault="00CD27D6">
          <w:pPr>
            <w:pStyle w:val="Header"/>
            <w:spacing w:after="80"/>
            <w:rPr>
              <w:b/>
              <w:sz w:val="17"/>
              <w:lang w:val="en-US"/>
            </w:rPr>
          </w:pPr>
        </w:p>
      </w:tc>
      <w:tc>
        <w:tcPr>
          <w:tcW w:w="5033" w:type="dxa"/>
          <w:vAlign w:val="bottom"/>
        </w:tcPr>
        <w:p w:rsidR="00CD27D6" w:rsidRDefault="00CD27D6">
          <w:pPr>
            <w:pStyle w:val="Header"/>
            <w:spacing w:after="80"/>
            <w:jc w:val="right"/>
            <w:rPr>
              <w:sz w:val="17"/>
              <w:lang w:val="en-US"/>
            </w:rPr>
          </w:pPr>
          <w:r>
            <w:rPr>
              <w:b/>
              <w:sz w:val="17"/>
            </w:rPr>
            <w:fldChar w:fldCharType="begin"/>
          </w:r>
          <w:r>
            <w:rPr>
              <w:b/>
              <w:sz w:val="17"/>
              <w:lang w:val="en-US"/>
            </w:rPr>
            <w:instrText xml:space="preserve"> DOCVARIABLE "sss1" \* MERGEFORMAT </w:instrText>
          </w:r>
          <w:r>
            <w:rPr>
              <w:b/>
              <w:sz w:val="17"/>
            </w:rPr>
            <w:fldChar w:fldCharType="end"/>
          </w:r>
          <w:r>
            <w:rPr>
              <w:b/>
              <w:sz w:val="17"/>
            </w:rPr>
            <w:fldChar w:fldCharType="begin"/>
          </w:r>
          <w:r>
            <w:rPr>
              <w:b/>
              <w:sz w:val="17"/>
              <w:lang w:val="en-US"/>
            </w:rPr>
            <w:instrText xml:space="preserve"> DOCVARIABLE "sss1" \* MERGEFORMAT </w:instrText>
          </w:r>
          <w:r>
            <w:rPr>
              <w:b/>
              <w:sz w:val="17"/>
            </w:rPr>
            <w:fldChar w:fldCharType="end"/>
          </w:r>
          <w:r>
            <w:rPr>
              <w:b/>
              <w:sz w:val="17"/>
              <w:lang w:val="en-US"/>
            </w:rPr>
            <w:t>CEDAW/C/SR.758 (B)</w:t>
          </w:r>
        </w:p>
      </w:tc>
    </w:tr>
  </w:tbl>
  <w:p w:rsidR="00CD27D6" w:rsidRDefault="00CD27D6">
    <w:pPr>
      <w:pStyle w:val="Header"/>
      <w:rPr>
        <w:sz w:val="17"/>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7D6"/>
    <w:rsid w:val="001A53BB"/>
    <w:rsid w:val="00556436"/>
    <w:rsid w:val="00CD27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1A53BB"/>
    <w:rPr>
      <w:sz w:val="16"/>
      <w:szCs w:val="16"/>
    </w:rPr>
  </w:style>
  <w:style w:type="paragraph" w:styleId="CommentText">
    <w:name w:val="annotation text"/>
    <w:basedOn w:val="Normal"/>
    <w:semiHidden/>
    <w:rsid w:val="001A53BB"/>
    <w:rPr>
      <w:sz w:val="20"/>
      <w:szCs w:val="20"/>
    </w:rPr>
  </w:style>
  <w:style w:type="paragraph" w:styleId="CommentSubject">
    <w:name w:val="annotation subject"/>
    <w:basedOn w:val="CommentText"/>
    <w:next w:val="CommentText"/>
    <w:semiHidden/>
    <w:rsid w:val="001A53BB"/>
    <w:rPr>
      <w:b/>
      <w:bCs/>
    </w:rPr>
  </w:style>
  <w:style w:type="paragraph" w:styleId="BalloonText">
    <w:name w:val="Balloon Text"/>
    <w:basedOn w:val="Normal"/>
    <w:semiHidden/>
    <w:rsid w:val="001A53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3703</Words>
  <Characters>25334</Characters>
  <Application>Microsoft Office Word</Application>
  <DocSecurity>4</DocSecurity>
  <Lines>649</Lines>
  <Paragraphs>54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28983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UN User</cp:lastModifiedBy>
  <cp:revision>3</cp:revision>
  <cp:lastPrinted>2007-03-01T09:15:00Z</cp:lastPrinted>
  <dcterms:created xsi:type="dcterms:W3CDTF">2007-03-06T09:44:00Z</dcterms:created>
  <dcterms:modified xsi:type="dcterms:W3CDTF">2007-03-07T08:23:00Z</dcterms:modified>
</cp:coreProperties>
</file>