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both"/>
        <w:rPr>
          <w:sz w:val="23"/>
        </w:rPr>
      </w:pPr>
      <w:r>
        <w:rPr>
          <w:sz w:val="23"/>
        </w:rPr>
        <w:t>Основная сессия 2003 года</w:t>
      </w:r>
    </w:p>
    <w:p w:rsidR="00000000" w:rsidRDefault="00000000">
      <w:pPr>
        <w:spacing w:line="240" w:lineRule="auto"/>
        <w:jc w:val="both"/>
        <w:rPr>
          <w:sz w:val="23"/>
        </w:rPr>
      </w:pPr>
    </w:p>
    <w:p w:rsidR="00000000" w:rsidRDefault="00000000">
      <w:pPr>
        <w:spacing w:line="240" w:lineRule="auto"/>
        <w:jc w:val="center"/>
        <w:rPr>
          <w:sz w:val="23"/>
        </w:rPr>
      </w:pPr>
    </w:p>
    <w:p w:rsidR="00000000" w:rsidRDefault="00000000">
      <w:pPr>
        <w:spacing w:line="240" w:lineRule="auto"/>
        <w:jc w:val="center"/>
        <w:rPr>
          <w:sz w:val="23"/>
        </w:rPr>
      </w:pPr>
    </w:p>
    <w:p w:rsidR="00000000" w:rsidRDefault="00000000">
      <w:pPr>
        <w:spacing w:line="240" w:lineRule="auto"/>
        <w:jc w:val="center"/>
        <w:rPr>
          <w:sz w:val="23"/>
        </w:rPr>
      </w:pPr>
    </w:p>
    <w:p w:rsidR="00000000" w:rsidRDefault="00000000">
      <w:pPr>
        <w:spacing w:line="240" w:lineRule="auto"/>
        <w:jc w:val="center"/>
        <w:rPr>
          <w:sz w:val="23"/>
        </w:rPr>
      </w:pPr>
    </w:p>
    <w:p w:rsidR="00000000" w:rsidRDefault="00000000">
      <w:pPr>
        <w:pStyle w:val="10"/>
        <w:spacing w:line="240" w:lineRule="auto"/>
        <w:rPr>
          <w:bCs/>
          <w:sz w:val="23"/>
        </w:rPr>
      </w:pPr>
      <w:r>
        <w:rPr>
          <w:bCs/>
          <w:sz w:val="23"/>
        </w:rPr>
        <w:t>ОСУЩЕСТВЛЕНИЕ МЕЖДУНАРОДНОГО ПАКТА ОБ ЭКОНОМИЧЕСКИХ, СОЦИАЛЬНЫХ И КУЛЬТУРНЫХ ПРАВАХ</w:t>
      </w:r>
    </w:p>
    <w:p w:rsidR="00000000" w:rsidRDefault="00000000">
      <w:pPr>
        <w:spacing w:line="240" w:lineRule="auto"/>
        <w:jc w:val="center"/>
        <w:rPr>
          <w:sz w:val="23"/>
          <w:u w:val="single"/>
        </w:rPr>
      </w:pPr>
    </w:p>
    <w:p w:rsidR="00000000" w:rsidRDefault="00000000">
      <w:pPr>
        <w:pStyle w:val="10"/>
        <w:spacing w:line="240" w:lineRule="auto"/>
        <w:rPr>
          <w:bCs/>
          <w:sz w:val="23"/>
        </w:rPr>
      </w:pPr>
      <w:r>
        <w:rPr>
          <w:bCs/>
          <w:sz w:val="23"/>
        </w:rPr>
        <w:t>Четвертые периодические доклады, представленные государствами-участниками в соответствии со статьями 16 и 17 Пакта</w:t>
      </w:r>
    </w:p>
    <w:p w:rsidR="00000000" w:rsidRDefault="00000000">
      <w:pPr>
        <w:spacing w:line="240" w:lineRule="auto"/>
        <w:jc w:val="center"/>
        <w:rPr>
          <w:sz w:val="23"/>
          <w:u w:val="single"/>
        </w:rPr>
      </w:pPr>
    </w:p>
    <w:p w:rsidR="00000000" w:rsidRDefault="00000000">
      <w:pPr>
        <w:pStyle w:val="10"/>
        <w:spacing w:line="240" w:lineRule="auto"/>
        <w:rPr>
          <w:bCs/>
          <w:sz w:val="23"/>
        </w:rPr>
      </w:pPr>
      <w:r>
        <w:rPr>
          <w:bCs/>
          <w:sz w:val="23"/>
        </w:rPr>
        <w:t>Добавление</w:t>
      </w:r>
    </w:p>
    <w:p w:rsidR="00000000" w:rsidRDefault="00000000">
      <w:pPr>
        <w:spacing w:line="240" w:lineRule="auto"/>
        <w:jc w:val="center"/>
        <w:rPr>
          <w:sz w:val="23"/>
        </w:rPr>
      </w:pPr>
    </w:p>
    <w:p w:rsidR="00000000" w:rsidRDefault="00000000">
      <w:pPr>
        <w:spacing w:line="240" w:lineRule="auto"/>
        <w:jc w:val="center"/>
        <w:rPr>
          <w:b/>
          <w:bCs/>
          <w:sz w:val="23"/>
        </w:rPr>
      </w:pPr>
    </w:p>
    <w:p w:rsidR="00000000" w:rsidRDefault="00000000">
      <w:pPr>
        <w:spacing w:line="240" w:lineRule="auto"/>
        <w:jc w:val="center"/>
        <w:rPr>
          <w:sz w:val="23"/>
          <w:lang w:val="en-US"/>
        </w:rPr>
      </w:pPr>
      <w:r>
        <w:rPr>
          <w:b/>
          <w:bCs/>
          <w:sz w:val="23"/>
        </w:rPr>
        <w:t>ДАНИЯ</w:t>
      </w:r>
      <w:r>
        <w:rPr>
          <w:sz w:val="23"/>
        </w:rPr>
        <w:t>*</w:t>
      </w:r>
      <w:r>
        <w:rPr>
          <w:b/>
          <w:bCs/>
          <w:sz w:val="23"/>
        </w:rPr>
        <w:t>/</w:t>
      </w:r>
      <w:r>
        <w:rPr>
          <w:sz w:val="23"/>
        </w:rPr>
        <w:t>*</w:t>
      </w:r>
      <w:r>
        <w:rPr>
          <w:sz w:val="23"/>
          <w:lang w:val="en-US"/>
        </w:rPr>
        <w:t>*</w:t>
      </w:r>
    </w:p>
    <w:p w:rsidR="00000000" w:rsidRDefault="00000000">
      <w:pPr>
        <w:spacing w:line="240" w:lineRule="auto"/>
        <w:jc w:val="both"/>
        <w:rPr>
          <w:sz w:val="23"/>
        </w:rPr>
      </w:pPr>
    </w:p>
    <w:p w:rsidR="00000000" w:rsidRDefault="00000000">
      <w:pPr>
        <w:spacing w:line="240" w:lineRule="auto"/>
        <w:jc w:val="right"/>
        <w:rPr>
          <w:sz w:val="23"/>
        </w:rPr>
      </w:pPr>
      <w:r>
        <w:rPr>
          <w:sz w:val="23"/>
        </w:rPr>
        <w:t>[28 марта 2003 года]</w:t>
      </w:r>
    </w:p>
    <w:p w:rsidR="00000000" w:rsidRDefault="00000000">
      <w:pPr>
        <w:spacing w:line="240" w:lineRule="auto"/>
        <w:jc w:val="both"/>
        <w:rPr>
          <w:sz w:val="23"/>
        </w:rPr>
      </w:pPr>
    </w:p>
    <w:p w:rsidR="00000000" w:rsidRDefault="00000000">
      <w:pPr>
        <w:spacing w:line="240" w:lineRule="auto"/>
        <w:jc w:val="both"/>
        <w:rPr>
          <w:sz w:val="23"/>
        </w:rPr>
      </w:pPr>
    </w:p>
    <w:p w:rsidR="00000000" w:rsidRDefault="00000000">
      <w:pPr>
        <w:spacing w:line="240" w:lineRule="auto"/>
        <w:jc w:val="both"/>
        <w:rPr>
          <w:sz w:val="23"/>
        </w:rPr>
      </w:pPr>
    </w:p>
    <w:p w:rsidR="00000000" w:rsidRDefault="00000000">
      <w:pPr>
        <w:spacing w:line="240" w:lineRule="auto"/>
        <w:jc w:val="both"/>
        <w:rPr>
          <w:sz w:val="23"/>
        </w:rPr>
      </w:pPr>
    </w:p>
    <w:p w:rsidR="00000000" w:rsidRDefault="00000000">
      <w:pPr>
        <w:spacing w:line="240" w:lineRule="auto"/>
        <w:jc w:val="both"/>
        <w:rPr>
          <w:sz w:val="23"/>
        </w:rPr>
      </w:pPr>
    </w:p>
    <w:p w:rsidR="00000000" w:rsidRDefault="00000000">
      <w:pPr>
        <w:spacing w:line="240" w:lineRule="auto"/>
        <w:jc w:val="both"/>
        <w:rPr>
          <w:sz w:val="23"/>
        </w:rPr>
      </w:pPr>
    </w:p>
    <w:p w:rsidR="00000000" w:rsidRDefault="00000000">
      <w:pPr>
        <w:spacing w:line="240" w:lineRule="auto"/>
        <w:jc w:val="both"/>
        <w:rPr>
          <w:sz w:val="23"/>
        </w:rPr>
      </w:pPr>
    </w:p>
    <w:p w:rsidR="00000000" w:rsidRDefault="00000000">
      <w:pPr>
        <w:pBdr>
          <w:bottom w:val="single" w:sz="4" w:space="1" w:color="auto"/>
        </w:pBdr>
        <w:spacing w:line="240" w:lineRule="auto"/>
        <w:ind w:right="6804"/>
        <w:jc w:val="both"/>
        <w:rPr>
          <w:sz w:val="23"/>
        </w:rPr>
      </w:pPr>
    </w:p>
    <w:p w:rsidR="00000000" w:rsidRDefault="00000000">
      <w:pPr>
        <w:spacing w:line="240" w:lineRule="auto"/>
        <w:jc w:val="both"/>
        <w:rPr>
          <w:sz w:val="23"/>
        </w:rPr>
      </w:pPr>
    </w:p>
    <w:p w:rsidR="00000000" w:rsidRDefault="00000000">
      <w:pPr>
        <w:tabs>
          <w:tab w:val="left" w:pos="510"/>
        </w:tabs>
        <w:spacing w:line="240" w:lineRule="auto"/>
        <w:ind w:left="510"/>
        <w:jc w:val="both"/>
        <w:rPr>
          <w:sz w:val="23"/>
        </w:rPr>
      </w:pPr>
      <w:r>
        <w:rPr>
          <w:sz w:val="23"/>
        </w:rPr>
        <w:t>*</w:t>
      </w:r>
      <w:r>
        <w:rPr>
          <w:sz w:val="23"/>
          <w:lang w:val="en-US"/>
        </w:rPr>
        <w:t> </w:t>
      </w:r>
      <w:r>
        <w:rPr>
          <w:sz w:val="23"/>
        </w:rPr>
        <w:t>Третий периодический доклад в отношении прав, охватываемых статьями 1–15 (</w:t>
      </w:r>
      <w:r>
        <w:rPr>
          <w:sz w:val="23"/>
          <w:lang w:val="en-US"/>
        </w:rPr>
        <w:t>E</w:t>
      </w:r>
      <w:r>
        <w:rPr>
          <w:sz w:val="23"/>
        </w:rPr>
        <w:t>/1994/104/</w:t>
      </w:r>
      <w:r>
        <w:rPr>
          <w:sz w:val="23"/>
          <w:lang w:val="en-US"/>
        </w:rPr>
        <w:t>Add</w:t>
      </w:r>
      <w:r>
        <w:rPr>
          <w:sz w:val="23"/>
        </w:rPr>
        <w:t xml:space="preserve">.15), был рассмотрен Комитетом по экономическим, социальным и культурным правам на его двадцатой сессии (см. </w:t>
      </w:r>
      <w:r>
        <w:rPr>
          <w:sz w:val="23"/>
          <w:lang w:val="en-US"/>
        </w:rPr>
        <w:t>E</w:t>
      </w:r>
      <w:r>
        <w:rPr>
          <w:sz w:val="23"/>
        </w:rPr>
        <w:t>/</w:t>
      </w:r>
      <w:r>
        <w:rPr>
          <w:sz w:val="23"/>
          <w:lang w:val="en-US"/>
        </w:rPr>
        <w:t>C</w:t>
      </w:r>
      <w:r>
        <w:rPr>
          <w:sz w:val="23"/>
        </w:rPr>
        <w:t>.12/1999/</w:t>
      </w:r>
      <w:r>
        <w:rPr>
          <w:sz w:val="23"/>
          <w:lang w:val="en-US"/>
        </w:rPr>
        <w:t>SR</w:t>
      </w:r>
      <w:r>
        <w:rPr>
          <w:sz w:val="23"/>
        </w:rPr>
        <w:t>.11-13) в 1999 году.</w:t>
      </w:r>
    </w:p>
    <w:p w:rsidR="00000000" w:rsidRDefault="00000000">
      <w:pPr>
        <w:tabs>
          <w:tab w:val="left" w:pos="510"/>
        </w:tabs>
        <w:spacing w:line="240" w:lineRule="auto"/>
        <w:ind w:left="510"/>
        <w:jc w:val="both"/>
        <w:rPr>
          <w:sz w:val="23"/>
        </w:rPr>
      </w:pPr>
    </w:p>
    <w:p w:rsidR="00000000" w:rsidRDefault="00000000">
      <w:pPr>
        <w:tabs>
          <w:tab w:val="left" w:pos="510"/>
        </w:tabs>
        <w:spacing w:line="240" w:lineRule="auto"/>
        <w:ind w:left="510"/>
        <w:jc w:val="both"/>
        <w:rPr>
          <w:sz w:val="23"/>
        </w:rPr>
      </w:pPr>
      <w:r>
        <w:rPr>
          <w:sz w:val="23"/>
        </w:rPr>
        <w:t>**</w:t>
      </w:r>
      <w:r>
        <w:rPr>
          <w:sz w:val="23"/>
          <w:lang w:val="en-US"/>
        </w:rPr>
        <w:t> </w:t>
      </w:r>
      <w:r>
        <w:rPr>
          <w:sz w:val="23"/>
        </w:rPr>
        <w:t>Информация, представленная Данией в соответствии с руководящими принципами, касающимися вступительной части докладов государств-участников, содержится в базовом документе (</w:t>
      </w:r>
      <w:r>
        <w:rPr>
          <w:sz w:val="23"/>
          <w:lang w:val="en-US"/>
        </w:rPr>
        <w:t>HRI</w:t>
      </w:r>
      <w:r>
        <w:rPr>
          <w:sz w:val="23"/>
        </w:rPr>
        <w:t>/</w:t>
      </w:r>
      <w:r>
        <w:rPr>
          <w:sz w:val="23"/>
          <w:lang w:val="en-US"/>
        </w:rPr>
        <w:t>CORE</w:t>
      </w:r>
      <w:r>
        <w:rPr>
          <w:sz w:val="23"/>
        </w:rPr>
        <w:t>/1/</w:t>
      </w:r>
      <w:r>
        <w:rPr>
          <w:sz w:val="23"/>
          <w:lang w:val="en-US"/>
        </w:rPr>
        <w:t>Add</w:t>
      </w:r>
      <w:r>
        <w:rPr>
          <w:sz w:val="23"/>
        </w:rPr>
        <w:t>.58).</w:t>
      </w:r>
    </w:p>
    <w:p w:rsidR="00000000" w:rsidRDefault="00000000">
      <w:pPr>
        <w:tabs>
          <w:tab w:val="left" w:pos="510"/>
        </w:tabs>
        <w:spacing w:line="240" w:lineRule="auto"/>
        <w:ind w:left="510"/>
        <w:jc w:val="both"/>
        <w:rPr>
          <w:sz w:val="23"/>
        </w:rPr>
      </w:pPr>
    </w:p>
    <w:p w:rsidR="00000000" w:rsidRDefault="00000000">
      <w:pPr>
        <w:tabs>
          <w:tab w:val="left" w:pos="510"/>
        </w:tabs>
        <w:spacing w:line="240" w:lineRule="auto"/>
        <w:ind w:left="510"/>
        <w:jc w:val="both"/>
        <w:rPr>
          <w:sz w:val="23"/>
        </w:rPr>
      </w:pPr>
    </w:p>
    <w:p w:rsidR="00000000" w:rsidRDefault="00000000">
      <w:pPr>
        <w:tabs>
          <w:tab w:val="left" w:pos="510"/>
        </w:tabs>
        <w:spacing w:line="240" w:lineRule="auto"/>
        <w:ind w:left="510"/>
        <w:jc w:val="both"/>
        <w:rPr>
          <w:sz w:val="23"/>
        </w:rPr>
      </w:pPr>
      <w:r>
        <w:rPr>
          <w:sz w:val="23"/>
          <w:lang w:val="en-US"/>
        </w:rPr>
        <w:t>GE</w:t>
      </w:r>
      <w:r>
        <w:rPr>
          <w:sz w:val="23"/>
        </w:rPr>
        <w:t>.03-41407 (</w:t>
      </w:r>
      <w:r>
        <w:rPr>
          <w:sz w:val="23"/>
          <w:lang w:val="en-US"/>
        </w:rPr>
        <w:t>EXT</w:t>
      </w:r>
      <w:r>
        <w:rPr>
          <w:sz w:val="23"/>
        </w:rPr>
        <w:t>)</w:t>
      </w:r>
    </w:p>
    <w:p w:rsidR="00000000" w:rsidRDefault="00000000">
      <w:pPr>
        <w:pStyle w:val="16"/>
        <w:tabs>
          <w:tab w:val="clear" w:pos="567"/>
          <w:tab w:val="clear" w:pos="1134"/>
          <w:tab w:val="clear" w:pos="1701"/>
          <w:tab w:val="clear" w:pos="2268"/>
          <w:tab w:val="clear" w:pos="6237"/>
          <w:tab w:val="left" w:pos="680"/>
        </w:tabs>
        <w:spacing w:line="240" w:lineRule="auto"/>
        <w:rPr>
          <w:b/>
          <w:bCs/>
          <w:sz w:val="23"/>
        </w:rPr>
      </w:pPr>
      <w:r>
        <w:rPr>
          <w:sz w:val="23"/>
        </w:rPr>
        <w:br w:type="page"/>
      </w:r>
      <w:r>
        <w:rPr>
          <w:b/>
          <w:bCs/>
          <w:sz w:val="23"/>
        </w:rPr>
        <w:t>СОДЕРЖАНИЕ</w:t>
      </w:r>
    </w:p>
    <w:p w:rsidR="00000000" w:rsidRDefault="00000000">
      <w:pPr>
        <w:tabs>
          <w:tab w:val="clear" w:pos="567"/>
          <w:tab w:val="clear" w:pos="1134"/>
          <w:tab w:val="clear" w:pos="1701"/>
          <w:tab w:val="clear" w:pos="2268"/>
          <w:tab w:val="clear" w:pos="6237"/>
          <w:tab w:val="left" w:pos="680"/>
        </w:tabs>
        <w:spacing w:line="240" w:lineRule="auto"/>
        <w:jc w:val="both"/>
        <w:rPr>
          <w:sz w:val="23"/>
        </w:rPr>
      </w:pPr>
    </w:p>
    <w:p w:rsidR="00000000" w:rsidRDefault="00000000">
      <w:pPr>
        <w:tabs>
          <w:tab w:val="clear" w:pos="567"/>
          <w:tab w:val="clear" w:pos="1134"/>
          <w:tab w:val="clear" w:pos="1701"/>
          <w:tab w:val="clear" w:pos="2268"/>
          <w:tab w:val="clear" w:pos="6237"/>
          <w:tab w:val="center" w:pos="8392"/>
          <w:tab w:val="right" w:pos="9639"/>
        </w:tabs>
        <w:spacing w:line="240" w:lineRule="auto"/>
        <w:ind w:right="1985"/>
        <w:rPr>
          <w:sz w:val="23"/>
        </w:rPr>
      </w:pPr>
      <w:r>
        <w:rPr>
          <w:sz w:val="23"/>
        </w:rPr>
        <w:tab/>
      </w:r>
      <w:r>
        <w:rPr>
          <w:sz w:val="23"/>
          <w:u w:val="single"/>
        </w:rPr>
        <w:t>Пункты</w:t>
      </w:r>
      <w:r>
        <w:rPr>
          <w:sz w:val="23"/>
        </w:rPr>
        <w:tab/>
      </w:r>
      <w:r>
        <w:rPr>
          <w:sz w:val="23"/>
          <w:u w:val="single"/>
        </w:rPr>
        <w:t>Стр</w:t>
      </w:r>
      <w:r>
        <w:rPr>
          <w:sz w:val="23"/>
        </w:rPr>
        <w:t>.</w:t>
      </w:r>
    </w:p>
    <w:p w:rsidR="00000000" w:rsidRDefault="00000000">
      <w:pPr>
        <w:tabs>
          <w:tab w:val="clear" w:pos="567"/>
          <w:tab w:val="clear" w:pos="1134"/>
          <w:tab w:val="clear" w:pos="1701"/>
          <w:tab w:val="clear" w:pos="2268"/>
          <w:tab w:val="clear" w:pos="6237"/>
          <w:tab w:val="left" w:leader="dot" w:pos="7655"/>
          <w:tab w:val="center" w:pos="8392"/>
          <w:tab w:val="right" w:pos="9639"/>
        </w:tabs>
        <w:spacing w:line="240" w:lineRule="auto"/>
        <w:ind w:right="1985"/>
        <w:rPr>
          <w:i/>
          <w:iCs/>
          <w:sz w:val="23"/>
        </w:rPr>
      </w:pPr>
    </w:p>
    <w:p w:rsidR="00000000" w:rsidRDefault="00000000">
      <w:pPr>
        <w:pStyle w:val="a1"/>
      </w:pPr>
      <w:r>
        <w:t>Введение</w:t>
      </w:r>
      <w:r>
        <w:tab/>
      </w:r>
      <w:r>
        <w:tab/>
        <w:t>1–5</w:t>
      </w:r>
      <w:r>
        <w:tab/>
        <w:t>11</w:t>
      </w:r>
    </w:p>
    <w:p w:rsidR="00000000" w:rsidRDefault="00000000">
      <w:pPr>
        <w:pStyle w:val="a1"/>
      </w:pPr>
    </w:p>
    <w:p w:rsidR="00000000" w:rsidRDefault="00000000">
      <w:pPr>
        <w:pStyle w:val="a1"/>
      </w:pPr>
      <w:r>
        <w:t>Характеристика доклада</w:t>
      </w:r>
      <w:r>
        <w:tab/>
      </w:r>
      <w:r>
        <w:tab/>
        <w:t>1–3</w:t>
      </w:r>
      <w:r>
        <w:tab/>
        <w:t>11</w:t>
      </w:r>
    </w:p>
    <w:p w:rsidR="00000000" w:rsidRDefault="00000000">
      <w:pPr>
        <w:pStyle w:val="a1"/>
      </w:pPr>
    </w:p>
    <w:p w:rsidR="00000000" w:rsidRDefault="00000000">
      <w:pPr>
        <w:pStyle w:val="a1"/>
        <w:ind w:left="851"/>
      </w:pPr>
      <w:r>
        <w:t>Стороны, участвовавшие в подготовке доклада</w:t>
      </w:r>
      <w:r>
        <w:tab/>
      </w:r>
      <w:r>
        <w:tab/>
        <w:t>4–5</w:t>
      </w:r>
      <w:r>
        <w:tab/>
        <w:t>11</w:t>
      </w:r>
    </w:p>
    <w:p w:rsidR="00000000" w:rsidRDefault="00000000">
      <w:pPr>
        <w:pStyle w:val="a1"/>
      </w:pPr>
    </w:p>
    <w:p w:rsidR="00000000" w:rsidRDefault="00000000">
      <w:pPr>
        <w:pStyle w:val="a1"/>
      </w:pPr>
      <w:r>
        <w:t>Статья 1. Право на самоопределение</w:t>
      </w:r>
      <w:r>
        <w:tab/>
      </w:r>
      <w:r>
        <w:tab/>
        <w:t>6–48</w:t>
      </w:r>
      <w:r>
        <w:tab/>
        <w:t>12</w:t>
      </w:r>
    </w:p>
    <w:p w:rsidR="00000000" w:rsidRDefault="00000000">
      <w:pPr>
        <w:pStyle w:val="a1"/>
      </w:pPr>
    </w:p>
    <w:p w:rsidR="00000000" w:rsidRDefault="00000000">
      <w:pPr>
        <w:pStyle w:val="a1"/>
        <w:ind w:left="851"/>
      </w:pPr>
      <w:r>
        <w:t>Гренландия</w:t>
      </w:r>
      <w:r>
        <w:tab/>
      </w:r>
      <w:r>
        <w:tab/>
        <w:t>6–32</w:t>
      </w:r>
      <w:r>
        <w:tab/>
        <w:t>12</w:t>
      </w:r>
    </w:p>
    <w:p w:rsidR="00000000" w:rsidRDefault="00000000">
      <w:pPr>
        <w:pStyle w:val="a1"/>
        <w:ind w:left="851"/>
      </w:pPr>
    </w:p>
    <w:p w:rsidR="00000000" w:rsidRDefault="00000000">
      <w:pPr>
        <w:pStyle w:val="a1"/>
        <w:ind w:left="851"/>
      </w:pPr>
      <w:r>
        <w:t>Фарерские острова</w:t>
      </w:r>
      <w:r>
        <w:tab/>
      </w:r>
      <w:r>
        <w:tab/>
        <w:t>33–48</w:t>
      </w:r>
      <w:r>
        <w:tab/>
        <w:t>17</w:t>
      </w:r>
    </w:p>
    <w:p w:rsidR="00000000" w:rsidRDefault="00000000">
      <w:pPr>
        <w:pStyle w:val="a1"/>
      </w:pPr>
    </w:p>
    <w:p w:rsidR="00000000" w:rsidRDefault="00000000">
      <w:pPr>
        <w:pStyle w:val="a1"/>
      </w:pPr>
      <w:r>
        <w:t>Статья 2. Осуществление Пакта и недискриминация</w:t>
      </w:r>
      <w:r>
        <w:tab/>
      </w:r>
      <w:r>
        <w:tab/>
        <w:t>49–-85</w:t>
      </w:r>
      <w:r>
        <w:tab/>
        <w:t>20</w:t>
      </w:r>
    </w:p>
    <w:p w:rsidR="00000000" w:rsidRDefault="00000000">
      <w:pPr>
        <w:pStyle w:val="a1"/>
      </w:pPr>
    </w:p>
    <w:p w:rsidR="00000000" w:rsidRDefault="00000000">
      <w:pPr>
        <w:pStyle w:val="a1"/>
        <w:ind w:left="851"/>
      </w:pPr>
      <w:r>
        <w:t>Инкорпорирование Пакта во внутреннее право</w:t>
      </w:r>
      <w:r>
        <w:tab/>
      </w:r>
      <w:r>
        <w:tab/>
        <w:t>49–58</w:t>
      </w:r>
      <w:r>
        <w:tab/>
        <w:t>20</w:t>
      </w:r>
    </w:p>
    <w:p w:rsidR="00000000" w:rsidRDefault="00000000">
      <w:pPr>
        <w:pStyle w:val="a1"/>
        <w:ind w:left="851"/>
      </w:pPr>
    </w:p>
    <w:p w:rsidR="00000000" w:rsidRDefault="00000000">
      <w:pPr>
        <w:pStyle w:val="a1"/>
        <w:ind w:left="851"/>
      </w:pPr>
      <w:r>
        <w:t>Недискриминация в контексте осуществления Пакта</w:t>
      </w:r>
      <w:r>
        <w:tab/>
      </w:r>
      <w:r>
        <w:tab/>
        <w:t>59–61</w:t>
      </w:r>
      <w:r>
        <w:tab/>
        <w:t>22</w:t>
      </w:r>
    </w:p>
    <w:p w:rsidR="00000000" w:rsidRDefault="00000000">
      <w:pPr>
        <w:pStyle w:val="a1"/>
        <w:ind w:left="851"/>
      </w:pPr>
    </w:p>
    <w:p w:rsidR="00000000" w:rsidRDefault="00000000">
      <w:pPr>
        <w:pStyle w:val="a1"/>
        <w:ind w:left="851"/>
      </w:pPr>
      <w:r>
        <w:t>Законодательство, направленное на борьбу с расизмом и недопущение дискриминации</w:t>
      </w:r>
      <w:r>
        <w:tab/>
      </w:r>
      <w:r>
        <w:tab/>
        <w:t>62</w:t>
      </w:r>
      <w:r>
        <w:tab/>
        <w:t>22</w:t>
      </w:r>
    </w:p>
    <w:p w:rsidR="00000000" w:rsidRDefault="00000000">
      <w:pPr>
        <w:pStyle w:val="a1"/>
        <w:ind w:left="851"/>
      </w:pPr>
    </w:p>
    <w:p w:rsidR="00000000" w:rsidRDefault="00000000">
      <w:pPr>
        <w:pStyle w:val="a1"/>
        <w:ind w:left="851"/>
      </w:pPr>
      <w:r>
        <w:t>Политика и специальные меры по поощрению равных возможностей и терпимости</w:t>
      </w:r>
      <w:r>
        <w:tab/>
      </w:r>
      <w:r>
        <w:tab/>
        <w:t>63–72</w:t>
      </w:r>
      <w:r>
        <w:tab/>
        <w:t>23</w:t>
      </w:r>
    </w:p>
    <w:p w:rsidR="00000000" w:rsidRDefault="00000000">
      <w:pPr>
        <w:pStyle w:val="a1"/>
        <w:ind w:left="851"/>
      </w:pPr>
    </w:p>
    <w:p w:rsidR="00000000" w:rsidRDefault="00000000">
      <w:pPr>
        <w:pStyle w:val="a1"/>
        <w:ind w:left="851"/>
      </w:pPr>
      <w:r>
        <w:t>Другие меры по борьбе против расизма, ксенофобии и связанной с ними нетерпимости</w:t>
      </w:r>
      <w:r>
        <w:tab/>
      </w:r>
      <w:r>
        <w:tab/>
        <w:t>73–81</w:t>
      </w:r>
      <w:r>
        <w:tab/>
        <w:t>25</w:t>
      </w:r>
    </w:p>
    <w:p w:rsidR="00000000" w:rsidRDefault="00000000">
      <w:pPr>
        <w:pStyle w:val="a1"/>
        <w:ind w:left="851"/>
      </w:pPr>
    </w:p>
    <w:p w:rsidR="00000000" w:rsidRDefault="00000000">
      <w:pPr>
        <w:pStyle w:val="a1"/>
        <w:ind w:left="851"/>
      </w:pPr>
      <w:r>
        <w:t>Усилия, предпринимаемые датским правительством для содействия осуществлению экономических, социальных и культурных прав в контексте сотрудничества Дании в целях развития</w:t>
      </w:r>
      <w:r>
        <w:tab/>
      </w:r>
      <w:r>
        <w:tab/>
        <w:t>82–85</w:t>
      </w:r>
      <w:r>
        <w:tab/>
        <w:t>27</w:t>
      </w:r>
    </w:p>
    <w:p w:rsidR="00000000" w:rsidRDefault="00000000">
      <w:pPr>
        <w:pStyle w:val="a1"/>
      </w:pPr>
    </w:p>
    <w:p w:rsidR="00000000" w:rsidRDefault="00000000">
      <w:pPr>
        <w:pStyle w:val="a1"/>
      </w:pPr>
      <w:r>
        <w:t>Статья 3. Равенство между мужчинами и женщинами</w:t>
      </w:r>
      <w:r>
        <w:tab/>
      </w:r>
      <w:r>
        <w:tab/>
        <w:t>86–88</w:t>
      </w:r>
      <w:r>
        <w:tab/>
        <w:t>28</w:t>
      </w:r>
    </w:p>
    <w:p w:rsidR="00000000" w:rsidRDefault="00000000">
      <w:pPr>
        <w:pStyle w:val="a1"/>
      </w:pPr>
    </w:p>
    <w:p w:rsidR="00000000" w:rsidRDefault="00000000">
      <w:pPr>
        <w:pStyle w:val="a1"/>
      </w:pPr>
      <w:r>
        <w:t>Статья 4. Ограничения</w:t>
      </w:r>
      <w:r>
        <w:tab/>
      </w:r>
      <w:r>
        <w:tab/>
        <w:t>89</w:t>
      </w:r>
      <w:r>
        <w:tab/>
        <w:t>28</w:t>
      </w:r>
    </w:p>
    <w:p w:rsidR="00000000" w:rsidRDefault="00000000">
      <w:pPr>
        <w:pStyle w:val="a1"/>
      </w:pPr>
    </w:p>
    <w:p w:rsidR="00000000" w:rsidRDefault="00000000">
      <w:pPr>
        <w:pStyle w:val="a1"/>
      </w:pPr>
      <w:r>
        <w:t>Статья 5. Действия, направленные на уничтожение или ограничение прав</w:t>
      </w:r>
      <w:r>
        <w:tab/>
      </w:r>
      <w:r>
        <w:tab/>
        <w:t>90</w:t>
      </w:r>
      <w:r>
        <w:tab/>
        <w:t>29</w:t>
      </w:r>
    </w:p>
    <w:p w:rsidR="00000000" w:rsidRDefault="00000000">
      <w:pPr>
        <w:pStyle w:val="a1"/>
      </w:pPr>
    </w:p>
    <w:p w:rsidR="00000000" w:rsidRDefault="00000000">
      <w:pPr>
        <w:pStyle w:val="a1"/>
      </w:pPr>
      <w:r>
        <w:t>Статья 6. Право на труд</w:t>
      </w:r>
      <w:r>
        <w:tab/>
      </w:r>
      <w:r>
        <w:tab/>
        <w:t>91–127</w:t>
      </w:r>
      <w:r>
        <w:tab/>
        <w:t>29</w:t>
      </w:r>
    </w:p>
    <w:p w:rsidR="00000000" w:rsidRDefault="00000000">
      <w:pPr>
        <w:pStyle w:val="a1"/>
      </w:pPr>
    </w:p>
    <w:p w:rsidR="00000000" w:rsidRDefault="00000000">
      <w:pPr>
        <w:pStyle w:val="a1"/>
        <w:ind w:left="851"/>
      </w:pPr>
      <w:r>
        <w:t>Представление докладов в отношении соответствующих смежных конвенций</w:t>
      </w:r>
      <w:r>
        <w:tab/>
      </w:r>
      <w:r>
        <w:tab/>
        <w:t>91</w:t>
      </w:r>
      <w:r>
        <w:tab/>
        <w:t>29</w:t>
      </w:r>
    </w:p>
    <w:p w:rsidR="00000000" w:rsidRDefault="00000000">
      <w:pPr>
        <w:pStyle w:val="a1"/>
        <w:ind w:left="171"/>
      </w:pPr>
    </w:p>
    <w:p w:rsidR="00000000" w:rsidRDefault="00000000">
      <w:pPr>
        <w:pStyle w:val="a1"/>
        <w:ind w:left="171"/>
      </w:pPr>
    </w:p>
    <w:p w:rsidR="00000000" w:rsidRDefault="00000000">
      <w:pPr>
        <w:pStyle w:val="16"/>
        <w:tabs>
          <w:tab w:val="clear" w:pos="567"/>
          <w:tab w:val="clear" w:pos="1134"/>
          <w:tab w:val="clear" w:pos="1701"/>
          <w:tab w:val="clear" w:pos="2268"/>
          <w:tab w:val="clear" w:pos="6237"/>
          <w:tab w:val="left" w:pos="680"/>
        </w:tabs>
        <w:spacing w:line="240" w:lineRule="auto"/>
        <w:rPr>
          <w:b/>
          <w:bCs/>
          <w:sz w:val="23"/>
        </w:rPr>
      </w:pPr>
      <w:r>
        <w:br w:type="page"/>
      </w:r>
      <w:r>
        <w:rPr>
          <w:b/>
          <w:bCs/>
          <w:sz w:val="23"/>
        </w:rPr>
        <w:t>СОДЕРЖАНИЕ</w:t>
      </w:r>
      <w:r>
        <w:rPr>
          <w:b/>
          <w:bCs/>
          <w:sz w:val="23"/>
          <w:lang w:val="en-US"/>
        </w:rPr>
        <w:t xml:space="preserve"> (</w:t>
      </w:r>
      <w:r>
        <w:rPr>
          <w:b/>
          <w:bCs/>
          <w:sz w:val="23"/>
          <w:u w:val="single"/>
        </w:rPr>
        <w:t>продолжение</w:t>
      </w:r>
      <w:r>
        <w:rPr>
          <w:b/>
          <w:bCs/>
          <w:sz w:val="23"/>
        </w:rPr>
        <w:t>)</w:t>
      </w:r>
    </w:p>
    <w:p w:rsidR="00000000" w:rsidRDefault="00000000">
      <w:pPr>
        <w:tabs>
          <w:tab w:val="clear" w:pos="567"/>
          <w:tab w:val="clear" w:pos="1134"/>
          <w:tab w:val="clear" w:pos="1701"/>
          <w:tab w:val="clear" w:pos="2268"/>
          <w:tab w:val="clear" w:pos="6237"/>
          <w:tab w:val="left" w:pos="680"/>
        </w:tabs>
        <w:spacing w:line="240" w:lineRule="auto"/>
        <w:jc w:val="both"/>
        <w:rPr>
          <w:sz w:val="23"/>
        </w:rPr>
      </w:pPr>
    </w:p>
    <w:p w:rsidR="00000000" w:rsidRDefault="00000000">
      <w:pPr>
        <w:tabs>
          <w:tab w:val="clear" w:pos="567"/>
          <w:tab w:val="clear" w:pos="1134"/>
          <w:tab w:val="clear" w:pos="1701"/>
          <w:tab w:val="clear" w:pos="2268"/>
          <w:tab w:val="clear" w:pos="6237"/>
          <w:tab w:val="center" w:pos="8392"/>
          <w:tab w:val="right" w:pos="9639"/>
        </w:tabs>
        <w:spacing w:line="240" w:lineRule="auto"/>
        <w:ind w:right="1985"/>
        <w:rPr>
          <w:sz w:val="23"/>
        </w:rPr>
      </w:pPr>
      <w:r>
        <w:rPr>
          <w:sz w:val="23"/>
        </w:rPr>
        <w:tab/>
      </w:r>
      <w:r>
        <w:rPr>
          <w:sz w:val="23"/>
          <w:u w:val="single"/>
        </w:rPr>
        <w:t>Пункты</w:t>
      </w:r>
      <w:r>
        <w:rPr>
          <w:sz w:val="23"/>
        </w:rPr>
        <w:tab/>
      </w:r>
      <w:r>
        <w:rPr>
          <w:sz w:val="23"/>
          <w:u w:val="single"/>
        </w:rPr>
        <w:t>Стр</w:t>
      </w:r>
      <w:r>
        <w:rPr>
          <w:sz w:val="23"/>
        </w:rPr>
        <w:t>.</w:t>
      </w:r>
    </w:p>
    <w:p w:rsidR="00000000" w:rsidRDefault="00000000">
      <w:pPr>
        <w:pStyle w:val="a1"/>
        <w:ind w:left="851"/>
      </w:pPr>
    </w:p>
    <w:p w:rsidR="00000000" w:rsidRDefault="00000000">
      <w:pPr>
        <w:pStyle w:val="a1"/>
        <w:ind w:left="851"/>
      </w:pPr>
      <w:r>
        <w:t>Информация о занятости</w:t>
      </w:r>
      <w:r>
        <w:tab/>
      </w:r>
      <w:r>
        <w:tab/>
        <w:t>92–98</w:t>
      </w:r>
      <w:r>
        <w:tab/>
        <w:t>29</w:t>
      </w:r>
    </w:p>
    <w:p w:rsidR="00000000" w:rsidRDefault="00000000">
      <w:pPr>
        <w:pStyle w:val="a1"/>
        <w:ind w:left="171"/>
      </w:pPr>
    </w:p>
    <w:p w:rsidR="00000000" w:rsidRDefault="00000000">
      <w:pPr>
        <w:pStyle w:val="a1"/>
        <w:ind w:left="851"/>
      </w:pPr>
      <w:r>
        <w:t>Меры по обеспечению права каждого на производительный труд</w:t>
      </w:r>
      <w:r>
        <w:tab/>
      </w:r>
      <w:r>
        <w:tab/>
        <w:t>99</w:t>
      </w:r>
      <w:r>
        <w:tab/>
        <w:t>31</w:t>
      </w:r>
    </w:p>
    <w:p w:rsidR="00000000" w:rsidRDefault="00000000">
      <w:pPr>
        <w:pStyle w:val="a1"/>
        <w:ind w:left="851"/>
      </w:pPr>
    </w:p>
    <w:p w:rsidR="00000000" w:rsidRDefault="00000000">
      <w:pPr>
        <w:pStyle w:val="a1"/>
        <w:ind w:left="851"/>
      </w:pPr>
      <w:r>
        <w:t>Свобода выбора работы</w:t>
      </w:r>
      <w:r>
        <w:tab/>
      </w:r>
      <w:r>
        <w:tab/>
        <w:t>100</w:t>
      </w:r>
      <w:r>
        <w:tab/>
        <w:t>31</w:t>
      </w:r>
    </w:p>
    <w:p w:rsidR="00000000" w:rsidRDefault="00000000">
      <w:pPr>
        <w:pStyle w:val="a1"/>
      </w:pPr>
    </w:p>
    <w:p w:rsidR="00000000" w:rsidRDefault="00000000">
      <w:pPr>
        <w:pStyle w:val="a1"/>
        <w:ind w:left="851"/>
      </w:pPr>
      <w:r>
        <w:t>Программы профессионально-технической подготовки</w:t>
      </w:r>
      <w:r>
        <w:tab/>
      </w:r>
      <w:r>
        <w:tab/>
        <w:t>101–110</w:t>
      </w:r>
      <w:r>
        <w:tab/>
        <w:t>31</w:t>
      </w:r>
    </w:p>
    <w:p w:rsidR="00000000" w:rsidRDefault="00000000">
      <w:pPr>
        <w:pStyle w:val="a1"/>
        <w:ind w:left="851"/>
      </w:pPr>
    </w:p>
    <w:p w:rsidR="00000000" w:rsidRDefault="00000000">
      <w:pPr>
        <w:pStyle w:val="a1"/>
        <w:ind w:left="851"/>
      </w:pPr>
      <w:r>
        <w:t>Возникающие трудности</w:t>
      </w:r>
      <w:r>
        <w:tab/>
      </w:r>
      <w:r>
        <w:tab/>
        <w:t>111</w:t>
      </w:r>
      <w:r>
        <w:tab/>
        <w:t>33</w:t>
      </w:r>
    </w:p>
    <w:p w:rsidR="00000000" w:rsidRDefault="00000000">
      <w:pPr>
        <w:pStyle w:val="a1"/>
        <w:ind w:left="851"/>
      </w:pPr>
    </w:p>
    <w:p w:rsidR="00000000" w:rsidRDefault="00000000">
      <w:pPr>
        <w:pStyle w:val="a1"/>
        <w:ind w:left="851"/>
      </w:pPr>
      <w:r>
        <w:t>Различия, исключения, ограничения или привилегии в отношении каких-либо лиц или групп лиц</w:t>
      </w:r>
      <w:r>
        <w:tab/>
      </w:r>
      <w:r>
        <w:tab/>
        <w:t>112–117</w:t>
      </w:r>
      <w:r>
        <w:tab/>
        <w:t>33</w:t>
      </w:r>
    </w:p>
    <w:p w:rsidR="00000000" w:rsidRDefault="00000000">
      <w:pPr>
        <w:pStyle w:val="a1"/>
        <w:ind w:left="851"/>
      </w:pPr>
    </w:p>
    <w:p w:rsidR="00000000" w:rsidRDefault="00000000">
      <w:pPr>
        <w:pStyle w:val="a1"/>
        <w:ind w:left="851"/>
      </w:pPr>
      <w:r>
        <w:t>Положение в области профессиональной ориентации и т. д.</w:t>
      </w:r>
      <w:r>
        <w:tab/>
      </w:r>
      <w:r>
        <w:tab/>
        <w:t>118</w:t>
      </w:r>
      <w:r>
        <w:tab/>
        <w:t>34</w:t>
      </w:r>
    </w:p>
    <w:p w:rsidR="00000000" w:rsidRDefault="00000000">
      <w:pPr>
        <w:pStyle w:val="a1"/>
        <w:ind w:left="851"/>
      </w:pPr>
    </w:p>
    <w:p w:rsidR="00000000" w:rsidRDefault="00000000">
      <w:pPr>
        <w:pStyle w:val="a1"/>
        <w:ind w:left="851"/>
      </w:pPr>
      <w:r>
        <w:t>Наличие различий, не считающееся дискриминацией</w:t>
      </w:r>
      <w:r>
        <w:tab/>
      </w:r>
      <w:r>
        <w:tab/>
        <w:t>119–120</w:t>
      </w:r>
      <w:r>
        <w:tab/>
        <w:t>34</w:t>
      </w:r>
    </w:p>
    <w:p w:rsidR="00000000" w:rsidRDefault="00000000">
      <w:pPr>
        <w:pStyle w:val="a1"/>
        <w:ind w:left="851"/>
      </w:pPr>
    </w:p>
    <w:p w:rsidR="00000000" w:rsidRDefault="00000000">
      <w:pPr>
        <w:pStyle w:val="a1"/>
        <w:ind w:left="851"/>
      </w:pPr>
      <w:r>
        <w:t>Доля лиц, работающих в двух или более местах по принципу полной занятости</w:t>
      </w:r>
      <w:r>
        <w:tab/>
      </w:r>
      <w:r>
        <w:tab/>
        <w:t>121–122</w:t>
      </w:r>
      <w:r>
        <w:tab/>
        <w:t>34</w:t>
      </w:r>
    </w:p>
    <w:p w:rsidR="00000000" w:rsidRDefault="00000000">
      <w:pPr>
        <w:pStyle w:val="a1"/>
        <w:ind w:left="851"/>
      </w:pPr>
    </w:p>
    <w:p w:rsidR="00000000" w:rsidRDefault="00000000">
      <w:pPr>
        <w:pStyle w:val="a1"/>
        <w:ind w:left="851"/>
      </w:pPr>
      <w:r>
        <w:t>Изменения с момента представления предыдущего доклада</w:t>
      </w:r>
      <w:r>
        <w:tab/>
      </w:r>
      <w:r>
        <w:tab/>
        <w:t>123–126</w:t>
      </w:r>
      <w:r>
        <w:tab/>
        <w:t>35</w:t>
      </w:r>
    </w:p>
    <w:p w:rsidR="00000000" w:rsidRDefault="00000000">
      <w:pPr>
        <w:pStyle w:val="a1"/>
        <w:ind w:left="851"/>
      </w:pPr>
    </w:p>
    <w:p w:rsidR="00000000" w:rsidRDefault="00000000">
      <w:pPr>
        <w:pStyle w:val="a1"/>
        <w:ind w:left="851"/>
      </w:pPr>
      <w:r>
        <w:t>Роль международной помощи</w:t>
      </w:r>
      <w:r>
        <w:tab/>
      </w:r>
      <w:r>
        <w:tab/>
        <w:t>127</w:t>
      </w:r>
      <w:r>
        <w:tab/>
        <w:t>35</w:t>
      </w:r>
    </w:p>
    <w:p w:rsidR="00000000" w:rsidRDefault="00000000">
      <w:pPr>
        <w:pStyle w:val="a1"/>
      </w:pPr>
    </w:p>
    <w:p w:rsidR="00000000" w:rsidRDefault="00000000">
      <w:pPr>
        <w:pStyle w:val="a1"/>
      </w:pPr>
      <w:r>
        <w:t>Статья 7. Справедливые и благоприятные условия труда</w:t>
      </w:r>
      <w:r>
        <w:tab/>
      </w:r>
      <w:r>
        <w:tab/>
        <w:t>128–142</w:t>
      </w:r>
      <w:r>
        <w:tab/>
        <w:t>36</w:t>
      </w:r>
    </w:p>
    <w:p w:rsidR="00000000" w:rsidRDefault="00000000">
      <w:pPr>
        <w:pStyle w:val="a1"/>
      </w:pPr>
    </w:p>
    <w:p w:rsidR="00000000" w:rsidRDefault="00000000">
      <w:pPr>
        <w:pStyle w:val="a1"/>
        <w:ind w:left="851"/>
      </w:pPr>
      <w:r>
        <w:t>Ссылки на предыдущий доклад</w:t>
      </w:r>
      <w:r>
        <w:tab/>
      </w:r>
      <w:r>
        <w:tab/>
        <w:t>128</w:t>
      </w:r>
      <w:r>
        <w:tab/>
        <w:t>36</w:t>
      </w:r>
    </w:p>
    <w:p w:rsidR="00000000" w:rsidRDefault="00000000">
      <w:pPr>
        <w:pStyle w:val="a1"/>
        <w:ind w:left="851"/>
      </w:pPr>
    </w:p>
    <w:p w:rsidR="00000000" w:rsidRDefault="00000000">
      <w:pPr>
        <w:pStyle w:val="a1"/>
        <w:ind w:left="851"/>
      </w:pPr>
      <w:r>
        <w:t>Система минимальной заработной платы</w:t>
      </w:r>
      <w:r>
        <w:tab/>
      </w:r>
      <w:r>
        <w:tab/>
        <w:t>129</w:t>
      </w:r>
      <w:r>
        <w:tab/>
        <w:t>36</w:t>
      </w:r>
    </w:p>
    <w:p w:rsidR="00000000" w:rsidRDefault="00000000">
      <w:pPr>
        <w:pStyle w:val="a1"/>
        <w:ind w:left="851"/>
      </w:pPr>
    </w:p>
    <w:p w:rsidR="00000000" w:rsidRDefault="00000000">
      <w:pPr>
        <w:pStyle w:val="a1"/>
        <w:ind w:left="851"/>
      </w:pPr>
      <w:r>
        <w:t>Равенство вознаграждения</w:t>
      </w:r>
      <w:r>
        <w:tab/>
      </w:r>
      <w:r>
        <w:tab/>
        <w:t>130–132</w:t>
      </w:r>
      <w:r>
        <w:tab/>
        <w:t>37</w:t>
      </w:r>
    </w:p>
    <w:p w:rsidR="00000000" w:rsidRDefault="00000000">
      <w:pPr>
        <w:pStyle w:val="a1"/>
        <w:ind w:left="851"/>
      </w:pPr>
    </w:p>
    <w:p w:rsidR="00000000" w:rsidRDefault="00000000">
      <w:pPr>
        <w:pStyle w:val="a1"/>
        <w:ind w:left="851"/>
      </w:pPr>
      <w:r>
        <w:t>Распределение доходов лиц наемного труда</w:t>
      </w:r>
      <w:r>
        <w:tab/>
      </w:r>
      <w:r>
        <w:tab/>
        <w:t>133–134</w:t>
      </w:r>
      <w:r>
        <w:tab/>
        <w:t>37</w:t>
      </w:r>
    </w:p>
    <w:p w:rsidR="00000000" w:rsidRDefault="00000000">
      <w:pPr>
        <w:pStyle w:val="a1"/>
        <w:ind w:left="851"/>
      </w:pPr>
    </w:p>
    <w:p w:rsidR="00000000" w:rsidRDefault="00000000">
      <w:pPr>
        <w:pStyle w:val="a1"/>
        <w:tabs>
          <w:tab w:val="clear" w:pos="7655"/>
        </w:tabs>
        <w:ind w:left="851"/>
      </w:pPr>
      <w:r>
        <w:t>Категории трудящихся, которые не подпадают под действие существующих систем по закону или которые пользуются этими системами в недостаточной степени или не пользуются ими вообще</w:t>
      </w:r>
      <w:r>
        <w:tab/>
        <w:t>135–136</w:t>
      </w:r>
      <w:r>
        <w:tab/>
        <w:t>37</w:t>
      </w:r>
    </w:p>
    <w:p w:rsidR="00000000" w:rsidRDefault="00000000">
      <w:pPr>
        <w:pStyle w:val="a1"/>
        <w:ind w:left="851"/>
      </w:pPr>
    </w:p>
    <w:p w:rsidR="00000000" w:rsidRDefault="00000000">
      <w:pPr>
        <w:pStyle w:val="a1"/>
        <w:ind w:left="851"/>
      </w:pPr>
      <w:r>
        <w:t>Информация о несчастных случаях на производстве и профессиональных заболеваниях</w:t>
      </w:r>
      <w:r>
        <w:tab/>
      </w:r>
      <w:r>
        <w:tab/>
        <w:t>137</w:t>
      </w:r>
      <w:r>
        <w:tab/>
        <w:t>38</w:t>
      </w:r>
    </w:p>
    <w:p w:rsidR="00000000" w:rsidRDefault="00000000">
      <w:pPr>
        <w:pStyle w:val="16"/>
        <w:tabs>
          <w:tab w:val="clear" w:pos="567"/>
          <w:tab w:val="clear" w:pos="1134"/>
          <w:tab w:val="clear" w:pos="1701"/>
          <w:tab w:val="clear" w:pos="2268"/>
          <w:tab w:val="clear" w:pos="6237"/>
          <w:tab w:val="left" w:pos="680"/>
        </w:tabs>
        <w:spacing w:line="240" w:lineRule="auto"/>
        <w:rPr>
          <w:b/>
          <w:bCs/>
          <w:sz w:val="23"/>
        </w:rPr>
      </w:pPr>
      <w:r>
        <w:rPr>
          <w:b/>
          <w:bCs/>
          <w:sz w:val="23"/>
        </w:rPr>
        <w:br w:type="page"/>
        <w:t>СОДЕРЖАНИЕ (</w:t>
      </w:r>
      <w:r>
        <w:rPr>
          <w:b/>
          <w:bCs/>
          <w:sz w:val="23"/>
          <w:u w:val="single"/>
        </w:rPr>
        <w:t>продолжение</w:t>
      </w:r>
      <w:r>
        <w:rPr>
          <w:b/>
          <w:bCs/>
          <w:sz w:val="23"/>
        </w:rPr>
        <w:t>)</w:t>
      </w:r>
    </w:p>
    <w:p w:rsidR="00000000" w:rsidRDefault="00000000">
      <w:pPr>
        <w:tabs>
          <w:tab w:val="clear" w:pos="567"/>
          <w:tab w:val="clear" w:pos="1134"/>
          <w:tab w:val="clear" w:pos="1701"/>
          <w:tab w:val="clear" w:pos="2268"/>
          <w:tab w:val="clear" w:pos="6237"/>
          <w:tab w:val="left" w:pos="680"/>
        </w:tabs>
        <w:spacing w:line="240" w:lineRule="auto"/>
        <w:jc w:val="both"/>
        <w:rPr>
          <w:sz w:val="23"/>
        </w:rPr>
      </w:pPr>
    </w:p>
    <w:p w:rsidR="00000000" w:rsidRDefault="00000000">
      <w:pPr>
        <w:tabs>
          <w:tab w:val="clear" w:pos="567"/>
          <w:tab w:val="clear" w:pos="1134"/>
          <w:tab w:val="clear" w:pos="1701"/>
          <w:tab w:val="clear" w:pos="2268"/>
          <w:tab w:val="clear" w:pos="6237"/>
          <w:tab w:val="center" w:pos="8392"/>
          <w:tab w:val="right" w:pos="9639"/>
        </w:tabs>
        <w:spacing w:line="240" w:lineRule="auto"/>
        <w:ind w:right="1985"/>
        <w:rPr>
          <w:sz w:val="23"/>
        </w:rPr>
      </w:pPr>
      <w:r>
        <w:rPr>
          <w:sz w:val="23"/>
        </w:rPr>
        <w:tab/>
      </w:r>
      <w:r>
        <w:rPr>
          <w:sz w:val="23"/>
          <w:u w:val="single"/>
        </w:rPr>
        <w:t>Пункты</w:t>
      </w:r>
      <w:r>
        <w:rPr>
          <w:sz w:val="23"/>
        </w:rPr>
        <w:tab/>
      </w:r>
      <w:r>
        <w:rPr>
          <w:sz w:val="23"/>
          <w:u w:val="single"/>
        </w:rPr>
        <w:t>Стр</w:t>
      </w:r>
      <w:r>
        <w:rPr>
          <w:sz w:val="23"/>
        </w:rPr>
        <w:t>.</w:t>
      </w:r>
    </w:p>
    <w:p w:rsidR="00000000" w:rsidRDefault="00000000">
      <w:pPr>
        <w:pStyle w:val="a1"/>
        <w:ind w:left="851"/>
      </w:pPr>
    </w:p>
    <w:p w:rsidR="00000000" w:rsidRDefault="00000000">
      <w:pPr>
        <w:pStyle w:val="a1"/>
        <w:ind w:left="851"/>
      </w:pPr>
      <w:r>
        <w:t>Принцип равных возможностей продвижения по службе</w:t>
      </w:r>
      <w:r>
        <w:tab/>
      </w:r>
      <w:r>
        <w:tab/>
        <w:t>138–139</w:t>
      </w:r>
      <w:r>
        <w:tab/>
        <w:t>38</w:t>
      </w:r>
    </w:p>
    <w:p w:rsidR="00000000" w:rsidRDefault="00000000">
      <w:pPr>
        <w:pStyle w:val="a1"/>
        <w:ind w:left="851"/>
      </w:pPr>
    </w:p>
    <w:p w:rsidR="00000000" w:rsidRDefault="00000000">
      <w:pPr>
        <w:pStyle w:val="a1"/>
        <w:ind w:left="851"/>
      </w:pPr>
      <w:r>
        <w:t>Отдых и оплачиваемые выходные дни</w:t>
      </w:r>
      <w:r>
        <w:tab/>
      </w:r>
      <w:r>
        <w:tab/>
        <w:t>140</w:t>
      </w:r>
      <w:r>
        <w:tab/>
        <w:t>38</w:t>
      </w:r>
    </w:p>
    <w:p w:rsidR="00000000" w:rsidRDefault="00000000">
      <w:pPr>
        <w:pStyle w:val="a1"/>
        <w:ind w:left="851"/>
      </w:pPr>
    </w:p>
    <w:p w:rsidR="00000000" w:rsidRDefault="00000000">
      <w:pPr>
        <w:pStyle w:val="a1"/>
        <w:ind w:left="851"/>
      </w:pPr>
      <w:r>
        <w:t>Изменения с момента представления предыдущего доклада</w:t>
      </w:r>
      <w:r>
        <w:tab/>
      </w:r>
      <w:r>
        <w:tab/>
        <w:t>141</w:t>
      </w:r>
      <w:r>
        <w:tab/>
        <w:t>38</w:t>
      </w:r>
    </w:p>
    <w:p w:rsidR="00000000" w:rsidRDefault="00000000">
      <w:pPr>
        <w:pStyle w:val="a1"/>
        <w:ind w:left="851"/>
      </w:pPr>
    </w:p>
    <w:p w:rsidR="00000000" w:rsidRDefault="00000000">
      <w:pPr>
        <w:pStyle w:val="a1"/>
        <w:ind w:left="851"/>
      </w:pPr>
      <w:r>
        <w:t>Роль международной помощи</w:t>
      </w:r>
      <w:r>
        <w:tab/>
      </w:r>
      <w:r>
        <w:tab/>
        <w:t>142</w:t>
      </w:r>
      <w:r>
        <w:tab/>
        <w:t>38</w:t>
      </w:r>
    </w:p>
    <w:p w:rsidR="00000000" w:rsidRDefault="00000000">
      <w:pPr>
        <w:pStyle w:val="a1"/>
      </w:pPr>
    </w:p>
    <w:p w:rsidR="00000000" w:rsidRDefault="00000000">
      <w:pPr>
        <w:pStyle w:val="a1"/>
      </w:pPr>
      <w:r>
        <w:t>Статья 8. Профсоюзы</w:t>
      </w:r>
      <w:r>
        <w:tab/>
      </w:r>
      <w:r>
        <w:tab/>
        <w:t>143–151</w:t>
      </w:r>
      <w:r>
        <w:tab/>
        <w:t>38</w:t>
      </w:r>
    </w:p>
    <w:p w:rsidR="00000000" w:rsidRDefault="00000000">
      <w:pPr>
        <w:pStyle w:val="a1"/>
      </w:pPr>
    </w:p>
    <w:p w:rsidR="00000000" w:rsidRDefault="00000000">
      <w:pPr>
        <w:pStyle w:val="a1"/>
        <w:ind w:left="851"/>
      </w:pPr>
      <w:r>
        <w:t>Ссылки на другие доклады</w:t>
      </w:r>
      <w:r>
        <w:tab/>
      </w:r>
      <w:r>
        <w:tab/>
        <w:t>143</w:t>
      </w:r>
      <w:r>
        <w:tab/>
        <w:t>38</w:t>
      </w:r>
    </w:p>
    <w:p w:rsidR="00000000" w:rsidRDefault="00000000">
      <w:pPr>
        <w:pStyle w:val="a1"/>
        <w:ind w:left="851"/>
      </w:pPr>
    </w:p>
    <w:p w:rsidR="00000000" w:rsidRDefault="00000000">
      <w:pPr>
        <w:pStyle w:val="a1"/>
        <w:ind w:left="851"/>
      </w:pPr>
      <w:r>
        <w:t>Условия для вступления в профсоюзы и создания профсоюзов</w:t>
      </w:r>
      <w:r>
        <w:tab/>
      </w:r>
      <w:r>
        <w:tab/>
        <w:t>144</w:t>
      </w:r>
      <w:r>
        <w:tab/>
        <w:t>39</w:t>
      </w:r>
    </w:p>
    <w:p w:rsidR="00000000" w:rsidRDefault="00000000">
      <w:pPr>
        <w:pStyle w:val="a1"/>
        <w:ind w:left="851"/>
      </w:pPr>
    </w:p>
    <w:p w:rsidR="00000000" w:rsidRDefault="00000000">
      <w:pPr>
        <w:pStyle w:val="a1"/>
        <w:ind w:left="851"/>
      </w:pPr>
      <w:r>
        <w:t>Право на забастовки</w:t>
      </w:r>
      <w:r>
        <w:tab/>
      </w:r>
      <w:r>
        <w:tab/>
        <w:t>145–148</w:t>
      </w:r>
      <w:r>
        <w:tab/>
        <w:t>39</w:t>
      </w:r>
    </w:p>
    <w:p w:rsidR="00000000" w:rsidRDefault="00000000">
      <w:pPr>
        <w:pStyle w:val="a1"/>
        <w:ind w:left="851"/>
      </w:pPr>
    </w:p>
    <w:p w:rsidR="00000000" w:rsidRDefault="00000000">
      <w:pPr>
        <w:pStyle w:val="a1"/>
        <w:ind w:left="851"/>
      </w:pPr>
      <w:r>
        <w:t>Ограничение права на забастовки</w:t>
      </w:r>
      <w:r>
        <w:tab/>
      </w:r>
      <w:r>
        <w:tab/>
        <w:t>149–150</w:t>
      </w:r>
      <w:r>
        <w:tab/>
        <w:t>39</w:t>
      </w:r>
    </w:p>
    <w:p w:rsidR="00000000" w:rsidRDefault="00000000">
      <w:pPr>
        <w:pStyle w:val="a1"/>
        <w:ind w:left="851"/>
      </w:pPr>
    </w:p>
    <w:p w:rsidR="00000000" w:rsidRDefault="00000000">
      <w:pPr>
        <w:pStyle w:val="a1"/>
        <w:ind w:left="851"/>
      </w:pPr>
      <w:r>
        <w:t>Изменения с момента представления предыдущего доклада</w:t>
      </w:r>
      <w:r>
        <w:tab/>
      </w:r>
      <w:r>
        <w:tab/>
        <w:t>151</w:t>
      </w:r>
      <w:r>
        <w:tab/>
        <w:t>40</w:t>
      </w:r>
    </w:p>
    <w:p w:rsidR="00000000" w:rsidRDefault="00000000">
      <w:pPr>
        <w:pStyle w:val="a1"/>
      </w:pPr>
    </w:p>
    <w:p w:rsidR="00000000" w:rsidRDefault="00000000">
      <w:pPr>
        <w:pStyle w:val="a1"/>
      </w:pPr>
      <w:r>
        <w:t>Статья 9. Социальное обеспечение</w:t>
      </w:r>
      <w:r>
        <w:tab/>
      </w:r>
      <w:r>
        <w:tab/>
        <w:t>152–228</w:t>
      </w:r>
      <w:r>
        <w:tab/>
        <w:t>40</w:t>
      </w:r>
    </w:p>
    <w:p w:rsidR="00000000" w:rsidRDefault="00000000">
      <w:pPr>
        <w:pStyle w:val="a1"/>
      </w:pPr>
    </w:p>
    <w:p w:rsidR="00000000" w:rsidRDefault="00000000">
      <w:pPr>
        <w:pStyle w:val="a1"/>
        <w:ind w:left="851"/>
      </w:pPr>
      <w:r>
        <w:t>Социальное обеспечение в соответствии с нормами МОТ</w:t>
      </w:r>
      <w:r>
        <w:tab/>
      </w:r>
      <w:r>
        <w:tab/>
        <w:t>152</w:t>
      </w:r>
      <w:r>
        <w:tab/>
        <w:t>40</w:t>
      </w:r>
    </w:p>
    <w:p w:rsidR="00000000" w:rsidRDefault="00000000">
      <w:pPr>
        <w:pStyle w:val="a1"/>
        <w:ind w:left="851"/>
      </w:pPr>
    </w:p>
    <w:p w:rsidR="00000000" w:rsidRDefault="00000000">
      <w:pPr>
        <w:pStyle w:val="a1"/>
        <w:ind w:left="851"/>
      </w:pPr>
      <w:r>
        <w:t>Категории социального обеспечения</w:t>
      </w:r>
      <w:r>
        <w:tab/>
      </w:r>
      <w:r>
        <w:tab/>
        <w:t>153</w:t>
      </w:r>
      <w:r>
        <w:tab/>
        <w:t>40</w:t>
      </w:r>
    </w:p>
    <w:p w:rsidR="00000000" w:rsidRDefault="00000000">
      <w:pPr>
        <w:pStyle w:val="a1"/>
        <w:ind w:left="851"/>
      </w:pPr>
    </w:p>
    <w:p w:rsidR="00000000" w:rsidRDefault="00000000">
      <w:pPr>
        <w:pStyle w:val="a1"/>
        <w:ind w:left="851"/>
      </w:pPr>
      <w:r>
        <w:t>Основная характеристика различных схем</w:t>
      </w:r>
      <w:r>
        <w:tab/>
      </w:r>
      <w:r>
        <w:tab/>
        <w:t>154–193</w:t>
      </w:r>
      <w:r>
        <w:tab/>
        <w:t>40</w:t>
      </w:r>
    </w:p>
    <w:p w:rsidR="00000000" w:rsidRDefault="00000000">
      <w:pPr>
        <w:pStyle w:val="a1"/>
        <w:ind w:left="851"/>
      </w:pPr>
    </w:p>
    <w:p w:rsidR="00000000" w:rsidRDefault="00000000">
      <w:pPr>
        <w:pStyle w:val="a1"/>
        <w:ind w:left="851"/>
      </w:pPr>
      <w:r>
        <w:t>Доля ВНП, расходуемая на социальное обеспечение</w:t>
      </w:r>
      <w:r>
        <w:tab/>
      </w:r>
      <w:r>
        <w:tab/>
        <w:t>194–195</w:t>
      </w:r>
      <w:r>
        <w:tab/>
        <w:t>47</w:t>
      </w:r>
    </w:p>
    <w:p w:rsidR="00000000" w:rsidRDefault="00000000">
      <w:pPr>
        <w:pStyle w:val="a1"/>
        <w:ind w:left="851"/>
      </w:pPr>
    </w:p>
    <w:p w:rsidR="00000000" w:rsidRDefault="00000000">
      <w:pPr>
        <w:pStyle w:val="a1"/>
        <w:ind w:left="851"/>
      </w:pPr>
      <w:r>
        <w:t>Частные меры</w:t>
      </w:r>
      <w:r>
        <w:tab/>
      </w:r>
      <w:r>
        <w:tab/>
        <w:t>196</w:t>
      </w:r>
      <w:r>
        <w:tab/>
        <w:t>47</w:t>
      </w:r>
    </w:p>
    <w:p w:rsidR="00000000" w:rsidRDefault="00000000">
      <w:pPr>
        <w:pStyle w:val="a1"/>
        <w:ind w:left="851"/>
      </w:pPr>
    </w:p>
    <w:p w:rsidR="00000000" w:rsidRDefault="00000000">
      <w:pPr>
        <w:pStyle w:val="a1"/>
        <w:ind w:left="851"/>
      </w:pPr>
      <w:r>
        <w:t>Уязвимые группы</w:t>
      </w:r>
      <w:r>
        <w:tab/>
      </w:r>
      <w:r>
        <w:tab/>
        <w:t>197–215</w:t>
      </w:r>
      <w:r>
        <w:tab/>
        <w:t>47</w:t>
      </w:r>
    </w:p>
    <w:p w:rsidR="00000000" w:rsidRDefault="00000000">
      <w:pPr>
        <w:pStyle w:val="a1"/>
        <w:ind w:left="851"/>
      </w:pPr>
    </w:p>
    <w:p w:rsidR="00000000" w:rsidRDefault="00000000">
      <w:pPr>
        <w:pStyle w:val="a1"/>
        <w:ind w:left="851"/>
      </w:pPr>
      <w:r>
        <w:t>Обзор изменений</w:t>
      </w:r>
      <w:r>
        <w:tab/>
      </w:r>
      <w:r>
        <w:tab/>
        <w:t>216–227</w:t>
      </w:r>
      <w:r>
        <w:tab/>
        <w:t>49</w:t>
      </w:r>
    </w:p>
    <w:p w:rsidR="00000000" w:rsidRDefault="00000000">
      <w:pPr>
        <w:pStyle w:val="a1"/>
        <w:ind w:left="851"/>
      </w:pPr>
    </w:p>
    <w:p w:rsidR="00000000" w:rsidRDefault="00000000">
      <w:pPr>
        <w:pStyle w:val="a1"/>
        <w:ind w:left="851"/>
      </w:pPr>
      <w:r>
        <w:t>Международная помощь</w:t>
      </w:r>
      <w:r>
        <w:tab/>
      </w:r>
      <w:r>
        <w:tab/>
        <w:t>228</w:t>
      </w:r>
      <w:r>
        <w:tab/>
        <w:t>52</w:t>
      </w:r>
    </w:p>
    <w:p w:rsidR="00000000" w:rsidRDefault="00000000">
      <w:pPr>
        <w:pStyle w:val="a1"/>
      </w:pPr>
    </w:p>
    <w:p w:rsidR="00000000" w:rsidRDefault="00000000">
      <w:pPr>
        <w:pStyle w:val="16"/>
        <w:tabs>
          <w:tab w:val="clear" w:pos="567"/>
          <w:tab w:val="clear" w:pos="1134"/>
          <w:tab w:val="clear" w:pos="1701"/>
          <w:tab w:val="clear" w:pos="2268"/>
          <w:tab w:val="clear" w:pos="6237"/>
          <w:tab w:val="left" w:pos="680"/>
        </w:tabs>
        <w:spacing w:line="240" w:lineRule="auto"/>
        <w:rPr>
          <w:b/>
          <w:bCs/>
          <w:sz w:val="23"/>
        </w:rPr>
      </w:pPr>
      <w:r>
        <w:br w:type="page"/>
      </w:r>
      <w:r>
        <w:rPr>
          <w:b/>
          <w:bCs/>
          <w:sz w:val="23"/>
        </w:rPr>
        <w:t>СОДЕРЖАНИЕ (</w:t>
      </w:r>
      <w:r>
        <w:rPr>
          <w:b/>
          <w:bCs/>
          <w:sz w:val="23"/>
          <w:u w:val="single"/>
        </w:rPr>
        <w:t>продолжение</w:t>
      </w:r>
      <w:r>
        <w:rPr>
          <w:b/>
          <w:bCs/>
          <w:sz w:val="23"/>
        </w:rPr>
        <w:t>)</w:t>
      </w:r>
    </w:p>
    <w:p w:rsidR="00000000" w:rsidRDefault="00000000">
      <w:pPr>
        <w:tabs>
          <w:tab w:val="clear" w:pos="567"/>
          <w:tab w:val="clear" w:pos="1134"/>
          <w:tab w:val="clear" w:pos="1701"/>
          <w:tab w:val="clear" w:pos="2268"/>
          <w:tab w:val="clear" w:pos="6237"/>
          <w:tab w:val="left" w:pos="680"/>
        </w:tabs>
        <w:spacing w:line="240" w:lineRule="auto"/>
        <w:jc w:val="both"/>
        <w:rPr>
          <w:sz w:val="23"/>
        </w:rPr>
      </w:pPr>
    </w:p>
    <w:p w:rsidR="00000000" w:rsidRDefault="00000000">
      <w:pPr>
        <w:tabs>
          <w:tab w:val="clear" w:pos="567"/>
          <w:tab w:val="clear" w:pos="1134"/>
          <w:tab w:val="clear" w:pos="1701"/>
          <w:tab w:val="clear" w:pos="2268"/>
          <w:tab w:val="clear" w:pos="6237"/>
          <w:tab w:val="center" w:pos="8392"/>
          <w:tab w:val="right" w:pos="9639"/>
        </w:tabs>
        <w:spacing w:line="240" w:lineRule="auto"/>
        <w:ind w:right="1985"/>
        <w:rPr>
          <w:sz w:val="23"/>
        </w:rPr>
      </w:pPr>
      <w:r>
        <w:rPr>
          <w:sz w:val="23"/>
        </w:rPr>
        <w:tab/>
      </w:r>
      <w:r>
        <w:rPr>
          <w:sz w:val="23"/>
          <w:u w:val="single"/>
        </w:rPr>
        <w:t>Пункты</w:t>
      </w:r>
      <w:r>
        <w:rPr>
          <w:sz w:val="23"/>
        </w:rPr>
        <w:tab/>
      </w:r>
      <w:r>
        <w:rPr>
          <w:sz w:val="23"/>
          <w:u w:val="single"/>
        </w:rPr>
        <w:t>Стр</w:t>
      </w:r>
      <w:r>
        <w:rPr>
          <w:sz w:val="23"/>
        </w:rPr>
        <w:t>.</w:t>
      </w:r>
    </w:p>
    <w:p w:rsidR="00000000" w:rsidRDefault="00000000">
      <w:pPr>
        <w:pStyle w:val="a1"/>
        <w:ind w:left="851"/>
      </w:pPr>
    </w:p>
    <w:p w:rsidR="00000000" w:rsidRDefault="00000000">
      <w:pPr>
        <w:pStyle w:val="a1"/>
      </w:pPr>
      <w:r>
        <w:t>Статья 10. Семья, матери и дети</w:t>
      </w:r>
      <w:r>
        <w:tab/>
      </w:r>
      <w:r>
        <w:tab/>
        <w:t>229–266</w:t>
      </w:r>
      <w:r>
        <w:tab/>
        <w:t>52</w:t>
      </w:r>
    </w:p>
    <w:p w:rsidR="00000000" w:rsidRDefault="00000000">
      <w:pPr>
        <w:pStyle w:val="a1"/>
      </w:pPr>
    </w:p>
    <w:p w:rsidR="00000000" w:rsidRDefault="00000000">
      <w:pPr>
        <w:pStyle w:val="a1"/>
        <w:ind w:left="851"/>
      </w:pPr>
      <w:r>
        <w:t>Участие в других соответствующих конвенциях</w:t>
      </w:r>
      <w:r>
        <w:tab/>
      </w:r>
      <w:r>
        <w:tab/>
        <w:t>229</w:t>
      </w:r>
      <w:r>
        <w:tab/>
        <w:t>52</w:t>
      </w:r>
    </w:p>
    <w:p w:rsidR="00000000" w:rsidRDefault="00000000">
      <w:pPr>
        <w:pStyle w:val="a1"/>
        <w:ind w:left="851"/>
      </w:pPr>
    </w:p>
    <w:p w:rsidR="00000000" w:rsidRDefault="00000000">
      <w:pPr>
        <w:pStyle w:val="a1"/>
        <w:ind w:left="851"/>
      </w:pPr>
      <w:r>
        <w:t>Семья, матери и дети</w:t>
      </w:r>
      <w:r>
        <w:tab/>
      </w:r>
      <w:r>
        <w:tab/>
        <w:t>230–233</w:t>
      </w:r>
      <w:r>
        <w:tab/>
        <w:t>52</w:t>
      </w:r>
    </w:p>
    <w:p w:rsidR="00000000" w:rsidRDefault="00000000">
      <w:pPr>
        <w:pStyle w:val="a1"/>
        <w:ind w:left="851"/>
      </w:pPr>
    </w:p>
    <w:p w:rsidR="00000000" w:rsidRDefault="00000000">
      <w:pPr>
        <w:pStyle w:val="a1"/>
        <w:ind w:left="851"/>
      </w:pPr>
      <w:r>
        <w:t>Возраст совершеннолетия</w:t>
      </w:r>
      <w:r>
        <w:tab/>
      </w:r>
      <w:r>
        <w:tab/>
        <w:t>234–236</w:t>
      </w:r>
      <w:r>
        <w:tab/>
        <w:t>52</w:t>
      </w:r>
    </w:p>
    <w:p w:rsidR="00000000" w:rsidRDefault="00000000">
      <w:pPr>
        <w:pStyle w:val="a1"/>
        <w:ind w:left="851"/>
      </w:pPr>
    </w:p>
    <w:p w:rsidR="00000000" w:rsidRDefault="00000000">
      <w:pPr>
        <w:pStyle w:val="a1"/>
        <w:ind w:left="851"/>
      </w:pPr>
      <w:r>
        <w:t>Вступление в брак и защита семьи</w:t>
      </w:r>
      <w:r>
        <w:tab/>
      </w:r>
      <w:r>
        <w:tab/>
        <w:t>237–249</w:t>
      </w:r>
      <w:r>
        <w:tab/>
        <w:t>53</w:t>
      </w:r>
    </w:p>
    <w:p w:rsidR="00000000" w:rsidRDefault="00000000">
      <w:pPr>
        <w:pStyle w:val="a1"/>
        <w:ind w:left="851"/>
      </w:pPr>
    </w:p>
    <w:p w:rsidR="00000000" w:rsidRDefault="00000000">
      <w:pPr>
        <w:pStyle w:val="a1"/>
        <w:ind w:left="851"/>
      </w:pPr>
      <w:r>
        <w:t>Меры по устранению недостатков в области защиты семьи</w:t>
      </w:r>
      <w:r>
        <w:tab/>
      </w:r>
      <w:r>
        <w:tab/>
        <w:t>250–254</w:t>
      </w:r>
      <w:r>
        <w:tab/>
        <w:t>56</w:t>
      </w:r>
    </w:p>
    <w:p w:rsidR="00000000" w:rsidRDefault="00000000">
      <w:pPr>
        <w:pStyle w:val="a1"/>
        <w:ind w:left="851"/>
      </w:pPr>
    </w:p>
    <w:p w:rsidR="00000000" w:rsidRDefault="00000000">
      <w:pPr>
        <w:pStyle w:val="a1"/>
        <w:ind w:left="851"/>
      </w:pPr>
      <w:r>
        <w:t>Защита материнства</w:t>
      </w:r>
      <w:r>
        <w:tab/>
      </w:r>
      <w:r>
        <w:tab/>
        <w:t>255–256</w:t>
      </w:r>
      <w:r>
        <w:tab/>
        <w:t>57</w:t>
      </w:r>
    </w:p>
    <w:p w:rsidR="00000000" w:rsidRDefault="00000000">
      <w:pPr>
        <w:pStyle w:val="a1"/>
        <w:ind w:left="851"/>
      </w:pPr>
    </w:p>
    <w:p w:rsidR="00000000" w:rsidRDefault="00000000">
      <w:pPr>
        <w:pStyle w:val="a1"/>
        <w:ind w:left="851"/>
      </w:pPr>
      <w:r>
        <w:t>Возрастной предел для устройства на оплачиваемую работу</w:t>
      </w:r>
      <w:r>
        <w:tab/>
      </w:r>
      <w:r>
        <w:tab/>
        <w:t>257</w:t>
      </w:r>
      <w:r>
        <w:tab/>
        <w:t>57</w:t>
      </w:r>
    </w:p>
    <w:p w:rsidR="00000000" w:rsidRDefault="00000000">
      <w:pPr>
        <w:pStyle w:val="a1"/>
        <w:ind w:left="851"/>
      </w:pPr>
    </w:p>
    <w:p w:rsidR="00000000" w:rsidRDefault="00000000">
      <w:pPr>
        <w:pStyle w:val="a1"/>
        <w:ind w:left="851"/>
      </w:pPr>
      <w:r>
        <w:t>Дети, работающие по найму</w:t>
      </w:r>
      <w:r>
        <w:tab/>
      </w:r>
      <w:r>
        <w:tab/>
        <w:t>258</w:t>
      </w:r>
      <w:r>
        <w:tab/>
        <w:t>57</w:t>
      </w:r>
    </w:p>
    <w:p w:rsidR="00000000" w:rsidRDefault="00000000">
      <w:pPr>
        <w:pStyle w:val="a1"/>
        <w:ind w:left="851"/>
      </w:pPr>
    </w:p>
    <w:p w:rsidR="00000000" w:rsidRDefault="00000000">
      <w:pPr>
        <w:pStyle w:val="a1"/>
        <w:ind w:left="851"/>
      </w:pPr>
      <w:r>
        <w:t>Дети, работающие в своих семейных домашних хозяйствах</w:t>
      </w:r>
      <w:r>
        <w:tab/>
      </w:r>
      <w:r>
        <w:tab/>
        <w:t>259</w:t>
      </w:r>
      <w:r>
        <w:tab/>
        <w:t>57</w:t>
      </w:r>
    </w:p>
    <w:p w:rsidR="00000000" w:rsidRDefault="00000000">
      <w:pPr>
        <w:pStyle w:val="a1"/>
        <w:ind w:left="851"/>
      </w:pPr>
    </w:p>
    <w:p w:rsidR="00000000" w:rsidRDefault="00000000">
      <w:pPr>
        <w:pStyle w:val="a1"/>
        <w:ind w:left="851"/>
      </w:pPr>
      <w:r>
        <w:t>Защита прав ребенка на рабочем месте</w:t>
      </w:r>
      <w:r>
        <w:tab/>
      </w:r>
      <w:r>
        <w:tab/>
        <w:t>260</w:t>
      </w:r>
      <w:r>
        <w:tab/>
        <w:t>57</w:t>
      </w:r>
    </w:p>
    <w:p w:rsidR="00000000" w:rsidRDefault="00000000">
      <w:pPr>
        <w:pStyle w:val="a1"/>
        <w:ind w:left="851"/>
      </w:pPr>
    </w:p>
    <w:p w:rsidR="00000000" w:rsidRDefault="00000000">
      <w:pPr>
        <w:pStyle w:val="a1"/>
        <w:ind w:left="851"/>
      </w:pPr>
      <w:r>
        <w:t>Информация, предоставляемая детям в отношении их трудовых прав</w:t>
      </w:r>
      <w:r>
        <w:tab/>
      </w:r>
      <w:r>
        <w:tab/>
        <w:t>261</w:t>
      </w:r>
      <w:r>
        <w:tab/>
        <w:t>57</w:t>
      </w:r>
    </w:p>
    <w:p w:rsidR="00000000" w:rsidRDefault="00000000">
      <w:pPr>
        <w:pStyle w:val="a1"/>
        <w:ind w:left="851"/>
      </w:pPr>
    </w:p>
    <w:p w:rsidR="00000000" w:rsidRDefault="00000000">
      <w:pPr>
        <w:pStyle w:val="a1"/>
        <w:ind w:left="851"/>
      </w:pPr>
      <w:r>
        <w:t>Потенциальные трудности или недостатки</w:t>
      </w:r>
      <w:r>
        <w:tab/>
      </w:r>
      <w:r>
        <w:tab/>
        <w:t>262</w:t>
      </w:r>
      <w:r>
        <w:tab/>
        <w:t>58</w:t>
      </w:r>
    </w:p>
    <w:p w:rsidR="00000000" w:rsidRDefault="00000000">
      <w:pPr>
        <w:pStyle w:val="a1"/>
        <w:ind w:left="851"/>
      </w:pPr>
    </w:p>
    <w:p w:rsidR="00000000" w:rsidRDefault="00000000">
      <w:pPr>
        <w:pStyle w:val="a1"/>
        <w:ind w:left="851"/>
      </w:pPr>
      <w:r>
        <w:t>Значительные изменения в национальном законодательстве и вынесенные судебные решения в данной области</w:t>
      </w:r>
      <w:r>
        <w:tab/>
      </w:r>
      <w:r>
        <w:tab/>
        <w:t>263–265</w:t>
      </w:r>
      <w:r>
        <w:tab/>
        <w:t>58</w:t>
      </w:r>
    </w:p>
    <w:p w:rsidR="00000000" w:rsidRDefault="00000000">
      <w:pPr>
        <w:pStyle w:val="a1"/>
        <w:ind w:left="851"/>
      </w:pPr>
    </w:p>
    <w:p w:rsidR="00000000" w:rsidRDefault="00000000">
      <w:pPr>
        <w:pStyle w:val="a1"/>
        <w:ind w:left="851"/>
      </w:pPr>
      <w:r>
        <w:t>Международная помощь</w:t>
      </w:r>
      <w:r>
        <w:tab/>
      </w:r>
      <w:r>
        <w:tab/>
        <w:t>266</w:t>
      </w:r>
      <w:r>
        <w:tab/>
        <w:t>60</w:t>
      </w:r>
    </w:p>
    <w:p w:rsidR="00000000" w:rsidRDefault="00000000">
      <w:pPr>
        <w:pStyle w:val="a1"/>
      </w:pPr>
    </w:p>
    <w:p w:rsidR="00000000" w:rsidRDefault="00000000">
      <w:pPr>
        <w:pStyle w:val="a1"/>
      </w:pPr>
      <w:r>
        <w:t>Статья 11. Право на достаточный жизненный уровень</w:t>
      </w:r>
      <w:r>
        <w:tab/>
      </w:r>
      <w:r>
        <w:tab/>
        <w:t>267–364</w:t>
      </w:r>
      <w:r>
        <w:tab/>
        <w:t>60</w:t>
      </w:r>
    </w:p>
    <w:p w:rsidR="00000000" w:rsidRDefault="00000000">
      <w:pPr>
        <w:pStyle w:val="a1"/>
      </w:pPr>
    </w:p>
    <w:p w:rsidR="00000000" w:rsidRDefault="00000000">
      <w:pPr>
        <w:pStyle w:val="a1"/>
        <w:ind w:left="851"/>
      </w:pPr>
      <w:r>
        <w:t>Текущий уровень жизни</w:t>
      </w:r>
      <w:r>
        <w:tab/>
      </w:r>
      <w:r>
        <w:tab/>
        <w:t>267–274</w:t>
      </w:r>
      <w:r>
        <w:tab/>
        <w:t>60</w:t>
      </w:r>
    </w:p>
    <w:p w:rsidR="00000000" w:rsidRDefault="00000000">
      <w:pPr>
        <w:pStyle w:val="a1"/>
        <w:ind w:left="851"/>
      </w:pPr>
    </w:p>
    <w:p w:rsidR="00000000" w:rsidRDefault="00000000">
      <w:pPr>
        <w:pStyle w:val="a1"/>
        <w:ind w:left="851"/>
      </w:pPr>
      <w:r>
        <w:t>Нищета</w:t>
      </w:r>
      <w:r>
        <w:tab/>
      </w:r>
      <w:r>
        <w:tab/>
        <w:t>275</w:t>
      </w:r>
      <w:r>
        <w:tab/>
        <w:t>64</w:t>
      </w:r>
    </w:p>
    <w:p w:rsidR="00000000" w:rsidRDefault="00000000">
      <w:pPr>
        <w:pStyle w:val="a1"/>
        <w:ind w:left="851"/>
      </w:pPr>
    </w:p>
    <w:p w:rsidR="00000000" w:rsidRDefault="00000000">
      <w:pPr>
        <w:pStyle w:val="a1"/>
        <w:ind w:left="851"/>
      </w:pPr>
      <w:r>
        <w:t>Индекс физического качества жизни</w:t>
      </w:r>
      <w:r>
        <w:tab/>
      </w:r>
      <w:r>
        <w:tab/>
        <w:t>276–277</w:t>
      </w:r>
      <w:r>
        <w:tab/>
        <w:t>64</w:t>
      </w:r>
    </w:p>
    <w:p w:rsidR="00000000" w:rsidRDefault="00000000">
      <w:pPr>
        <w:pStyle w:val="a1"/>
        <w:ind w:left="851"/>
      </w:pPr>
    </w:p>
    <w:p w:rsidR="00000000" w:rsidRDefault="00000000">
      <w:pPr>
        <w:pStyle w:val="a1"/>
        <w:ind w:left="851"/>
      </w:pPr>
      <w:r>
        <w:t>Право на достаточное питание</w:t>
      </w:r>
      <w:r>
        <w:tab/>
      </w:r>
      <w:r>
        <w:tab/>
        <w:t>278</w:t>
      </w:r>
      <w:r>
        <w:tab/>
        <w:t>64</w:t>
      </w:r>
    </w:p>
    <w:p w:rsidR="00000000" w:rsidRDefault="00000000">
      <w:pPr>
        <w:pStyle w:val="a1"/>
        <w:ind w:left="851"/>
      </w:pPr>
    </w:p>
    <w:p w:rsidR="00000000" w:rsidRDefault="00000000">
      <w:pPr>
        <w:pStyle w:val="16"/>
        <w:tabs>
          <w:tab w:val="clear" w:pos="567"/>
          <w:tab w:val="clear" w:pos="1134"/>
          <w:tab w:val="clear" w:pos="1701"/>
          <w:tab w:val="clear" w:pos="2268"/>
          <w:tab w:val="clear" w:pos="6237"/>
          <w:tab w:val="left" w:pos="680"/>
        </w:tabs>
        <w:spacing w:line="240" w:lineRule="auto"/>
        <w:rPr>
          <w:b/>
          <w:bCs/>
          <w:sz w:val="23"/>
        </w:rPr>
      </w:pPr>
      <w:r>
        <w:br w:type="page"/>
      </w:r>
      <w:r>
        <w:rPr>
          <w:b/>
          <w:bCs/>
          <w:sz w:val="23"/>
        </w:rPr>
        <w:t>СОДЕРЖАНИЕ (</w:t>
      </w:r>
      <w:r>
        <w:rPr>
          <w:b/>
          <w:bCs/>
          <w:sz w:val="23"/>
          <w:u w:val="single"/>
        </w:rPr>
        <w:t>продолжение</w:t>
      </w:r>
      <w:r>
        <w:rPr>
          <w:b/>
          <w:bCs/>
          <w:sz w:val="23"/>
        </w:rPr>
        <w:t>)</w:t>
      </w:r>
    </w:p>
    <w:p w:rsidR="00000000" w:rsidRDefault="00000000">
      <w:pPr>
        <w:tabs>
          <w:tab w:val="clear" w:pos="567"/>
          <w:tab w:val="clear" w:pos="1134"/>
          <w:tab w:val="clear" w:pos="1701"/>
          <w:tab w:val="clear" w:pos="2268"/>
          <w:tab w:val="clear" w:pos="6237"/>
          <w:tab w:val="left" w:pos="680"/>
        </w:tabs>
        <w:spacing w:line="240" w:lineRule="auto"/>
        <w:jc w:val="both"/>
        <w:rPr>
          <w:sz w:val="23"/>
        </w:rPr>
      </w:pPr>
    </w:p>
    <w:p w:rsidR="00000000" w:rsidRDefault="00000000">
      <w:pPr>
        <w:tabs>
          <w:tab w:val="clear" w:pos="567"/>
          <w:tab w:val="clear" w:pos="1134"/>
          <w:tab w:val="clear" w:pos="1701"/>
          <w:tab w:val="clear" w:pos="2268"/>
          <w:tab w:val="clear" w:pos="6237"/>
          <w:tab w:val="center" w:pos="8392"/>
          <w:tab w:val="right" w:pos="9639"/>
        </w:tabs>
        <w:spacing w:line="240" w:lineRule="auto"/>
        <w:ind w:right="1985"/>
        <w:rPr>
          <w:sz w:val="23"/>
        </w:rPr>
      </w:pPr>
      <w:r>
        <w:rPr>
          <w:sz w:val="23"/>
        </w:rPr>
        <w:tab/>
      </w:r>
      <w:r>
        <w:rPr>
          <w:sz w:val="23"/>
          <w:u w:val="single"/>
        </w:rPr>
        <w:t>Пункты</w:t>
      </w:r>
      <w:r>
        <w:rPr>
          <w:sz w:val="23"/>
        </w:rPr>
        <w:tab/>
      </w:r>
      <w:r>
        <w:rPr>
          <w:sz w:val="23"/>
          <w:u w:val="single"/>
        </w:rPr>
        <w:t>Стр</w:t>
      </w:r>
      <w:r>
        <w:rPr>
          <w:sz w:val="23"/>
        </w:rPr>
        <w:t>.</w:t>
      </w:r>
    </w:p>
    <w:p w:rsidR="00000000" w:rsidRDefault="00000000">
      <w:pPr>
        <w:pStyle w:val="a1"/>
        <w:ind w:left="851"/>
      </w:pPr>
    </w:p>
    <w:p w:rsidR="00000000" w:rsidRDefault="00000000">
      <w:pPr>
        <w:pStyle w:val="a1"/>
        <w:ind w:left="851"/>
      </w:pPr>
      <w:r>
        <w:t>Право на надлежащее жилье</w:t>
      </w:r>
      <w:r>
        <w:tab/>
      </w:r>
      <w:r>
        <w:tab/>
        <w:t>279–305</w:t>
      </w:r>
      <w:r>
        <w:tab/>
        <w:t>65</w:t>
      </w:r>
    </w:p>
    <w:p w:rsidR="00000000" w:rsidRDefault="00000000">
      <w:pPr>
        <w:pStyle w:val="a1"/>
        <w:ind w:left="851"/>
      </w:pPr>
    </w:p>
    <w:p w:rsidR="00000000" w:rsidRDefault="00000000">
      <w:pPr>
        <w:pStyle w:val="a1"/>
        <w:ind w:left="851"/>
      </w:pPr>
      <w:r>
        <w:t>Предоставление жилья уязвимым группам</w:t>
      </w:r>
      <w:r>
        <w:tab/>
      </w:r>
      <w:r>
        <w:tab/>
        <w:t>306–317</w:t>
      </w:r>
      <w:r>
        <w:tab/>
        <w:t>69</w:t>
      </w:r>
    </w:p>
    <w:p w:rsidR="00000000" w:rsidRDefault="00000000">
      <w:pPr>
        <w:pStyle w:val="a1"/>
        <w:ind w:left="851"/>
      </w:pPr>
    </w:p>
    <w:p w:rsidR="00000000" w:rsidRDefault="00000000">
      <w:pPr>
        <w:pStyle w:val="a1"/>
        <w:ind w:left="851"/>
      </w:pPr>
      <w:r>
        <w:t>Национальное законодательство, касающееся осуществления права на жилье</w:t>
      </w:r>
      <w:r>
        <w:tab/>
      </w:r>
      <w:r>
        <w:tab/>
        <w:t>318–352</w:t>
      </w:r>
      <w:r>
        <w:tab/>
        <w:t>72</w:t>
      </w:r>
    </w:p>
    <w:p w:rsidR="00000000" w:rsidRDefault="00000000">
      <w:pPr>
        <w:pStyle w:val="a1"/>
        <w:ind w:left="851"/>
      </w:pPr>
    </w:p>
    <w:p w:rsidR="00000000" w:rsidRDefault="00000000">
      <w:pPr>
        <w:pStyle w:val="a1"/>
        <w:ind w:left="851"/>
      </w:pPr>
      <w:r>
        <w:t>Меры, принятые в целях осуществления права на жилье</w:t>
      </w:r>
      <w:r>
        <w:tab/>
      </w:r>
      <w:r>
        <w:tab/>
        <w:t>353–361</w:t>
      </w:r>
      <w:r>
        <w:tab/>
        <w:t>78</w:t>
      </w:r>
    </w:p>
    <w:p w:rsidR="00000000" w:rsidRDefault="00000000">
      <w:pPr>
        <w:pStyle w:val="a1"/>
        <w:ind w:left="851"/>
      </w:pPr>
    </w:p>
    <w:p w:rsidR="00000000" w:rsidRDefault="00000000">
      <w:pPr>
        <w:pStyle w:val="a1"/>
        <w:ind w:left="851"/>
      </w:pPr>
      <w:r>
        <w:t>Происшедшие за отчетный период изменения в национальной политике, неблагоприятно отразившиеся на праве на удовлетворительное жилище</w:t>
      </w:r>
      <w:r>
        <w:tab/>
      </w:r>
      <w:r>
        <w:tab/>
        <w:t>362</w:t>
      </w:r>
      <w:r>
        <w:tab/>
        <w:t>79</w:t>
      </w:r>
    </w:p>
    <w:p w:rsidR="00000000" w:rsidRDefault="00000000">
      <w:pPr>
        <w:pStyle w:val="a1"/>
        <w:ind w:left="851"/>
      </w:pPr>
    </w:p>
    <w:p w:rsidR="00000000" w:rsidRDefault="00000000">
      <w:pPr>
        <w:pStyle w:val="a1"/>
        <w:tabs>
          <w:tab w:val="clear" w:pos="7655"/>
        </w:tabs>
        <w:ind w:left="851"/>
      </w:pPr>
      <w:r>
        <w:t>Трудности или препятствия, связанные с осуществлением статьи 11</w:t>
      </w:r>
      <w:r>
        <w:tab/>
        <w:t>363</w:t>
      </w:r>
      <w:r>
        <w:tab/>
        <w:t>80</w:t>
      </w:r>
    </w:p>
    <w:p w:rsidR="00000000" w:rsidRDefault="00000000">
      <w:pPr>
        <w:pStyle w:val="a1"/>
        <w:ind w:left="851"/>
      </w:pPr>
    </w:p>
    <w:p w:rsidR="00000000" w:rsidRDefault="00000000">
      <w:pPr>
        <w:pStyle w:val="a1"/>
        <w:ind w:left="851"/>
      </w:pPr>
      <w:r>
        <w:t>Международная помощь</w:t>
      </w:r>
      <w:r>
        <w:tab/>
      </w:r>
      <w:r>
        <w:tab/>
      </w:r>
      <w:r>
        <w:rPr>
          <w:lang w:val="en-US"/>
        </w:rPr>
        <w:t>364</w:t>
      </w:r>
      <w:r>
        <w:tab/>
        <w:t>80</w:t>
      </w:r>
    </w:p>
    <w:p w:rsidR="00000000" w:rsidRDefault="00000000">
      <w:pPr>
        <w:pStyle w:val="a1"/>
      </w:pPr>
    </w:p>
    <w:p w:rsidR="00000000" w:rsidRDefault="00000000">
      <w:pPr>
        <w:pStyle w:val="a1"/>
      </w:pPr>
      <w:r>
        <w:t>Статья 12. Наивысший достижимый уровень здоровья</w:t>
      </w:r>
      <w:r>
        <w:tab/>
      </w:r>
      <w:r>
        <w:tab/>
        <w:t>365–402</w:t>
      </w:r>
      <w:r>
        <w:tab/>
        <w:t>80</w:t>
      </w:r>
    </w:p>
    <w:p w:rsidR="00000000" w:rsidRDefault="00000000">
      <w:pPr>
        <w:pStyle w:val="a1"/>
      </w:pPr>
    </w:p>
    <w:p w:rsidR="00000000" w:rsidRDefault="00000000">
      <w:pPr>
        <w:pStyle w:val="a1"/>
        <w:ind w:left="851"/>
      </w:pPr>
      <w:r>
        <w:t>Информация о состоянии физического и психического здоровья населения Дании</w:t>
      </w:r>
      <w:r>
        <w:tab/>
      </w:r>
      <w:r>
        <w:tab/>
        <w:t>365–367</w:t>
      </w:r>
      <w:r>
        <w:tab/>
        <w:t>80</w:t>
      </w:r>
    </w:p>
    <w:p w:rsidR="00000000" w:rsidRDefault="00000000">
      <w:pPr>
        <w:pStyle w:val="a1"/>
        <w:ind w:left="851"/>
      </w:pPr>
    </w:p>
    <w:p w:rsidR="00000000" w:rsidRDefault="00000000">
      <w:pPr>
        <w:pStyle w:val="a1"/>
        <w:ind w:left="851"/>
      </w:pPr>
      <w:r>
        <w:t>Национальная политика Дании в области здравоохранения</w:t>
      </w:r>
      <w:r>
        <w:tab/>
      </w:r>
      <w:r>
        <w:tab/>
        <w:t>368–372</w:t>
      </w:r>
      <w:r>
        <w:tab/>
        <w:t>80</w:t>
      </w:r>
    </w:p>
    <w:p w:rsidR="00000000" w:rsidRDefault="00000000">
      <w:pPr>
        <w:pStyle w:val="a1"/>
        <w:ind w:left="851"/>
      </w:pPr>
    </w:p>
    <w:p w:rsidR="00000000" w:rsidRDefault="00000000">
      <w:pPr>
        <w:pStyle w:val="a1"/>
        <w:ind w:left="851"/>
      </w:pPr>
      <w:r>
        <w:t>Доля ВНП, расходуемая на здравоохранение</w:t>
      </w:r>
      <w:r>
        <w:tab/>
      </w:r>
      <w:r>
        <w:tab/>
        <w:t>373</w:t>
      </w:r>
      <w:r>
        <w:tab/>
        <w:t>81</w:t>
      </w:r>
    </w:p>
    <w:p w:rsidR="00000000" w:rsidRDefault="00000000">
      <w:pPr>
        <w:pStyle w:val="a1"/>
        <w:ind w:left="851"/>
      </w:pPr>
    </w:p>
    <w:p w:rsidR="00000000" w:rsidRDefault="00000000">
      <w:pPr>
        <w:pStyle w:val="a1"/>
        <w:ind w:left="851"/>
      </w:pPr>
      <w:r>
        <w:t>Уровень младенческой смертности</w:t>
      </w:r>
      <w:r>
        <w:tab/>
      </w:r>
      <w:r>
        <w:tab/>
        <w:t>374</w:t>
      </w:r>
      <w:r>
        <w:tab/>
        <w:t>81</w:t>
      </w:r>
    </w:p>
    <w:p w:rsidR="00000000" w:rsidRDefault="00000000">
      <w:pPr>
        <w:pStyle w:val="a1"/>
        <w:ind w:left="851"/>
      </w:pPr>
    </w:p>
    <w:p w:rsidR="00000000" w:rsidRDefault="00000000">
      <w:pPr>
        <w:pStyle w:val="a1"/>
        <w:ind w:left="851"/>
      </w:pPr>
      <w:r>
        <w:t>Доступ к безопасному водоснабжению</w:t>
      </w:r>
      <w:r>
        <w:tab/>
      </w:r>
      <w:r>
        <w:tab/>
        <w:t>375</w:t>
      </w:r>
      <w:r>
        <w:tab/>
        <w:t>82</w:t>
      </w:r>
    </w:p>
    <w:p w:rsidR="00000000" w:rsidRDefault="00000000">
      <w:pPr>
        <w:pStyle w:val="a1"/>
        <w:ind w:left="851"/>
      </w:pPr>
    </w:p>
    <w:p w:rsidR="00000000" w:rsidRDefault="00000000">
      <w:pPr>
        <w:pStyle w:val="a1"/>
        <w:ind w:left="851"/>
      </w:pPr>
      <w:r>
        <w:t>Доступ населения к соответствующим санитарно-техническим средствам</w:t>
      </w:r>
      <w:r>
        <w:tab/>
      </w:r>
      <w:r>
        <w:tab/>
        <w:t>376</w:t>
      </w:r>
      <w:r>
        <w:tab/>
        <w:t>82</w:t>
      </w:r>
    </w:p>
    <w:p w:rsidR="00000000" w:rsidRDefault="00000000">
      <w:pPr>
        <w:pStyle w:val="a1"/>
        <w:ind w:left="851"/>
      </w:pPr>
    </w:p>
    <w:p w:rsidR="00000000" w:rsidRDefault="00000000">
      <w:pPr>
        <w:pStyle w:val="a1"/>
        <w:ind w:left="851"/>
        <w:rPr>
          <w:lang w:val="en-US"/>
        </w:rPr>
      </w:pPr>
      <w:r>
        <w:t>Вакцинация детей</w:t>
      </w:r>
      <w:r>
        <w:tab/>
      </w:r>
      <w:r>
        <w:tab/>
        <w:t>377</w:t>
      </w:r>
      <w:r>
        <w:tab/>
        <w:t>82</w:t>
      </w:r>
    </w:p>
    <w:p w:rsidR="00000000" w:rsidRDefault="00000000">
      <w:pPr>
        <w:pStyle w:val="a1"/>
        <w:ind w:left="851"/>
        <w:rPr>
          <w:lang w:val="en-US"/>
        </w:rPr>
      </w:pPr>
    </w:p>
    <w:p w:rsidR="00000000" w:rsidRDefault="00000000">
      <w:pPr>
        <w:pStyle w:val="a1"/>
        <w:ind w:left="851"/>
      </w:pPr>
      <w:r>
        <w:rPr>
          <w:bCs/>
        </w:rPr>
        <w:t>Средняя продолжительность жизни</w:t>
      </w:r>
      <w:r>
        <w:rPr>
          <w:bCs/>
        </w:rPr>
        <w:tab/>
      </w:r>
      <w:r>
        <w:rPr>
          <w:bCs/>
        </w:rPr>
        <w:tab/>
        <w:t>378</w:t>
      </w:r>
      <w:r>
        <w:t>–</w:t>
      </w:r>
      <w:r>
        <w:rPr>
          <w:bCs/>
        </w:rPr>
        <w:t>379</w:t>
      </w:r>
      <w:r>
        <w:rPr>
          <w:bCs/>
        </w:rPr>
        <w:tab/>
        <w:t>83</w:t>
      </w:r>
    </w:p>
    <w:p w:rsidR="00000000" w:rsidRDefault="00000000">
      <w:pPr>
        <w:pStyle w:val="a1"/>
        <w:ind w:left="851"/>
      </w:pPr>
    </w:p>
    <w:p w:rsidR="00000000" w:rsidRDefault="00000000">
      <w:pPr>
        <w:pStyle w:val="a1"/>
        <w:ind w:left="851"/>
      </w:pPr>
      <w:r>
        <w:t>Доступ к медицинскому обслуживанию общего профиля в пределах часа ходьбы или езды от медицинского учреждения</w:t>
      </w:r>
      <w:r>
        <w:tab/>
      </w:r>
      <w:r>
        <w:tab/>
        <w:t>380</w:t>
      </w:r>
      <w:r>
        <w:tab/>
        <w:t>84</w:t>
      </w:r>
    </w:p>
    <w:p w:rsidR="00000000" w:rsidRDefault="00000000">
      <w:pPr>
        <w:pStyle w:val="16"/>
        <w:tabs>
          <w:tab w:val="clear" w:pos="567"/>
          <w:tab w:val="clear" w:pos="1134"/>
          <w:tab w:val="clear" w:pos="1701"/>
          <w:tab w:val="clear" w:pos="2268"/>
          <w:tab w:val="clear" w:pos="6237"/>
          <w:tab w:val="left" w:pos="680"/>
        </w:tabs>
        <w:spacing w:line="240" w:lineRule="auto"/>
        <w:rPr>
          <w:b/>
          <w:bCs/>
          <w:sz w:val="23"/>
        </w:rPr>
      </w:pPr>
      <w:r>
        <w:br w:type="page"/>
      </w:r>
      <w:r>
        <w:rPr>
          <w:b/>
          <w:bCs/>
          <w:sz w:val="23"/>
        </w:rPr>
        <w:t>СОДЕРЖАНИЕ (</w:t>
      </w:r>
      <w:r>
        <w:rPr>
          <w:b/>
          <w:bCs/>
          <w:sz w:val="23"/>
          <w:u w:val="single"/>
        </w:rPr>
        <w:t>продолжение</w:t>
      </w:r>
      <w:r>
        <w:rPr>
          <w:b/>
          <w:bCs/>
          <w:sz w:val="23"/>
        </w:rPr>
        <w:t>)</w:t>
      </w:r>
    </w:p>
    <w:p w:rsidR="00000000" w:rsidRDefault="00000000">
      <w:pPr>
        <w:tabs>
          <w:tab w:val="clear" w:pos="567"/>
          <w:tab w:val="clear" w:pos="1134"/>
          <w:tab w:val="clear" w:pos="1701"/>
          <w:tab w:val="clear" w:pos="2268"/>
          <w:tab w:val="clear" w:pos="6237"/>
          <w:tab w:val="left" w:pos="680"/>
        </w:tabs>
        <w:spacing w:line="240" w:lineRule="auto"/>
        <w:jc w:val="both"/>
        <w:rPr>
          <w:sz w:val="23"/>
        </w:rPr>
      </w:pPr>
    </w:p>
    <w:p w:rsidR="00000000" w:rsidRDefault="00000000">
      <w:pPr>
        <w:tabs>
          <w:tab w:val="clear" w:pos="567"/>
          <w:tab w:val="clear" w:pos="1134"/>
          <w:tab w:val="clear" w:pos="1701"/>
          <w:tab w:val="clear" w:pos="2268"/>
          <w:tab w:val="clear" w:pos="6237"/>
          <w:tab w:val="center" w:pos="8392"/>
          <w:tab w:val="right" w:pos="9639"/>
        </w:tabs>
        <w:spacing w:line="240" w:lineRule="auto"/>
        <w:ind w:right="1985"/>
        <w:rPr>
          <w:sz w:val="23"/>
        </w:rPr>
      </w:pPr>
      <w:r>
        <w:rPr>
          <w:sz w:val="23"/>
        </w:rPr>
        <w:tab/>
      </w:r>
      <w:r>
        <w:rPr>
          <w:sz w:val="23"/>
          <w:u w:val="single"/>
        </w:rPr>
        <w:t>Пункты</w:t>
      </w:r>
      <w:r>
        <w:rPr>
          <w:sz w:val="23"/>
        </w:rPr>
        <w:tab/>
      </w:r>
      <w:r>
        <w:rPr>
          <w:sz w:val="23"/>
          <w:u w:val="single"/>
        </w:rPr>
        <w:t>Стр</w:t>
      </w:r>
      <w:r>
        <w:rPr>
          <w:sz w:val="23"/>
        </w:rPr>
        <w:t>.</w:t>
      </w:r>
    </w:p>
    <w:p w:rsidR="00000000" w:rsidRDefault="00000000">
      <w:pPr>
        <w:pStyle w:val="a1"/>
        <w:ind w:left="851"/>
      </w:pPr>
    </w:p>
    <w:p w:rsidR="00000000" w:rsidRDefault="00000000">
      <w:pPr>
        <w:pStyle w:val="a1"/>
        <w:ind w:left="851"/>
      </w:pPr>
      <w:r>
        <w:t>Доля беременных женщин, имеющих возможность пользоваться услугами квалифицированного медицинского персонала</w:t>
      </w:r>
      <w:r>
        <w:tab/>
      </w:r>
      <w:r>
        <w:tab/>
        <w:t>381</w:t>
      </w:r>
      <w:r>
        <w:tab/>
        <w:t>84</w:t>
      </w:r>
    </w:p>
    <w:p w:rsidR="00000000" w:rsidRDefault="00000000">
      <w:pPr>
        <w:pStyle w:val="a1"/>
        <w:ind w:left="851"/>
      </w:pPr>
    </w:p>
    <w:p w:rsidR="00000000" w:rsidRDefault="00000000">
      <w:pPr>
        <w:pStyle w:val="a1"/>
        <w:ind w:left="851"/>
      </w:pPr>
      <w:r>
        <w:t>Доступ детей к услугам квалифицированного медицинского персонала</w:t>
      </w:r>
      <w:r>
        <w:tab/>
      </w:r>
      <w:r>
        <w:tab/>
        <w:t>382–383</w:t>
      </w:r>
      <w:r>
        <w:tab/>
        <w:t>84</w:t>
      </w:r>
    </w:p>
    <w:p w:rsidR="00000000" w:rsidRDefault="00000000">
      <w:pPr>
        <w:pStyle w:val="a1"/>
        <w:ind w:left="851"/>
      </w:pPr>
    </w:p>
    <w:p w:rsidR="00000000" w:rsidRDefault="00000000">
      <w:pPr>
        <w:pStyle w:val="a1"/>
        <w:ind w:left="851"/>
      </w:pPr>
      <w:r>
        <w:t>Различия в состоянии здоровья различных групп населения</w:t>
      </w:r>
      <w:r>
        <w:tab/>
      </w:r>
      <w:r>
        <w:tab/>
        <w:t>384–389</w:t>
      </w:r>
      <w:r>
        <w:tab/>
        <w:t>84</w:t>
      </w:r>
    </w:p>
    <w:p w:rsidR="00000000" w:rsidRDefault="00000000">
      <w:pPr>
        <w:pStyle w:val="a1"/>
        <w:ind w:left="851"/>
      </w:pPr>
    </w:p>
    <w:p w:rsidR="00000000" w:rsidRDefault="00000000">
      <w:pPr>
        <w:pStyle w:val="a1"/>
        <w:ind w:left="851"/>
      </w:pPr>
      <w:r>
        <w:t>Изменения в национальной политике за отчетный период</w:t>
      </w:r>
      <w:r>
        <w:tab/>
      </w:r>
      <w:r>
        <w:tab/>
        <w:t>390</w:t>
      </w:r>
      <w:r>
        <w:tab/>
        <w:t>86</w:t>
      </w:r>
    </w:p>
    <w:p w:rsidR="00000000" w:rsidRDefault="00000000">
      <w:pPr>
        <w:pStyle w:val="a1"/>
        <w:ind w:left="851"/>
      </w:pPr>
    </w:p>
    <w:p w:rsidR="00000000" w:rsidRDefault="00000000">
      <w:pPr>
        <w:pStyle w:val="a1"/>
        <w:ind w:left="851"/>
      </w:pPr>
      <w:r>
        <w:t>Правительственные меры, необходимые для укрепления физического и психического здоровья уязвимых групп населения</w:t>
      </w:r>
      <w:r>
        <w:tab/>
      </w:r>
      <w:r>
        <w:tab/>
        <w:t>391</w:t>
      </w:r>
      <w:r>
        <w:tab/>
        <w:t>86</w:t>
      </w:r>
    </w:p>
    <w:p w:rsidR="00000000" w:rsidRDefault="00000000">
      <w:pPr>
        <w:pStyle w:val="a1"/>
        <w:ind w:left="851"/>
      </w:pPr>
    </w:p>
    <w:p w:rsidR="00000000" w:rsidRDefault="00000000">
      <w:pPr>
        <w:pStyle w:val="a1"/>
        <w:ind w:left="851"/>
      </w:pPr>
      <w:r>
        <w:t>Правительственные меры по максимальному использованию имеющихся ресурсов</w:t>
      </w:r>
      <w:r>
        <w:tab/>
      </w:r>
      <w:r>
        <w:tab/>
        <w:t>392</w:t>
      </w:r>
      <w:r>
        <w:tab/>
        <w:t>86</w:t>
      </w:r>
    </w:p>
    <w:p w:rsidR="00000000" w:rsidRDefault="00000000">
      <w:pPr>
        <w:pStyle w:val="a1"/>
        <w:ind w:left="851"/>
      </w:pPr>
    </w:p>
    <w:p w:rsidR="00000000" w:rsidRDefault="00000000">
      <w:pPr>
        <w:pStyle w:val="a1"/>
        <w:ind w:left="851"/>
      </w:pPr>
      <w:r>
        <w:t>Оценка эффективности программы правительства в области здравоохранения</w:t>
      </w:r>
      <w:r>
        <w:tab/>
      </w:r>
      <w:r>
        <w:tab/>
        <w:t>393</w:t>
      </w:r>
      <w:r>
        <w:tab/>
        <w:t>86</w:t>
      </w:r>
    </w:p>
    <w:p w:rsidR="00000000" w:rsidRDefault="00000000">
      <w:pPr>
        <w:pStyle w:val="a1"/>
        <w:ind w:left="851"/>
      </w:pPr>
    </w:p>
    <w:p w:rsidR="00000000" w:rsidRDefault="00000000">
      <w:pPr>
        <w:pStyle w:val="a1"/>
        <w:ind w:left="851"/>
      </w:pPr>
      <w:r>
        <w:t>Принятые правительством меры по сокращению мертворождаемости и младенческой смертности</w:t>
      </w:r>
      <w:r>
        <w:tab/>
      </w:r>
      <w:r>
        <w:tab/>
        <w:t>394</w:t>
      </w:r>
      <w:r>
        <w:tab/>
        <w:t>86</w:t>
      </w:r>
    </w:p>
    <w:p w:rsidR="00000000" w:rsidRDefault="00000000">
      <w:pPr>
        <w:pStyle w:val="a1"/>
        <w:ind w:left="851"/>
      </w:pPr>
    </w:p>
    <w:p w:rsidR="00000000" w:rsidRDefault="00000000">
      <w:pPr>
        <w:pStyle w:val="a1"/>
        <w:ind w:left="851"/>
      </w:pPr>
      <w:r>
        <w:t>Принимаемые правительством меры в целях лечения эпидемических болезней</w:t>
      </w:r>
      <w:r>
        <w:tab/>
      </w:r>
      <w:r>
        <w:tab/>
        <w:t>395</w:t>
      </w:r>
      <w:r>
        <w:tab/>
        <w:t>87</w:t>
      </w:r>
    </w:p>
    <w:p w:rsidR="00000000" w:rsidRDefault="00000000">
      <w:pPr>
        <w:pStyle w:val="a1"/>
        <w:ind w:left="851"/>
      </w:pPr>
    </w:p>
    <w:p w:rsidR="00000000" w:rsidRDefault="00000000">
      <w:pPr>
        <w:pStyle w:val="a1"/>
        <w:ind w:left="851"/>
      </w:pPr>
      <w:r>
        <w:t>Эффективность принимаемых правительством мер в области охраны здоровья уязвимых групп населения</w:t>
      </w:r>
      <w:r>
        <w:tab/>
      </w:r>
      <w:r>
        <w:tab/>
        <w:t>396</w:t>
      </w:r>
      <w:r>
        <w:tab/>
        <w:t>87</w:t>
      </w:r>
    </w:p>
    <w:p w:rsidR="00000000" w:rsidRDefault="00000000">
      <w:pPr>
        <w:pStyle w:val="a1"/>
        <w:ind w:left="851"/>
      </w:pPr>
    </w:p>
    <w:p w:rsidR="00000000" w:rsidRDefault="00000000">
      <w:pPr>
        <w:pStyle w:val="a1"/>
        <w:ind w:left="851"/>
      </w:pPr>
      <w:r>
        <w:t>Охрана здоровья лиц пожилого возраста</w:t>
      </w:r>
      <w:r>
        <w:tab/>
      </w:r>
      <w:r>
        <w:tab/>
        <w:t>397</w:t>
      </w:r>
      <w:r>
        <w:tab/>
        <w:t>87</w:t>
      </w:r>
    </w:p>
    <w:p w:rsidR="00000000" w:rsidRDefault="00000000">
      <w:pPr>
        <w:pStyle w:val="a1"/>
        <w:ind w:left="851"/>
      </w:pPr>
    </w:p>
    <w:p w:rsidR="00000000" w:rsidRDefault="00000000">
      <w:pPr>
        <w:pStyle w:val="a1"/>
        <w:ind w:left="851"/>
      </w:pPr>
      <w:r>
        <w:t>Участие общественности в организации медико-санитарной помощи</w:t>
      </w:r>
      <w:r>
        <w:tab/>
      </w:r>
      <w:r>
        <w:tab/>
        <w:t>398</w:t>
      </w:r>
      <w:r>
        <w:tab/>
        <w:t>87</w:t>
      </w:r>
    </w:p>
    <w:p w:rsidR="00000000" w:rsidRDefault="00000000">
      <w:pPr>
        <w:pStyle w:val="a1"/>
        <w:ind w:left="851"/>
      </w:pPr>
    </w:p>
    <w:p w:rsidR="00000000" w:rsidRDefault="00000000">
      <w:pPr>
        <w:pStyle w:val="a1"/>
        <w:ind w:left="851"/>
      </w:pPr>
      <w:r>
        <w:t>Общая политика Дании в отношении информационных кампаний</w:t>
      </w:r>
      <w:r>
        <w:tab/>
      </w:r>
      <w:r>
        <w:tab/>
        <w:t>399–401</w:t>
      </w:r>
      <w:r>
        <w:tab/>
        <w:t>87</w:t>
      </w:r>
    </w:p>
    <w:p w:rsidR="00000000" w:rsidRDefault="00000000">
      <w:pPr>
        <w:pStyle w:val="a1"/>
        <w:ind w:left="851"/>
      </w:pPr>
    </w:p>
    <w:p w:rsidR="00000000" w:rsidRDefault="00000000">
      <w:pPr>
        <w:pStyle w:val="a1"/>
        <w:ind w:left="851"/>
      </w:pPr>
      <w:r>
        <w:t>Международная помощь</w:t>
      </w:r>
      <w:r>
        <w:tab/>
      </w:r>
      <w:r>
        <w:tab/>
        <w:t>402</w:t>
      </w:r>
      <w:r>
        <w:tab/>
        <w:t>88</w:t>
      </w:r>
    </w:p>
    <w:p w:rsidR="00000000" w:rsidRDefault="00000000">
      <w:pPr>
        <w:pStyle w:val="a1"/>
      </w:pPr>
    </w:p>
    <w:p w:rsidR="00000000" w:rsidRDefault="00000000">
      <w:pPr>
        <w:pStyle w:val="a1"/>
      </w:pPr>
      <w:r>
        <w:t>Статья 13. Право на образование</w:t>
      </w:r>
      <w:r>
        <w:tab/>
      </w:r>
      <w:r>
        <w:tab/>
        <w:t>403–467</w:t>
      </w:r>
      <w:r>
        <w:tab/>
        <w:t>88</w:t>
      </w:r>
    </w:p>
    <w:p w:rsidR="00000000" w:rsidRDefault="00000000">
      <w:pPr>
        <w:pStyle w:val="a1"/>
      </w:pPr>
    </w:p>
    <w:p w:rsidR="00000000" w:rsidRDefault="00000000">
      <w:pPr>
        <w:pStyle w:val="a1"/>
        <w:ind w:left="851"/>
      </w:pPr>
      <w:r>
        <w:t>Всеобщее начальное образование</w:t>
      </w:r>
      <w:r>
        <w:tab/>
      </w:r>
      <w:r>
        <w:tab/>
        <w:t>403–405</w:t>
      </w:r>
      <w:r>
        <w:tab/>
        <w:t>88</w:t>
      </w:r>
    </w:p>
    <w:p w:rsidR="00000000" w:rsidRDefault="00000000">
      <w:pPr>
        <w:pStyle w:val="a1"/>
        <w:ind w:left="851"/>
      </w:pPr>
    </w:p>
    <w:p w:rsidR="00000000" w:rsidRDefault="00000000">
      <w:pPr>
        <w:pStyle w:val="a1"/>
        <w:ind w:left="851"/>
      </w:pPr>
      <w:r>
        <w:t>Среднее образование второй ступени</w:t>
      </w:r>
      <w:r>
        <w:tab/>
      </w:r>
      <w:r>
        <w:tab/>
        <w:t>406</w:t>
      </w:r>
      <w:r>
        <w:tab/>
        <w:t>88</w:t>
      </w:r>
    </w:p>
    <w:p w:rsidR="00000000" w:rsidRDefault="00000000">
      <w:pPr>
        <w:pStyle w:val="a1"/>
        <w:ind w:left="851"/>
      </w:pPr>
    </w:p>
    <w:p w:rsidR="00000000" w:rsidRDefault="00000000">
      <w:pPr>
        <w:pStyle w:val="16"/>
        <w:tabs>
          <w:tab w:val="clear" w:pos="567"/>
          <w:tab w:val="clear" w:pos="1134"/>
          <w:tab w:val="clear" w:pos="1701"/>
          <w:tab w:val="clear" w:pos="2268"/>
          <w:tab w:val="clear" w:pos="6237"/>
          <w:tab w:val="left" w:pos="680"/>
        </w:tabs>
        <w:spacing w:line="240" w:lineRule="auto"/>
        <w:rPr>
          <w:b/>
          <w:bCs/>
          <w:sz w:val="23"/>
        </w:rPr>
      </w:pPr>
      <w:r>
        <w:br w:type="page"/>
      </w:r>
      <w:r>
        <w:rPr>
          <w:b/>
          <w:bCs/>
          <w:sz w:val="23"/>
        </w:rPr>
        <w:t>СОДЕРЖАНИЕ (</w:t>
      </w:r>
      <w:r>
        <w:rPr>
          <w:b/>
          <w:bCs/>
          <w:sz w:val="23"/>
          <w:u w:val="single"/>
        </w:rPr>
        <w:t>продолжение</w:t>
      </w:r>
      <w:r>
        <w:rPr>
          <w:b/>
          <w:bCs/>
          <w:sz w:val="23"/>
        </w:rPr>
        <w:t>)</w:t>
      </w:r>
    </w:p>
    <w:p w:rsidR="00000000" w:rsidRDefault="00000000">
      <w:pPr>
        <w:tabs>
          <w:tab w:val="clear" w:pos="567"/>
          <w:tab w:val="clear" w:pos="1134"/>
          <w:tab w:val="clear" w:pos="1701"/>
          <w:tab w:val="clear" w:pos="2268"/>
          <w:tab w:val="clear" w:pos="6237"/>
          <w:tab w:val="left" w:pos="680"/>
        </w:tabs>
        <w:spacing w:line="240" w:lineRule="auto"/>
        <w:jc w:val="both"/>
        <w:rPr>
          <w:sz w:val="23"/>
        </w:rPr>
      </w:pPr>
    </w:p>
    <w:p w:rsidR="00000000" w:rsidRDefault="00000000">
      <w:pPr>
        <w:tabs>
          <w:tab w:val="clear" w:pos="567"/>
          <w:tab w:val="clear" w:pos="1134"/>
          <w:tab w:val="clear" w:pos="1701"/>
          <w:tab w:val="clear" w:pos="2268"/>
          <w:tab w:val="clear" w:pos="6237"/>
          <w:tab w:val="center" w:pos="8392"/>
          <w:tab w:val="right" w:pos="9639"/>
        </w:tabs>
        <w:spacing w:line="240" w:lineRule="auto"/>
        <w:ind w:right="1985"/>
        <w:rPr>
          <w:sz w:val="23"/>
        </w:rPr>
      </w:pPr>
      <w:r>
        <w:rPr>
          <w:sz w:val="23"/>
        </w:rPr>
        <w:tab/>
      </w:r>
      <w:r>
        <w:rPr>
          <w:sz w:val="23"/>
          <w:u w:val="single"/>
        </w:rPr>
        <w:t>Пункты</w:t>
      </w:r>
      <w:r>
        <w:rPr>
          <w:sz w:val="23"/>
        </w:rPr>
        <w:tab/>
      </w:r>
      <w:r>
        <w:rPr>
          <w:sz w:val="23"/>
          <w:u w:val="single"/>
        </w:rPr>
        <w:t>Стр</w:t>
      </w:r>
      <w:r>
        <w:rPr>
          <w:sz w:val="23"/>
        </w:rPr>
        <w:t>.</w:t>
      </w:r>
    </w:p>
    <w:p w:rsidR="00000000" w:rsidRDefault="00000000">
      <w:pPr>
        <w:pStyle w:val="a1"/>
        <w:ind w:left="851"/>
      </w:pPr>
    </w:p>
    <w:p w:rsidR="00000000" w:rsidRDefault="00000000">
      <w:pPr>
        <w:pStyle w:val="a1"/>
        <w:ind w:left="851"/>
      </w:pPr>
      <w:r>
        <w:t>Высшее образование</w:t>
      </w:r>
      <w:r>
        <w:tab/>
      </w:r>
      <w:r>
        <w:tab/>
        <w:t>407–412</w:t>
      </w:r>
      <w:r>
        <w:tab/>
        <w:t>89</w:t>
      </w:r>
    </w:p>
    <w:p w:rsidR="00000000" w:rsidRDefault="00000000">
      <w:pPr>
        <w:pStyle w:val="a1"/>
        <w:ind w:left="851"/>
      </w:pPr>
    </w:p>
    <w:p w:rsidR="00000000" w:rsidRDefault="00000000">
      <w:pPr>
        <w:pStyle w:val="a1"/>
        <w:ind w:left="851"/>
      </w:pPr>
      <w:r>
        <w:t>Базовое образование</w:t>
      </w:r>
      <w:r>
        <w:tab/>
      </w:r>
      <w:r>
        <w:tab/>
        <w:t>413–414</w:t>
      </w:r>
      <w:r>
        <w:tab/>
        <w:t>89</w:t>
      </w:r>
    </w:p>
    <w:p w:rsidR="00000000" w:rsidRDefault="00000000">
      <w:pPr>
        <w:pStyle w:val="a1"/>
        <w:ind w:left="851"/>
      </w:pPr>
    </w:p>
    <w:p w:rsidR="00000000" w:rsidRDefault="00000000">
      <w:pPr>
        <w:pStyle w:val="a1"/>
        <w:ind w:left="851"/>
      </w:pPr>
      <w:r>
        <w:t>Трудности, цели и контрольные показатели</w:t>
      </w:r>
      <w:r>
        <w:tab/>
      </w:r>
      <w:r>
        <w:tab/>
        <w:t>415–419</w:t>
      </w:r>
      <w:r>
        <w:tab/>
        <w:t>90</w:t>
      </w:r>
    </w:p>
    <w:p w:rsidR="00000000" w:rsidRDefault="00000000">
      <w:pPr>
        <w:pStyle w:val="a1"/>
        <w:ind w:left="851"/>
      </w:pPr>
    </w:p>
    <w:p w:rsidR="00000000" w:rsidRDefault="00000000">
      <w:pPr>
        <w:pStyle w:val="a1"/>
        <w:ind w:left="851"/>
      </w:pPr>
      <w:r>
        <w:t>Уровень грамотности и охват населения базовым образованием</w:t>
      </w:r>
      <w:r>
        <w:tab/>
      </w:r>
      <w:r>
        <w:tab/>
        <w:t>420–430</w:t>
      </w:r>
      <w:r>
        <w:tab/>
        <w:t>90</w:t>
      </w:r>
    </w:p>
    <w:p w:rsidR="00000000" w:rsidRDefault="00000000">
      <w:pPr>
        <w:pStyle w:val="a1"/>
        <w:ind w:left="851"/>
      </w:pPr>
    </w:p>
    <w:p w:rsidR="00000000" w:rsidRDefault="00000000">
      <w:pPr>
        <w:pStyle w:val="a1"/>
        <w:ind w:left="851"/>
      </w:pPr>
      <w:r>
        <w:t>Расходы на образование, школьная система  и т. д.</w:t>
      </w:r>
      <w:r>
        <w:tab/>
      </w:r>
      <w:r>
        <w:tab/>
        <w:t>431–438</w:t>
      </w:r>
      <w:r>
        <w:tab/>
        <w:t>93</w:t>
      </w:r>
    </w:p>
    <w:p w:rsidR="00000000" w:rsidRDefault="00000000">
      <w:pPr>
        <w:pStyle w:val="a1"/>
        <w:ind w:left="851"/>
      </w:pPr>
    </w:p>
    <w:p w:rsidR="00000000" w:rsidRDefault="00000000">
      <w:pPr>
        <w:pStyle w:val="a1"/>
        <w:tabs>
          <w:tab w:val="clear" w:pos="7655"/>
        </w:tabs>
        <w:ind w:left="851"/>
      </w:pPr>
      <w:r>
        <w:t>Соотношение мужчин и женщин с различным уровнем образования</w:t>
      </w:r>
      <w:r>
        <w:tab/>
        <w:t>439–441</w:t>
      </w:r>
      <w:r>
        <w:tab/>
        <w:t>94</w:t>
      </w:r>
    </w:p>
    <w:p w:rsidR="00000000" w:rsidRDefault="00000000">
      <w:pPr>
        <w:pStyle w:val="a1"/>
        <w:ind w:left="851"/>
      </w:pPr>
    </w:p>
    <w:p w:rsidR="00000000" w:rsidRDefault="00000000">
      <w:pPr>
        <w:pStyle w:val="a1"/>
        <w:ind w:left="851"/>
      </w:pPr>
      <w:r>
        <w:t>Малоимущие группы населения и меры, обеспечивающие равный доступ к образованию</w:t>
      </w:r>
      <w:r>
        <w:tab/>
      </w:r>
      <w:r>
        <w:tab/>
        <w:t>442–456</w:t>
      </w:r>
      <w:r>
        <w:tab/>
        <w:t>95</w:t>
      </w:r>
    </w:p>
    <w:p w:rsidR="00000000" w:rsidRDefault="00000000">
      <w:pPr>
        <w:pStyle w:val="a1"/>
        <w:ind w:left="851"/>
      </w:pPr>
    </w:p>
    <w:p w:rsidR="00000000" w:rsidRDefault="00000000">
      <w:pPr>
        <w:pStyle w:val="a1"/>
        <w:ind w:left="851"/>
      </w:pPr>
      <w:r>
        <w:t>Языковые возможности</w:t>
      </w:r>
      <w:r>
        <w:tab/>
      </w:r>
      <w:r>
        <w:tab/>
        <w:t>457–458</w:t>
      </w:r>
      <w:r>
        <w:tab/>
        <w:t>97</w:t>
      </w:r>
    </w:p>
    <w:p w:rsidR="00000000" w:rsidRDefault="00000000">
      <w:pPr>
        <w:pStyle w:val="a1"/>
        <w:ind w:left="851"/>
      </w:pPr>
    </w:p>
    <w:p w:rsidR="00000000" w:rsidRDefault="00000000">
      <w:pPr>
        <w:pStyle w:val="a1"/>
        <w:ind w:left="851"/>
      </w:pPr>
      <w:r>
        <w:t>Положение преподавательского состава</w:t>
      </w:r>
      <w:r>
        <w:tab/>
      </w:r>
      <w:r>
        <w:tab/>
        <w:t>459–462</w:t>
      </w:r>
      <w:r>
        <w:tab/>
        <w:t>97</w:t>
      </w:r>
    </w:p>
    <w:p w:rsidR="00000000" w:rsidRDefault="00000000">
      <w:pPr>
        <w:pStyle w:val="a1"/>
        <w:ind w:left="851"/>
      </w:pPr>
    </w:p>
    <w:p w:rsidR="00000000" w:rsidRDefault="00000000">
      <w:pPr>
        <w:pStyle w:val="a1"/>
        <w:ind w:left="851"/>
      </w:pPr>
      <w:r>
        <w:t>Частные школы</w:t>
      </w:r>
      <w:r>
        <w:tab/>
      </w:r>
      <w:r>
        <w:tab/>
        <w:t>463–465</w:t>
      </w:r>
      <w:r>
        <w:tab/>
        <w:t>98</w:t>
      </w:r>
    </w:p>
    <w:p w:rsidR="00000000" w:rsidRDefault="00000000">
      <w:pPr>
        <w:pStyle w:val="a1"/>
        <w:ind w:left="851"/>
      </w:pPr>
    </w:p>
    <w:p w:rsidR="00000000" w:rsidRDefault="00000000">
      <w:pPr>
        <w:pStyle w:val="a1"/>
        <w:ind w:left="851"/>
      </w:pPr>
      <w:r>
        <w:t>Изменения в национальной политике в области образования, происшедшие за отчетный период</w:t>
      </w:r>
      <w:r>
        <w:tab/>
      </w:r>
      <w:r>
        <w:tab/>
        <w:t>466</w:t>
      </w:r>
      <w:r>
        <w:tab/>
        <w:t>99</w:t>
      </w:r>
    </w:p>
    <w:p w:rsidR="00000000" w:rsidRDefault="00000000">
      <w:pPr>
        <w:pStyle w:val="a1"/>
        <w:ind w:left="851"/>
      </w:pPr>
    </w:p>
    <w:p w:rsidR="00000000" w:rsidRDefault="00000000">
      <w:pPr>
        <w:pStyle w:val="a1"/>
        <w:ind w:left="851"/>
      </w:pPr>
      <w:r>
        <w:t>Международная помощь</w:t>
      </w:r>
      <w:r>
        <w:tab/>
      </w:r>
      <w:r>
        <w:tab/>
      </w:r>
      <w:r>
        <w:rPr>
          <w:lang w:val="en-US"/>
        </w:rPr>
        <w:t>467</w:t>
      </w:r>
      <w:r>
        <w:tab/>
        <w:t>99</w:t>
      </w:r>
    </w:p>
    <w:p w:rsidR="00000000" w:rsidRDefault="00000000">
      <w:pPr>
        <w:pStyle w:val="a1"/>
      </w:pPr>
    </w:p>
    <w:p w:rsidR="00000000" w:rsidRDefault="00000000">
      <w:pPr>
        <w:pStyle w:val="a1"/>
      </w:pPr>
      <w:r>
        <w:t>Статья 14. Обязательное образование</w:t>
      </w:r>
      <w:r>
        <w:tab/>
      </w:r>
      <w:r>
        <w:tab/>
        <w:t>468</w:t>
      </w:r>
      <w:r>
        <w:tab/>
        <w:t>99</w:t>
      </w:r>
    </w:p>
    <w:p w:rsidR="00000000" w:rsidRDefault="00000000">
      <w:pPr>
        <w:pStyle w:val="a1"/>
        <w:ind w:left="851"/>
      </w:pPr>
    </w:p>
    <w:p w:rsidR="00000000" w:rsidRDefault="00000000">
      <w:pPr>
        <w:pStyle w:val="a1"/>
        <w:ind w:left="851"/>
      </w:pPr>
      <w:r>
        <w:t>Меры, планируемые на случай отсутствия обязательного и бесплатного начального образования</w:t>
      </w:r>
      <w:r>
        <w:tab/>
      </w:r>
      <w:r>
        <w:tab/>
        <w:t>468</w:t>
      </w:r>
      <w:r>
        <w:tab/>
        <w:t>99</w:t>
      </w:r>
    </w:p>
    <w:p w:rsidR="00000000" w:rsidRDefault="00000000">
      <w:pPr>
        <w:pStyle w:val="a1"/>
      </w:pPr>
    </w:p>
    <w:p w:rsidR="00000000" w:rsidRDefault="00000000">
      <w:pPr>
        <w:pStyle w:val="a1"/>
      </w:pPr>
      <w:r>
        <w:t>Статья 15. Культура и наука</w:t>
      </w:r>
      <w:r>
        <w:tab/>
      </w:r>
      <w:r>
        <w:tab/>
        <w:t>469–516</w:t>
      </w:r>
      <w:r>
        <w:tab/>
        <w:t>100</w:t>
      </w:r>
    </w:p>
    <w:p w:rsidR="00000000" w:rsidRDefault="00000000">
      <w:pPr>
        <w:pStyle w:val="a1"/>
      </w:pPr>
    </w:p>
    <w:p w:rsidR="00000000" w:rsidRDefault="00000000">
      <w:pPr>
        <w:pStyle w:val="a1"/>
        <w:ind w:left="851"/>
      </w:pPr>
      <w:r>
        <w:t>Государственные меры по обеспечению права всех людей на участие в культурной и научной жизни</w:t>
      </w:r>
      <w:r>
        <w:tab/>
      </w:r>
      <w:r>
        <w:tab/>
        <w:t>469–471</w:t>
      </w:r>
      <w:r>
        <w:tab/>
        <w:t>100</w:t>
      </w:r>
    </w:p>
    <w:p w:rsidR="00000000" w:rsidRDefault="00000000">
      <w:pPr>
        <w:pStyle w:val="a1"/>
        <w:ind w:left="851"/>
      </w:pPr>
    </w:p>
    <w:p w:rsidR="00000000" w:rsidRDefault="00000000">
      <w:pPr>
        <w:pStyle w:val="a1"/>
        <w:ind w:left="851"/>
      </w:pPr>
      <w:r>
        <w:t>Наличие средств</w:t>
      </w:r>
      <w:r>
        <w:tab/>
      </w:r>
      <w:r>
        <w:tab/>
        <w:t>472</w:t>
      </w:r>
      <w:r>
        <w:tab/>
        <w:t>100</w:t>
      </w:r>
    </w:p>
    <w:p w:rsidR="00000000" w:rsidRDefault="00000000">
      <w:pPr>
        <w:pStyle w:val="a1"/>
        <w:ind w:left="851"/>
      </w:pPr>
    </w:p>
    <w:p w:rsidR="00000000" w:rsidRDefault="00000000">
      <w:pPr>
        <w:pStyle w:val="16"/>
        <w:tabs>
          <w:tab w:val="clear" w:pos="567"/>
          <w:tab w:val="clear" w:pos="1134"/>
          <w:tab w:val="clear" w:pos="1701"/>
          <w:tab w:val="clear" w:pos="2268"/>
          <w:tab w:val="clear" w:pos="6237"/>
          <w:tab w:val="left" w:pos="680"/>
        </w:tabs>
        <w:spacing w:line="240" w:lineRule="auto"/>
        <w:rPr>
          <w:b/>
          <w:bCs/>
          <w:sz w:val="23"/>
        </w:rPr>
      </w:pPr>
      <w:r>
        <w:br w:type="page"/>
      </w:r>
      <w:r>
        <w:rPr>
          <w:b/>
          <w:bCs/>
          <w:sz w:val="23"/>
        </w:rPr>
        <w:t>СОДЕРЖАНИЕ (</w:t>
      </w:r>
      <w:r>
        <w:rPr>
          <w:b/>
          <w:bCs/>
          <w:sz w:val="23"/>
          <w:u w:val="single"/>
        </w:rPr>
        <w:t>продолжение</w:t>
      </w:r>
      <w:r>
        <w:rPr>
          <w:b/>
          <w:bCs/>
          <w:sz w:val="23"/>
        </w:rPr>
        <w:t>)</w:t>
      </w:r>
    </w:p>
    <w:p w:rsidR="00000000" w:rsidRDefault="00000000">
      <w:pPr>
        <w:tabs>
          <w:tab w:val="clear" w:pos="567"/>
          <w:tab w:val="clear" w:pos="1134"/>
          <w:tab w:val="clear" w:pos="1701"/>
          <w:tab w:val="clear" w:pos="2268"/>
          <w:tab w:val="clear" w:pos="6237"/>
          <w:tab w:val="left" w:pos="680"/>
        </w:tabs>
        <w:spacing w:line="240" w:lineRule="auto"/>
        <w:jc w:val="both"/>
        <w:rPr>
          <w:sz w:val="23"/>
        </w:rPr>
      </w:pPr>
    </w:p>
    <w:p w:rsidR="00000000" w:rsidRDefault="00000000">
      <w:pPr>
        <w:tabs>
          <w:tab w:val="clear" w:pos="567"/>
          <w:tab w:val="clear" w:pos="1134"/>
          <w:tab w:val="clear" w:pos="1701"/>
          <w:tab w:val="clear" w:pos="2268"/>
          <w:tab w:val="clear" w:pos="6237"/>
          <w:tab w:val="center" w:pos="8392"/>
          <w:tab w:val="right" w:pos="9639"/>
        </w:tabs>
        <w:spacing w:line="240" w:lineRule="auto"/>
        <w:ind w:right="1985"/>
        <w:rPr>
          <w:sz w:val="23"/>
        </w:rPr>
      </w:pPr>
      <w:r>
        <w:rPr>
          <w:sz w:val="23"/>
        </w:rPr>
        <w:tab/>
      </w:r>
      <w:r>
        <w:rPr>
          <w:sz w:val="23"/>
          <w:u w:val="single"/>
        </w:rPr>
        <w:t>Пункты</w:t>
      </w:r>
      <w:r>
        <w:rPr>
          <w:sz w:val="23"/>
        </w:rPr>
        <w:tab/>
      </w:r>
      <w:r>
        <w:rPr>
          <w:sz w:val="23"/>
          <w:u w:val="single"/>
        </w:rPr>
        <w:t>Стр</w:t>
      </w:r>
      <w:r>
        <w:rPr>
          <w:sz w:val="23"/>
        </w:rPr>
        <w:t>.</w:t>
      </w:r>
    </w:p>
    <w:p w:rsidR="00000000" w:rsidRDefault="00000000">
      <w:pPr>
        <w:pStyle w:val="a1"/>
        <w:ind w:left="851"/>
      </w:pPr>
    </w:p>
    <w:p w:rsidR="00000000" w:rsidRDefault="00000000">
      <w:pPr>
        <w:pStyle w:val="a1"/>
        <w:ind w:left="851"/>
      </w:pPr>
      <w:r>
        <w:t>Институциональная инфраструктура</w:t>
      </w:r>
      <w:r>
        <w:tab/>
      </w:r>
      <w:r>
        <w:tab/>
        <w:t>473</w:t>
      </w:r>
      <w:r>
        <w:tab/>
        <w:t>100</w:t>
      </w:r>
    </w:p>
    <w:p w:rsidR="00000000" w:rsidRDefault="00000000">
      <w:pPr>
        <w:pStyle w:val="a1"/>
        <w:ind w:left="851"/>
      </w:pPr>
    </w:p>
    <w:p w:rsidR="00000000" w:rsidRDefault="00000000">
      <w:pPr>
        <w:pStyle w:val="a1"/>
        <w:ind w:left="851"/>
      </w:pPr>
      <w:r>
        <w:t>Поощрение культурной самобытности</w:t>
      </w:r>
      <w:r>
        <w:tab/>
      </w:r>
      <w:r>
        <w:tab/>
        <w:t>474</w:t>
      </w:r>
      <w:r>
        <w:tab/>
        <w:t>100</w:t>
      </w:r>
    </w:p>
    <w:p w:rsidR="00000000" w:rsidRDefault="00000000">
      <w:pPr>
        <w:pStyle w:val="a1"/>
        <w:ind w:left="851"/>
      </w:pPr>
    </w:p>
    <w:p w:rsidR="00000000" w:rsidRDefault="00000000">
      <w:pPr>
        <w:pStyle w:val="a1"/>
        <w:ind w:left="851"/>
      </w:pPr>
      <w:r>
        <w:t>Пользование культурным наследием</w:t>
      </w:r>
      <w:r>
        <w:tab/>
      </w:r>
      <w:r>
        <w:tab/>
        <w:t>475</w:t>
      </w:r>
      <w:r>
        <w:tab/>
        <w:t>100</w:t>
      </w:r>
    </w:p>
    <w:p w:rsidR="00000000" w:rsidRDefault="00000000">
      <w:pPr>
        <w:pStyle w:val="a1"/>
        <w:ind w:left="851"/>
      </w:pPr>
    </w:p>
    <w:p w:rsidR="00000000" w:rsidRDefault="00000000">
      <w:pPr>
        <w:pStyle w:val="a1"/>
        <w:ind w:left="851"/>
      </w:pPr>
      <w:r>
        <w:t>Роль средств массовой информации</w:t>
      </w:r>
      <w:r>
        <w:tab/>
      </w:r>
      <w:r>
        <w:tab/>
        <w:t>476</w:t>
      </w:r>
      <w:r>
        <w:tab/>
        <w:t>101</w:t>
      </w:r>
    </w:p>
    <w:p w:rsidR="00000000" w:rsidRDefault="00000000">
      <w:pPr>
        <w:pStyle w:val="a1"/>
        <w:ind w:left="851"/>
      </w:pPr>
    </w:p>
    <w:p w:rsidR="00000000" w:rsidRDefault="00000000">
      <w:pPr>
        <w:pStyle w:val="a1"/>
        <w:ind w:left="851"/>
      </w:pPr>
      <w:r>
        <w:t>Сохранение и использование культурного наследия</w:t>
      </w:r>
      <w:r>
        <w:tab/>
      </w:r>
      <w:r>
        <w:tab/>
        <w:t>477</w:t>
      </w:r>
      <w:r>
        <w:tab/>
        <w:t>101</w:t>
      </w:r>
    </w:p>
    <w:p w:rsidR="00000000" w:rsidRDefault="00000000">
      <w:pPr>
        <w:pStyle w:val="a1"/>
        <w:ind w:left="851"/>
      </w:pPr>
    </w:p>
    <w:p w:rsidR="00000000" w:rsidRDefault="00000000">
      <w:pPr>
        <w:pStyle w:val="a1"/>
        <w:ind w:left="851"/>
      </w:pPr>
      <w:r>
        <w:t>Защита свободы художественного творчества</w:t>
      </w:r>
      <w:r>
        <w:tab/>
      </w:r>
      <w:r>
        <w:tab/>
        <w:t>478</w:t>
      </w:r>
      <w:r>
        <w:tab/>
        <w:t>101</w:t>
      </w:r>
    </w:p>
    <w:p w:rsidR="00000000" w:rsidRDefault="00000000">
      <w:pPr>
        <w:pStyle w:val="a1"/>
        <w:ind w:left="851"/>
      </w:pPr>
    </w:p>
    <w:p w:rsidR="00000000" w:rsidRDefault="00000000">
      <w:pPr>
        <w:pStyle w:val="a1"/>
        <w:ind w:left="851"/>
      </w:pPr>
      <w:r>
        <w:t>Профессиональное образование в области культуры и искусства</w:t>
      </w:r>
      <w:r>
        <w:tab/>
      </w:r>
      <w:r>
        <w:tab/>
        <w:t>479</w:t>
      </w:r>
      <w:r>
        <w:tab/>
        <w:t>101</w:t>
      </w:r>
    </w:p>
    <w:p w:rsidR="00000000" w:rsidRDefault="00000000">
      <w:pPr>
        <w:pStyle w:val="a1"/>
        <w:ind w:left="851"/>
      </w:pPr>
    </w:p>
    <w:p w:rsidR="00000000" w:rsidRDefault="00000000">
      <w:pPr>
        <w:pStyle w:val="a1"/>
        <w:ind w:left="851"/>
      </w:pPr>
      <w:r>
        <w:t>Другие меры по сохранению, развитию и распространению культуры</w:t>
      </w:r>
      <w:r>
        <w:tab/>
      </w:r>
      <w:r>
        <w:tab/>
        <w:t>480</w:t>
      </w:r>
      <w:r>
        <w:tab/>
        <w:t>101</w:t>
      </w:r>
    </w:p>
    <w:p w:rsidR="00000000" w:rsidRDefault="00000000">
      <w:pPr>
        <w:pStyle w:val="a1"/>
        <w:ind w:left="851"/>
      </w:pPr>
    </w:p>
    <w:p w:rsidR="00000000" w:rsidRDefault="00000000">
      <w:pPr>
        <w:pStyle w:val="a1"/>
        <w:ind w:left="851"/>
      </w:pPr>
      <w:r>
        <w:t>Меры по осуществлению права каждого на использование преимуществ научного прогресса</w:t>
      </w:r>
      <w:r>
        <w:tab/>
      </w:r>
      <w:r>
        <w:tab/>
        <w:t>481</w:t>
      </w:r>
      <w:r>
        <w:tab/>
        <w:t>101</w:t>
      </w:r>
    </w:p>
    <w:p w:rsidR="00000000" w:rsidRDefault="00000000">
      <w:pPr>
        <w:pStyle w:val="a1"/>
        <w:ind w:left="851"/>
      </w:pPr>
    </w:p>
    <w:p w:rsidR="00000000" w:rsidRDefault="00000000">
      <w:pPr>
        <w:pStyle w:val="a1"/>
        <w:ind w:left="851"/>
      </w:pPr>
      <w:r>
        <w:t>Принятые меры по обеспечению применения достижений научно-технического прогресса на благо всего общества</w:t>
      </w:r>
      <w:r>
        <w:tab/>
      </w:r>
      <w:r>
        <w:tab/>
        <w:t>482–484</w:t>
      </w:r>
      <w:r>
        <w:tab/>
        <w:t>102</w:t>
      </w:r>
    </w:p>
    <w:p w:rsidR="00000000" w:rsidRDefault="00000000">
      <w:pPr>
        <w:pStyle w:val="a1"/>
        <w:ind w:left="851"/>
      </w:pPr>
    </w:p>
    <w:p w:rsidR="00000000" w:rsidRDefault="00000000">
      <w:pPr>
        <w:pStyle w:val="a1"/>
        <w:ind w:left="851"/>
      </w:pPr>
      <w:r>
        <w:t>Принятые меры по поощрению распространения информации о научно-техническом прогрессе</w:t>
      </w:r>
      <w:r>
        <w:tab/>
      </w:r>
      <w:r>
        <w:tab/>
        <w:t>485–486</w:t>
      </w:r>
      <w:r>
        <w:tab/>
        <w:t>102</w:t>
      </w:r>
    </w:p>
    <w:p w:rsidR="00000000" w:rsidRDefault="00000000">
      <w:pPr>
        <w:pStyle w:val="a1"/>
        <w:ind w:left="851"/>
      </w:pPr>
    </w:p>
    <w:p w:rsidR="00000000" w:rsidRDefault="00000000">
      <w:pPr>
        <w:pStyle w:val="a1"/>
        <w:ind w:left="851"/>
      </w:pPr>
      <w:r>
        <w:t>Принятые меры по предотвращению использования достижений научно-технического прогресса в целях, противоречащих правам человека</w:t>
      </w:r>
      <w:r>
        <w:tab/>
      </w:r>
      <w:r>
        <w:tab/>
        <w:t>487–492</w:t>
      </w:r>
      <w:r>
        <w:tab/>
        <w:t>102</w:t>
      </w:r>
    </w:p>
    <w:p w:rsidR="00000000" w:rsidRDefault="00000000">
      <w:pPr>
        <w:pStyle w:val="a1"/>
        <w:ind w:left="851"/>
      </w:pPr>
    </w:p>
    <w:p w:rsidR="00000000" w:rsidRDefault="00000000">
      <w:pPr>
        <w:pStyle w:val="a1"/>
        <w:ind w:left="851"/>
      </w:pPr>
      <w:r>
        <w:t>Ограничения на осуществление этого права отдельными лицами</w:t>
      </w:r>
      <w:r>
        <w:tab/>
      </w:r>
      <w:r>
        <w:tab/>
        <w:t>493</w:t>
      </w:r>
      <w:r>
        <w:tab/>
        <w:t>103</w:t>
      </w:r>
    </w:p>
    <w:p w:rsidR="00000000" w:rsidRDefault="00000000">
      <w:pPr>
        <w:pStyle w:val="a1"/>
        <w:ind w:left="851"/>
      </w:pPr>
    </w:p>
    <w:p w:rsidR="00000000" w:rsidRDefault="00000000">
      <w:pPr>
        <w:pStyle w:val="a1"/>
        <w:ind w:left="851"/>
      </w:pPr>
      <w:r>
        <w:t>Защита моральных и материальных интересов, вытекающих из научной работы</w:t>
      </w:r>
      <w:r>
        <w:tab/>
      </w:r>
      <w:r>
        <w:tab/>
        <w:t>494–495</w:t>
      </w:r>
      <w:r>
        <w:tab/>
        <w:t>103</w:t>
      </w:r>
    </w:p>
    <w:p w:rsidR="00000000" w:rsidRDefault="00000000">
      <w:pPr>
        <w:pStyle w:val="a1"/>
        <w:ind w:left="851"/>
      </w:pPr>
    </w:p>
    <w:p w:rsidR="00000000" w:rsidRDefault="00000000">
      <w:pPr>
        <w:pStyle w:val="a1"/>
        <w:ind w:left="851"/>
      </w:pPr>
      <w:r>
        <w:t>Предпринятые шаги по сохранению, развитию и распространению научной информации</w:t>
      </w:r>
      <w:r>
        <w:tab/>
      </w:r>
      <w:r>
        <w:tab/>
        <w:t>496–499</w:t>
      </w:r>
      <w:r>
        <w:tab/>
        <w:t>103</w:t>
      </w:r>
    </w:p>
    <w:p w:rsidR="00000000" w:rsidRDefault="00000000">
      <w:pPr>
        <w:pStyle w:val="a1"/>
        <w:ind w:left="851"/>
      </w:pPr>
    </w:p>
    <w:p w:rsidR="00000000" w:rsidRDefault="00000000">
      <w:pPr>
        <w:pStyle w:val="a1"/>
        <w:ind w:left="851"/>
      </w:pPr>
      <w:r>
        <w:t>Другие практические шаги</w:t>
      </w:r>
      <w:r>
        <w:tab/>
      </w:r>
      <w:r>
        <w:tab/>
        <w:t>500–501</w:t>
      </w:r>
      <w:r>
        <w:tab/>
        <w:t>104</w:t>
      </w:r>
    </w:p>
    <w:p w:rsidR="00000000" w:rsidRDefault="00000000">
      <w:pPr>
        <w:pStyle w:val="a1"/>
        <w:ind w:left="851"/>
      </w:pPr>
    </w:p>
    <w:p w:rsidR="00000000" w:rsidRDefault="00000000">
      <w:pPr>
        <w:pStyle w:val="16"/>
        <w:tabs>
          <w:tab w:val="clear" w:pos="567"/>
          <w:tab w:val="clear" w:pos="1134"/>
          <w:tab w:val="clear" w:pos="1701"/>
          <w:tab w:val="clear" w:pos="2268"/>
          <w:tab w:val="clear" w:pos="6237"/>
          <w:tab w:val="left" w:pos="680"/>
        </w:tabs>
        <w:spacing w:line="240" w:lineRule="auto"/>
        <w:rPr>
          <w:b/>
          <w:bCs/>
          <w:sz w:val="23"/>
        </w:rPr>
      </w:pPr>
      <w:r>
        <w:br w:type="page"/>
      </w:r>
      <w:r>
        <w:rPr>
          <w:b/>
          <w:bCs/>
          <w:sz w:val="23"/>
        </w:rPr>
        <w:t>СОДЕРЖАНИЕ (</w:t>
      </w:r>
      <w:r>
        <w:rPr>
          <w:b/>
          <w:bCs/>
          <w:sz w:val="23"/>
          <w:u w:val="single"/>
        </w:rPr>
        <w:t>продолжение</w:t>
      </w:r>
      <w:r>
        <w:rPr>
          <w:b/>
          <w:bCs/>
          <w:sz w:val="23"/>
        </w:rPr>
        <w:t>)</w:t>
      </w:r>
    </w:p>
    <w:p w:rsidR="00000000" w:rsidRDefault="00000000">
      <w:pPr>
        <w:tabs>
          <w:tab w:val="clear" w:pos="567"/>
          <w:tab w:val="clear" w:pos="1134"/>
          <w:tab w:val="clear" w:pos="1701"/>
          <w:tab w:val="clear" w:pos="2268"/>
          <w:tab w:val="clear" w:pos="6237"/>
          <w:tab w:val="left" w:pos="680"/>
        </w:tabs>
        <w:spacing w:line="240" w:lineRule="auto"/>
        <w:jc w:val="both"/>
        <w:rPr>
          <w:sz w:val="23"/>
        </w:rPr>
      </w:pPr>
    </w:p>
    <w:p w:rsidR="00000000" w:rsidRDefault="00000000">
      <w:pPr>
        <w:tabs>
          <w:tab w:val="clear" w:pos="567"/>
          <w:tab w:val="clear" w:pos="1134"/>
          <w:tab w:val="clear" w:pos="1701"/>
          <w:tab w:val="clear" w:pos="2268"/>
          <w:tab w:val="clear" w:pos="6237"/>
          <w:tab w:val="center" w:pos="8392"/>
          <w:tab w:val="right" w:pos="9639"/>
        </w:tabs>
        <w:spacing w:line="240" w:lineRule="auto"/>
        <w:ind w:right="1985"/>
        <w:rPr>
          <w:sz w:val="23"/>
        </w:rPr>
      </w:pPr>
      <w:r>
        <w:rPr>
          <w:sz w:val="23"/>
        </w:rPr>
        <w:tab/>
      </w:r>
      <w:r>
        <w:rPr>
          <w:sz w:val="23"/>
          <w:u w:val="single"/>
        </w:rPr>
        <w:t>Пункты</w:t>
      </w:r>
      <w:r>
        <w:rPr>
          <w:sz w:val="23"/>
        </w:rPr>
        <w:tab/>
      </w:r>
      <w:r>
        <w:rPr>
          <w:sz w:val="23"/>
          <w:u w:val="single"/>
        </w:rPr>
        <w:t>Стр</w:t>
      </w:r>
      <w:r>
        <w:rPr>
          <w:sz w:val="23"/>
        </w:rPr>
        <w:t>.</w:t>
      </w:r>
    </w:p>
    <w:p w:rsidR="00000000" w:rsidRDefault="00000000">
      <w:pPr>
        <w:pStyle w:val="a1"/>
        <w:ind w:left="851"/>
      </w:pPr>
    </w:p>
    <w:p w:rsidR="00000000" w:rsidRDefault="00000000">
      <w:pPr>
        <w:pStyle w:val="a1"/>
        <w:ind w:left="851"/>
      </w:pPr>
      <w:r>
        <w:t>Меры по поощрению осуществления этой свободы, включая создание всех необходимых условий для научных исследований</w:t>
      </w:r>
      <w:r>
        <w:tab/>
      </w:r>
      <w:r>
        <w:tab/>
        <w:t>502–505</w:t>
      </w:r>
      <w:r>
        <w:tab/>
        <w:t>104</w:t>
      </w:r>
    </w:p>
    <w:p w:rsidR="00000000" w:rsidRDefault="00000000">
      <w:pPr>
        <w:pStyle w:val="a1"/>
        <w:ind w:left="851"/>
      </w:pPr>
    </w:p>
    <w:p w:rsidR="00000000" w:rsidRDefault="00000000">
      <w:pPr>
        <w:pStyle w:val="a1"/>
        <w:ind w:left="851"/>
      </w:pPr>
      <w:r>
        <w:t>Меры по обеспечению свободного обмена научной информацией между учеными</w:t>
      </w:r>
      <w:r>
        <w:tab/>
      </w:r>
      <w:r>
        <w:tab/>
        <w:t>506–508</w:t>
      </w:r>
      <w:r>
        <w:tab/>
        <w:t>105</w:t>
      </w:r>
    </w:p>
    <w:p w:rsidR="00000000" w:rsidRDefault="00000000">
      <w:pPr>
        <w:pStyle w:val="a1"/>
        <w:ind w:left="851"/>
      </w:pPr>
    </w:p>
    <w:p w:rsidR="00000000" w:rsidRDefault="00000000">
      <w:pPr>
        <w:pStyle w:val="a1"/>
        <w:ind w:left="851"/>
      </w:pPr>
      <w:r>
        <w:t>Меры в поддержку научных обществ, профессиональных ассоциаций и т. д.</w:t>
      </w:r>
      <w:r>
        <w:tab/>
      </w:r>
      <w:r>
        <w:tab/>
        <w:t>509</w:t>
      </w:r>
      <w:r>
        <w:tab/>
        <w:t>105</w:t>
      </w:r>
    </w:p>
    <w:p w:rsidR="00000000" w:rsidRDefault="00000000">
      <w:pPr>
        <w:pStyle w:val="a1"/>
        <w:ind w:left="851"/>
      </w:pPr>
    </w:p>
    <w:p w:rsidR="00000000" w:rsidRDefault="00000000">
      <w:pPr>
        <w:pStyle w:val="a1"/>
        <w:ind w:left="851"/>
      </w:pPr>
      <w:r>
        <w:t>Меры по расширению международных контактов и сотрудничества в научной области</w:t>
      </w:r>
      <w:r>
        <w:tab/>
      </w:r>
      <w:r>
        <w:tab/>
        <w:t>510</w:t>
      </w:r>
      <w:r>
        <w:tab/>
        <w:t>105</w:t>
      </w:r>
    </w:p>
    <w:p w:rsidR="00000000" w:rsidRDefault="00000000">
      <w:pPr>
        <w:pStyle w:val="a1"/>
        <w:ind w:left="851"/>
      </w:pPr>
    </w:p>
    <w:p w:rsidR="00000000" w:rsidRDefault="00000000">
      <w:pPr>
        <w:pStyle w:val="a1"/>
        <w:ind w:left="851"/>
      </w:pPr>
      <w:r>
        <w:t>Максимальное использование имеющихся возможностей</w:t>
      </w:r>
      <w:r>
        <w:tab/>
      </w:r>
      <w:r>
        <w:tab/>
        <w:t>511–512</w:t>
      </w:r>
      <w:r>
        <w:tab/>
        <w:t>106</w:t>
      </w:r>
    </w:p>
    <w:p w:rsidR="00000000" w:rsidRDefault="00000000">
      <w:pPr>
        <w:pStyle w:val="a1"/>
        <w:ind w:left="851"/>
      </w:pPr>
    </w:p>
    <w:p w:rsidR="00000000" w:rsidRDefault="00000000">
      <w:pPr>
        <w:pStyle w:val="a1"/>
        <w:ind w:left="851"/>
      </w:pPr>
      <w:r>
        <w:t>Участие ученых в международных конференциях и т. д.</w:t>
      </w:r>
      <w:r>
        <w:tab/>
      </w:r>
      <w:r>
        <w:tab/>
        <w:t>513</w:t>
      </w:r>
      <w:r>
        <w:tab/>
        <w:t>106</w:t>
      </w:r>
    </w:p>
    <w:p w:rsidR="00000000" w:rsidRDefault="00000000">
      <w:pPr>
        <w:pStyle w:val="a1"/>
        <w:ind w:left="851"/>
      </w:pPr>
    </w:p>
    <w:p w:rsidR="00000000" w:rsidRDefault="00000000">
      <w:pPr>
        <w:pStyle w:val="a1"/>
        <w:ind w:left="851"/>
      </w:pPr>
      <w:r>
        <w:t>Возможные отрицательные последствия национальной политики в этой области</w:t>
      </w:r>
      <w:r>
        <w:tab/>
      </w:r>
      <w:r>
        <w:tab/>
        <w:t>514</w:t>
      </w:r>
      <w:r>
        <w:tab/>
        <w:t>106</w:t>
      </w:r>
    </w:p>
    <w:p w:rsidR="00000000" w:rsidRDefault="00000000">
      <w:pPr>
        <w:pStyle w:val="a1"/>
        <w:ind w:left="851"/>
      </w:pPr>
    </w:p>
    <w:p w:rsidR="00000000" w:rsidRDefault="00000000">
      <w:pPr>
        <w:pStyle w:val="a1"/>
        <w:ind w:left="851"/>
      </w:pPr>
      <w:r>
        <w:t>Другие недавно представленные соответствующие доклады</w:t>
      </w:r>
      <w:r>
        <w:tab/>
      </w:r>
      <w:r>
        <w:tab/>
        <w:t>515</w:t>
      </w:r>
      <w:r>
        <w:tab/>
        <w:t>106</w:t>
      </w:r>
    </w:p>
    <w:p w:rsidR="00000000" w:rsidRDefault="00000000">
      <w:pPr>
        <w:pStyle w:val="a1"/>
        <w:ind w:left="851"/>
      </w:pPr>
    </w:p>
    <w:p w:rsidR="00000000" w:rsidRDefault="00000000">
      <w:pPr>
        <w:pStyle w:val="a1"/>
        <w:ind w:left="851"/>
      </w:pPr>
      <w:r>
        <w:t>Международная помощь</w:t>
      </w:r>
      <w:r>
        <w:tab/>
      </w:r>
      <w:r>
        <w:tab/>
        <w:t>516</w:t>
      </w:r>
      <w:r>
        <w:tab/>
        <w:t>106</w:t>
      </w:r>
    </w:p>
    <w:p w:rsidR="00000000" w:rsidRDefault="00000000">
      <w:pPr>
        <w:pStyle w:val="a1"/>
      </w:pPr>
    </w:p>
    <w:p w:rsidR="00000000" w:rsidRDefault="00000000">
      <w:pPr>
        <w:pStyle w:val="a1"/>
      </w:pPr>
      <w:r>
        <w:t>ДОКЛАД ГРЕНЛАНДИИ</w:t>
      </w:r>
      <w:r>
        <w:tab/>
      </w:r>
      <w:r>
        <w:tab/>
      </w:r>
      <w:r>
        <w:rPr>
          <w:lang w:val="en-US"/>
        </w:rPr>
        <w:t>517</w:t>
      </w:r>
      <w:r>
        <w:t>–</w:t>
      </w:r>
      <w:r>
        <w:rPr>
          <w:lang w:val="en-US"/>
        </w:rPr>
        <w:t>598</w:t>
      </w:r>
      <w:r>
        <w:tab/>
        <w:t>107</w:t>
      </w:r>
    </w:p>
    <w:p w:rsidR="00000000" w:rsidRDefault="00000000">
      <w:pPr>
        <w:pStyle w:val="a1"/>
      </w:pPr>
    </w:p>
    <w:p w:rsidR="00000000" w:rsidRDefault="00000000">
      <w:pPr>
        <w:tabs>
          <w:tab w:val="clear" w:pos="567"/>
          <w:tab w:val="clear" w:pos="1134"/>
          <w:tab w:val="clear" w:pos="1701"/>
          <w:tab w:val="clear" w:pos="2268"/>
          <w:tab w:val="clear" w:pos="6237"/>
          <w:tab w:val="left" w:pos="680"/>
        </w:tabs>
        <w:spacing w:line="240" w:lineRule="auto"/>
        <w:jc w:val="both"/>
        <w:rPr>
          <w:sz w:val="23"/>
        </w:rPr>
      </w:pPr>
    </w:p>
    <w:p w:rsidR="00000000" w:rsidRDefault="00000000">
      <w:pPr>
        <w:tabs>
          <w:tab w:val="clear" w:pos="567"/>
          <w:tab w:val="clear" w:pos="1134"/>
          <w:tab w:val="clear" w:pos="1701"/>
          <w:tab w:val="clear" w:pos="2268"/>
          <w:tab w:val="clear" w:pos="6237"/>
          <w:tab w:val="left" w:pos="680"/>
        </w:tabs>
        <w:spacing w:line="240" w:lineRule="auto"/>
        <w:jc w:val="both"/>
        <w:rPr>
          <w:sz w:val="23"/>
        </w:rPr>
      </w:pPr>
    </w:p>
    <w:p w:rsidR="00000000" w:rsidRDefault="00000000">
      <w:pPr>
        <w:pStyle w:val="16"/>
        <w:tabs>
          <w:tab w:val="clear" w:pos="567"/>
          <w:tab w:val="clear" w:pos="1134"/>
          <w:tab w:val="clear" w:pos="1701"/>
          <w:tab w:val="clear" w:pos="2268"/>
          <w:tab w:val="clear" w:pos="6237"/>
          <w:tab w:val="left" w:pos="680"/>
        </w:tabs>
        <w:spacing w:line="240" w:lineRule="auto"/>
        <w:rPr>
          <w:sz w:val="23"/>
        </w:rPr>
      </w:pPr>
      <w:r>
        <w:rPr>
          <w:sz w:val="23"/>
        </w:rPr>
        <w:t>ПЕРЕЧЕНЬ ПРИЛОЖЕНИЙ***</w:t>
      </w:r>
    </w:p>
    <w:p w:rsidR="00000000" w:rsidRDefault="00000000">
      <w:pPr>
        <w:tabs>
          <w:tab w:val="clear" w:pos="567"/>
          <w:tab w:val="clear" w:pos="1134"/>
          <w:tab w:val="clear" w:pos="1701"/>
          <w:tab w:val="clear" w:pos="2268"/>
          <w:tab w:val="clear" w:pos="6237"/>
          <w:tab w:val="left" w:pos="680"/>
        </w:tabs>
        <w:spacing w:line="240" w:lineRule="auto"/>
        <w:jc w:val="both"/>
        <w:rPr>
          <w:sz w:val="23"/>
        </w:rPr>
      </w:pPr>
    </w:p>
    <w:p w:rsidR="00000000" w:rsidRDefault="00000000">
      <w:pPr>
        <w:tabs>
          <w:tab w:val="clear" w:pos="567"/>
          <w:tab w:val="clear" w:pos="1134"/>
          <w:tab w:val="clear" w:pos="1701"/>
          <w:tab w:val="clear" w:pos="2268"/>
          <w:tab w:val="clear" w:pos="6237"/>
          <w:tab w:val="left" w:pos="680"/>
        </w:tabs>
        <w:spacing w:line="240" w:lineRule="auto"/>
        <w:jc w:val="both"/>
        <w:rPr>
          <w:sz w:val="23"/>
        </w:rPr>
      </w:pPr>
    </w:p>
    <w:p w:rsidR="00000000" w:rsidRDefault="00000000">
      <w:pPr>
        <w:tabs>
          <w:tab w:val="clear" w:pos="567"/>
          <w:tab w:val="clear" w:pos="1134"/>
          <w:tab w:val="clear" w:pos="1701"/>
          <w:tab w:val="clear" w:pos="2268"/>
          <w:tab w:val="clear" w:pos="6237"/>
          <w:tab w:val="left" w:pos="1843"/>
        </w:tabs>
        <w:spacing w:line="240" w:lineRule="auto"/>
        <w:jc w:val="both"/>
        <w:rPr>
          <w:sz w:val="23"/>
        </w:rPr>
      </w:pPr>
      <w:r>
        <w:rPr>
          <w:sz w:val="23"/>
        </w:rPr>
        <w:t xml:space="preserve">Приложение </w:t>
      </w:r>
      <w:r>
        <w:rPr>
          <w:sz w:val="23"/>
          <w:lang w:val="en-US"/>
        </w:rPr>
        <w:t>I</w:t>
      </w:r>
      <w:r>
        <w:rPr>
          <w:sz w:val="23"/>
        </w:rPr>
        <w:t>.</w:t>
      </w:r>
      <w:r>
        <w:rPr>
          <w:sz w:val="23"/>
        </w:rPr>
        <w:tab/>
        <w:t>Закон о самоуправлении Гренландии</w:t>
      </w:r>
    </w:p>
    <w:p w:rsidR="00000000" w:rsidRDefault="00000000">
      <w:pPr>
        <w:tabs>
          <w:tab w:val="clear" w:pos="567"/>
          <w:tab w:val="clear" w:pos="1134"/>
          <w:tab w:val="clear" w:pos="1701"/>
          <w:tab w:val="clear" w:pos="2268"/>
          <w:tab w:val="clear" w:pos="6237"/>
          <w:tab w:val="left" w:pos="1843"/>
        </w:tabs>
        <w:spacing w:line="240" w:lineRule="auto"/>
        <w:jc w:val="both"/>
        <w:rPr>
          <w:sz w:val="23"/>
        </w:rPr>
      </w:pPr>
    </w:p>
    <w:p w:rsidR="00000000" w:rsidRDefault="00000000">
      <w:pPr>
        <w:tabs>
          <w:tab w:val="clear" w:pos="567"/>
          <w:tab w:val="clear" w:pos="1134"/>
          <w:tab w:val="clear" w:pos="1701"/>
          <w:tab w:val="clear" w:pos="2268"/>
          <w:tab w:val="clear" w:pos="6237"/>
          <w:tab w:val="left" w:pos="1843"/>
        </w:tabs>
        <w:spacing w:line="240" w:lineRule="auto"/>
        <w:jc w:val="both"/>
        <w:rPr>
          <w:sz w:val="23"/>
        </w:rPr>
      </w:pPr>
      <w:r>
        <w:rPr>
          <w:sz w:val="23"/>
        </w:rPr>
        <w:t xml:space="preserve">Приложение </w:t>
      </w:r>
      <w:r>
        <w:rPr>
          <w:sz w:val="23"/>
          <w:lang w:val="en-US"/>
        </w:rPr>
        <w:t>II</w:t>
      </w:r>
      <w:r>
        <w:rPr>
          <w:sz w:val="23"/>
        </w:rPr>
        <w:t>.</w:t>
      </w:r>
      <w:r>
        <w:rPr>
          <w:sz w:val="23"/>
        </w:rPr>
        <w:tab/>
        <w:t>Закон о самоуправлении Фарерских островов</w:t>
      </w:r>
    </w:p>
    <w:p w:rsidR="00000000" w:rsidRDefault="00000000">
      <w:pPr>
        <w:tabs>
          <w:tab w:val="clear" w:pos="567"/>
          <w:tab w:val="clear" w:pos="1134"/>
          <w:tab w:val="clear" w:pos="1701"/>
          <w:tab w:val="clear" w:pos="2268"/>
          <w:tab w:val="clear" w:pos="6237"/>
          <w:tab w:val="left" w:pos="1843"/>
        </w:tabs>
        <w:spacing w:line="240" w:lineRule="auto"/>
        <w:jc w:val="both"/>
        <w:rPr>
          <w:sz w:val="23"/>
        </w:rPr>
      </w:pPr>
    </w:p>
    <w:p w:rsidR="00000000" w:rsidRDefault="00000000">
      <w:pPr>
        <w:tabs>
          <w:tab w:val="clear" w:pos="567"/>
          <w:tab w:val="clear" w:pos="1134"/>
          <w:tab w:val="clear" w:pos="1701"/>
          <w:tab w:val="clear" w:pos="2268"/>
          <w:tab w:val="clear" w:pos="6237"/>
          <w:tab w:val="left" w:pos="1843"/>
        </w:tabs>
        <w:spacing w:line="240" w:lineRule="auto"/>
        <w:jc w:val="both"/>
        <w:rPr>
          <w:sz w:val="23"/>
        </w:rPr>
      </w:pPr>
      <w:r>
        <w:rPr>
          <w:sz w:val="23"/>
        </w:rPr>
        <w:t xml:space="preserve">Приложение </w:t>
      </w:r>
      <w:r>
        <w:rPr>
          <w:sz w:val="23"/>
          <w:lang w:val="en-US"/>
        </w:rPr>
        <w:t>III</w:t>
      </w:r>
      <w:r>
        <w:rPr>
          <w:sz w:val="23"/>
        </w:rPr>
        <w:t>.</w:t>
      </w:r>
      <w:r>
        <w:rPr>
          <w:sz w:val="23"/>
        </w:rPr>
        <w:tab/>
        <w:t>Датская система образования</w:t>
      </w:r>
    </w:p>
    <w:p w:rsidR="00000000" w:rsidRDefault="00000000">
      <w:pPr>
        <w:tabs>
          <w:tab w:val="clear" w:pos="567"/>
          <w:tab w:val="clear" w:pos="1134"/>
          <w:tab w:val="clear" w:pos="1701"/>
          <w:tab w:val="clear" w:pos="2268"/>
          <w:tab w:val="clear" w:pos="6237"/>
          <w:tab w:val="left" w:pos="680"/>
        </w:tabs>
        <w:spacing w:line="240" w:lineRule="auto"/>
        <w:jc w:val="both"/>
        <w:rPr>
          <w:sz w:val="23"/>
        </w:rPr>
      </w:pPr>
    </w:p>
    <w:p w:rsidR="00000000" w:rsidRDefault="00000000">
      <w:pPr>
        <w:tabs>
          <w:tab w:val="clear" w:pos="567"/>
          <w:tab w:val="clear" w:pos="1134"/>
          <w:tab w:val="clear" w:pos="1701"/>
          <w:tab w:val="clear" w:pos="2268"/>
          <w:tab w:val="clear" w:pos="6237"/>
          <w:tab w:val="left" w:pos="680"/>
        </w:tabs>
        <w:spacing w:line="240" w:lineRule="auto"/>
        <w:jc w:val="both"/>
        <w:rPr>
          <w:sz w:val="23"/>
        </w:rPr>
      </w:pPr>
    </w:p>
    <w:p w:rsidR="00000000" w:rsidRDefault="00000000">
      <w:pPr>
        <w:tabs>
          <w:tab w:val="clear" w:pos="567"/>
          <w:tab w:val="clear" w:pos="1134"/>
          <w:tab w:val="clear" w:pos="1701"/>
          <w:tab w:val="clear" w:pos="2268"/>
          <w:tab w:val="clear" w:pos="6237"/>
          <w:tab w:val="left" w:pos="680"/>
        </w:tabs>
        <w:spacing w:line="240" w:lineRule="auto"/>
        <w:jc w:val="both"/>
        <w:rPr>
          <w:sz w:val="23"/>
        </w:rPr>
      </w:pPr>
    </w:p>
    <w:p w:rsidR="00000000" w:rsidRDefault="00000000">
      <w:pPr>
        <w:pBdr>
          <w:bottom w:val="single" w:sz="4" w:space="1" w:color="auto"/>
        </w:pBdr>
        <w:spacing w:line="240" w:lineRule="auto"/>
        <w:ind w:right="6804"/>
        <w:jc w:val="both"/>
        <w:rPr>
          <w:sz w:val="23"/>
        </w:rPr>
      </w:pPr>
    </w:p>
    <w:p w:rsidR="00000000" w:rsidRDefault="00000000">
      <w:pPr>
        <w:spacing w:line="240" w:lineRule="auto"/>
        <w:jc w:val="both"/>
        <w:rPr>
          <w:sz w:val="23"/>
        </w:rPr>
      </w:pPr>
    </w:p>
    <w:p w:rsidR="00000000" w:rsidRDefault="00000000">
      <w:pPr>
        <w:tabs>
          <w:tab w:val="clear" w:pos="1134"/>
          <w:tab w:val="clear" w:pos="1701"/>
          <w:tab w:val="clear" w:pos="2268"/>
          <w:tab w:val="clear" w:pos="6237"/>
          <w:tab w:val="left" w:pos="567"/>
        </w:tabs>
        <w:spacing w:line="240" w:lineRule="auto"/>
        <w:jc w:val="both"/>
        <w:rPr>
          <w:sz w:val="23"/>
        </w:rPr>
      </w:pPr>
      <w:r>
        <w:rPr>
          <w:sz w:val="23"/>
        </w:rPr>
        <w:t>***</w:t>
      </w:r>
      <w:r>
        <w:rPr>
          <w:sz w:val="23"/>
        </w:rPr>
        <w:tab/>
        <w:t>С приложениями можно ознакомиться в архиве секретариата.</w:t>
      </w:r>
    </w:p>
    <w:p w:rsidR="00000000" w:rsidRDefault="00000000">
      <w:pPr>
        <w:pStyle w:val="a"/>
      </w:pPr>
      <w:r>
        <w:br w:type="page"/>
      </w:r>
      <w:bookmarkStart w:id="0" w:name="_Toc51496838"/>
      <w:bookmarkStart w:id="1" w:name="_Toc51497005"/>
      <w:bookmarkStart w:id="2" w:name="_Toc51497530"/>
      <w:r>
        <w:t>Введение</w:t>
      </w:r>
      <w:bookmarkEnd w:id="0"/>
      <w:bookmarkEnd w:id="1"/>
      <w:bookmarkEnd w:id="2"/>
    </w:p>
    <w:p w:rsidR="00000000" w:rsidRDefault="00000000">
      <w:pPr>
        <w:tabs>
          <w:tab w:val="clear" w:pos="567"/>
          <w:tab w:val="clear" w:pos="1134"/>
          <w:tab w:val="clear" w:pos="1701"/>
          <w:tab w:val="clear" w:pos="2268"/>
          <w:tab w:val="clear" w:pos="6237"/>
          <w:tab w:val="left" w:pos="680"/>
        </w:tabs>
        <w:spacing w:line="240" w:lineRule="auto"/>
        <w:jc w:val="both"/>
        <w:rPr>
          <w:b/>
          <w:bCs/>
        </w:rPr>
      </w:pPr>
    </w:p>
    <w:p w:rsidR="00000000" w:rsidRDefault="00000000">
      <w:pPr>
        <w:pStyle w:val="a0"/>
      </w:pPr>
      <w:bookmarkStart w:id="3" w:name="_Toc51496839"/>
      <w:bookmarkStart w:id="4" w:name="_Toc51497006"/>
      <w:bookmarkStart w:id="5" w:name="_Toc51497531"/>
      <w:r>
        <w:t>Характеристика доклада</w:t>
      </w:r>
      <w:bookmarkEnd w:id="3"/>
      <w:bookmarkEnd w:id="4"/>
      <w:bookmarkEnd w:id="5"/>
    </w:p>
    <w:p w:rsidR="00000000" w:rsidRDefault="00000000">
      <w:pPr>
        <w:pStyle w:val="a0"/>
      </w:pPr>
    </w:p>
    <w:p w:rsidR="00000000" w:rsidRDefault="00000000">
      <w:pPr>
        <w:tabs>
          <w:tab w:val="clear" w:pos="567"/>
          <w:tab w:val="clear" w:pos="1134"/>
          <w:tab w:val="clear" w:pos="1701"/>
          <w:tab w:val="clear" w:pos="2268"/>
          <w:tab w:val="clear" w:pos="6237"/>
          <w:tab w:val="left" w:pos="680"/>
        </w:tabs>
        <w:spacing w:line="240" w:lineRule="auto"/>
        <w:rPr>
          <w:sz w:val="23"/>
        </w:rPr>
      </w:pPr>
      <w:r>
        <w:rPr>
          <w:sz w:val="23"/>
        </w:rPr>
        <w:t>1.</w:t>
      </w:r>
      <w:r>
        <w:rPr>
          <w:sz w:val="23"/>
        </w:rPr>
        <w:tab/>
        <w:t>Настоящий документ является четвертым периодическим докладом, представленным правительством Дании в соответствии со статьями 16 и 17 Международного пакта об экономических, социальных и культурных правах. В нем приводится информация об изменениях в национальном законодательстве, правовой практике и т. д., которые касаются отдельных существенных положений и которые произошли после представления Данией 30 сентября 1997 года третьего периодического доклада (</w:t>
      </w:r>
      <w:r>
        <w:rPr>
          <w:sz w:val="23"/>
          <w:lang w:val="en-US"/>
        </w:rPr>
        <w:t>E</w:t>
      </w:r>
      <w:r>
        <w:rPr>
          <w:sz w:val="23"/>
        </w:rPr>
        <w:t>/1994/104/</w:t>
      </w:r>
      <w:r>
        <w:rPr>
          <w:sz w:val="23"/>
          <w:lang w:val="en-US"/>
        </w:rPr>
        <w:t>Add</w:t>
      </w:r>
      <w:r>
        <w:rPr>
          <w:sz w:val="23"/>
        </w:rPr>
        <w:t xml:space="preserve">.15). </w:t>
      </w:r>
    </w:p>
    <w:p w:rsidR="00000000" w:rsidRDefault="00000000">
      <w:pPr>
        <w:tabs>
          <w:tab w:val="clear" w:pos="567"/>
          <w:tab w:val="clear" w:pos="1134"/>
          <w:tab w:val="clear" w:pos="1701"/>
          <w:tab w:val="clear" w:pos="2268"/>
          <w:tab w:val="clear" w:pos="6237"/>
          <w:tab w:val="left" w:pos="680"/>
        </w:tabs>
        <w:spacing w:line="240" w:lineRule="auto"/>
        <w:rPr>
          <w:sz w:val="23"/>
        </w:rPr>
      </w:pPr>
    </w:p>
    <w:p w:rsidR="00000000" w:rsidRDefault="00000000">
      <w:pPr>
        <w:tabs>
          <w:tab w:val="clear" w:pos="567"/>
          <w:tab w:val="clear" w:pos="1134"/>
          <w:tab w:val="clear" w:pos="1701"/>
          <w:tab w:val="clear" w:pos="2268"/>
          <w:tab w:val="clear" w:pos="6237"/>
          <w:tab w:val="left" w:pos="680"/>
        </w:tabs>
        <w:spacing w:line="240" w:lineRule="auto"/>
        <w:rPr>
          <w:sz w:val="23"/>
        </w:rPr>
      </w:pPr>
      <w:r>
        <w:rPr>
          <w:sz w:val="23"/>
        </w:rPr>
        <w:t>2.</w:t>
      </w:r>
      <w:r>
        <w:rPr>
          <w:sz w:val="23"/>
        </w:rPr>
        <w:tab/>
        <w:t>В докладе также излагаются планы, касающиеся принятия нового законодательства в некоторых областях. Доклад по содержанию и структуре соответствует общим руководящим принципам в отношении формы и содержания докладов, представляемых государствами-участниками согласно статьям 16 и 17 Международного пакта об экономических, социальных и культурных правах. В нем содержатся ссылки на соответствующие пункты третьего периодического доклада Дании и на заключительные замечания Комитета по экономическим, социальным и культурным правам в отношении этого доклада (</w:t>
      </w:r>
      <w:r>
        <w:rPr>
          <w:sz w:val="23"/>
          <w:lang w:val="en-US"/>
        </w:rPr>
        <w:t>E</w:t>
      </w:r>
      <w:r>
        <w:rPr>
          <w:sz w:val="23"/>
        </w:rPr>
        <w:t>/С.12/1/</w:t>
      </w:r>
      <w:r>
        <w:rPr>
          <w:sz w:val="23"/>
          <w:lang w:val="en-US"/>
        </w:rPr>
        <w:t>Add</w:t>
      </w:r>
      <w:r>
        <w:rPr>
          <w:sz w:val="23"/>
        </w:rPr>
        <w:t xml:space="preserve">.34), а также на вопросы, поднятые во время рассмотрения третьего доклада 3, 4 и 12 мая 1999 года. </w:t>
      </w:r>
    </w:p>
    <w:p w:rsidR="00000000" w:rsidRDefault="00000000">
      <w:pPr>
        <w:tabs>
          <w:tab w:val="clear" w:pos="567"/>
          <w:tab w:val="clear" w:pos="1134"/>
          <w:tab w:val="clear" w:pos="1701"/>
          <w:tab w:val="clear" w:pos="2268"/>
          <w:tab w:val="clear" w:pos="6237"/>
          <w:tab w:val="left" w:pos="680"/>
        </w:tabs>
        <w:spacing w:line="240" w:lineRule="auto"/>
        <w:rPr>
          <w:sz w:val="23"/>
        </w:rPr>
      </w:pPr>
    </w:p>
    <w:p w:rsidR="00000000" w:rsidRDefault="00000000">
      <w:pPr>
        <w:tabs>
          <w:tab w:val="clear" w:pos="567"/>
          <w:tab w:val="clear" w:pos="1134"/>
          <w:tab w:val="clear" w:pos="1701"/>
          <w:tab w:val="clear" w:pos="2268"/>
          <w:tab w:val="clear" w:pos="6237"/>
          <w:tab w:val="left" w:pos="680"/>
        </w:tabs>
        <w:spacing w:line="240" w:lineRule="auto"/>
        <w:rPr>
          <w:sz w:val="23"/>
        </w:rPr>
      </w:pPr>
      <w:r>
        <w:rPr>
          <w:sz w:val="23"/>
        </w:rPr>
        <w:t>3.</w:t>
      </w:r>
      <w:r>
        <w:rPr>
          <w:sz w:val="23"/>
        </w:rPr>
        <w:tab/>
        <w:t xml:space="preserve">По рассмотрении вопросов, в отношении которых со времени представления Данией последнего доклада Комитету по экономическим, социальным и культурным правам в законодательстве и правовой практике не произошло никаких изменений, будут делаться ссылки на третий периодический доклад правительства Дании. </w:t>
      </w:r>
    </w:p>
    <w:p w:rsidR="00000000" w:rsidRDefault="00000000">
      <w:pPr>
        <w:tabs>
          <w:tab w:val="clear" w:pos="567"/>
          <w:tab w:val="clear" w:pos="1134"/>
          <w:tab w:val="clear" w:pos="1701"/>
          <w:tab w:val="clear" w:pos="2268"/>
          <w:tab w:val="clear" w:pos="6237"/>
          <w:tab w:val="left" w:pos="680"/>
        </w:tabs>
        <w:spacing w:line="240" w:lineRule="auto"/>
        <w:rPr>
          <w:sz w:val="23"/>
        </w:rPr>
      </w:pPr>
    </w:p>
    <w:p w:rsidR="00000000" w:rsidRDefault="00000000">
      <w:pPr>
        <w:pStyle w:val="a0"/>
      </w:pPr>
      <w:bookmarkStart w:id="6" w:name="_Toc51496840"/>
      <w:bookmarkStart w:id="7" w:name="_Toc51497007"/>
      <w:bookmarkStart w:id="8" w:name="_Toc51497532"/>
      <w:r>
        <w:t>Стороны, участвовавшие в подготовке доклада</w:t>
      </w:r>
      <w:bookmarkEnd w:id="6"/>
      <w:bookmarkEnd w:id="7"/>
      <w:bookmarkEnd w:id="8"/>
    </w:p>
    <w:p w:rsidR="00000000" w:rsidRDefault="00000000">
      <w:pPr>
        <w:tabs>
          <w:tab w:val="clear" w:pos="567"/>
          <w:tab w:val="clear" w:pos="1134"/>
          <w:tab w:val="clear" w:pos="1701"/>
          <w:tab w:val="clear" w:pos="2268"/>
          <w:tab w:val="clear" w:pos="6237"/>
          <w:tab w:val="left" w:pos="680"/>
        </w:tabs>
        <w:spacing w:line="240" w:lineRule="auto"/>
        <w:rPr>
          <w:b/>
          <w:bCs/>
          <w:sz w:val="23"/>
        </w:rPr>
      </w:pPr>
    </w:p>
    <w:p w:rsidR="00000000" w:rsidRDefault="00000000">
      <w:pPr>
        <w:tabs>
          <w:tab w:val="clear" w:pos="567"/>
          <w:tab w:val="clear" w:pos="1134"/>
          <w:tab w:val="clear" w:pos="1701"/>
          <w:tab w:val="clear" w:pos="2268"/>
          <w:tab w:val="clear" w:pos="6237"/>
          <w:tab w:val="left" w:pos="680"/>
        </w:tabs>
        <w:spacing w:line="240" w:lineRule="auto"/>
        <w:rPr>
          <w:sz w:val="23"/>
        </w:rPr>
      </w:pPr>
      <w:r>
        <w:rPr>
          <w:sz w:val="23"/>
        </w:rPr>
        <w:t>4.</w:t>
      </w:r>
      <w:r>
        <w:rPr>
          <w:sz w:val="23"/>
        </w:rPr>
        <w:tab/>
        <w:t xml:space="preserve">Доклад был подготовлен министерством иностранных дел Дании на основе материалов, представленных соответствующими ведомствами и правительственными учреждениями Дании и Органом самоуправления Гренландии. В этой связи следует отметить, что новый раздел по статье 1, касающийся последних произошедших изменений в Гренландии, был подготовлен ее Органом самоуправления. </w:t>
      </w:r>
    </w:p>
    <w:p w:rsidR="00000000" w:rsidRDefault="00000000">
      <w:pPr>
        <w:tabs>
          <w:tab w:val="clear" w:pos="567"/>
          <w:tab w:val="clear" w:pos="1134"/>
          <w:tab w:val="clear" w:pos="1701"/>
          <w:tab w:val="clear" w:pos="2268"/>
          <w:tab w:val="clear" w:pos="6237"/>
          <w:tab w:val="left" w:pos="680"/>
        </w:tabs>
        <w:spacing w:line="240" w:lineRule="auto"/>
        <w:rPr>
          <w:sz w:val="23"/>
        </w:rPr>
      </w:pPr>
    </w:p>
    <w:p w:rsidR="00000000" w:rsidRDefault="00000000">
      <w:pPr>
        <w:tabs>
          <w:tab w:val="clear" w:pos="567"/>
          <w:tab w:val="clear" w:pos="1134"/>
          <w:tab w:val="clear" w:pos="1701"/>
          <w:tab w:val="clear" w:pos="2268"/>
          <w:tab w:val="clear" w:pos="6237"/>
          <w:tab w:val="left" w:pos="680"/>
        </w:tabs>
        <w:spacing w:line="240" w:lineRule="auto"/>
        <w:rPr>
          <w:sz w:val="23"/>
        </w:rPr>
      </w:pPr>
      <w:r>
        <w:rPr>
          <w:sz w:val="23"/>
        </w:rPr>
        <w:t>5.</w:t>
      </w:r>
      <w:r>
        <w:rPr>
          <w:sz w:val="23"/>
        </w:rPr>
        <w:tab/>
        <w:t>Орган самоуправления Фарерских островов не смог представить материалы для настоящего доклада, и поэтому разделы, касающиеся осуществления статьи 1 Пакта на Фарерских островах, были подготовлены канцелярией премьер-министра.</w:t>
      </w:r>
    </w:p>
    <w:p w:rsidR="00000000" w:rsidRDefault="00000000">
      <w:pPr>
        <w:tabs>
          <w:tab w:val="clear" w:pos="567"/>
          <w:tab w:val="clear" w:pos="1134"/>
          <w:tab w:val="clear" w:pos="1701"/>
          <w:tab w:val="clear" w:pos="2268"/>
          <w:tab w:val="clear" w:pos="6237"/>
          <w:tab w:val="left" w:pos="680"/>
        </w:tabs>
        <w:spacing w:line="240" w:lineRule="auto"/>
        <w:rPr>
          <w:sz w:val="23"/>
        </w:rPr>
      </w:pPr>
    </w:p>
    <w:p w:rsidR="00000000" w:rsidRDefault="00000000">
      <w:pPr>
        <w:pStyle w:val="a"/>
      </w:pPr>
      <w:r>
        <w:br w:type="page"/>
      </w:r>
      <w:bookmarkStart w:id="9" w:name="_Toc51496841"/>
      <w:bookmarkStart w:id="10" w:name="_Toc51497008"/>
      <w:bookmarkStart w:id="11" w:name="_Toc51497533"/>
      <w:r>
        <w:t>Статья 1</w:t>
      </w:r>
      <w:bookmarkEnd w:id="9"/>
      <w:bookmarkEnd w:id="10"/>
      <w:bookmarkEnd w:id="11"/>
      <w:r>
        <w:t xml:space="preserve"> </w:t>
      </w:r>
    </w:p>
    <w:p w:rsidR="00000000" w:rsidRDefault="00000000">
      <w:pPr>
        <w:pStyle w:val="a"/>
      </w:pPr>
    </w:p>
    <w:p w:rsidR="00000000" w:rsidRDefault="00000000">
      <w:pPr>
        <w:pStyle w:val="a"/>
      </w:pPr>
      <w:bookmarkStart w:id="12" w:name="_Toc51496842"/>
      <w:bookmarkStart w:id="13" w:name="_Toc51497009"/>
      <w:bookmarkStart w:id="14" w:name="_Toc51497534"/>
      <w:r>
        <w:t>Право на самоопределение</w:t>
      </w:r>
      <w:bookmarkEnd w:id="12"/>
      <w:bookmarkEnd w:id="13"/>
      <w:bookmarkEnd w:id="14"/>
    </w:p>
    <w:p w:rsidR="00000000" w:rsidRDefault="00000000">
      <w:pPr>
        <w:pStyle w:val="a"/>
      </w:pPr>
    </w:p>
    <w:p w:rsidR="00000000" w:rsidRDefault="00000000">
      <w:pPr>
        <w:pStyle w:val="a"/>
      </w:pPr>
      <w:bookmarkStart w:id="15" w:name="_Toc51496843"/>
      <w:bookmarkStart w:id="16" w:name="_Toc51497010"/>
      <w:bookmarkStart w:id="17" w:name="_Toc51497535"/>
      <w:r>
        <w:t>Гренландия</w:t>
      </w:r>
      <w:bookmarkEnd w:id="15"/>
      <w:bookmarkEnd w:id="16"/>
      <w:bookmarkEnd w:id="17"/>
    </w:p>
    <w:p w:rsidR="00000000" w:rsidRDefault="00000000">
      <w:pPr>
        <w:tabs>
          <w:tab w:val="clear" w:pos="567"/>
          <w:tab w:val="clear" w:pos="1134"/>
          <w:tab w:val="clear" w:pos="1701"/>
          <w:tab w:val="clear" w:pos="2268"/>
          <w:tab w:val="clear" w:pos="6237"/>
          <w:tab w:val="left" w:pos="680"/>
        </w:tabs>
        <w:spacing w:line="240" w:lineRule="auto"/>
        <w:jc w:val="center"/>
        <w:rPr>
          <w:b/>
          <w:bCs/>
          <w:sz w:val="23"/>
        </w:rPr>
      </w:pPr>
    </w:p>
    <w:p w:rsidR="00000000" w:rsidRDefault="00000000">
      <w:pPr>
        <w:tabs>
          <w:tab w:val="clear" w:pos="567"/>
          <w:tab w:val="clear" w:pos="1134"/>
          <w:tab w:val="clear" w:pos="1701"/>
          <w:tab w:val="clear" w:pos="2268"/>
          <w:tab w:val="clear" w:pos="6237"/>
          <w:tab w:val="left" w:pos="680"/>
        </w:tabs>
        <w:spacing w:line="240" w:lineRule="auto"/>
        <w:rPr>
          <w:b/>
          <w:bCs/>
          <w:sz w:val="23"/>
        </w:rPr>
      </w:pPr>
      <w:r>
        <w:rPr>
          <w:b/>
          <w:bCs/>
          <w:sz w:val="23"/>
        </w:rPr>
        <w:t>Введение</w:t>
      </w:r>
    </w:p>
    <w:p w:rsidR="00000000" w:rsidRDefault="00000000">
      <w:pPr>
        <w:tabs>
          <w:tab w:val="clear" w:pos="567"/>
          <w:tab w:val="clear" w:pos="1134"/>
          <w:tab w:val="clear" w:pos="1701"/>
          <w:tab w:val="clear" w:pos="2268"/>
          <w:tab w:val="clear" w:pos="6237"/>
          <w:tab w:val="left" w:pos="680"/>
        </w:tabs>
        <w:spacing w:line="240" w:lineRule="auto"/>
        <w:rPr>
          <w:b/>
          <w:bCs/>
          <w:sz w:val="23"/>
        </w:rPr>
      </w:pPr>
    </w:p>
    <w:p w:rsidR="00000000" w:rsidRDefault="00000000">
      <w:pPr>
        <w:tabs>
          <w:tab w:val="clear" w:pos="567"/>
          <w:tab w:val="clear" w:pos="1134"/>
          <w:tab w:val="clear" w:pos="1701"/>
          <w:tab w:val="clear" w:pos="2268"/>
          <w:tab w:val="clear" w:pos="6237"/>
          <w:tab w:val="left" w:pos="680"/>
        </w:tabs>
        <w:spacing w:line="240" w:lineRule="auto"/>
        <w:rPr>
          <w:sz w:val="23"/>
        </w:rPr>
      </w:pPr>
      <w:r>
        <w:rPr>
          <w:sz w:val="23"/>
        </w:rPr>
        <w:t>6.</w:t>
      </w:r>
      <w:r>
        <w:rPr>
          <w:sz w:val="23"/>
        </w:rPr>
        <w:tab/>
        <w:t>С географической точки зрения Гренландия является отдельной и четко определенной частью Королевства Дании, занимающей территорию площадью 2 175 600 кв. км. Население Гренландии почти полностью состоит из коренных жителей (этнические гренландцы/каладиты или инуиты), язык и культура которых отличаются от языка и культуры датчан. По состоянию на 1 января 2002 года общая численность населения Гренландии составила 49 814 человек, из которых подавляющее большинство являются этническими гренландцами. Кроме того, 6 728</w:t>
      </w:r>
      <w:r>
        <w:rPr>
          <w:sz w:val="23"/>
          <w:lang w:val="en-US"/>
        </w:rPr>
        <w:t> </w:t>
      </w:r>
      <w:r>
        <w:rPr>
          <w:sz w:val="23"/>
        </w:rPr>
        <w:t>этнических гренландцев проживают в различных других частях Королевства.</w:t>
      </w:r>
    </w:p>
    <w:p w:rsidR="00000000" w:rsidRDefault="00000000">
      <w:pPr>
        <w:tabs>
          <w:tab w:val="clear" w:pos="567"/>
          <w:tab w:val="clear" w:pos="1134"/>
          <w:tab w:val="clear" w:pos="1701"/>
          <w:tab w:val="clear" w:pos="2268"/>
          <w:tab w:val="clear" w:pos="6237"/>
          <w:tab w:val="left" w:pos="680"/>
        </w:tabs>
        <w:spacing w:line="240" w:lineRule="auto"/>
        <w:rPr>
          <w:sz w:val="23"/>
        </w:rPr>
      </w:pPr>
    </w:p>
    <w:p w:rsidR="00000000" w:rsidRDefault="00000000">
      <w:pPr>
        <w:tabs>
          <w:tab w:val="clear" w:pos="567"/>
          <w:tab w:val="clear" w:pos="1134"/>
          <w:tab w:val="clear" w:pos="1701"/>
          <w:tab w:val="clear" w:pos="2268"/>
          <w:tab w:val="clear" w:pos="6237"/>
          <w:tab w:val="left" w:pos="680"/>
        </w:tabs>
        <w:spacing w:line="240" w:lineRule="auto"/>
        <w:rPr>
          <w:sz w:val="23"/>
        </w:rPr>
      </w:pPr>
      <w:r>
        <w:rPr>
          <w:sz w:val="23"/>
        </w:rPr>
        <w:t>7.</w:t>
      </w:r>
      <w:r>
        <w:rPr>
          <w:sz w:val="23"/>
        </w:rPr>
        <w:tab/>
        <w:t xml:space="preserve">Дания считает, что право народов на самоопределение также распространяется на коренные народы. Механизмы реализации этого права применительно к народу Гренландии – </w:t>
      </w:r>
      <w:r>
        <w:rPr>
          <w:spacing w:val="-2"/>
          <w:sz w:val="23"/>
        </w:rPr>
        <w:t>единственному коренному народу, проживающему в пределах юрисдикции Королевства Дании, –</w:t>
      </w:r>
      <w:r>
        <w:rPr>
          <w:sz w:val="23"/>
        </w:rPr>
        <w:t xml:space="preserve"> рассматриваются ниже.</w:t>
      </w:r>
    </w:p>
    <w:p w:rsidR="00000000" w:rsidRDefault="00000000">
      <w:pPr>
        <w:tabs>
          <w:tab w:val="clear" w:pos="567"/>
          <w:tab w:val="clear" w:pos="1134"/>
          <w:tab w:val="clear" w:pos="1701"/>
          <w:tab w:val="clear" w:pos="2268"/>
          <w:tab w:val="clear" w:pos="6237"/>
          <w:tab w:val="left" w:pos="680"/>
        </w:tabs>
        <w:spacing w:line="240" w:lineRule="auto"/>
        <w:rPr>
          <w:sz w:val="23"/>
        </w:rPr>
      </w:pPr>
    </w:p>
    <w:p w:rsidR="00000000" w:rsidRDefault="00000000">
      <w:pPr>
        <w:tabs>
          <w:tab w:val="clear" w:pos="567"/>
          <w:tab w:val="clear" w:pos="1134"/>
          <w:tab w:val="clear" w:pos="1701"/>
          <w:tab w:val="clear" w:pos="2268"/>
          <w:tab w:val="clear" w:pos="6237"/>
          <w:tab w:val="left" w:pos="680"/>
        </w:tabs>
        <w:spacing w:line="240" w:lineRule="auto"/>
        <w:rPr>
          <w:sz w:val="23"/>
        </w:rPr>
      </w:pPr>
      <w:r>
        <w:rPr>
          <w:sz w:val="23"/>
        </w:rPr>
        <w:t>8.</w:t>
      </w:r>
      <w:r>
        <w:rPr>
          <w:sz w:val="23"/>
        </w:rPr>
        <w:tab/>
        <w:t>Датская конституция применяется на всей территории Королевства Дании. С 1953 года в датском парламенте Гренландию на постоянной основе представляют два депутата.</w:t>
      </w:r>
    </w:p>
    <w:p w:rsidR="00000000" w:rsidRDefault="00000000">
      <w:pPr>
        <w:tabs>
          <w:tab w:val="clear" w:pos="567"/>
          <w:tab w:val="clear" w:pos="1134"/>
          <w:tab w:val="clear" w:pos="1701"/>
          <w:tab w:val="clear" w:pos="2268"/>
          <w:tab w:val="clear" w:pos="6237"/>
          <w:tab w:val="left" w:pos="680"/>
        </w:tabs>
        <w:spacing w:line="240" w:lineRule="auto"/>
        <w:rPr>
          <w:sz w:val="23"/>
        </w:rPr>
      </w:pPr>
    </w:p>
    <w:p w:rsidR="00000000" w:rsidRDefault="00000000">
      <w:pPr>
        <w:tabs>
          <w:tab w:val="clear" w:pos="567"/>
          <w:tab w:val="clear" w:pos="1134"/>
          <w:tab w:val="clear" w:pos="1701"/>
          <w:tab w:val="clear" w:pos="2268"/>
          <w:tab w:val="clear" w:pos="6237"/>
          <w:tab w:val="left" w:pos="680"/>
        </w:tabs>
        <w:spacing w:line="240" w:lineRule="auto"/>
        <w:rPr>
          <w:sz w:val="23"/>
        </w:rPr>
      </w:pPr>
      <w:r>
        <w:rPr>
          <w:sz w:val="23"/>
        </w:rPr>
        <w:t>9.</w:t>
      </w:r>
      <w:r>
        <w:rPr>
          <w:sz w:val="23"/>
        </w:rPr>
        <w:tab/>
        <w:t xml:space="preserve">В соответствии с Законом о самоуправлении 1978 года в ведение Гренландии отошли почти все вопросы политики, касающиеся исключительно ее внутренних дел (текст Закона о внутреннем самоуправлении Гренландии приводится в приложении </w:t>
      </w:r>
      <w:r>
        <w:rPr>
          <w:sz w:val="23"/>
          <w:lang w:val="en-US"/>
        </w:rPr>
        <w:t>I</w:t>
      </w:r>
      <w:r>
        <w:rPr>
          <w:sz w:val="23"/>
        </w:rPr>
        <w:t xml:space="preserve">). Дополнительная информация относительно введения в Гренландии системы самоуправления содержится в докладах, представленных правительством Дании в соответствии со статьей 40 Международного пакта о гражданских и политических правах (см. документы </w:t>
      </w:r>
      <w:r>
        <w:rPr>
          <w:sz w:val="23"/>
          <w:lang w:val="en-US"/>
        </w:rPr>
        <w:t>CCPR</w:t>
      </w:r>
      <w:r>
        <w:rPr>
          <w:sz w:val="23"/>
        </w:rPr>
        <w:t>/</w:t>
      </w:r>
      <w:r>
        <w:rPr>
          <w:sz w:val="23"/>
          <w:lang w:val="en-US"/>
        </w:rPr>
        <w:t>G</w:t>
      </w:r>
      <w:r>
        <w:rPr>
          <w:sz w:val="23"/>
        </w:rPr>
        <w:t>/</w:t>
      </w:r>
      <w:r>
        <w:rPr>
          <w:sz w:val="23"/>
          <w:lang w:val="en-US"/>
        </w:rPr>
        <w:t>Add</w:t>
      </w:r>
      <w:r>
        <w:rPr>
          <w:sz w:val="23"/>
        </w:rPr>
        <w:t xml:space="preserve">.19, </w:t>
      </w:r>
      <w:r>
        <w:rPr>
          <w:sz w:val="23"/>
          <w:lang w:val="en-US"/>
        </w:rPr>
        <w:t>CCPR</w:t>
      </w:r>
      <w:r>
        <w:rPr>
          <w:sz w:val="23"/>
        </w:rPr>
        <w:t>/</w:t>
      </w:r>
      <w:r>
        <w:rPr>
          <w:sz w:val="23"/>
          <w:lang w:val="en-US"/>
        </w:rPr>
        <w:t>C</w:t>
      </w:r>
      <w:r>
        <w:rPr>
          <w:sz w:val="23"/>
        </w:rPr>
        <w:t>/37/</w:t>
      </w:r>
      <w:r>
        <w:rPr>
          <w:sz w:val="23"/>
          <w:lang w:val="en-US"/>
        </w:rPr>
        <w:t>Add</w:t>
      </w:r>
      <w:r>
        <w:rPr>
          <w:sz w:val="23"/>
        </w:rPr>
        <w:t xml:space="preserve">.5 и </w:t>
      </w:r>
      <w:r>
        <w:rPr>
          <w:sz w:val="23"/>
          <w:lang w:val="en-US"/>
        </w:rPr>
        <w:t>CCPR</w:t>
      </w:r>
      <w:r>
        <w:rPr>
          <w:sz w:val="23"/>
        </w:rPr>
        <w:t>/64/</w:t>
      </w:r>
      <w:r>
        <w:rPr>
          <w:sz w:val="23"/>
          <w:lang w:val="en-US"/>
        </w:rPr>
        <w:t>Add</w:t>
      </w:r>
      <w:r>
        <w:rPr>
          <w:sz w:val="23"/>
        </w:rPr>
        <w:t xml:space="preserve">.11). </w:t>
      </w:r>
    </w:p>
    <w:p w:rsidR="00000000" w:rsidRDefault="00000000">
      <w:pPr>
        <w:tabs>
          <w:tab w:val="clear" w:pos="567"/>
          <w:tab w:val="clear" w:pos="1134"/>
          <w:tab w:val="clear" w:pos="1701"/>
          <w:tab w:val="clear" w:pos="2268"/>
          <w:tab w:val="clear" w:pos="6237"/>
          <w:tab w:val="left" w:pos="680"/>
        </w:tabs>
        <w:spacing w:line="240" w:lineRule="auto"/>
        <w:rPr>
          <w:sz w:val="23"/>
        </w:rPr>
      </w:pPr>
    </w:p>
    <w:p w:rsidR="00000000" w:rsidRDefault="00000000">
      <w:pPr>
        <w:tabs>
          <w:tab w:val="clear" w:pos="567"/>
          <w:tab w:val="clear" w:pos="1134"/>
          <w:tab w:val="clear" w:pos="1701"/>
          <w:tab w:val="clear" w:pos="2268"/>
          <w:tab w:val="clear" w:pos="6237"/>
          <w:tab w:val="left" w:pos="680"/>
        </w:tabs>
        <w:spacing w:line="240" w:lineRule="auto"/>
        <w:rPr>
          <w:sz w:val="23"/>
        </w:rPr>
      </w:pPr>
      <w:r>
        <w:rPr>
          <w:sz w:val="23"/>
        </w:rPr>
        <w:t>10.</w:t>
      </w:r>
      <w:r>
        <w:rPr>
          <w:sz w:val="23"/>
        </w:rPr>
        <w:tab/>
        <w:t>Дания ратифицировала Конвенцию МОТ № 169 о коренных народах и народах, ведущих племенной образ жизни в независимых странах. Положения этой Конвенции применяются к коренному населению Гренландии. За ратификацию Данией этой Конвенции выступали органы самоуправления Гренландии, которые тем самым продемонстрировали, что Закон о самоуправлении Гренландии обеспечивает соблюдение вытекающих из Конвенции обязательств.</w:t>
      </w:r>
    </w:p>
    <w:p w:rsidR="00000000" w:rsidRDefault="00000000">
      <w:pPr>
        <w:tabs>
          <w:tab w:val="clear" w:pos="567"/>
          <w:tab w:val="clear" w:pos="1134"/>
          <w:tab w:val="clear" w:pos="1701"/>
          <w:tab w:val="clear" w:pos="2268"/>
          <w:tab w:val="clear" w:pos="6237"/>
          <w:tab w:val="left" w:pos="680"/>
        </w:tabs>
        <w:spacing w:line="240" w:lineRule="auto"/>
        <w:rPr>
          <w:sz w:val="23"/>
        </w:rPr>
      </w:pPr>
    </w:p>
    <w:p w:rsidR="00000000" w:rsidRDefault="00000000">
      <w:pPr>
        <w:pStyle w:val="Heading1"/>
        <w:tabs>
          <w:tab w:val="clear" w:pos="567"/>
          <w:tab w:val="clear" w:pos="1134"/>
          <w:tab w:val="clear" w:pos="1701"/>
          <w:tab w:val="clear" w:pos="2268"/>
          <w:tab w:val="clear" w:pos="6237"/>
          <w:tab w:val="left" w:pos="680"/>
        </w:tabs>
        <w:spacing w:line="240" w:lineRule="auto"/>
        <w:rPr>
          <w:bCs/>
          <w:sz w:val="23"/>
        </w:rPr>
      </w:pPr>
      <w:r>
        <w:rPr>
          <w:bCs/>
          <w:sz w:val="23"/>
        </w:rPr>
        <w:t>Самоуправление в Гренландии</w:t>
      </w:r>
    </w:p>
    <w:p w:rsidR="00000000" w:rsidRDefault="00000000">
      <w:pPr>
        <w:pStyle w:val="Heading1"/>
        <w:tabs>
          <w:tab w:val="clear" w:pos="567"/>
          <w:tab w:val="clear" w:pos="1134"/>
          <w:tab w:val="clear" w:pos="1701"/>
          <w:tab w:val="clear" w:pos="2268"/>
          <w:tab w:val="clear" w:pos="6237"/>
          <w:tab w:val="left" w:pos="680"/>
        </w:tabs>
        <w:spacing w:line="240" w:lineRule="auto"/>
        <w:rPr>
          <w:bCs/>
          <w:sz w:val="23"/>
        </w:rPr>
      </w:pPr>
    </w:p>
    <w:p w:rsidR="00000000" w:rsidRDefault="00000000">
      <w:pPr>
        <w:tabs>
          <w:tab w:val="clear" w:pos="567"/>
          <w:tab w:val="clear" w:pos="1134"/>
          <w:tab w:val="clear" w:pos="1701"/>
          <w:tab w:val="clear" w:pos="2268"/>
          <w:tab w:val="clear" w:pos="6237"/>
          <w:tab w:val="left" w:pos="680"/>
        </w:tabs>
        <w:spacing w:line="240" w:lineRule="auto"/>
        <w:rPr>
          <w:sz w:val="23"/>
        </w:rPr>
      </w:pPr>
      <w:r>
        <w:rPr>
          <w:sz w:val="23"/>
        </w:rPr>
        <w:t>11.</w:t>
      </w:r>
      <w:r>
        <w:rPr>
          <w:sz w:val="23"/>
        </w:rPr>
        <w:tab/>
        <w:t>В 1972 году окружной совет Гренландии обратился к датскому правительству с рекомендацией рассмотреть вопрос о расширении полномочий окружного совета на принципах совместной ответственности за развитие Гренландии. Датское правительство учредило комиссию по самоуправлению Гренландии, в состав которой вошли ряд гренландских и датских политических деятелей. На основе рекомендаций и предложений этой комиссии датский парламент принял в ноябре 1978 года Закон о самоуправлении Гренландии. 17 января 1979 года в Гренландии состоялся референдум, в ходе которого подавляющее большинство населения Гренландии одобрило вступление в силу этого Закона. Семьдесят процентов голосовавших высказались в пользу системы самоуправления в Гренландии, которая была введена в действие 1 марта 1979 года.</w:t>
      </w:r>
    </w:p>
    <w:p w:rsidR="00000000" w:rsidRDefault="00000000">
      <w:pPr>
        <w:tabs>
          <w:tab w:val="clear" w:pos="567"/>
          <w:tab w:val="clear" w:pos="1134"/>
          <w:tab w:val="clear" w:pos="1701"/>
          <w:tab w:val="clear" w:pos="2268"/>
          <w:tab w:val="clear" w:pos="6237"/>
          <w:tab w:val="left" w:pos="680"/>
        </w:tabs>
        <w:spacing w:line="240" w:lineRule="auto"/>
        <w:rPr>
          <w:sz w:val="23"/>
        </w:rPr>
      </w:pPr>
    </w:p>
    <w:p w:rsidR="00000000" w:rsidRDefault="00000000">
      <w:pPr>
        <w:pStyle w:val="Heading1"/>
        <w:tabs>
          <w:tab w:val="clear" w:pos="567"/>
          <w:tab w:val="clear" w:pos="1134"/>
          <w:tab w:val="clear" w:pos="1701"/>
          <w:tab w:val="clear" w:pos="2268"/>
          <w:tab w:val="clear" w:pos="6237"/>
          <w:tab w:val="left" w:pos="680"/>
        </w:tabs>
        <w:spacing w:line="240" w:lineRule="auto"/>
        <w:rPr>
          <w:bCs/>
          <w:sz w:val="23"/>
        </w:rPr>
      </w:pPr>
      <w:r>
        <w:rPr>
          <w:bCs/>
          <w:sz w:val="23"/>
        </w:rPr>
        <w:t>Полномочия в системе самоуправления</w:t>
      </w:r>
    </w:p>
    <w:p w:rsidR="00000000" w:rsidRDefault="00000000">
      <w:pPr>
        <w:pStyle w:val="Heading1"/>
        <w:tabs>
          <w:tab w:val="clear" w:pos="567"/>
          <w:tab w:val="clear" w:pos="1134"/>
          <w:tab w:val="clear" w:pos="1701"/>
          <w:tab w:val="clear" w:pos="2268"/>
          <w:tab w:val="clear" w:pos="6237"/>
          <w:tab w:val="left" w:pos="680"/>
        </w:tabs>
        <w:spacing w:line="240" w:lineRule="auto"/>
        <w:rPr>
          <w:bCs/>
          <w:sz w:val="23"/>
        </w:rPr>
      </w:pPr>
    </w:p>
    <w:p w:rsidR="00000000" w:rsidRDefault="00000000">
      <w:pPr>
        <w:tabs>
          <w:tab w:val="clear" w:pos="567"/>
          <w:tab w:val="clear" w:pos="1134"/>
          <w:tab w:val="clear" w:pos="1701"/>
          <w:tab w:val="clear" w:pos="2268"/>
          <w:tab w:val="clear" w:pos="6237"/>
          <w:tab w:val="left" w:pos="680"/>
        </w:tabs>
        <w:spacing w:line="240" w:lineRule="auto"/>
        <w:rPr>
          <w:sz w:val="23"/>
        </w:rPr>
      </w:pPr>
      <w:r>
        <w:rPr>
          <w:sz w:val="23"/>
        </w:rPr>
        <w:t>12.</w:t>
      </w:r>
      <w:r>
        <w:rPr>
          <w:sz w:val="23"/>
        </w:rPr>
        <w:tab/>
        <w:t>Система самоуправления Гренландии включает широкий круг полномочий. В соответствии с Законом о самоуправлении Гренландии датский парламент делегировал законодательные и исполнительные полномочия Органу самоуправления, представляющему собой избираемое всенародным голосованием законодательное собрание, в состав которого входит местный парламент Гренландии (ландстинг) и местное правительство (ландсстюре). Эти полномочия, переданные в нормативном порядке, в принципе ничем не отличаются от полномочий центральных органов власти в других районах Королевства Дании. В этой связи датский парламент и датское правительство воздерживаются от принятия законов и осуществления административных полномочий в тех областях деятельности, которые отошли в ведение местных органов власти.</w:t>
      </w:r>
    </w:p>
    <w:p w:rsidR="00000000" w:rsidRDefault="00000000">
      <w:pPr>
        <w:tabs>
          <w:tab w:val="clear" w:pos="567"/>
          <w:tab w:val="clear" w:pos="1134"/>
          <w:tab w:val="clear" w:pos="1701"/>
          <w:tab w:val="clear" w:pos="2268"/>
          <w:tab w:val="clear" w:pos="6237"/>
          <w:tab w:val="left" w:pos="680"/>
        </w:tabs>
        <w:spacing w:line="240" w:lineRule="auto"/>
        <w:rPr>
          <w:sz w:val="23"/>
        </w:rPr>
      </w:pPr>
    </w:p>
    <w:p w:rsidR="00000000" w:rsidRDefault="00000000">
      <w:pPr>
        <w:tabs>
          <w:tab w:val="clear" w:pos="567"/>
          <w:tab w:val="clear" w:pos="1134"/>
          <w:tab w:val="clear" w:pos="1701"/>
          <w:tab w:val="clear" w:pos="2268"/>
          <w:tab w:val="clear" w:pos="6237"/>
          <w:tab w:val="left" w:pos="680"/>
        </w:tabs>
        <w:spacing w:line="240" w:lineRule="auto"/>
        <w:rPr>
          <w:sz w:val="23"/>
        </w:rPr>
      </w:pPr>
      <w:r>
        <w:rPr>
          <w:sz w:val="23"/>
        </w:rPr>
        <w:t>13.</w:t>
      </w:r>
      <w:r>
        <w:rPr>
          <w:sz w:val="23"/>
        </w:rPr>
        <w:tab/>
        <w:t>Согласно Закону о самоуправлении Орган самоуправления может требовать, чтобы в ведение местных органов власти был передан целый ряд сфер, указанных в приложении к данному Закону. Перечень определенных в приложении отраслей деятельности, переходящих в ведение местных органов власти, не является исчерпывающим; вместе с тем предоставление местным органам власти законодательных и исполнительных полномочий в областях, не охваченных приложением, осуществляется лишь по достижении соглашения между Органом самоуправления и центральными органами власти Королевства.</w:t>
      </w:r>
    </w:p>
    <w:p w:rsidR="00000000" w:rsidRDefault="00000000">
      <w:pPr>
        <w:tabs>
          <w:tab w:val="clear" w:pos="567"/>
          <w:tab w:val="clear" w:pos="1134"/>
          <w:tab w:val="clear" w:pos="1701"/>
          <w:tab w:val="clear" w:pos="2268"/>
          <w:tab w:val="clear" w:pos="6237"/>
          <w:tab w:val="left" w:pos="680"/>
        </w:tabs>
        <w:spacing w:line="240" w:lineRule="auto"/>
        <w:rPr>
          <w:sz w:val="23"/>
        </w:rPr>
      </w:pPr>
    </w:p>
    <w:p w:rsidR="00000000" w:rsidRDefault="00000000">
      <w:pPr>
        <w:tabs>
          <w:tab w:val="clear" w:pos="567"/>
          <w:tab w:val="clear" w:pos="1134"/>
          <w:tab w:val="clear" w:pos="1701"/>
          <w:tab w:val="clear" w:pos="2268"/>
          <w:tab w:val="clear" w:pos="6237"/>
          <w:tab w:val="left" w:pos="680"/>
        </w:tabs>
        <w:spacing w:line="240" w:lineRule="auto"/>
        <w:rPr>
          <w:sz w:val="23"/>
        </w:rPr>
      </w:pPr>
      <w:r>
        <w:rPr>
          <w:sz w:val="23"/>
        </w:rPr>
        <w:t>14.</w:t>
      </w:r>
      <w:r>
        <w:rPr>
          <w:sz w:val="23"/>
        </w:rPr>
        <w:tab/>
        <w:t>С момента введения в 1979 году системы самоуправления Орган самоуправления реализовал все возможности согласно перечню, предусмотренному в приложении, т. е. в его ведении уже находятся основные сферы социальной организации общества, включая структуру самоуправления, систему налогообложения, регулирование коммерческой деятельности (в том числе рыболовства и охоты), образование, снабжение сырьем, транспорт и связь, социальное обеспечение, вопросы трудовых ресурсов, жилищный сектор, охрану окружающей среды и здравоохранение.</w:t>
      </w:r>
    </w:p>
    <w:p w:rsidR="00000000" w:rsidRDefault="00000000">
      <w:pPr>
        <w:tabs>
          <w:tab w:val="clear" w:pos="567"/>
          <w:tab w:val="clear" w:pos="1134"/>
          <w:tab w:val="clear" w:pos="1701"/>
          <w:tab w:val="clear" w:pos="2268"/>
          <w:tab w:val="clear" w:pos="6237"/>
          <w:tab w:val="left" w:pos="680"/>
        </w:tabs>
        <w:spacing w:line="240" w:lineRule="auto"/>
        <w:rPr>
          <w:sz w:val="23"/>
        </w:rPr>
      </w:pPr>
    </w:p>
    <w:p w:rsidR="00000000" w:rsidRDefault="00000000">
      <w:pPr>
        <w:pStyle w:val="Heading1"/>
        <w:tabs>
          <w:tab w:val="clear" w:pos="567"/>
          <w:tab w:val="clear" w:pos="1134"/>
          <w:tab w:val="clear" w:pos="1701"/>
          <w:tab w:val="clear" w:pos="2268"/>
          <w:tab w:val="clear" w:pos="6237"/>
          <w:tab w:val="left" w:pos="680"/>
        </w:tabs>
        <w:spacing w:line="240" w:lineRule="auto"/>
        <w:rPr>
          <w:bCs/>
          <w:sz w:val="23"/>
        </w:rPr>
      </w:pPr>
      <w:r>
        <w:rPr>
          <w:bCs/>
          <w:sz w:val="23"/>
        </w:rPr>
        <w:t>Процедуры передачи полномочий в интересах самоуправления</w:t>
      </w:r>
    </w:p>
    <w:p w:rsidR="00000000" w:rsidRDefault="00000000">
      <w:pPr>
        <w:pStyle w:val="Heading1"/>
        <w:tabs>
          <w:tab w:val="clear" w:pos="567"/>
          <w:tab w:val="clear" w:pos="1134"/>
          <w:tab w:val="clear" w:pos="1701"/>
          <w:tab w:val="clear" w:pos="2268"/>
          <w:tab w:val="clear" w:pos="6237"/>
          <w:tab w:val="left" w:pos="680"/>
        </w:tabs>
        <w:spacing w:line="240" w:lineRule="auto"/>
        <w:rPr>
          <w:bCs/>
          <w:sz w:val="23"/>
        </w:rPr>
      </w:pPr>
    </w:p>
    <w:p w:rsidR="00000000" w:rsidRDefault="00000000">
      <w:pPr>
        <w:tabs>
          <w:tab w:val="clear" w:pos="567"/>
          <w:tab w:val="clear" w:pos="1134"/>
          <w:tab w:val="clear" w:pos="1701"/>
          <w:tab w:val="clear" w:pos="2268"/>
          <w:tab w:val="clear" w:pos="6237"/>
          <w:tab w:val="left" w:pos="680"/>
        </w:tabs>
        <w:spacing w:line="240" w:lineRule="auto"/>
        <w:rPr>
          <w:sz w:val="23"/>
        </w:rPr>
      </w:pPr>
      <w:r>
        <w:rPr>
          <w:sz w:val="23"/>
        </w:rPr>
        <w:t>15.</w:t>
      </w:r>
      <w:r>
        <w:rPr>
          <w:sz w:val="23"/>
        </w:rPr>
        <w:tab/>
        <w:t>Система местного самоуправления Гренландии зиждется на принципе, согласно которому законодательные полномочия не могут осуществляться в отрыве от финансовых полномочий. В этой связи Закон о самоуправлении предусматривает, что в тех случаях, когда датский парламент передает в ведение местных органов власти какую-либо сферу деятельности, Орган самоуправления принимает на себя соответствующие расходы. И наоборот, налоги и сборы, взимаемые в областях деятельности, находящихся в сфере компетенции Органа самоуправления, поступают в исключительное распоряжение местного правительства. Поскольку Гренландия пока еще не может в полной мере самостоятельно финансировать деятельность в ряде капиталоемких отраслей, в рамках Закона о самоуправлении предусматривается механизм, облегчающий передачу полномочий органам местного самоуправления в отраслях, где требуются субсидии со стороны центрального правительства.</w:t>
      </w:r>
    </w:p>
    <w:p w:rsidR="00000000" w:rsidRDefault="00000000">
      <w:pPr>
        <w:tabs>
          <w:tab w:val="clear" w:pos="567"/>
          <w:tab w:val="clear" w:pos="1134"/>
          <w:tab w:val="clear" w:pos="1701"/>
          <w:tab w:val="clear" w:pos="2268"/>
          <w:tab w:val="clear" w:pos="6237"/>
          <w:tab w:val="left" w:pos="680"/>
        </w:tabs>
        <w:spacing w:line="240" w:lineRule="auto"/>
        <w:rPr>
          <w:sz w:val="23"/>
        </w:rPr>
      </w:pPr>
    </w:p>
    <w:p w:rsidR="00000000" w:rsidRDefault="00000000">
      <w:pPr>
        <w:tabs>
          <w:tab w:val="clear" w:pos="567"/>
          <w:tab w:val="clear" w:pos="1134"/>
          <w:tab w:val="clear" w:pos="1701"/>
          <w:tab w:val="clear" w:pos="2268"/>
          <w:tab w:val="clear" w:pos="6237"/>
          <w:tab w:val="left" w:pos="680"/>
        </w:tabs>
        <w:spacing w:line="240" w:lineRule="auto"/>
        <w:rPr>
          <w:sz w:val="23"/>
        </w:rPr>
      </w:pPr>
      <w:r>
        <w:rPr>
          <w:sz w:val="23"/>
        </w:rPr>
        <w:t>16.</w:t>
      </w:r>
      <w:r>
        <w:rPr>
          <w:sz w:val="23"/>
        </w:rPr>
        <w:tab/>
        <w:t>В соответствии с вышеуказанным Законом датский парламент может в нормативном порядке обеспечивать передачу полномочий и выплату субсидий в таких сферах деятельности путем наделения Органа самоуправления правом издавать обязательные для исполнения распоряжения в той или иной сфере субсидируемой деятельности. После консультаций с Органом самоуправления датский парламент принимает исполнительный акт, определяющий передаваемые местным органам полномочия и устанавливающий для каждой сферы деятельности рамки в форме нескольких базовых принципов, оставляя при этом за местными властями право на конкретизацию этих правовых норм и управление соответствующей сферой.</w:t>
      </w:r>
    </w:p>
    <w:p w:rsidR="00000000" w:rsidRDefault="00000000">
      <w:pPr>
        <w:tabs>
          <w:tab w:val="clear" w:pos="567"/>
          <w:tab w:val="clear" w:pos="1134"/>
          <w:tab w:val="clear" w:pos="1701"/>
          <w:tab w:val="clear" w:pos="2268"/>
          <w:tab w:val="clear" w:pos="6237"/>
          <w:tab w:val="left" w:pos="680"/>
        </w:tabs>
        <w:spacing w:line="240" w:lineRule="auto"/>
        <w:rPr>
          <w:sz w:val="23"/>
        </w:rPr>
      </w:pPr>
    </w:p>
    <w:p w:rsidR="00000000" w:rsidRDefault="00000000">
      <w:pPr>
        <w:tabs>
          <w:tab w:val="clear" w:pos="567"/>
          <w:tab w:val="clear" w:pos="1134"/>
          <w:tab w:val="clear" w:pos="1701"/>
          <w:tab w:val="clear" w:pos="2268"/>
          <w:tab w:val="clear" w:pos="6237"/>
          <w:tab w:val="left" w:pos="680"/>
        </w:tabs>
        <w:spacing w:line="240" w:lineRule="auto"/>
        <w:rPr>
          <w:sz w:val="23"/>
        </w:rPr>
      </w:pPr>
      <w:r>
        <w:rPr>
          <w:sz w:val="23"/>
        </w:rPr>
        <w:t>17.</w:t>
      </w:r>
      <w:r>
        <w:rPr>
          <w:sz w:val="23"/>
        </w:rPr>
        <w:tab/>
        <w:t>Субсидии центральных властей Органу самоуправления не резервируются на конкретные цели, а выделяются в виде общей суммы. Таким образом, Орган самоуправления обладает фактически полной свободой в отношении определения приоритетов при расходовании ассигнуемых датским парламентом средств. Размеры этих так называемых "пакетных субсидий" устанавливаются на трехлетний период на основе принимаемых датским парламентом актов, а суммы ежегодных выплат определяются в бюджете Дании.</w:t>
      </w:r>
    </w:p>
    <w:p w:rsidR="00000000" w:rsidRDefault="00000000">
      <w:pPr>
        <w:tabs>
          <w:tab w:val="clear" w:pos="567"/>
          <w:tab w:val="clear" w:pos="1134"/>
          <w:tab w:val="clear" w:pos="1701"/>
          <w:tab w:val="clear" w:pos="2268"/>
          <w:tab w:val="clear" w:pos="6237"/>
          <w:tab w:val="left" w:pos="680"/>
        </w:tabs>
        <w:spacing w:line="240" w:lineRule="auto"/>
        <w:rPr>
          <w:sz w:val="23"/>
        </w:rPr>
      </w:pPr>
    </w:p>
    <w:p w:rsidR="00000000" w:rsidRDefault="00000000">
      <w:pPr>
        <w:pStyle w:val="BodyText"/>
        <w:tabs>
          <w:tab w:val="clear" w:pos="567"/>
          <w:tab w:val="clear" w:pos="1134"/>
          <w:tab w:val="clear" w:pos="1701"/>
          <w:tab w:val="clear" w:pos="2268"/>
          <w:tab w:val="clear" w:pos="6237"/>
          <w:tab w:val="left" w:pos="680"/>
        </w:tabs>
        <w:spacing w:before="0"/>
        <w:rPr>
          <w:sz w:val="23"/>
        </w:rPr>
      </w:pPr>
      <w:r>
        <w:rPr>
          <w:sz w:val="23"/>
        </w:rPr>
        <w:t>Принцип единства Королевства и конституционные рамки системы местного самоуправления</w:t>
      </w:r>
    </w:p>
    <w:p w:rsidR="00000000" w:rsidRDefault="00000000">
      <w:pPr>
        <w:pStyle w:val="BodyText"/>
        <w:tabs>
          <w:tab w:val="clear" w:pos="567"/>
          <w:tab w:val="clear" w:pos="1134"/>
          <w:tab w:val="clear" w:pos="1701"/>
          <w:tab w:val="clear" w:pos="2268"/>
          <w:tab w:val="clear" w:pos="6237"/>
          <w:tab w:val="left" w:pos="680"/>
        </w:tabs>
        <w:spacing w:before="0"/>
        <w:rPr>
          <w:sz w:val="23"/>
        </w:rPr>
      </w:pPr>
    </w:p>
    <w:p w:rsidR="00000000" w:rsidRDefault="00000000">
      <w:pPr>
        <w:tabs>
          <w:tab w:val="clear" w:pos="567"/>
          <w:tab w:val="clear" w:pos="1134"/>
          <w:tab w:val="clear" w:pos="1701"/>
          <w:tab w:val="clear" w:pos="2268"/>
          <w:tab w:val="clear" w:pos="6237"/>
          <w:tab w:val="left" w:pos="680"/>
        </w:tabs>
        <w:spacing w:line="240" w:lineRule="auto"/>
        <w:rPr>
          <w:sz w:val="23"/>
        </w:rPr>
      </w:pPr>
      <w:r>
        <w:rPr>
          <w:sz w:val="23"/>
        </w:rPr>
        <w:t>18.</w:t>
      </w:r>
      <w:r>
        <w:rPr>
          <w:sz w:val="23"/>
        </w:rPr>
        <w:tab/>
        <w:t>Закон о самоуправлении не меняет конституционного статуса Гренландии как части Королевства Дании. Принцип единства Королевства, вытекающий из Конституции Дании и отраженный в Законе о самоуправлении, накладывает определенные ограничения на сферу действия системы самоуправления в Гренландии: верховная власть по-прежнему принадлежит центральным органам Королевства; Гренландия по-прежнему является частью Королевства Дании; в ведение Органа самоуправления могут передаваться вопросы политики, относящиеся исключительно к Гренландии; делегирование полномочий не может быть безграничным и должно четко определяться законом; некоторые области, относящиеся к сфере так называемых государственных дел, не могут быть переданы в ведение местного самоуправления. К числу такого рода исключительных государственных дел относятся внешние сношения, вопросы обороны и финансовая политика.</w:t>
      </w:r>
    </w:p>
    <w:p w:rsidR="00000000" w:rsidRDefault="00000000">
      <w:pPr>
        <w:tabs>
          <w:tab w:val="clear" w:pos="567"/>
          <w:tab w:val="clear" w:pos="1134"/>
          <w:tab w:val="clear" w:pos="1701"/>
          <w:tab w:val="clear" w:pos="2268"/>
          <w:tab w:val="clear" w:pos="6237"/>
          <w:tab w:val="left" w:pos="680"/>
        </w:tabs>
        <w:spacing w:line="240" w:lineRule="auto"/>
        <w:rPr>
          <w:sz w:val="23"/>
        </w:rPr>
      </w:pPr>
    </w:p>
    <w:p w:rsidR="00000000" w:rsidRDefault="00000000">
      <w:pPr>
        <w:tabs>
          <w:tab w:val="clear" w:pos="567"/>
          <w:tab w:val="clear" w:pos="1134"/>
          <w:tab w:val="clear" w:pos="1701"/>
          <w:tab w:val="clear" w:pos="2268"/>
          <w:tab w:val="clear" w:pos="6237"/>
          <w:tab w:val="left" w:pos="680"/>
        </w:tabs>
        <w:spacing w:line="240" w:lineRule="auto"/>
        <w:rPr>
          <w:sz w:val="23"/>
        </w:rPr>
      </w:pPr>
      <w:r>
        <w:rPr>
          <w:sz w:val="23"/>
        </w:rPr>
        <w:t>19.</w:t>
      </w:r>
      <w:r>
        <w:rPr>
          <w:sz w:val="23"/>
        </w:rPr>
        <w:tab/>
        <w:t>Вместе с тем Орган самоуправления призван подготавливать для центральных властей Королевства важные консультативные заключения по вопросам, касающимся не подлежащих передаче и еще не переданных областей деятельности. Предлагаемое законодательство, касающееся исключительно внутренних дел Гренландии, представляется на рассмотрение Органа самоуправления для замечаний и лишь после этого вносится в форме законопроекта на рассмотрение датского парламента. В тех случаях, когда предлагаемый законодательный акт имеет "крайне важное значение для Гренландии", до его введения в силу в Гренландии обязательно проводятся консультации с Органом самоуправления.</w:t>
      </w:r>
    </w:p>
    <w:p w:rsidR="00000000" w:rsidRDefault="00000000">
      <w:pPr>
        <w:tabs>
          <w:tab w:val="clear" w:pos="567"/>
          <w:tab w:val="clear" w:pos="1134"/>
          <w:tab w:val="clear" w:pos="1701"/>
          <w:tab w:val="clear" w:pos="2268"/>
          <w:tab w:val="clear" w:pos="6237"/>
          <w:tab w:val="left" w:pos="680"/>
        </w:tabs>
        <w:spacing w:line="240" w:lineRule="auto"/>
        <w:rPr>
          <w:sz w:val="23"/>
        </w:rPr>
      </w:pPr>
    </w:p>
    <w:p w:rsidR="00000000" w:rsidRDefault="00000000">
      <w:pPr>
        <w:pStyle w:val="Heading1"/>
        <w:tabs>
          <w:tab w:val="clear" w:pos="567"/>
          <w:tab w:val="clear" w:pos="1134"/>
          <w:tab w:val="clear" w:pos="1701"/>
          <w:tab w:val="clear" w:pos="2268"/>
          <w:tab w:val="clear" w:pos="6237"/>
          <w:tab w:val="left" w:pos="680"/>
        </w:tabs>
        <w:spacing w:line="240" w:lineRule="auto"/>
        <w:rPr>
          <w:bCs/>
          <w:sz w:val="23"/>
        </w:rPr>
      </w:pPr>
      <w:r>
        <w:rPr>
          <w:bCs/>
          <w:sz w:val="23"/>
        </w:rPr>
        <w:t>Совместные решения по освоению полезных ископаемых</w:t>
      </w:r>
    </w:p>
    <w:p w:rsidR="00000000" w:rsidRDefault="00000000">
      <w:pPr>
        <w:pStyle w:val="Heading1"/>
        <w:tabs>
          <w:tab w:val="clear" w:pos="567"/>
          <w:tab w:val="clear" w:pos="1134"/>
          <w:tab w:val="clear" w:pos="1701"/>
          <w:tab w:val="clear" w:pos="2268"/>
          <w:tab w:val="clear" w:pos="6237"/>
          <w:tab w:val="left" w:pos="680"/>
        </w:tabs>
        <w:spacing w:line="240" w:lineRule="auto"/>
        <w:rPr>
          <w:bCs/>
          <w:sz w:val="23"/>
        </w:rPr>
      </w:pPr>
    </w:p>
    <w:p w:rsidR="00000000" w:rsidRDefault="00000000">
      <w:pPr>
        <w:tabs>
          <w:tab w:val="clear" w:pos="567"/>
          <w:tab w:val="clear" w:pos="1134"/>
          <w:tab w:val="clear" w:pos="1701"/>
          <w:tab w:val="clear" w:pos="2268"/>
          <w:tab w:val="clear" w:pos="6237"/>
          <w:tab w:val="left" w:pos="680"/>
        </w:tabs>
        <w:spacing w:line="240" w:lineRule="auto"/>
        <w:rPr>
          <w:sz w:val="23"/>
        </w:rPr>
      </w:pPr>
      <w:r>
        <w:rPr>
          <w:sz w:val="23"/>
        </w:rPr>
        <w:t>20.</w:t>
      </w:r>
      <w:r>
        <w:rPr>
          <w:sz w:val="23"/>
        </w:rPr>
        <w:tab/>
        <w:t>Закон о самоуправлении гласит, что местные жители Гренландии имеют основополагающее право на пользование природными ресурсами Гренландии. В Законе о самоуправлении содержатся специальные положения о полезных ископаемых, в соответствии с которыми решения в этой области принимаются совместно центральными властями и органами местного самоуправления, при этом каждая из сторон может возражать, вплоть до применения права вето, против осуществления нежелательных, по ее мнению, стратегий развития или конкретных решений. Комиссия по самоуправлению руководствуется принципом, согласно которому в свете правовых норм о полезных ископаемых и положений Закона о самоуправлении необходимо уделять должное внимание обеспечению единства Королевства и соблюдению интересов Королевства в целом.</w:t>
      </w:r>
    </w:p>
    <w:p w:rsidR="00000000" w:rsidRDefault="00000000">
      <w:pPr>
        <w:pStyle w:val="Heading1"/>
        <w:tabs>
          <w:tab w:val="clear" w:pos="567"/>
          <w:tab w:val="clear" w:pos="1134"/>
          <w:tab w:val="clear" w:pos="1701"/>
          <w:tab w:val="clear" w:pos="2268"/>
          <w:tab w:val="clear" w:pos="6237"/>
          <w:tab w:val="left" w:pos="680"/>
        </w:tabs>
        <w:spacing w:line="240" w:lineRule="auto"/>
        <w:rPr>
          <w:bCs/>
          <w:sz w:val="23"/>
        </w:rPr>
      </w:pPr>
      <w:r>
        <w:rPr>
          <w:bCs/>
          <w:sz w:val="23"/>
        </w:rPr>
        <w:t>"Гренландизация"</w:t>
      </w:r>
    </w:p>
    <w:p w:rsidR="00000000" w:rsidRDefault="00000000">
      <w:pPr>
        <w:pStyle w:val="Heading1"/>
        <w:tabs>
          <w:tab w:val="clear" w:pos="567"/>
          <w:tab w:val="clear" w:pos="1134"/>
          <w:tab w:val="clear" w:pos="1701"/>
          <w:tab w:val="clear" w:pos="2268"/>
          <w:tab w:val="clear" w:pos="6237"/>
          <w:tab w:val="left" w:pos="680"/>
        </w:tabs>
        <w:spacing w:line="240" w:lineRule="auto"/>
        <w:rPr>
          <w:bCs/>
          <w:sz w:val="23"/>
        </w:rPr>
      </w:pPr>
    </w:p>
    <w:p w:rsidR="00000000" w:rsidRDefault="00000000">
      <w:pPr>
        <w:tabs>
          <w:tab w:val="clear" w:pos="567"/>
          <w:tab w:val="clear" w:pos="1134"/>
          <w:tab w:val="clear" w:pos="1701"/>
          <w:tab w:val="clear" w:pos="2268"/>
          <w:tab w:val="clear" w:pos="6237"/>
          <w:tab w:val="left" w:pos="680"/>
        </w:tabs>
        <w:spacing w:line="240" w:lineRule="auto"/>
        <w:rPr>
          <w:sz w:val="23"/>
        </w:rPr>
      </w:pPr>
      <w:r>
        <w:rPr>
          <w:sz w:val="23"/>
        </w:rPr>
        <w:t>21.</w:t>
      </w:r>
      <w:r>
        <w:rPr>
          <w:sz w:val="23"/>
        </w:rPr>
        <w:tab/>
        <w:t>Введение в действие системы самоуправления положило начало интенсивному процессу "гренландизации". Символом автономии Гренландии явилось принятие официального гренландского флага и герба. Орган самоуправления предпринимает немалые усилия для сохранения гренландской культуры и ее культурного наследия. В этой связи особо важное значение имеет язык, поэтому Закон о самоуправлении провозглашает гренландский язык основным языком Гренландии.</w:t>
      </w:r>
    </w:p>
    <w:p w:rsidR="00000000" w:rsidRDefault="00000000">
      <w:pPr>
        <w:tabs>
          <w:tab w:val="clear" w:pos="567"/>
          <w:tab w:val="clear" w:pos="1134"/>
          <w:tab w:val="clear" w:pos="1701"/>
          <w:tab w:val="clear" w:pos="2268"/>
          <w:tab w:val="clear" w:pos="6237"/>
          <w:tab w:val="left" w:pos="680"/>
        </w:tabs>
        <w:spacing w:line="240" w:lineRule="auto"/>
        <w:rPr>
          <w:sz w:val="23"/>
        </w:rPr>
      </w:pPr>
    </w:p>
    <w:p w:rsidR="00000000" w:rsidRDefault="00000000">
      <w:pPr>
        <w:tabs>
          <w:tab w:val="clear" w:pos="567"/>
          <w:tab w:val="clear" w:pos="1134"/>
          <w:tab w:val="clear" w:pos="1701"/>
          <w:tab w:val="clear" w:pos="2268"/>
          <w:tab w:val="clear" w:pos="6237"/>
          <w:tab w:val="left" w:pos="680"/>
        </w:tabs>
        <w:spacing w:line="240" w:lineRule="auto"/>
        <w:rPr>
          <w:sz w:val="23"/>
        </w:rPr>
      </w:pPr>
      <w:r>
        <w:rPr>
          <w:sz w:val="23"/>
        </w:rPr>
        <w:t>22.</w:t>
      </w:r>
      <w:r>
        <w:rPr>
          <w:sz w:val="23"/>
        </w:rPr>
        <w:tab/>
        <w:t>В 2000 году, по прошествии более 20 лет с момента введения самоуправления, правительство Гренландии учредило Комиссию по вопросу о расширении самоуправления. Комиссия призвана подготовить доклад о нынешней сфере охвата системы самоуправления, а также определить и охарактеризовать новые механизмы, удовлетворяющие потребностям Гренландии в области самоуправления в составе Королевства Дании. Некоторые сферы деятельности, такие как судебная система, внешние сношения и политика обеспечения безопасности, которые рассматривает Комиссия, в настоящее время относятся к юрисдикции датского правительства. Кроме того, Комиссия выдвинет предложения, направленные на содействие скорейшему достижению Гренландией экономической самообеспеченности. Соответствующую информацию см. ниже, в пункте 30.</w:t>
      </w:r>
    </w:p>
    <w:p w:rsidR="00000000" w:rsidRDefault="00000000">
      <w:pPr>
        <w:tabs>
          <w:tab w:val="clear" w:pos="567"/>
          <w:tab w:val="clear" w:pos="1134"/>
          <w:tab w:val="clear" w:pos="1701"/>
          <w:tab w:val="clear" w:pos="2268"/>
          <w:tab w:val="clear" w:pos="6237"/>
          <w:tab w:val="left" w:pos="680"/>
        </w:tabs>
        <w:spacing w:line="240" w:lineRule="auto"/>
        <w:rPr>
          <w:sz w:val="23"/>
        </w:rPr>
      </w:pPr>
    </w:p>
    <w:p w:rsidR="00000000" w:rsidRDefault="00000000">
      <w:pPr>
        <w:pStyle w:val="Heading1"/>
        <w:tabs>
          <w:tab w:val="clear" w:pos="567"/>
          <w:tab w:val="clear" w:pos="1134"/>
          <w:tab w:val="clear" w:pos="1701"/>
          <w:tab w:val="clear" w:pos="2268"/>
          <w:tab w:val="clear" w:pos="6237"/>
          <w:tab w:val="left" w:pos="680"/>
        </w:tabs>
        <w:spacing w:line="240" w:lineRule="auto"/>
        <w:rPr>
          <w:bCs/>
          <w:sz w:val="23"/>
        </w:rPr>
      </w:pPr>
      <w:r>
        <w:rPr>
          <w:bCs/>
          <w:sz w:val="23"/>
        </w:rPr>
        <w:t>Гренландия и внешняя политика Дании</w:t>
      </w:r>
    </w:p>
    <w:p w:rsidR="00000000" w:rsidRDefault="00000000">
      <w:pPr>
        <w:pStyle w:val="Heading1"/>
        <w:tabs>
          <w:tab w:val="clear" w:pos="567"/>
          <w:tab w:val="clear" w:pos="1134"/>
          <w:tab w:val="clear" w:pos="1701"/>
          <w:tab w:val="clear" w:pos="2268"/>
          <w:tab w:val="clear" w:pos="6237"/>
          <w:tab w:val="left" w:pos="680"/>
        </w:tabs>
        <w:spacing w:line="240" w:lineRule="auto"/>
        <w:rPr>
          <w:bCs/>
          <w:sz w:val="23"/>
        </w:rPr>
      </w:pPr>
    </w:p>
    <w:p w:rsidR="00000000" w:rsidRDefault="00000000">
      <w:pPr>
        <w:tabs>
          <w:tab w:val="clear" w:pos="567"/>
          <w:tab w:val="clear" w:pos="1134"/>
          <w:tab w:val="clear" w:pos="1701"/>
          <w:tab w:val="clear" w:pos="2268"/>
          <w:tab w:val="clear" w:pos="6237"/>
          <w:tab w:val="left" w:pos="680"/>
        </w:tabs>
        <w:spacing w:line="240" w:lineRule="auto"/>
        <w:rPr>
          <w:sz w:val="23"/>
        </w:rPr>
      </w:pPr>
      <w:r>
        <w:rPr>
          <w:sz w:val="23"/>
        </w:rPr>
        <w:t>23.</w:t>
      </w:r>
      <w:r>
        <w:rPr>
          <w:sz w:val="23"/>
        </w:rPr>
        <w:tab/>
        <w:t>Проведение внешней политики относится к числу конституционных прерогатив датского правительства, и никакие отдельные полномочия в рамках этой прерогативы не могут быть переданы в ведение Органа самоуправления Гренландии. Вместе с тем в Законе о самоуправлении закреплены процедуры согласования, позволяющие учитывать интересы Гренландии и избегать возможной коллизии интересов между Гренландией и Данией в вопросах внешней политики и предусматривающие наделение Органа самоуправления рядом важных функций консультативного, представительского и исполнительного характера.</w:t>
      </w:r>
    </w:p>
    <w:p w:rsidR="00000000" w:rsidRDefault="00000000">
      <w:pPr>
        <w:tabs>
          <w:tab w:val="clear" w:pos="567"/>
          <w:tab w:val="clear" w:pos="1134"/>
          <w:tab w:val="clear" w:pos="1701"/>
          <w:tab w:val="clear" w:pos="2268"/>
          <w:tab w:val="clear" w:pos="6237"/>
          <w:tab w:val="left" w:pos="680"/>
        </w:tabs>
        <w:spacing w:line="240" w:lineRule="auto"/>
        <w:rPr>
          <w:sz w:val="23"/>
        </w:rPr>
      </w:pPr>
    </w:p>
    <w:p w:rsidR="00000000" w:rsidRDefault="00000000">
      <w:pPr>
        <w:tabs>
          <w:tab w:val="clear" w:pos="567"/>
          <w:tab w:val="clear" w:pos="1134"/>
          <w:tab w:val="clear" w:pos="1701"/>
          <w:tab w:val="clear" w:pos="2268"/>
          <w:tab w:val="clear" w:pos="6237"/>
          <w:tab w:val="left" w:pos="680"/>
        </w:tabs>
        <w:spacing w:line="240" w:lineRule="auto"/>
        <w:rPr>
          <w:sz w:val="23"/>
        </w:rPr>
      </w:pPr>
      <w:r>
        <w:rPr>
          <w:sz w:val="23"/>
        </w:rPr>
        <w:t>24.</w:t>
      </w:r>
      <w:r>
        <w:rPr>
          <w:sz w:val="23"/>
        </w:rPr>
        <w:tab/>
        <w:t>В ведение органов местного самоуправления были переданы обширные и четко определенные с территориальной и функциональной точек зрения законодательные и исполнительные полномочия. В этой связи выполнение Данией своих международных обязательств нередко требует сотрудничества со стороны Органа местного самоуправления. С учетом этого обстоятельства Закон о самоуправлении предусматривает, что до присоединения к международным договорам, конкретно затрагивающим интересы Гренландии, датское правительство должно проводить консультации с Органом самоуправления. Такая консультативная процедура применяется независимо от того, затрагивает ли соответствующий договор какую-либо переданную сферу полномочий.</w:t>
      </w:r>
    </w:p>
    <w:p w:rsidR="00000000" w:rsidRDefault="00000000">
      <w:pPr>
        <w:tabs>
          <w:tab w:val="clear" w:pos="567"/>
          <w:tab w:val="clear" w:pos="1134"/>
          <w:tab w:val="clear" w:pos="1701"/>
          <w:tab w:val="clear" w:pos="2268"/>
          <w:tab w:val="clear" w:pos="6237"/>
          <w:tab w:val="left" w:pos="680"/>
        </w:tabs>
        <w:spacing w:line="240" w:lineRule="auto"/>
        <w:rPr>
          <w:sz w:val="23"/>
        </w:rPr>
      </w:pPr>
    </w:p>
    <w:p w:rsidR="00000000" w:rsidRDefault="00000000">
      <w:pPr>
        <w:tabs>
          <w:tab w:val="clear" w:pos="567"/>
          <w:tab w:val="clear" w:pos="1134"/>
          <w:tab w:val="clear" w:pos="1701"/>
          <w:tab w:val="clear" w:pos="2268"/>
          <w:tab w:val="clear" w:pos="6237"/>
          <w:tab w:val="left" w:pos="680"/>
        </w:tabs>
        <w:spacing w:line="240" w:lineRule="auto"/>
        <w:rPr>
          <w:sz w:val="23"/>
        </w:rPr>
      </w:pPr>
      <w:r>
        <w:rPr>
          <w:sz w:val="23"/>
        </w:rPr>
        <w:t>25.</w:t>
      </w:r>
      <w:r>
        <w:rPr>
          <w:sz w:val="23"/>
        </w:rPr>
        <w:tab/>
        <w:t>Заключаемые датским правительством международные договоры и нормы обычного международного права являются для Органа самоуправления такими же обязательными, какими они являются для правительства Дании. В целях обеспечения соблюдения Данией и Гренландией своих международных обязательств датское правительство может предлагать Органу самоуправления принимать необходимые меры для выполнения таких обязательств.</w:t>
      </w:r>
    </w:p>
    <w:p w:rsidR="00000000" w:rsidRDefault="00000000">
      <w:pPr>
        <w:tabs>
          <w:tab w:val="clear" w:pos="567"/>
          <w:tab w:val="clear" w:pos="1134"/>
          <w:tab w:val="clear" w:pos="1701"/>
          <w:tab w:val="clear" w:pos="2268"/>
          <w:tab w:val="clear" w:pos="6237"/>
          <w:tab w:val="left" w:pos="680"/>
        </w:tabs>
        <w:spacing w:line="240" w:lineRule="auto"/>
        <w:rPr>
          <w:sz w:val="23"/>
        </w:rPr>
      </w:pPr>
    </w:p>
    <w:p w:rsidR="00000000" w:rsidRDefault="00000000">
      <w:pPr>
        <w:tabs>
          <w:tab w:val="clear" w:pos="567"/>
          <w:tab w:val="clear" w:pos="1134"/>
          <w:tab w:val="clear" w:pos="1701"/>
          <w:tab w:val="clear" w:pos="2268"/>
          <w:tab w:val="clear" w:pos="6237"/>
          <w:tab w:val="left" w:pos="680"/>
        </w:tabs>
        <w:spacing w:line="240" w:lineRule="auto"/>
        <w:rPr>
          <w:sz w:val="23"/>
        </w:rPr>
      </w:pPr>
      <w:r>
        <w:rPr>
          <w:sz w:val="23"/>
        </w:rPr>
        <w:t>26.</w:t>
      </w:r>
      <w:r>
        <w:rPr>
          <w:sz w:val="23"/>
        </w:rPr>
        <w:tab/>
        <w:t>Законодательные и административные меры Органа самоуправления, например в области регулирования рыбного промысла, могут затрагивать интересы третьих государств и позицию датского правительства по отношению к другим странам. В этой связи в соответствии с Законом о самоуправлении Орган самоуправления обязан провести консультации с центральными властями Королевства до принятия мер, которые могут повредить интересам Дании.</w:t>
      </w:r>
    </w:p>
    <w:p w:rsidR="00000000" w:rsidRDefault="00000000">
      <w:pPr>
        <w:tabs>
          <w:tab w:val="clear" w:pos="567"/>
          <w:tab w:val="clear" w:pos="1134"/>
          <w:tab w:val="clear" w:pos="1701"/>
          <w:tab w:val="clear" w:pos="2268"/>
          <w:tab w:val="clear" w:pos="6237"/>
          <w:tab w:val="left" w:pos="680"/>
        </w:tabs>
        <w:spacing w:line="240" w:lineRule="auto"/>
        <w:rPr>
          <w:sz w:val="23"/>
        </w:rPr>
      </w:pPr>
    </w:p>
    <w:p w:rsidR="00000000" w:rsidRDefault="00000000">
      <w:pPr>
        <w:tabs>
          <w:tab w:val="clear" w:pos="567"/>
          <w:tab w:val="clear" w:pos="1134"/>
          <w:tab w:val="clear" w:pos="1701"/>
          <w:tab w:val="clear" w:pos="2268"/>
          <w:tab w:val="clear" w:pos="6237"/>
          <w:tab w:val="left" w:pos="680"/>
        </w:tabs>
        <w:spacing w:line="240" w:lineRule="auto"/>
        <w:rPr>
          <w:sz w:val="23"/>
        </w:rPr>
      </w:pPr>
      <w:r>
        <w:rPr>
          <w:sz w:val="23"/>
        </w:rPr>
        <w:t>27.</w:t>
      </w:r>
      <w:r>
        <w:rPr>
          <w:sz w:val="23"/>
        </w:rPr>
        <w:tab/>
        <w:t>Орган самоуправления может направлять представителей в датские дипломатические миссии с целью обеспечения соблюдения важных коммерческих интересов Гренландии.</w:t>
      </w:r>
    </w:p>
    <w:p w:rsidR="00000000" w:rsidRDefault="00000000">
      <w:pPr>
        <w:tabs>
          <w:tab w:val="clear" w:pos="567"/>
          <w:tab w:val="clear" w:pos="1134"/>
          <w:tab w:val="clear" w:pos="1701"/>
          <w:tab w:val="clear" w:pos="2268"/>
          <w:tab w:val="clear" w:pos="6237"/>
          <w:tab w:val="left" w:pos="680"/>
        </w:tabs>
        <w:spacing w:line="240" w:lineRule="auto"/>
        <w:rPr>
          <w:sz w:val="23"/>
        </w:rPr>
      </w:pPr>
    </w:p>
    <w:p w:rsidR="00000000" w:rsidRDefault="00000000">
      <w:pPr>
        <w:tabs>
          <w:tab w:val="clear" w:pos="567"/>
          <w:tab w:val="clear" w:pos="1134"/>
          <w:tab w:val="clear" w:pos="1701"/>
          <w:tab w:val="clear" w:pos="2268"/>
          <w:tab w:val="clear" w:pos="6237"/>
          <w:tab w:val="left" w:pos="680"/>
        </w:tabs>
        <w:spacing w:line="240" w:lineRule="auto"/>
        <w:rPr>
          <w:sz w:val="23"/>
        </w:rPr>
      </w:pPr>
      <w:r>
        <w:rPr>
          <w:sz w:val="23"/>
        </w:rPr>
        <w:t>28.</w:t>
      </w:r>
      <w:r>
        <w:rPr>
          <w:sz w:val="23"/>
        </w:rPr>
        <w:tab/>
        <w:t>Хотя деятельность по заключению международных договоров в принципе является исключительной прерогативой датского правительства, при поступлении соответствующей просьбы центральные власти Королевства могут разрешить Органу самоуправления проводить при содействии министерства иностранных дел международные переговоры по вопросам, относящимся сугубо к Гренландии. Орган самоуправления пользуется этим правом прежде всего для ведения двусторонних переговоров с целью заключения соглашений о рыбном промысле.</w:t>
      </w:r>
    </w:p>
    <w:p w:rsidR="00000000" w:rsidRDefault="00000000">
      <w:pPr>
        <w:tabs>
          <w:tab w:val="clear" w:pos="567"/>
          <w:tab w:val="clear" w:pos="1134"/>
          <w:tab w:val="clear" w:pos="1701"/>
          <w:tab w:val="clear" w:pos="2268"/>
          <w:tab w:val="clear" w:pos="6237"/>
          <w:tab w:val="left" w:pos="680"/>
        </w:tabs>
        <w:spacing w:line="240" w:lineRule="auto"/>
        <w:rPr>
          <w:sz w:val="23"/>
        </w:rPr>
      </w:pPr>
    </w:p>
    <w:p w:rsidR="00000000" w:rsidRDefault="00000000">
      <w:pPr>
        <w:tabs>
          <w:tab w:val="clear" w:pos="567"/>
          <w:tab w:val="clear" w:pos="1134"/>
          <w:tab w:val="clear" w:pos="1701"/>
          <w:tab w:val="clear" w:pos="2268"/>
          <w:tab w:val="clear" w:pos="6237"/>
          <w:tab w:val="left" w:pos="680"/>
        </w:tabs>
        <w:spacing w:line="240" w:lineRule="auto"/>
        <w:rPr>
          <w:sz w:val="23"/>
        </w:rPr>
      </w:pPr>
      <w:r>
        <w:rPr>
          <w:sz w:val="23"/>
        </w:rPr>
        <w:t>29.</w:t>
      </w:r>
      <w:r>
        <w:rPr>
          <w:sz w:val="23"/>
        </w:rPr>
        <w:tab/>
        <w:t>Гренландия не является членом Европейского союза.</w:t>
      </w:r>
    </w:p>
    <w:p w:rsidR="00000000" w:rsidRDefault="00000000">
      <w:pPr>
        <w:tabs>
          <w:tab w:val="clear" w:pos="567"/>
          <w:tab w:val="clear" w:pos="1134"/>
          <w:tab w:val="clear" w:pos="1701"/>
          <w:tab w:val="clear" w:pos="2268"/>
          <w:tab w:val="clear" w:pos="6237"/>
          <w:tab w:val="left" w:pos="680"/>
        </w:tabs>
        <w:spacing w:line="240" w:lineRule="auto"/>
        <w:rPr>
          <w:sz w:val="23"/>
        </w:rPr>
      </w:pPr>
    </w:p>
    <w:p w:rsidR="00000000" w:rsidRDefault="00000000">
      <w:pPr>
        <w:tabs>
          <w:tab w:val="clear" w:pos="567"/>
          <w:tab w:val="clear" w:pos="1134"/>
          <w:tab w:val="clear" w:pos="1701"/>
          <w:tab w:val="clear" w:pos="2268"/>
          <w:tab w:val="clear" w:pos="6237"/>
          <w:tab w:val="left" w:pos="680"/>
        </w:tabs>
        <w:spacing w:line="240" w:lineRule="auto"/>
        <w:rPr>
          <w:b/>
          <w:bCs/>
          <w:sz w:val="23"/>
        </w:rPr>
      </w:pPr>
      <w:r>
        <w:rPr>
          <w:b/>
          <w:bCs/>
          <w:sz w:val="23"/>
        </w:rPr>
        <w:t>Изменения, происшедшие в последнее время в Гренландии</w:t>
      </w:r>
    </w:p>
    <w:p w:rsidR="00000000" w:rsidRDefault="00000000">
      <w:pPr>
        <w:tabs>
          <w:tab w:val="clear" w:pos="567"/>
          <w:tab w:val="clear" w:pos="1134"/>
          <w:tab w:val="clear" w:pos="1701"/>
          <w:tab w:val="clear" w:pos="2268"/>
          <w:tab w:val="clear" w:pos="6237"/>
          <w:tab w:val="left" w:pos="680"/>
        </w:tabs>
        <w:spacing w:line="240" w:lineRule="auto"/>
        <w:rPr>
          <w:b/>
          <w:bCs/>
          <w:sz w:val="23"/>
        </w:rPr>
      </w:pPr>
    </w:p>
    <w:p w:rsidR="00000000" w:rsidRDefault="00000000">
      <w:pPr>
        <w:tabs>
          <w:tab w:val="clear" w:pos="567"/>
          <w:tab w:val="clear" w:pos="1134"/>
          <w:tab w:val="clear" w:pos="1701"/>
          <w:tab w:val="clear" w:pos="2268"/>
          <w:tab w:val="clear" w:pos="6237"/>
          <w:tab w:val="left" w:pos="680"/>
        </w:tabs>
        <w:spacing w:line="240" w:lineRule="auto"/>
        <w:rPr>
          <w:sz w:val="23"/>
        </w:rPr>
      </w:pPr>
      <w:r>
        <w:rPr>
          <w:sz w:val="23"/>
        </w:rPr>
        <w:t>30.</w:t>
      </w:r>
      <w:r>
        <w:rPr>
          <w:sz w:val="23"/>
        </w:rPr>
        <w:tab/>
        <w:t>В январе 2000 года к своей работе приступила Комиссия по самоуправлению, учрежденная правительством самоуправления Гренландии. Комиссия, в которую входят представители политических партий, а также эксперты, назначенные в их личном качестве, имеет следующий круг ведения:</w:t>
      </w:r>
    </w:p>
    <w:p w:rsidR="00000000" w:rsidRDefault="00000000">
      <w:pPr>
        <w:tabs>
          <w:tab w:val="clear" w:pos="567"/>
          <w:tab w:val="clear" w:pos="1134"/>
          <w:tab w:val="clear" w:pos="1701"/>
          <w:tab w:val="clear" w:pos="2268"/>
          <w:tab w:val="clear" w:pos="6237"/>
          <w:tab w:val="left" w:pos="680"/>
        </w:tabs>
        <w:spacing w:line="240" w:lineRule="auto"/>
        <w:rPr>
          <w:sz w:val="23"/>
        </w:rPr>
      </w:pPr>
    </w:p>
    <w:p w:rsidR="00000000" w:rsidRDefault="00000000">
      <w:pPr>
        <w:tabs>
          <w:tab w:val="clear" w:pos="567"/>
          <w:tab w:val="clear" w:pos="1134"/>
          <w:tab w:val="clear" w:pos="1701"/>
          <w:tab w:val="clear" w:pos="2268"/>
          <w:tab w:val="clear" w:pos="6237"/>
          <w:tab w:val="left" w:pos="680"/>
        </w:tabs>
        <w:spacing w:line="240" w:lineRule="auto"/>
        <w:ind w:left="680"/>
        <w:rPr>
          <w:sz w:val="23"/>
        </w:rPr>
      </w:pPr>
      <w:r>
        <w:rPr>
          <w:sz w:val="23"/>
        </w:rPr>
        <w:t>Задача Комиссии заключается в том, чтобы подготовить доклад о возможностях расширения автономии Гренландии в составе единого Королевства на основе принципа соответствия прав и обязанностей.</w:t>
      </w:r>
    </w:p>
    <w:p w:rsidR="00000000" w:rsidRDefault="00000000">
      <w:pPr>
        <w:tabs>
          <w:tab w:val="clear" w:pos="567"/>
          <w:tab w:val="clear" w:pos="1134"/>
          <w:tab w:val="clear" w:pos="1701"/>
          <w:tab w:val="clear" w:pos="2268"/>
          <w:tab w:val="clear" w:pos="6237"/>
          <w:tab w:val="left" w:pos="680"/>
        </w:tabs>
        <w:spacing w:line="240" w:lineRule="auto"/>
        <w:ind w:left="680"/>
        <w:rPr>
          <w:sz w:val="23"/>
        </w:rPr>
      </w:pPr>
    </w:p>
    <w:p w:rsidR="00000000" w:rsidRDefault="00000000">
      <w:pPr>
        <w:tabs>
          <w:tab w:val="clear" w:pos="567"/>
          <w:tab w:val="clear" w:pos="1134"/>
          <w:tab w:val="clear" w:pos="1701"/>
          <w:tab w:val="clear" w:pos="2268"/>
          <w:tab w:val="clear" w:pos="6237"/>
          <w:tab w:val="left" w:pos="680"/>
        </w:tabs>
        <w:spacing w:line="240" w:lineRule="auto"/>
        <w:ind w:left="680"/>
        <w:rPr>
          <w:sz w:val="23"/>
        </w:rPr>
      </w:pPr>
      <w:r>
        <w:rPr>
          <w:sz w:val="23"/>
        </w:rPr>
        <w:t>Комиссия призвана проанализировать нынешнюю роль системы самоуправления в рамках конституционного строя – включая вопросы юрисдикции и делегирования полномочий в отношении между центральным правительством и правительством самоуправления – и определить и охарактеризовать альтернативные механизмы, более полно удовлетворяющие потребностям самоуправления в составе единого Королевства.</w:t>
      </w:r>
    </w:p>
    <w:p w:rsidR="00000000" w:rsidRDefault="00000000">
      <w:pPr>
        <w:tabs>
          <w:tab w:val="clear" w:pos="567"/>
          <w:tab w:val="clear" w:pos="1134"/>
          <w:tab w:val="clear" w:pos="1701"/>
          <w:tab w:val="clear" w:pos="2268"/>
          <w:tab w:val="clear" w:pos="6237"/>
          <w:tab w:val="left" w:pos="680"/>
        </w:tabs>
        <w:spacing w:line="240" w:lineRule="auto"/>
        <w:ind w:left="680"/>
        <w:rPr>
          <w:sz w:val="23"/>
        </w:rPr>
      </w:pPr>
    </w:p>
    <w:p w:rsidR="00000000" w:rsidRDefault="00000000">
      <w:pPr>
        <w:tabs>
          <w:tab w:val="clear" w:pos="567"/>
          <w:tab w:val="clear" w:pos="1134"/>
          <w:tab w:val="clear" w:pos="1701"/>
          <w:tab w:val="clear" w:pos="2268"/>
          <w:tab w:val="clear" w:pos="6237"/>
          <w:tab w:val="left" w:pos="680"/>
        </w:tabs>
        <w:spacing w:line="240" w:lineRule="auto"/>
        <w:ind w:left="680"/>
        <w:rPr>
          <w:sz w:val="23"/>
        </w:rPr>
      </w:pPr>
      <w:r>
        <w:rPr>
          <w:sz w:val="23"/>
        </w:rPr>
        <w:t>Комиссия призвана изучить возможности расширения правомочий, роли и потенциала Гренландии по осуществлению деятельности в области внешней политики и обеспечения безопасности. С этой целью она должна:</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BodyTextIndent"/>
        <w:tabs>
          <w:tab w:val="clear" w:pos="561"/>
          <w:tab w:val="clear" w:pos="1496"/>
          <w:tab w:val="clear" w:pos="1701"/>
          <w:tab w:val="clear" w:pos="2268"/>
          <w:tab w:val="clear" w:pos="6237"/>
          <w:tab w:val="left" w:pos="680"/>
          <w:tab w:val="left" w:pos="1134"/>
        </w:tabs>
        <w:spacing w:before="0"/>
        <w:ind w:left="1134" w:hanging="454"/>
        <w:rPr>
          <w:sz w:val="23"/>
        </w:rPr>
      </w:pPr>
      <w:r>
        <w:rPr>
          <w:sz w:val="23"/>
        </w:rPr>
        <w:t>–</w:t>
      </w:r>
      <w:r>
        <w:rPr>
          <w:sz w:val="23"/>
        </w:rPr>
        <w:tab/>
        <w:t>проанализировать роль Гренландии в сфере политики, направленной на обеспечение безопасности, с точки зрения ее географического положения, а также вопрос о наилучшем обеспечении интересов Гренландии в данном контексте; и</w:t>
      </w:r>
    </w:p>
    <w:p w:rsidR="00000000" w:rsidRDefault="00000000">
      <w:pPr>
        <w:pStyle w:val="BodyTextIndent"/>
        <w:tabs>
          <w:tab w:val="clear" w:pos="561"/>
          <w:tab w:val="clear" w:pos="1496"/>
          <w:tab w:val="clear" w:pos="1701"/>
          <w:tab w:val="clear" w:pos="2268"/>
          <w:tab w:val="clear" w:pos="6237"/>
          <w:tab w:val="left" w:pos="680"/>
          <w:tab w:val="left" w:pos="1134"/>
        </w:tabs>
        <w:spacing w:before="0"/>
        <w:ind w:left="1134" w:hanging="454"/>
        <w:rPr>
          <w:sz w:val="23"/>
        </w:rPr>
      </w:pPr>
    </w:p>
    <w:p w:rsidR="00000000" w:rsidRDefault="00000000">
      <w:pPr>
        <w:pStyle w:val="BodyTextIndent2"/>
        <w:tabs>
          <w:tab w:val="clear" w:pos="561"/>
          <w:tab w:val="clear" w:pos="1496"/>
          <w:tab w:val="clear" w:pos="1701"/>
          <w:tab w:val="clear" w:pos="2268"/>
          <w:tab w:val="clear" w:pos="6237"/>
          <w:tab w:val="left" w:pos="680"/>
          <w:tab w:val="left" w:pos="1134"/>
        </w:tabs>
        <w:spacing w:before="0"/>
        <w:ind w:left="1134" w:hanging="454"/>
        <w:rPr>
          <w:sz w:val="23"/>
        </w:rPr>
      </w:pPr>
      <w:r>
        <w:rPr>
          <w:sz w:val="23"/>
        </w:rPr>
        <w:t>–</w:t>
      </w:r>
      <w:r>
        <w:rPr>
          <w:sz w:val="23"/>
        </w:rPr>
        <w:tab/>
        <w:t>рассмотреть необходимость и возможности независимого представительства Гренландии на международных форумах, на которых представители Гренландии в настоящее время входят в состав правительственных делегаций Дании.</w:t>
      </w:r>
    </w:p>
    <w:p w:rsidR="00000000" w:rsidRDefault="00000000">
      <w:pPr>
        <w:pStyle w:val="BodyTextIndent2"/>
        <w:tabs>
          <w:tab w:val="clear" w:pos="561"/>
          <w:tab w:val="clear" w:pos="1496"/>
          <w:tab w:val="clear" w:pos="1701"/>
          <w:tab w:val="clear" w:pos="2268"/>
          <w:tab w:val="clear" w:pos="6237"/>
          <w:tab w:val="left" w:pos="680"/>
          <w:tab w:val="left" w:pos="1134"/>
        </w:tabs>
        <w:spacing w:before="0"/>
        <w:ind w:left="0" w:firstLine="0"/>
        <w:rPr>
          <w:sz w:val="23"/>
        </w:rPr>
      </w:pPr>
    </w:p>
    <w:p w:rsidR="00000000" w:rsidRDefault="00000000">
      <w:pPr>
        <w:tabs>
          <w:tab w:val="clear" w:pos="567"/>
          <w:tab w:val="clear" w:pos="1701"/>
          <w:tab w:val="clear" w:pos="2268"/>
          <w:tab w:val="clear" w:pos="6237"/>
          <w:tab w:val="left" w:pos="680"/>
          <w:tab w:val="left" w:pos="1134"/>
        </w:tabs>
        <w:spacing w:line="240" w:lineRule="auto"/>
        <w:ind w:left="680"/>
        <w:rPr>
          <w:sz w:val="23"/>
        </w:rPr>
      </w:pPr>
      <w:r>
        <w:rPr>
          <w:sz w:val="23"/>
        </w:rPr>
        <w:t xml:space="preserve">Комиссия призвана охарактеризовать сферы деятельности, которые перешли под юрисдикцию Органа самоуправления, сферы, которые остались в ведении центрального правительства, и сферы, в которых юрисдикция различным образом осуществляется на совместной основе Органом самоуправления и центральным правительством. В этой связи Комиссия с учетом положений доклада, который должен быть подготовлен Гренландской комиссией по вопросам отправления правосудия, призвана изучить возможности того, чтобы на данном этапе или в долгосрочной перспективе полностью или частично передать в ведение Гренландии вопросы, касающиеся функционирования судебной системы в Гренландии.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BodyTextIndent3"/>
        <w:tabs>
          <w:tab w:val="clear" w:pos="567"/>
          <w:tab w:val="clear" w:pos="1701"/>
          <w:tab w:val="clear" w:pos="2268"/>
          <w:tab w:val="clear" w:pos="6237"/>
          <w:tab w:val="left" w:pos="680"/>
          <w:tab w:val="left" w:pos="1134"/>
        </w:tabs>
        <w:spacing w:before="0"/>
        <w:ind w:left="680"/>
        <w:rPr>
          <w:sz w:val="23"/>
        </w:rPr>
      </w:pPr>
      <w:r>
        <w:rPr>
          <w:sz w:val="23"/>
        </w:rPr>
        <w:t>Комиссия призвана внести предложения, направленные на содействие скорейшему достижению Гренландией экономической самообеспеченности, включая условия для пакетной передачи финансовых средств. Она должна определить и обсудить изменения, которые необходимо внести в различные схемы предоставления субсидий по линии министерства финансов в Гренландии.</w:t>
      </w:r>
    </w:p>
    <w:p w:rsidR="00000000" w:rsidRDefault="00000000">
      <w:pPr>
        <w:pStyle w:val="BodyTextIndent3"/>
        <w:tabs>
          <w:tab w:val="clear" w:pos="567"/>
          <w:tab w:val="clear" w:pos="1701"/>
          <w:tab w:val="clear" w:pos="2268"/>
          <w:tab w:val="clear" w:pos="6237"/>
          <w:tab w:val="left" w:pos="680"/>
          <w:tab w:val="left" w:pos="1134"/>
        </w:tabs>
        <w:spacing w:before="0"/>
        <w:ind w:left="680"/>
        <w:rPr>
          <w:sz w:val="23"/>
        </w:rPr>
      </w:pPr>
    </w:p>
    <w:p w:rsidR="00000000" w:rsidRDefault="00000000">
      <w:pPr>
        <w:tabs>
          <w:tab w:val="clear" w:pos="567"/>
          <w:tab w:val="clear" w:pos="1701"/>
          <w:tab w:val="clear" w:pos="2268"/>
          <w:tab w:val="clear" w:pos="6237"/>
          <w:tab w:val="left" w:pos="680"/>
          <w:tab w:val="left" w:pos="1134"/>
        </w:tabs>
        <w:spacing w:line="240" w:lineRule="auto"/>
        <w:ind w:left="680"/>
        <w:rPr>
          <w:sz w:val="23"/>
        </w:rPr>
      </w:pPr>
      <w:r>
        <w:rPr>
          <w:sz w:val="23"/>
        </w:rPr>
        <w:t>Комиссия призвана проанализировать необходимость и целесообразность передачи других сфер компетенции в ведение Органа самоуправления и изучить преимущества и недостатки этой меры.</w:t>
      </w:r>
    </w:p>
    <w:p w:rsidR="00000000" w:rsidRDefault="00000000">
      <w:pPr>
        <w:tabs>
          <w:tab w:val="clear" w:pos="567"/>
          <w:tab w:val="clear" w:pos="1701"/>
          <w:tab w:val="clear" w:pos="2268"/>
          <w:tab w:val="clear" w:pos="6237"/>
          <w:tab w:val="left" w:pos="680"/>
          <w:tab w:val="left" w:pos="1134"/>
        </w:tabs>
        <w:spacing w:line="240" w:lineRule="auto"/>
        <w:ind w:left="680"/>
        <w:rPr>
          <w:sz w:val="23"/>
        </w:rPr>
      </w:pPr>
    </w:p>
    <w:p w:rsidR="00000000" w:rsidRDefault="00000000">
      <w:pPr>
        <w:tabs>
          <w:tab w:val="clear" w:pos="567"/>
          <w:tab w:val="clear" w:pos="1701"/>
          <w:tab w:val="clear" w:pos="2268"/>
          <w:tab w:val="clear" w:pos="6237"/>
          <w:tab w:val="left" w:pos="680"/>
          <w:tab w:val="left" w:pos="1134"/>
        </w:tabs>
        <w:spacing w:line="240" w:lineRule="auto"/>
        <w:ind w:left="680"/>
        <w:rPr>
          <w:sz w:val="23"/>
        </w:rPr>
      </w:pPr>
      <w:r>
        <w:rPr>
          <w:sz w:val="23"/>
        </w:rPr>
        <w:t>Комиссии поручено выявить и оценить возможности Гренландии в области осуществления суверенитета и контроля за рыбным промыслом.</w:t>
      </w:r>
    </w:p>
    <w:p w:rsidR="00000000" w:rsidRDefault="00000000">
      <w:pPr>
        <w:tabs>
          <w:tab w:val="clear" w:pos="567"/>
          <w:tab w:val="clear" w:pos="1701"/>
          <w:tab w:val="clear" w:pos="2268"/>
          <w:tab w:val="clear" w:pos="6237"/>
          <w:tab w:val="left" w:pos="680"/>
          <w:tab w:val="left" w:pos="1134"/>
        </w:tabs>
        <w:spacing w:line="240" w:lineRule="auto"/>
        <w:ind w:left="680"/>
        <w:rPr>
          <w:sz w:val="23"/>
        </w:rPr>
      </w:pPr>
    </w:p>
    <w:p w:rsidR="00000000" w:rsidRDefault="00000000">
      <w:pPr>
        <w:tabs>
          <w:tab w:val="clear" w:pos="567"/>
          <w:tab w:val="clear" w:pos="1701"/>
          <w:tab w:val="clear" w:pos="2268"/>
          <w:tab w:val="clear" w:pos="6237"/>
          <w:tab w:val="left" w:pos="680"/>
          <w:tab w:val="left" w:pos="1134"/>
        </w:tabs>
        <w:spacing w:line="240" w:lineRule="auto"/>
        <w:ind w:left="680"/>
        <w:rPr>
          <w:sz w:val="23"/>
        </w:rPr>
      </w:pPr>
      <w:r>
        <w:rPr>
          <w:sz w:val="23"/>
        </w:rPr>
        <w:t>Комиссия может выдвинуть предложения для внесения поправок в Закон о самоуправлении и в действующее вспомогательное законодательство, а также изменений в административные и рамочные соглашения, заключенные между центральным правительством и Органом самоуправления в вышеупомянутых сферах компетенции.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31.</w:t>
      </w:r>
      <w:r>
        <w:rPr>
          <w:sz w:val="23"/>
        </w:rPr>
        <w:tab/>
        <w:t>Доклад Комиссии по самоуправлению будет представлен парламенту самоуправления Гренландии, который проведет обсуждение вопросов самоуправления осенью 2003 года.</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32.</w:t>
      </w:r>
      <w:r>
        <w:rPr>
          <w:sz w:val="23"/>
        </w:rPr>
        <w:tab/>
        <w:t>Недавно было сформировано новое коалиционное правительство. В соглашении о коалиции отмечается, что после обсуждения парламентом этой весной вопроса о самоуправлении правительство вынесет постановление об учреждении правительственного органа/ведомства, призванного заниматься вопросом самоуправления, а также примет решение по поводу проведения референдума о самоуправлении. Новое коалиционное правительство считает важной передачу в ведение гренландских властей таких сфер деятельности, как функционирование судебной системы и правоприменение (уголовный кодекс, суды и полицейское поддержание правопорядка), но только после осуществления в этих областях необходимых улучшений/изменений (датскими властями).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
      </w:pPr>
      <w:bookmarkStart w:id="18" w:name="_Toc51496844"/>
      <w:bookmarkStart w:id="19" w:name="_Toc51497011"/>
      <w:bookmarkStart w:id="20" w:name="_Toc51497536"/>
      <w:r>
        <w:t>Фарерские острова</w:t>
      </w:r>
      <w:bookmarkEnd w:id="18"/>
      <w:bookmarkEnd w:id="19"/>
      <w:bookmarkEnd w:id="20"/>
    </w:p>
    <w:p w:rsidR="00000000" w:rsidRDefault="00000000">
      <w:pPr>
        <w:pStyle w:val="10"/>
        <w:tabs>
          <w:tab w:val="clear" w:pos="567"/>
          <w:tab w:val="clear" w:pos="1701"/>
          <w:tab w:val="clear" w:pos="2268"/>
          <w:tab w:val="clear" w:pos="6237"/>
          <w:tab w:val="left" w:pos="680"/>
          <w:tab w:val="left" w:pos="1134"/>
        </w:tabs>
        <w:spacing w:line="240" w:lineRule="auto"/>
        <w:rPr>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b/>
          <w:bCs/>
          <w:sz w:val="23"/>
        </w:rPr>
        <w:t>Самоуправление на Фарерских островах</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33.</w:t>
      </w:r>
      <w:r>
        <w:rPr>
          <w:sz w:val="23"/>
        </w:rPr>
        <w:tab/>
        <w:t>С географической точки зрения Фарерские острова являются отдельной и четко определенной частью Королевства Дании, расположенной в северной части Атлантического океана и охватывающей территорию площадью в 1400 кв. км. По состоянию на 31 декабря 2001 года общая численность населения Фарерских островов составила 46 996 человек.</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b/>
          <w:bCs/>
          <w:sz w:val="23"/>
        </w:rPr>
        <w:t>Конституция Дании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34.</w:t>
      </w:r>
      <w:r>
        <w:rPr>
          <w:sz w:val="23"/>
        </w:rPr>
        <w:tab/>
        <w:t>Статья 1 Конституции Дании предусматривает ее применение на всей территории Королевства Дании. Таким образом, Конституция Дании, включая положения о гражданских правах, также применяется к Фарерским островам. Согласно Конституции Дании население Фарерских островов представлено в датском парламенте двумя депутатами из 179.</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35.</w:t>
      </w:r>
      <w:r>
        <w:rPr>
          <w:sz w:val="23"/>
        </w:rPr>
        <w:tab/>
        <w:t>Датское гражданство, и в частности связанные с ним права и свободы, приобретаются в силу рождения на территории Королевства (Дании, Гренландии и Фарерских островов) от родителей-датчан/матери-датчанки.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b/>
          <w:bCs/>
          <w:sz w:val="23"/>
        </w:rPr>
        <w:t>Принцип единства Королевства и конституционные рамки системы местного самоуправления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36.</w:t>
      </w:r>
      <w:r>
        <w:rPr>
          <w:sz w:val="23"/>
        </w:rPr>
        <w:tab/>
        <w:t>Конституционный принцип единства Королевства, вытекающий из статьи 1 Конституции Дании и отраженный в статье 1 Закона о самоуправлении, налагает определенные ограничения на сферу действия системы самоуправления на Фарерских островах. Например, вопросы политики, относящиеся к сфере так называемых государственных дел, не могут быть переданы в ведение местного самоуправления. Однако, хотя верховная власть остается закрепленной за центральными органами Королевства, вопросы политики, относящиеся исключительно к Фарерским островам, могут быть переданы в ведение местного самоуправления.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b/>
          <w:bCs/>
          <w:sz w:val="23"/>
        </w:rPr>
        <w:t>Полномочия в системе самоуправления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37.</w:t>
      </w:r>
      <w:r>
        <w:rPr>
          <w:sz w:val="23"/>
        </w:rPr>
        <w:tab/>
        <w:t>Самоуправляющийся статус Фарерских островов был установлен на основании Закона № 137 от 23 марта 1948 года о самоуправлении Фарерских островов, согласно которому Фарерские острова пользуются внутренней автономией в составе Королевства Дании. Текст Закона о самоуправлении, переведенного на английский язык, содержится в приложении II.</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38.</w:t>
      </w:r>
      <w:r>
        <w:rPr>
          <w:sz w:val="23"/>
        </w:rPr>
        <w:tab/>
        <w:t>Власти самоуправления представлены парламентом (лёгтингом), избираемым всенародным голосованием в составе до 33 депутатов, и правительством (ландсстюри), которое назначается парламентом.</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39.</w:t>
      </w:r>
      <w:r>
        <w:rPr>
          <w:sz w:val="23"/>
        </w:rPr>
        <w:tab/>
        <w:t>В статьях 2 и 3 Закона о самоуправлении проводится различие между сферами полномочий, которые находятся в ведении органов самоуправления, и совместными вопросами, которые в порядке начальной меры решаются центральными властями. К Закону о самоуправлении прилагаются перечень А, где указываются сферы деятельности, относящиеся к сугубо внутренним делам Фарерских островов, и перечень В, где установлены сферы компетенции, которые после переговоров между правительством самоуправления и центральными властями могут подлежать передаче в качестве сугубо внутренних дел. Большинство вопросов, указанных в перечне А, и некоторые вопросы в перечне В (включая вопрос о минеральных ресурсах недр) были переданы в ведение Фарерских островов в качестве их сугубо внутренних вопросов. Перечень А и перечень В, где указываются области деятельности, переданные в ведение правительства самоуправления в соответствии с положениями статей 2 и 3 Закона о самоуправлении, включены в приложение </w:t>
      </w:r>
      <w:r>
        <w:rPr>
          <w:sz w:val="23"/>
          <w:lang w:val="en-US"/>
        </w:rPr>
        <w:t>II</w:t>
      </w:r>
      <w:r>
        <w:rPr>
          <w:sz w:val="23"/>
        </w:rPr>
        <w:t xml:space="preserve"> как составная часть Закона.</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40.</w:t>
      </w:r>
      <w:r>
        <w:rPr>
          <w:sz w:val="23"/>
        </w:rPr>
        <w:tab/>
        <w:t>В сферах деятельности, переданных в ведение Фарерских островов в качестве сугубо внутренних вопросов, власти самоуправления наделены законодательными и административными полномочиями.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41.</w:t>
      </w:r>
      <w:r>
        <w:rPr>
          <w:sz w:val="23"/>
        </w:rPr>
        <w:tab/>
        <w:t>В соответствии со статьей 9 вышеупомянутого Закона правительство самоуправления – в дополнение к установлению своей юрисдикции над конкретной областью, отнесенной к числу сугубо внутренних дел, – может по соглашению с центральными властями, касающемуся особого статуса Фарерских островов, взять на себя определенные законодательные и административные полномочия в решении вопросов, подпадающих под категорию сфер совместной деятельности. С учетом этого положения и рамочных условий, которые установлены законодательными актами, принятыми датским парламентом (фолькетингом), Орган самоуправления, в частности, распространил свою сферу ведения на вопросы социальной политики и политики в области здравоохранения.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42.</w:t>
      </w:r>
      <w:r>
        <w:rPr>
          <w:sz w:val="23"/>
        </w:rPr>
        <w:tab/>
        <w:t>Согласно статье 2 Закона при распространении своей сферы ведения на конкретную область, отнесенную к сугубо внутренним делам Фарерских островов, правительство самоуправления берет на себя соответствующие расходы. Однако по условиям специального закона датское правительство по-прежнему субсидирует области совместной деятельности даже после передачи административных полномочий правительству самоуправления Фарерских островов в соответствии со статьей 9 Закона о самоуправлении.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43.</w:t>
      </w:r>
      <w:r>
        <w:rPr>
          <w:sz w:val="23"/>
        </w:rPr>
        <w:tab/>
        <w:t>В соответствии со статьей 7 Закона о самоуправлении предлагаемые датским правительством законопроекты, которые содержат положения, касающиеся исключительно внутренних дел Фарерских островов, предварительно должны быть представлены правительству самоуправления для высказывания замечаний. Другие национальные законодательные акты до их введения в силу на Фарерских островах обязательно выносятся на рассмотрение правительства самоуправления.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Heading1"/>
        <w:tabs>
          <w:tab w:val="clear" w:pos="567"/>
          <w:tab w:val="clear" w:pos="1701"/>
          <w:tab w:val="clear" w:pos="2268"/>
          <w:tab w:val="clear" w:pos="6237"/>
          <w:tab w:val="left" w:pos="680"/>
          <w:tab w:val="left" w:pos="1134"/>
        </w:tabs>
        <w:spacing w:line="240" w:lineRule="auto"/>
        <w:rPr>
          <w:bCs/>
          <w:sz w:val="23"/>
        </w:rPr>
      </w:pPr>
      <w:r>
        <w:rPr>
          <w:bCs/>
          <w:sz w:val="23"/>
        </w:rPr>
        <w:t>Фарерские острова и внешняя политика Дании</w:t>
      </w:r>
    </w:p>
    <w:p w:rsidR="00000000" w:rsidRDefault="00000000">
      <w:pPr>
        <w:pStyle w:val="Heading1"/>
        <w:tabs>
          <w:tab w:val="clear" w:pos="567"/>
          <w:tab w:val="clear" w:pos="1701"/>
          <w:tab w:val="clear" w:pos="2268"/>
          <w:tab w:val="clear" w:pos="6237"/>
          <w:tab w:val="left" w:pos="680"/>
          <w:tab w:val="left" w:pos="1134"/>
        </w:tabs>
        <w:spacing w:line="240" w:lineRule="auto"/>
        <w:rPr>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44.</w:t>
      </w:r>
      <w:r>
        <w:rPr>
          <w:sz w:val="23"/>
        </w:rPr>
        <w:tab/>
        <w:t>В соответствии со статьей 5 Закона о самоуправлении проведение внешней политики относится к числу конституционных прерогатив датского правительства, и никакие отдельные полномочия в рамках этой прерогативы не могут быть переданы в ведение Органа самоуправления Фарерских островов. Вместе с тем в Законе о самоуправлении закреплены процедуры согласования, позволяющие учитывать интересы Фарерских островов и предусматривающие наделение Органа самоуправления рядом важных функций консультативного, представительского и исполнительного характера.</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45.</w:t>
      </w:r>
      <w:r>
        <w:rPr>
          <w:sz w:val="23"/>
        </w:rPr>
        <w:tab/>
        <w:t>В ведение органов местного самоуправления были переданы обширные и четко определенные с территориальной и функциональной точки зрения законодательные и исполнительные полномочия. В этой связи выполнение Данией своих международных обязательств нередко требует сотрудничества со стороны Органа местного самоуправления. С учетом этого обстоятельства Закон о самоуправлении предусматривает, что до присоединения к международным договорам, конкретно затрагивающим интересы Фарерских островов, датское правительство должно проводить консультации с Органом самоуправления. Такая консультативная процедура применяется независимо от того, затрагивает ли соответствующий договор какой-либо вопрос, переданный в ведение Органа самоуправления Фарерских островов.</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46.</w:t>
      </w:r>
      <w:r>
        <w:rPr>
          <w:sz w:val="23"/>
        </w:rPr>
        <w:tab/>
        <w:t>Органы самоуправления могут направлять представителей в датские дипломатические миссии с целью обеспечения соблюдения важных коммерческих интересов Фарерских островов. Так, с 1998 года правительство самоуправления Фарерских островов имеет своего представителя в посольстве Королевства Дании в Брюсселе и в посольстве Королевства Дании в Лондоне.</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47.</w:t>
      </w:r>
      <w:r>
        <w:rPr>
          <w:sz w:val="23"/>
        </w:rPr>
        <w:tab/>
        <w:t>Хотя деятельность по заключению международных договоров в принципе является исключительной прерогативой датского правительства, при поступлении соответствующей просьбы центральные власти Королевства могут разрешить Органу самоуправления проводить при содействии министерства иностранных дел международные переговоры по вопросам, относящимся сугубо к делам Фарерских островов. Орган самоуправления пользуется этим правом прежде всего для ведения двусторонних переговоров с целью заключения соглашений о рыбном промысле.</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b/>
          <w:bCs/>
          <w:sz w:val="23"/>
        </w:rPr>
        <w:t>Официальные языки на Фарерских островах</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48.</w:t>
      </w:r>
      <w:r>
        <w:rPr>
          <w:sz w:val="23"/>
        </w:rPr>
        <w:tab/>
        <w:t>В соответствии со статьей 11 Закона о самоуправлении основным языком на Фарерских островах является фарерский язык, однако серьезное внимание должно также уделяться преподаванию датского языка. Как датский, так и фарерский языки могут использоваться при ведении государственных дел.</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
      </w:pPr>
      <w:bookmarkStart w:id="21" w:name="_Toc51496845"/>
      <w:bookmarkStart w:id="22" w:name="_Toc51497012"/>
      <w:bookmarkStart w:id="23" w:name="_Toc51497537"/>
      <w:r>
        <w:t>Статья 2</w:t>
      </w:r>
      <w:bookmarkEnd w:id="21"/>
      <w:bookmarkEnd w:id="22"/>
      <w:bookmarkEnd w:id="23"/>
    </w:p>
    <w:p w:rsidR="00000000" w:rsidRDefault="00000000">
      <w:pPr>
        <w:pStyle w:val="a"/>
      </w:pPr>
    </w:p>
    <w:p w:rsidR="00000000" w:rsidRDefault="00000000">
      <w:pPr>
        <w:pStyle w:val="a"/>
      </w:pPr>
      <w:bookmarkStart w:id="24" w:name="_Toc51496846"/>
      <w:bookmarkStart w:id="25" w:name="_Toc51497013"/>
      <w:bookmarkStart w:id="26" w:name="_Toc51497538"/>
      <w:r>
        <w:t>Осуществление Пакта и недискриминация</w:t>
      </w:r>
      <w:bookmarkEnd w:id="24"/>
      <w:bookmarkEnd w:id="25"/>
      <w:bookmarkEnd w:id="26"/>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pStyle w:val="a0"/>
      </w:pPr>
      <w:bookmarkStart w:id="27" w:name="_Toc51496847"/>
      <w:bookmarkStart w:id="28" w:name="_Toc51497014"/>
      <w:bookmarkStart w:id="29" w:name="_Toc51497539"/>
      <w:r>
        <w:t>Инкорпорирование Пакта во внутреннее право</w:t>
      </w:r>
      <w:bookmarkEnd w:id="27"/>
      <w:bookmarkEnd w:id="28"/>
      <w:bookmarkEnd w:id="29"/>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49.</w:t>
      </w:r>
      <w:r>
        <w:rPr>
          <w:sz w:val="23"/>
        </w:rPr>
        <w:tab/>
        <w:t>В пункте 14 своих заключительных замечаний (</w:t>
      </w:r>
      <w:r>
        <w:rPr>
          <w:sz w:val="23"/>
          <w:lang w:val="en-US"/>
        </w:rPr>
        <w:t>E</w:t>
      </w:r>
      <w:r>
        <w:rPr>
          <w:sz w:val="23"/>
        </w:rPr>
        <w:t>/</w:t>
      </w:r>
      <w:r>
        <w:rPr>
          <w:sz w:val="23"/>
          <w:lang w:val="en-US"/>
        </w:rPr>
        <w:t>C</w:t>
      </w:r>
      <w:r>
        <w:rPr>
          <w:sz w:val="23"/>
        </w:rPr>
        <w:t>.12/1/</w:t>
      </w:r>
      <w:r>
        <w:rPr>
          <w:sz w:val="23"/>
          <w:lang w:val="en-US"/>
        </w:rPr>
        <w:t>Add</w:t>
      </w:r>
      <w:r>
        <w:rPr>
          <w:sz w:val="23"/>
        </w:rPr>
        <w:t xml:space="preserve">.34) от 12 мая 1999 года Комитет по экономическим, социальным и культурным правам отметил, что, хотя на положения Пакта можно непосредственно ссылаться в судах или на эти положения могут ссылаться сами суды, в Дании пока не существует соответствующего прецедентного права. В этой связи Комитет выразил обеспокоенность по поводу того, что адвокаты и судьи могут быть в недостаточной степени осведомлены о том, что на права, закрепленные в Пакте, можно ссылаться в судах. Поэтому в пункте 22 своих заключительных замечаний Комитет настоятельно призвал правительство Дании предпринять необходимые шаги для инкорпорирования Пакта во внутреннее право.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50.</w:t>
      </w:r>
      <w:r>
        <w:rPr>
          <w:sz w:val="23"/>
        </w:rPr>
        <w:tab/>
        <w:t>В этом контексте правительство Дании хотело бы проинформировать Комитет о том, что в решении от 10 августа 2000 года [опубликованном в датском Законодательном вестнике (</w:t>
      </w:r>
      <w:r>
        <w:rPr>
          <w:sz w:val="23"/>
          <w:lang w:val="en-US"/>
        </w:rPr>
        <w:t>Ugeskrift</w:t>
      </w:r>
      <w:r>
        <w:rPr>
          <w:sz w:val="23"/>
        </w:rPr>
        <w:t xml:space="preserve"> </w:t>
      </w:r>
      <w:r>
        <w:rPr>
          <w:sz w:val="23"/>
          <w:lang w:val="en-US"/>
        </w:rPr>
        <w:t>for</w:t>
      </w:r>
      <w:r>
        <w:rPr>
          <w:sz w:val="23"/>
        </w:rPr>
        <w:t xml:space="preserve"> </w:t>
      </w:r>
      <w:r>
        <w:rPr>
          <w:sz w:val="23"/>
          <w:lang w:val="en-US"/>
        </w:rPr>
        <w:t>Retsv</w:t>
      </w:r>
      <w:r>
        <w:rPr>
          <w:spacing w:val="-28"/>
          <w:sz w:val="23"/>
          <w:lang w:val="en-US"/>
        </w:rPr>
        <w:t>ae</w:t>
      </w:r>
      <w:r>
        <w:rPr>
          <w:sz w:val="23"/>
          <w:lang w:val="en-US"/>
        </w:rPr>
        <w:t>sen</w:t>
      </w:r>
      <w:r>
        <w:rPr>
          <w:sz w:val="23"/>
        </w:rPr>
        <w:t xml:space="preserve">) за 2000 год: 2350] Высокий суд восточных земель Дании должен был определить, нарушила ли администрация магазина, уволившая опытную стажерку, которая вышла на работу в головном платке, Закон о запрещении дискриминации на рынке труда и др. Истец ссылалась на большое число нормативных положений, пактов и конвенций, включая статью 2 Международного пакта об экономических, социальных и культурных правах (см. также ниже разделы, посвященные статьям 6 и 13). Высокий суд открыто не ссылался на отмеченные пакты и конвенции, однако пришел к заключению, что увольнение администрацией магазина истца только потому, что в силу своих религиозных убеждений она надела головной платок, является проявлением по отношению к ней косвенной дискриминации. Вследствие акта дискриминации, совершенного на расовой почве, истцу была присуждена компенсация.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51.</w:t>
      </w:r>
      <w:r>
        <w:rPr>
          <w:sz w:val="23"/>
        </w:rPr>
        <w:tab/>
        <w:t>Кроме того, в писаном прецедентном праве имеется ряд примеров, когда на другие пакты и конвенции по правам человека делались ссылки в датских судах и когда суды их применяли, хотя подобно Международному пакту об экономических, социальных и культурных правах эти международные договоры не инкорпорированы в датское право. Так, положениями, на которые ссылались в датских судах и которые применялись датскими судами, являются положения Международного пакта о гражданских и политических правах, Конвенции о правах ребенка, Международной конвенции о ликвидации всех форм расовой дискриминации, Конвенции о статусе беженцев и Конвенций МОТ № 87, 98 и 111.</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52.</w:t>
      </w:r>
      <w:r>
        <w:rPr>
          <w:sz w:val="23"/>
        </w:rPr>
        <w:tab/>
        <w:t>Датское правительство хотелось бы также проинформировать Комитет о том, что в 1999 году в Дании был учрежден комитет, призванный проанализировать преимущества и недостатки инкорпорирования пактов и конвенций по правам человека, имеющих общий характер, включая Международный пакт об экономических, социальных и культурных правах, во внутреннее право. Этот комитет, названный Комитетом по инкорпорированию, завершил свою работу в октябре 2001 года.</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53.</w:t>
      </w:r>
      <w:r>
        <w:rPr>
          <w:sz w:val="23"/>
        </w:rPr>
        <w:tab/>
        <w:t>В своем докладе Комитет по инкорпорированию подчеркнул, что соответствующими источниками права являются не только конвенции, положения которых осуществляются Данией путем их преломленного отражения или инкорпорирования в рамках внутреннего законодательства. Международно-правовыми документами, на которые можно ссылаться в датских судах и других правоприменительных органах и которые могут ими приводиться в действие, в равной мере являются конвенции и т. д., которые не подлежат непосредственному осуществлению в силу наличия соответствия между установленными нормами. Это означает, что все неинкорпорированные конвенции также являются соответствующими источниками права в Королевстве Дании.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54.</w:t>
      </w:r>
      <w:r>
        <w:rPr>
          <w:sz w:val="23"/>
        </w:rPr>
        <w:tab/>
        <w:t>На данный момент Комитет по инкорпорированию рекомендовал инкорпорировать во внутреннее право Международный пакт о гражданских и политических правах, Международную конвенцию о ликвидации всех форм расовой дискриминации и Конвенцию против пыток и других жестоких, бесчеловечных или унижающих достоинство видов обращения и наказания.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55.</w:t>
      </w:r>
      <w:r>
        <w:rPr>
          <w:sz w:val="23"/>
        </w:rPr>
        <w:tab/>
        <w:t>Комитет по инкорпорированию был согласен с тем, что Международный пакт об экономических, социальных и культурных правах следует рассматривать в качестве "краеугольного камня" для защиты прав человека, поскольку Пакт касается каждого человека и предусматривает широкий круг самых различных прав, имеющих важное социальное значение.</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56.</w:t>
      </w:r>
      <w:r>
        <w:rPr>
          <w:sz w:val="23"/>
        </w:rPr>
        <w:tab/>
        <w:t>Вместе с тем Комитет по инкорпорированию посчитал нецелесообразным инкорпорировать Пакт во внутреннее право на нынешнем этапе потому, что дальнейшая деятельность по инкорпорированию конвенций, касающихся прав человека, должна первоначально затрагивать лишь ограниченное число конвенций, с тем чтобы создать лучшую базу накопления опыта, и что в этой связи необходимо уделить первостепенное внимание Международному пакту о гражданских и политических правах, Международной конвенции о ликвидации всех форм расовой дискриминации и Конвенции против пыток и других жестоких, бесчеловечных или унижающих достоинство видов обращения и наказания. Комитет подчеркнул не только наличие в Международном пакте об экономических, социальных и культурных правах многочисленных "запрограммированных" положений, но и отсутствие процедуры для подачи и рассмотрения жалоб отдельных лиц. Кроме того, пока еще имеются недостаточные возможности для толкования соответствующих положений.</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57.</w:t>
      </w:r>
      <w:r>
        <w:rPr>
          <w:sz w:val="23"/>
        </w:rPr>
        <w:tab/>
        <w:t>Комитет по инкорпорированию отметил, что с течением времени ситуация может измениться, и на более позднем этапе вполне могут быть созданы достаточные условия для инкорпорирования Пакта. Такие условия могут быть обеспечены в случае разработки механизма для подачи и рассмотрения жалоб отдельных лиц и при развитии соответствующего прецедентного права, относящегося к сфере толкования положений Пакта. Однако даже если этого не произойдет, другие факторы могут привести к иной оценке данного вопроса.</w:t>
      </w: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58.</w:t>
      </w:r>
      <w:r>
        <w:rPr>
          <w:sz w:val="23"/>
        </w:rPr>
        <w:tab/>
        <w:t>Доклад Комитет по инкорпорированию был препровожден значительному числу органов власти, учреждений, НПО и т. д. с просьбой высказать замечания. С учетом полученных замечаний правительство примет решение в отношении рекомендаций Комитета по инкорпорированию.</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30" w:name="_Toc51496848"/>
      <w:bookmarkStart w:id="31" w:name="_Toc51497015"/>
      <w:bookmarkStart w:id="32" w:name="_Toc51497540"/>
      <w:r>
        <w:t>Пункты 5 и 6 руководящих принципов: Недискриминация в контексте осуществления Пакта</w:t>
      </w:r>
      <w:bookmarkEnd w:id="30"/>
      <w:bookmarkEnd w:id="31"/>
      <w:bookmarkEnd w:id="32"/>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59.</w:t>
      </w:r>
      <w:r>
        <w:rPr>
          <w:sz w:val="23"/>
        </w:rPr>
        <w:tab/>
        <w:t>Применительно к недискриминации в контексте осуществления Пакта можно сделать ссылку на последний периодический доклад, представленный правительством Дании Комитету по ликвидации расовой дискриминации (</w:t>
      </w:r>
      <w:r>
        <w:rPr>
          <w:sz w:val="23"/>
          <w:lang w:val="en-US"/>
        </w:rPr>
        <w:t>CERD</w:t>
      </w:r>
      <w:r>
        <w:rPr>
          <w:sz w:val="23"/>
        </w:rPr>
        <w:t>/</w:t>
      </w:r>
      <w:r>
        <w:rPr>
          <w:sz w:val="23"/>
          <w:lang w:val="en-US"/>
        </w:rPr>
        <w:t>C</w:t>
      </w:r>
      <w:r>
        <w:rPr>
          <w:sz w:val="23"/>
        </w:rPr>
        <w:t>/408/</w:t>
      </w:r>
      <w:r>
        <w:rPr>
          <w:sz w:val="23"/>
          <w:lang w:val="en-US"/>
        </w:rPr>
        <w:t>Add</w:t>
      </w:r>
      <w:r>
        <w:rPr>
          <w:sz w:val="23"/>
        </w:rPr>
        <w:t xml:space="preserve">.1) в январе 2001 года в соответствии со статьей 9 Международной конвенции о ликвидации всех форм расовой дискриминации.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60.</w:t>
      </w:r>
      <w:r>
        <w:rPr>
          <w:sz w:val="23"/>
        </w:rPr>
        <w:tab/>
        <w:t>Датское правительство стремится к обеспечению и поощрению – на уровне законодательства и посредством принятия других мер – равного обращения и возможностей, а также уважения и терпимости между людьми независимо от их происхождения и убеждений.</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61.</w:t>
      </w:r>
      <w:r>
        <w:rPr>
          <w:sz w:val="23"/>
        </w:rPr>
        <w:tab/>
        <w:t>Все люди, на законных основаниях проживающие в Дании, имеют равные права практически во всех областях безотносительно их гражданства. Кроме того, защите интересов каждого человека служат общие правовые принципы равного обращения в рамках системы государственного управления Дании.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b/>
          <w:bCs/>
          <w:sz w:val="23"/>
        </w:rPr>
      </w:pPr>
      <w:r>
        <w:rPr>
          <w:b/>
          <w:bCs/>
          <w:sz w:val="23"/>
        </w:rPr>
        <w:t>Законодательство, направленное на борьбу с расизмом и недопущение дискриминации</w:t>
      </w:r>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62.</w:t>
      </w:r>
      <w:r>
        <w:rPr>
          <w:sz w:val="23"/>
        </w:rPr>
        <w:tab/>
        <w:t>К области конкретного датского законодательства, направленного на борьбу с расизмом и недопущение дискриминации, относится следующее:</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ind w:left="1134" w:hanging="1134"/>
        <w:rPr>
          <w:sz w:val="23"/>
        </w:rPr>
      </w:pPr>
      <w:r>
        <w:rPr>
          <w:sz w:val="23"/>
        </w:rPr>
        <w:tab/>
      </w:r>
      <w:r>
        <w:rPr>
          <w:sz w:val="23"/>
          <w:lang w:val="en-US"/>
        </w:rPr>
        <w:t>i</w:t>
      </w:r>
      <w:r>
        <w:rPr>
          <w:sz w:val="23"/>
        </w:rPr>
        <w:t>)</w:t>
      </w:r>
      <w:r>
        <w:rPr>
          <w:sz w:val="23"/>
        </w:rPr>
        <w:tab/>
        <w:t xml:space="preserve">Статья 266 b) Уголовного кодекса, которая запрещает распространение заявлений или других сообщений, подразумевающих угрозу, оскорбление или унижение достоинства по признаку расы, цвета кожи, религиозных убеждений, политической принадлежности, сексуальной ориентации, национального, социального или этнического происхождения. В соответствии с поправкой, внесенной в 1995 году, если совершенное правонарушение имеет характер пропагандистской деятельности, то это считается отягчающим обстоятельством. Основная цель поправки заключалась в пресечении нацистской и расистской пропаганды.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ind w:left="1134" w:hanging="1134"/>
        <w:rPr>
          <w:sz w:val="23"/>
        </w:rPr>
      </w:pPr>
      <w:r>
        <w:rPr>
          <w:sz w:val="23"/>
        </w:rPr>
        <w:tab/>
      </w:r>
      <w:r>
        <w:rPr>
          <w:sz w:val="23"/>
          <w:lang w:val="en-US"/>
        </w:rPr>
        <w:t>ii</w:t>
      </w:r>
      <w:r>
        <w:rPr>
          <w:sz w:val="23"/>
        </w:rPr>
        <w:t>)</w:t>
      </w:r>
      <w:r>
        <w:rPr>
          <w:sz w:val="23"/>
        </w:rPr>
        <w:tab/>
        <w:t xml:space="preserve">Закон о запрещении дискриминации по признаку расы и т. д., который в первой редакции был принят в 1971 году, квалифицирует как правонарушение имеющий место в коммерческой или некоммерческой сфере отказ какому-либо лицу в обслуживании или в доступе по признаку его расы, цвета кожи, религиозных убеждений, политической принадлежности, сексуальной ориентации, национального, социального или этнического происхождения. Сфера действия Закона не ограничивается вопросами доступа в общественные места в узком смысле слова, а охватывает также доступ к жилью. </w:t>
      </w:r>
    </w:p>
    <w:p w:rsidR="00000000" w:rsidRDefault="00000000">
      <w:pPr>
        <w:tabs>
          <w:tab w:val="clear" w:pos="567"/>
          <w:tab w:val="clear" w:pos="1701"/>
          <w:tab w:val="clear" w:pos="2268"/>
          <w:tab w:val="clear" w:pos="6237"/>
          <w:tab w:val="left" w:pos="680"/>
          <w:tab w:val="left" w:pos="1134"/>
        </w:tabs>
        <w:spacing w:line="240" w:lineRule="auto"/>
        <w:ind w:left="1134" w:hanging="1134"/>
        <w:rPr>
          <w:sz w:val="23"/>
        </w:rPr>
      </w:pPr>
    </w:p>
    <w:p w:rsidR="00000000" w:rsidRDefault="00000000">
      <w:pPr>
        <w:tabs>
          <w:tab w:val="clear" w:pos="567"/>
          <w:tab w:val="clear" w:pos="1701"/>
          <w:tab w:val="clear" w:pos="2268"/>
          <w:tab w:val="clear" w:pos="6237"/>
          <w:tab w:val="left" w:pos="680"/>
          <w:tab w:val="left" w:pos="1134"/>
        </w:tabs>
        <w:spacing w:line="240" w:lineRule="auto"/>
        <w:ind w:left="1134" w:hanging="1134"/>
        <w:rPr>
          <w:sz w:val="23"/>
        </w:rPr>
      </w:pPr>
      <w:r>
        <w:rPr>
          <w:sz w:val="23"/>
        </w:rPr>
        <w:tab/>
      </w:r>
      <w:r>
        <w:rPr>
          <w:sz w:val="23"/>
          <w:lang w:val="en-US"/>
        </w:rPr>
        <w:t>iii</w:t>
      </w:r>
      <w:r>
        <w:rPr>
          <w:sz w:val="23"/>
        </w:rPr>
        <w:t>)</w:t>
      </w:r>
      <w:r>
        <w:rPr>
          <w:sz w:val="23"/>
        </w:rPr>
        <w:tab/>
        <w:t xml:space="preserve">Закон о запрещении применения дифференцированного подхода на рынке труда от 1996 года устанавливает запрет в отношении дискриминации по признакам расы, цвета кожи, религиозных убеждений, политической принадлежности, сексуальной ориентации, национального, социального или этнического происхождения при приеме на работу, осуществлении трудовой деятельности по найму и увольнении с работы. </w:t>
      </w:r>
    </w:p>
    <w:p w:rsidR="00000000" w:rsidRDefault="00000000">
      <w:pPr>
        <w:tabs>
          <w:tab w:val="clear" w:pos="567"/>
          <w:tab w:val="clear" w:pos="1701"/>
          <w:tab w:val="clear" w:pos="2268"/>
          <w:tab w:val="clear" w:pos="6237"/>
          <w:tab w:val="left" w:pos="680"/>
          <w:tab w:val="left" w:pos="1134"/>
        </w:tabs>
        <w:spacing w:line="240" w:lineRule="auto"/>
        <w:ind w:left="1134" w:hanging="1134"/>
        <w:rPr>
          <w:sz w:val="23"/>
        </w:rPr>
      </w:pPr>
    </w:p>
    <w:p w:rsidR="00000000" w:rsidRDefault="00000000">
      <w:pPr>
        <w:tabs>
          <w:tab w:val="clear" w:pos="567"/>
          <w:tab w:val="clear" w:pos="1701"/>
          <w:tab w:val="clear" w:pos="2268"/>
          <w:tab w:val="clear" w:pos="6237"/>
          <w:tab w:val="left" w:pos="680"/>
          <w:tab w:val="left" w:pos="1134"/>
        </w:tabs>
        <w:spacing w:line="240" w:lineRule="auto"/>
        <w:ind w:left="1134" w:hanging="1134"/>
        <w:rPr>
          <w:sz w:val="23"/>
        </w:rPr>
      </w:pPr>
      <w:r>
        <w:rPr>
          <w:sz w:val="23"/>
        </w:rPr>
        <w:tab/>
      </w:r>
      <w:r>
        <w:rPr>
          <w:sz w:val="23"/>
          <w:lang w:val="en-US"/>
        </w:rPr>
        <w:t>iv</w:t>
      </w:r>
      <w:r>
        <w:rPr>
          <w:sz w:val="23"/>
        </w:rPr>
        <w:t>)</w:t>
      </w:r>
      <w:r>
        <w:rPr>
          <w:sz w:val="23"/>
        </w:rPr>
        <w:tab/>
        <w:t>Функции, предусмотренные Законом о деятельности Совета по этническому равенству, цель которого сводится к поощрению этнического равенства во всех сферах общественной жизни, были переданы в ведение Датского института по правам человека (см. ниже).</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ind w:left="1134" w:hanging="1134"/>
        <w:rPr>
          <w:sz w:val="23"/>
        </w:rPr>
      </w:pPr>
      <w:r>
        <w:rPr>
          <w:sz w:val="23"/>
        </w:rPr>
        <w:tab/>
      </w:r>
      <w:r>
        <w:rPr>
          <w:sz w:val="23"/>
          <w:lang w:val="en-US"/>
        </w:rPr>
        <w:t>v</w:t>
      </w:r>
      <w:r>
        <w:rPr>
          <w:sz w:val="23"/>
        </w:rPr>
        <w:t>)</w:t>
      </w:r>
      <w:r>
        <w:rPr>
          <w:sz w:val="23"/>
        </w:rPr>
        <w:tab/>
        <w:t>В мае 2001 года министр внутренних дел, который в настоящее время является министром по делам беженцев, иммиграции и интеграции, учредил Комитет по обеспечению равенства с целью изучения вопроса и выработки предложений о выполнении в рамках системы датского права Директивы Совета 2000/43/ЕС от 29 июня 2000 года, касающейся осуществления принципа равного обращения со всеми людьми независимо от расового или этнического происхождения ("Директива по проблеме расы"). Директива предусматривает, в частности, создание органа по поощрению равного обращения.</w:t>
      </w:r>
    </w:p>
    <w:p w:rsidR="00000000" w:rsidRDefault="00000000">
      <w:pPr>
        <w:tabs>
          <w:tab w:val="clear" w:pos="567"/>
          <w:tab w:val="clear" w:pos="1701"/>
          <w:tab w:val="clear" w:pos="2268"/>
          <w:tab w:val="clear" w:pos="6237"/>
          <w:tab w:val="left" w:pos="680"/>
          <w:tab w:val="left" w:pos="1134"/>
        </w:tabs>
        <w:spacing w:line="240" w:lineRule="auto"/>
        <w:ind w:left="1134" w:hanging="1134"/>
        <w:rPr>
          <w:sz w:val="23"/>
        </w:rPr>
      </w:pPr>
    </w:p>
    <w:p w:rsidR="00000000" w:rsidRDefault="00000000">
      <w:pPr>
        <w:tabs>
          <w:tab w:val="clear" w:pos="567"/>
          <w:tab w:val="clear" w:pos="1701"/>
          <w:tab w:val="clear" w:pos="2268"/>
          <w:tab w:val="clear" w:pos="6237"/>
          <w:tab w:val="left" w:pos="680"/>
          <w:tab w:val="left" w:pos="1134"/>
        </w:tabs>
        <w:spacing w:line="240" w:lineRule="auto"/>
        <w:ind w:left="1134" w:hanging="1134"/>
        <w:rPr>
          <w:sz w:val="23"/>
        </w:rPr>
      </w:pPr>
      <w:r>
        <w:rPr>
          <w:sz w:val="23"/>
        </w:rPr>
        <w:tab/>
      </w:r>
      <w:r>
        <w:rPr>
          <w:sz w:val="23"/>
          <w:lang w:val="en-US"/>
        </w:rPr>
        <w:t>vi</w:t>
      </w:r>
      <w:r>
        <w:rPr>
          <w:sz w:val="23"/>
        </w:rPr>
        <w:t>)</w:t>
      </w:r>
      <w:r>
        <w:rPr>
          <w:sz w:val="23"/>
        </w:rPr>
        <w:tab/>
        <w:t xml:space="preserve">В мае 2002 года датский парламент принял Закон о создании датского Центра международных исследований и прав человека. В соответствии с Законом в состав нового Центра наряду с другими институтами будет входить Институт по правам человека. Институт по правам человека является органом, занимающимся вопросами поощрения равного обращения со всеми людьми без какой-либо дискриминации по признакам расового или этнического происхождения, как об этом говорится в статье 13 Директивы по проблеме расы. Таким образом, Институт по правам человека наделен полномочиями, указанными в статье 13 (2). К сфере этих полномочий относится деятельность по поощрению равного обращения со всеми людьми без какой бы то ни было дискриминации по признакам расового или этнического происхождения, включая оказание помощи пострадавшим, проведение независимых обследований, публикацию независимых докладов и подготовку рекомендаций.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ind w:left="1134" w:hanging="1134"/>
        <w:rPr>
          <w:sz w:val="23"/>
        </w:rPr>
      </w:pPr>
      <w:r>
        <w:rPr>
          <w:sz w:val="23"/>
        </w:rPr>
        <w:tab/>
      </w:r>
      <w:r>
        <w:rPr>
          <w:sz w:val="23"/>
          <w:lang w:val="en-US"/>
        </w:rPr>
        <w:t>vii</w:t>
      </w:r>
      <w:r>
        <w:rPr>
          <w:sz w:val="23"/>
        </w:rPr>
        <w:t>)</w:t>
      </w:r>
      <w:r>
        <w:rPr>
          <w:sz w:val="23"/>
        </w:rPr>
        <w:tab/>
        <w:t>Комитет по обеспечению равенства завершил свою работу в сентябре 2002 года, представив соответствующий доклад. С учетом положений этого доклада правительство Дании внесло на рассмотрение датского парламента законопроект, который должен быть принят 1 июля 2003 года. Согласно законопроекту Институт по правам человека также будет уполномочен принимать решения по поводу установления факта наличия или отсутствия дискриминации в отдельных случаях. В таких случаях Институт может предпринимать шаги с целью облегчения доступа предполагаемых потерпевших к бесплатным средствам правовой защиты при рассмотрении их дел в судах.</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33" w:name="_Toc51496849"/>
      <w:bookmarkStart w:id="34" w:name="_Toc51497016"/>
      <w:bookmarkStart w:id="35" w:name="_Toc51497541"/>
      <w:r>
        <w:t>Политика и специальные меры по поощрению равных возможностей и терпимости</w:t>
      </w:r>
      <w:bookmarkEnd w:id="33"/>
      <w:bookmarkEnd w:id="34"/>
      <w:bookmarkEnd w:id="35"/>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63.</w:t>
      </w:r>
      <w:r>
        <w:rPr>
          <w:sz w:val="23"/>
        </w:rPr>
        <w:tab/>
        <w:t>В рамках своей интеграционной политики, ориентированной на социально маргинализованные группы, например иммигрантов и беженцев, правительство осуществляет целый ряд мер по поощрению терпимости, а также равного обращения и возможностей в интересах всех граждан независимо от их расы, пола или религии.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64.</w:t>
      </w:r>
      <w:r>
        <w:rPr>
          <w:sz w:val="23"/>
        </w:rPr>
        <w:tab/>
        <w:t xml:space="preserve">Одной из ключевых составляющих этой политики является Закон об интеграции 1999 года, основная цель которого заключается в обеспечении равных возможностей для участия иммигрантов и беженцев во всех сферах жизни общества. Закон включает в себя положение о комплексной программе адаптации, рассчитанной на три года и охватывающей такие области, как профессионально-техническая и языковая подготовка. Закон также предусматривает создание муниципальных советов по вопросам интеграции, призванных добиваться расширения политического участия и роли этнических меньшинств, а также совета по делам этнических меньшинств на национальном уровне, который должен консультировать правительство.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65.</w:t>
      </w:r>
      <w:r>
        <w:rPr>
          <w:sz w:val="23"/>
        </w:rPr>
        <w:tab/>
        <w:t>В соответствии с новым Законом об интеграции повседневные функции, связанные с интеграцией, перешли от правительства в ведение муниципалитетов. Расходы муниципалитетов в этой сфере деятельности в полной мере возмещаются. Так, датское правительство ежегодно выделяет на осуществление нового Закона об интеграции примерно 3–4 млрд. датских крон.</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66.</w:t>
      </w:r>
      <w:r>
        <w:rPr>
          <w:sz w:val="23"/>
        </w:rPr>
        <w:tab/>
        <w:t xml:space="preserve">Другой ключевой составляющей интеграционной политики Дании является общий План действий по углублению интеграции, принятый в феврале 2000 года. В Плане действий четко излагаются задачи правительства. Основные задачи состоят, во-первых, в обеспечении равных возможностей для участия иммигрантов и беженцев во всех сферах общественной жизни и, во-вторых, в создании обстановки взаимопонимания и уважения между иммигрантами и беженцами и остальным населением. Третьей и не менее важной задачей является создание для иммигрантов и беженцев достойных человека условий жизни при пользовании услугами системы национального медицинского страхования на равных с другими людьми началах. План действий предусматривает 78 конкретных инициатив, которые в настоящее время находятся в процессе осуществления.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67.</w:t>
      </w:r>
      <w:r>
        <w:rPr>
          <w:sz w:val="23"/>
        </w:rPr>
        <w:tab/>
        <w:t xml:space="preserve">Важное значение как в государственном, так и частном секторе имеет вопрос об обеспечении равенства этнических меньшинств в области занятости, который сохранит свою актуальность до тех пор, пока показатель безработицы среди этнических меньшинств будет выше аналогичного показателя среди остального населения. Еще в 1993 году был принят комплексный план действий, направленный на устранение всех барьеров для интеграции на рынке труда.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68.</w:t>
      </w:r>
      <w:r>
        <w:rPr>
          <w:sz w:val="23"/>
        </w:rPr>
        <w:tab/>
        <w:t xml:space="preserve">В Плане действий по углублению интеграции, принятом в феврале 2000 года, рекомендуется широкий круг дальнейших инициатив по улучшению положения иммигрантов и беженцев с точки зрения образования и занятости.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69.</w:t>
      </w:r>
      <w:r>
        <w:rPr>
          <w:sz w:val="23"/>
        </w:rPr>
        <w:tab/>
        <w:t>Кроме того, был осуществлен отдельный план действий по обеспечению этнического равенства в рамках политики найма на работу, проводимой государственными учреждениями. В этой связи политике найма на работу, провозглашенной правительством, стали следовать многие муниципалитеты и частные предприятия.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70.</w:t>
      </w:r>
      <w:r>
        <w:rPr>
          <w:sz w:val="23"/>
        </w:rPr>
        <w:tab/>
        <w:t xml:space="preserve">В марте 2002 года датское правительство представило предложение об обеспечении того, чтобы вновь прибывающие иностранцы, а также беженцы и иммигранты, которые в течение некоторого времени прожили в Дании, становились активными и равными партнерами в жизни общества. Это предложение было обнародовано в программном документе правительства "На пути к новой интеграционной политике" от 5 марта 2002 года. Оно охватывает широкий круг инициатив с целью достижения того, чтобы этнические меньшинства лучше интегрировались на рынке труда в Дании и в датском обществе. Указанное предложение в основном касается следующих четырех аспектов: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numPr>
          <w:ilvl w:val="1"/>
          <w:numId w:val="4"/>
        </w:numPr>
        <w:tabs>
          <w:tab w:val="clear" w:pos="567"/>
          <w:tab w:val="clear" w:pos="1701"/>
          <w:tab w:val="clear" w:pos="1789"/>
          <w:tab w:val="clear" w:pos="2268"/>
          <w:tab w:val="clear" w:pos="6237"/>
          <w:tab w:val="left" w:pos="680"/>
          <w:tab w:val="left" w:pos="1134"/>
        </w:tabs>
        <w:spacing w:line="240" w:lineRule="auto"/>
        <w:ind w:left="680" w:firstLine="0"/>
        <w:rPr>
          <w:sz w:val="23"/>
        </w:rPr>
      </w:pPr>
      <w:r>
        <w:rPr>
          <w:sz w:val="23"/>
        </w:rPr>
        <w:t>эффективный доступ к рынку труда;</w:t>
      </w:r>
    </w:p>
    <w:p w:rsidR="00000000" w:rsidRDefault="00000000">
      <w:pPr>
        <w:tabs>
          <w:tab w:val="clear" w:pos="567"/>
          <w:tab w:val="clear" w:pos="1701"/>
          <w:tab w:val="clear" w:pos="2268"/>
          <w:tab w:val="clear" w:pos="6237"/>
          <w:tab w:val="left" w:pos="680"/>
          <w:tab w:val="left" w:pos="1134"/>
        </w:tabs>
        <w:spacing w:line="240" w:lineRule="auto"/>
        <w:ind w:left="680"/>
        <w:rPr>
          <w:sz w:val="23"/>
        </w:rPr>
      </w:pPr>
    </w:p>
    <w:p w:rsidR="00000000" w:rsidRDefault="00000000">
      <w:pPr>
        <w:numPr>
          <w:ilvl w:val="1"/>
          <w:numId w:val="4"/>
        </w:numPr>
        <w:tabs>
          <w:tab w:val="clear" w:pos="567"/>
          <w:tab w:val="clear" w:pos="1701"/>
          <w:tab w:val="clear" w:pos="1789"/>
          <w:tab w:val="clear" w:pos="2268"/>
          <w:tab w:val="clear" w:pos="6237"/>
          <w:tab w:val="left" w:pos="680"/>
          <w:tab w:val="left" w:pos="1134"/>
        </w:tabs>
        <w:spacing w:line="240" w:lineRule="auto"/>
        <w:ind w:left="680" w:firstLine="0"/>
        <w:rPr>
          <w:sz w:val="23"/>
        </w:rPr>
      </w:pPr>
      <w:r>
        <w:rPr>
          <w:sz w:val="23"/>
        </w:rPr>
        <w:t>результативные курсы датского языка;</w:t>
      </w:r>
    </w:p>
    <w:p w:rsidR="00000000" w:rsidRDefault="00000000">
      <w:pPr>
        <w:tabs>
          <w:tab w:val="clear" w:pos="567"/>
          <w:tab w:val="clear" w:pos="1701"/>
          <w:tab w:val="clear" w:pos="2268"/>
          <w:tab w:val="clear" w:pos="6237"/>
          <w:tab w:val="left" w:pos="680"/>
          <w:tab w:val="left" w:pos="1134"/>
        </w:tabs>
        <w:spacing w:line="240" w:lineRule="auto"/>
        <w:ind w:left="680"/>
        <w:rPr>
          <w:sz w:val="23"/>
        </w:rPr>
      </w:pPr>
    </w:p>
    <w:p w:rsidR="00000000" w:rsidRDefault="00000000">
      <w:pPr>
        <w:numPr>
          <w:ilvl w:val="1"/>
          <w:numId w:val="4"/>
        </w:numPr>
        <w:tabs>
          <w:tab w:val="clear" w:pos="567"/>
          <w:tab w:val="clear" w:pos="1701"/>
          <w:tab w:val="clear" w:pos="1789"/>
          <w:tab w:val="clear" w:pos="2268"/>
          <w:tab w:val="clear" w:pos="6237"/>
          <w:tab w:val="left" w:pos="680"/>
          <w:tab w:val="left" w:pos="1134"/>
        </w:tabs>
        <w:spacing w:line="240" w:lineRule="auto"/>
        <w:ind w:left="680" w:firstLine="0"/>
        <w:rPr>
          <w:sz w:val="23"/>
        </w:rPr>
      </w:pPr>
      <w:r>
        <w:rPr>
          <w:sz w:val="23"/>
        </w:rPr>
        <w:t>более совершенное использование имеющихся навыков;</w:t>
      </w:r>
    </w:p>
    <w:p w:rsidR="00000000" w:rsidRDefault="00000000">
      <w:pPr>
        <w:tabs>
          <w:tab w:val="clear" w:pos="567"/>
          <w:tab w:val="clear" w:pos="1701"/>
          <w:tab w:val="clear" w:pos="2268"/>
          <w:tab w:val="clear" w:pos="6237"/>
          <w:tab w:val="left" w:pos="680"/>
          <w:tab w:val="left" w:pos="1134"/>
        </w:tabs>
        <w:spacing w:line="240" w:lineRule="auto"/>
        <w:ind w:left="680"/>
        <w:rPr>
          <w:sz w:val="23"/>
        </w:rPr>
      </w:pPr>
    </w:p>
    <w:p w:rsidR="00000000" w:rsidRDefault="00000000">
      <w:pPr>
        <w:numPr>
          <w:ilvl w:val="1"/>
          <w:numId w:val="4"/>
        </w:numPr>
        <w:tabs>
          <w:tab w:val="clear" w:pos="567"/>
          <w:tab w:val="clear" w:pos="1701"/>
          <w:tab w:val="clear" w:pos="1789"/>
          <w:tab w:val="clear" w:pos="2268"/>
          <w:tab w:val="clear" w:pos="6237"/>
          <w:tab w:val="left" w:pos="680"/>
          <w:tab w:val="left" w:pos="1134"/>
        </w:tabs>
        <w:spacing w:line="240" w:lineRule="auto"/>
        <w:ind w:left="680" w:firstLine="0"/>
        <w:rPr>
          <w:sz w:val="23"/>
        </w:rPr>
      </w:pPr>
      <w:r>
        <w:rPr>
          <w:sz w:val="23"/>
        </w:rPr>
        <w:t>интеграция – общее дело.</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71.</w:t>
      </w:r>
      <w:r>
        <w:rPr>
          <w:sz w:val="23"/>
        </w:rPr>
        <w:tab/>
        <w:t>Инициативы, конкретно направленные на борьбу с расизмом, должны подкрепляться более широкими интеграционными инициативами. Задача заключается в интеграции этнических меньшинств с целью сокращения масштабов расизма, ксенофобии и дискриминации, которые могут существовать в обществе. Для претворения в жизнь новой интеграционной политики был предпринят целый ряд законодательных мер и других инициатив.</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72.</w:t>
      </w:r>
      <w:r>
        <w:rPr>
          <w:sz w:val="23"/>
        </w:rPr>
        <w:tab/>
        <w:t>Министерство по делам беженцев, иммиграции и интеграции оказывает финансовую поддержку в осуществлении широкого круга мероприятий, ориентированных на поощрение участия, интеграции, терпимости и здоровых межобщинных отношений. Так, существенная финансовая помощь предоставляется в контексте покрытия операционных расходов, касающихся деятельности ассоциаций этнических меньшинств, межкультурных мероприятий и подготовки информационных материалов, а также осуществления различных местных интеграционных проектов. Финансовые средства также выделяются на осуществление инициатив в области модернизации жилых городских районов, в которых сосредоточена значительная часть населения, имеющего небольшие доходы, а также иммигрантов и беженцев. Как правило, министерство ежегодно ассигнует на эти цели приблизительно 15–20 млн. датских крон.</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36" w:name="_Toc51496850"/>
      <w:bookmarkStart w:id="37" w:name="_Toc51497017"/>
      <w:bookmarkStart w:id="38" w:name="_Toc51497542"/>
      <w:r>
        <w:t>Другие меры по борьбе против расизма, ксенофобии и связанной с ними нетерпимости</w:t>
      </w:r>
      <w:bookmarkEnd w:id="36"/>
      <w:bookmarkEnd w:id="37"/>
      <w:bookmarkEnd w:id="38"/>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73.</w:t>
      </w:r>
      <w:r>
        <w:rPr>
          <w:sz w:val="23"/>
        </w:rPr>
        <w:tab/>
        <w:t>В рамках Международного года мобилизации усилий на борьбу против расизма, расовой дискриминации, ксенофобии и связанной с ними нетерпимости Дания развернула кампанию по борьбе против расизма, проходившую в 2000 и 2001 годах. Эта кампания была одним из мероприятий по подготовке к Конференции по борьбе против расизма, организованной под эгидой Совета Европы 11–13 октября 2000 года в Страсбурге, и к Всемирной конференции по борьбе против расизма, расовой дискриминации, ксенофобии и связанной с ними нетерпимости, состоявшейся 31 августа – 7 сентября 2001 года в Дурбане.</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74.</w:t>
      </w:r>
      <w:r>
        <w:rPr>
          <w:sz w:val="23"/>
        </w:rPr>
        <w:tab/>
        <w:t>В 2000 и 2001 годах министерство внутренних дел, в настоящее время преобразованное в министерство по делам беженцев, иммиграции и интеграции, ежегодно выделяло 3 млн. датских крон для проведения кампании, и был выдвинут ряд инициатив. Датское министерство внутренних дел в сотрудничестве с датской Ассоциацией содействия Организации Объединенных Наций, которая координировала действия датских НПО в связи с проведением кампании, подготовила перечень соображений с предложениями в отношении мероприятий в рамках проведения кампании. Разные организации, специализирующиеся на работе с конкретными целевыми группами и по конкретным тематическим направлениям, осуществили различные проекты и мероприятия. Кампания была направлена на то, чтобы заручиться соответствующей активной поддержкой ассоциаций и организаций, включая те из них, которые, как правило, не занимаются проблематикой расизма. Она также преследовала цель обеспечить взаимосвязь между международными и национальными мероприятиями.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75.</w:t>
      </w:r>
      <w:r>
        <w:rPr>
          <w:sz w:val="23"/>
        </w:rPr>
        <w:tab/>
        <w:t>Одна из главных задач кампании заключалась в том, чтобы прийти к лучшему пониманию вопросов, касающихся расизма, добиться более твердой приверженности всего населения делу борьбы против расизма и обеспечить проведение дискуссий по проблеме этнических меньшинств, иностранных граждан и беженцев в Дании на конструктивной и утверждающей основе.</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76.</w:t>
      </w:r>
      <w:r>
        <w:rPr>
          <w:sz w:val="23"/>
        </w:rPr>
        <w:tab/>
        <w:t>В качестве последующей меры во исполнение Дурбанской декларации и Программы действий датское правительство решило разработать национальный план действий по поощрению разнообразия, терпимости и равенства и по борьбе с дискриминацией. Общая цель плана действий заключается в следующем:</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numPr>
          <w:ilvl w:val="1"/>
          <w:numId w:val="6"/>
        </w:numPr>
        <w:tabs>
          <w:tab w:val="clear" w:pos="567"/>
          <w:tab w:val="clear" w:pos="1701"/>
          <w:tab w:val="clear" w:pos="1789"/>
          <w:tab w:val="clear" w:pos="2268"/>
          <w:tab w:val="clear" w:pos="6237"/>
          <w:tab w:val="left" w:pos="680"/>
          <w:tab w:val="left" w:pos="1134"/>
        </w:tabs>
        <w:spacing w:line="240" w:lineRule="auto"/>
        <w:ind w:left="1134" w:hanging="454"/>
        <w:rPr>
          <w:sz w:val="23"/>
        </w:rPr>
      </w:pPr>
      <w:r>
        <w:rPr>
          <w:sz w:val="23"/>
        </w:rPr>
        <w:t>обеспечение равноправия и справедливости безотносительно расы и этнического происхождения, в частности, посредством поощрения разнообразия и терпимости; и</w:t>
      </w:r>
    </w:p>
    <w:p w:rsidR="00000000" w:rsidRDefault="00000000">
      <w:pPr>
        <w:tabs>
          <w:tab w:val="clear" w:pos="567"/>
          <w:tab w:val="clear" w:pos="1134"/>
          <w:tab w:val="clear" w:pos="1701"/>
          <w:tab w:val="clear" w:pos="2268"/>
          <w:tab w:val="clear" w:pos="6237"/>
          <w:tab w:val="left" w:pos="680"/>
        </w:tabs>
        <w:spacing w:line="240" w:lineRule="auto"/>
        <w:ind w:left="113"/>
        <w:rPr>
          <w:sz w:val="23"/>
        </w:rPr>
      </w:pPr>
    </w:p>
    <w:p w:rsidR="00000000" w:rsidRDefault="00000000">
      <w:pPr>
        <w:numPr>
          <w:ilvl w:val="1"/>
          <w:numId w:val="6"/>
        </w:numPr>
        <w:tabs>
          <w:tab w:val="clear" w:pos="567"/>
          <w:tab w:val="clear" w:pos="1701"/>
          <w:tab w:val="clear" w:pos="1789"/>
          <w:tab w:val="clear" w:pos="2268"/>
          <w:tab w:val="clear" w:pos="6237"/>
          <w:tab w:val="left" w:pos="680"/>
          <w:tab w:val="left" w:pos="1134"/>
        </w:tabs>
        <w:spacing w:line="240" w:lineRule="auto"/>
        <w:ind w:left="1134" w:hanging="454"/>
        <w:rPr>
          <w:sz w:val="23"/>
        </w:rPr>
      </w:pPr>
      <w:r>
        <w:rPr>
          <w:sz w:val="23"/>
        </w:rPr>
        <w:t>борьба с неравенством по признакам расы или этнического происхождения.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77.</w:t>
      </w:r>
      <w:r>
        <w:rPr>
          <w:sz w:val="23"/>
        </w:rPr>
        <w:tab/>
        <w:t>Помимо своего основного предназначения борьба с неравенством помогает добиться того, чтобы вновь прибывающие иностранцы могли на равных началах с другими гражданами участвовать в жизни общества, рассматриваемой через призму политики, экономики, занятости, социальной деятельности, религии и культуры. Поэтому план действий следует считать неотъемлемым элементом интеграционной политики, проводимой датским правительством, и одной из последующих мер по претворению в жизнь положений правительственного программного документа "На пути к новой интеграционной политике" от 5 марта 2002 года.</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78.</w:t>
      </w:r>
      <w:r>
        <w:rPr>
          <w:sz w:val="23"/>
        </w:rPr>
        <w:tab/>
        <w:t>В плане действий будут отражены нынешнее положение в Дании и существующие законодательные акты и незаконодательные инициативы, касающиеся обеспечения равенства. Кроме того, и что наиболее важно, в нем будут содержаться рекомендации о будущих мерах, которые считаются необходимыми для достижения вышеупомянутой общей цели. Датское правительство предпринимает шаги для того, чтобы привлечь к разработке плана действий национальные НПО и правозащитные учреждения. Осуществление плана действий начнется позднее в этом году.</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79.</w:t>
      </w:r>
      <w:r>
        <w:rPr>
          <w:sz w:val="23"/>
        </w:rPr>
        <w:tab/>
        <w:t>Осенью 1992 года Верховный комиссар полиции (Национальная служба безопасности) ввел в действие для полицейских участков, созданных на территории Дании, систему отчетности для обеспечения того, чтобы до его сведения доводилась информация об уголовных деяниях и актах потенциально расистского характера, направленных против иностранцев. Эта инициатива была реализована вследствие осознания того, что ряд уголовных преступлений, главным образом акты вандализма, направленные против иммигрантов и беженцев, совершаются на почве расизма.</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80.</w:t>
      </w:r>
      <w:r>
        <w:rPr>
          <w:sz w:val="23"/>
        </w:rPr>
        <w:tab/>
        <w:t>18 декабря 2001 года система отчетности была пересмотрена. Изменения вступили в силу 1 февраля 2002 года. Они были внесены для того, чтобы упростить систему отчетности и сделать ее более эффективной. Верховный комиссар полиции информируется об уголовных деяниях потенциально расистского характера в рамках пересмотренной системы отчетности. Теперь под ее сферу охвата подпадают также уголовные деяния, потенциально носящие религиозный характер. Таким образом, до сведения Верховного комиссара доводится любое уголовное деяние, совершаемое на расистской/религиозной почве.</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81.</w:t>
      </w:r>
      <w:r>
        <w:rPr>
          <w:sz w:val="23"/>
        </w:rPr>
        <w:tab/>
        <w:t>Эти системы отчетности, а также поступающая в адрес Генерального прокурора дополнительная информация о нарушениях Закона о запрещении дискриминации по признаку расы и т. д., упоминаемого в третьем периодическом докладе Дании (пункт 28), лежат в основе, в частности, сообщений Дании, которые касаются совершенных на расовой почве уголовных деяний и которые доводятся до сведения Комитета по ликвидации расовой дискриминации [самые последние такие сообщения были включены в пятнадцатый периодический доклад Дании (CERD/C/408/Add.1); базовый документ (HRI/CORE/1/Add.58)] в соответствии с Международной конвенцией о ликвидации всех форм расовой дискриминации, а также до сведения Европейского центра мониторинга расизма и ксенофобии.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39" w:name="_Toc51496851"/>
      <w:bookmarkStart w:id="40" w:name="_Toc51497018"/>
      <w:bookmarkStart w:id="41" w:name="_Toc51497543"/>
      <w:r>
        <w:t>Пункт 7 руководящих принципов: Усилия, предпринимаемые датским правительством для содействия осуществлению экономических, социальных и культурных прав в контексте сотрудничества Дании в целях развития</w:t>
      </w:r>
      <w:bookmarkEnd w:id="39"/>
      <w:bookmarkEnd w:id="40"/>
      <w:bookmarkEnd w:id="41"/>
    </w:p>
    <w:p w:rsidR="00000000" w:rsidRDefault="00000000">
      <w:pPr>
        <w:pStyle w:val="BodyText"/>
        <w:tabs>
          <w:tab w:val="clear" w:pos="567"/>
          <w:tab w:val="clear" w:pos="1701"/>
          <w:tab w:val="clear" w:pos="2268"/>
          <w:tab w:val="clear" w:pos="6237"/>
          <w:tab w:val="left" w:pos="680"/>
          <w:tab w:val="left" w:pos="1134"/>
        </w:tabs>
        <w:spacing w:before="0"/>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82.</w:t>
      </w:r>
      <w:r>
        <w:rPr>
          <w:sz w:val="23"/>
        </w:rPr>
        <w:tab/>
        <w:t xml:space="preserve">В общем программном документе "Партнерство 2000", посвященном проводимой Данией политике сотрудничества в целях развития, подчеркивается, что политика Дании в области развития является неотъемлемой частью внешней политики, направленной, в частности, на обеспечение устойчивого экономического, социального и экологического развития всего мира. Важность этих вопросов находит отражение в правительственной платформе, принятой в декабре 2001 года, и в "Обзоре механизма официальной помощи в целях развития и охраны окружающей среды, которая оказывается Данией развивающимся странам", проведенном в январе 2002 года. Таким образом, в рамках датской политики в области развития защита гражданских, политических, экономических, социальных и культурных прав считается крайне важной для обеспечения надлежащего качества жизни в развивающихся странах, а ограждение людей от нарушений этих прав рассматривается в качестве непреложного условия свободного участия в публичных прениях и процессах принятия политических решений.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83.</w:t>
      </w:r>
      <w:r>
        <w:rPr>
          <w:sz w:val="23"/>
        </w:rPr>
        <w:tab/>
        <w:t>В основе помощи, оказываемой Данией в целях развития, лежит принцип сокращения масштабов нищеты. Стратегия сокращения масштабов нищеты, осуществляемая в рамках официальной помощи Дании в целях развития, преследует три основные задачи: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numPr>
          <w:ilvl w:val="0"/>
          <w:numId w:val="8"/>
        </w:numPr>
        <w:tabs>
          <w:tab w:val="clear" w:pos="567"/>
          <w:tab w:val="clear" w:pos="1273"/>
          <w:tab w:val="clear" w:pos="1701"/>
          <w:tab w:val="clear" w:pos="2268"/>
          <w:tab w:val="clear" w:pos="6237"/>
          <w:tab w:val="left" w:pos="680"/>
          <w:tab w:val="left" w:pos="1134"/>
        </w:tabs>
        <w:spacing w:line="240" w:lineRule="auto"/>
        <w:ind w:left="1134" w:hanging="454"/>
        <w:rPr>
          <w:sz w:val="23"/>
        </w:rPr>
      </w:pPr>
      <w:r>
        <w:rPr>
          <w:sz w:val="23"/>
        </w:rPr>
        <w:t xml:space="preserve">содействие устойчивому и социально сбалансированному экономическому росту; </w:t>
      </w:r>
    </w:p>
    <w:p w:rsidR="00000000" w:rsidRDefault="00000000">
      <w:pPr>
        <w:tabs>
          <w:tab w:val="clear" w:pos="567"/>
          <w:tab w:val="clear" w:pos="1701"/>
          <w:tab w:val="clear" w:pos="2268"/>
          <w:tab w:val="clear" w:pos="6237"/>
          <w:tab w:val="left" w:pos="680"/>
          <w:tab w:val="left" w:pos="1134"/>
        </w:tabs>
        <w:spacing w:line="240" w:lineRule="auto"/>
        <w:ind w:left="680"/>
        <w:rPr>
          <w:sz w:val="23"/>
        </w:rPr>
      </w:pPr>
    </w:p>
    <w:p w:rsidR="00000000" w:rsidRDefault="00000000">
      <w:pPr>
        <w:numPr>
          <w:ilvl w:val="0"/>
          <w:numId w:val="7"/>
        </w:numPr>
        <w:tabs>
          <w:tab w:val="clear" w:pos="567"/>
          <w:tab w:val="clear" w:pos="1270"/>
          <w:tab w:val="clear" w:pos="1701"/>
          <w:tab w:val="clear" w:pos="2268"/>
          <w:tab w:val="clear" w:pos="6237"/>
          <w:tab w:val="left" w:pos="680"/>
          <w:tab w:val="left" w:pos="1134"/>
        </w:tabs>
        <w:spacing w:line="240" w:lineRule="auto"/>
        <w:ind w:left="1134" w:hanging="454"/>
        <w:rPr>
          <w:sz w:val="23"/>
        </w:rPr>
      </w:pPr>
      <w:r>
        <w:rPr>
          <w:sz w:val="23"/>
        </w:rPr>
        <w:t>развитие социального сектора, включая поощрение предоставления услуг в области образования и здравоохранения в качестве обязательного предварительного условия развития людских ресурсов;</w:t>
      </w:r>
    </w:p>
    <w:p w:rsidR="00000000" w:rsidRDefault="00000000">
      <w:pPr>
        <w:tabs>
          <w:tab w:val="clear" w:pos="567"/>
          <w:tab w:val="clear" w:pos="1701"/>
          <w:tab w:val="clear" w:pos="2268"/>
          <w:tab w:val="clear" w:pos="6237"/>
          <w:tab w:val="left" w:pos="680"/>
          <w:tab w:val="left" w:pos="1134"/>
        </w:tabs>
        <w:spacing w:line="240" w:lineRule="auto"/>
        <w:ind w:left="680"/>
        <w:rPr>
          <w:sz w:val="23"/>
        </w:rPr>
      </w:pPr>
    </w:p>
    <w:p w:rsidR="00000000" w:rsidRDefault="00000000">
      <w:pPr>
        <w:numPr>
          <w:ilvl w:val="0"/>
          <w:numId w:val="7"/>
        </w:numPr>
        <w:tabs>
          <w:tab w:val="clear" w:pos="567"/>
          <w:tab w:val="clear" w:pos="1270"/>
          <w:tab w:val="clear" w:pos="1701"/>
          <w:tab w:val="clear" w:pos="2268"/>
          <w:tab w:val="clear" w:pos="6237"/>
          <w:tab w:val="left" w:pos="680"/>
          <w:tab w:val="left" w:pos="1134"/>
        </w:tabs>
        <w:spacing w:line="240" w:lineRule="auto"/>
        <w:ind w:left="1134" w:hanging="454"/>
        <w:rPr>
          <w:sz w:val="23"/>
        </w:rPr>
      </w:pPr>
      <w:r>
        <w:rPr>
          <w:sz w:val="23"/>
        </w:rPr>
        <w:t>поощрение участия населения в процессе развития, развитие общества на принципах законности и благое управление в качестве обязательных предварительных условий стабильности и экономического, социального и политического прогресса.</w:t>
      </w:r>
    </w:p>
    <w:p w:rsidR="00000000" w:rsidRDefault="00000000">
      <w:pPr>
        <w:tabs>
          <w:tab w:val="clear" w:pos="567"/>
          <w:tab w:val="clear" w:pos="1701"/>
          <w:tab w:val="clear" w:pos="2268"/>
          <w:tab w:val="clear" w:pos="6237"/>
          <w:tab w:val="left" w:pos="680"/>
          <w:tab w:val="left" w:pos="1134"/>
        </w:tabs>
        <w:spacing w:line="240" w:lineRule="auto"/>
        <w:ind w:left="680"/>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84.</w:t>
      </w:r>
      <w:r>
        <w:rPr>
          <w:sz w:val="23"/>
        </w:rPr>
        <w:tab/>
        <w:t>Цель политики Дании в области развития заключается в оказании развивающимся странам помощи в их усилиях, направленных на обеспечение устойчивого развития на основе улучшения условий жизни посредством социально сбалансированного экономического роста в контексте политической независимости. В дополнение к поощрению взаимопонимания и солидарности на основе культурного сотрудничества, осуществляемого между народами, помощь предполагает создание равных и беспрепятственных возможностей для каждого человека в соответствии с целями и принципами Устава Организации Объединенных Наций, развитие людских ресурсов и уважение человеческой личности, а также создание плюралистических гражданских обществ. Особый упор делается на улучшении социального и экономического положения сельского населения, и в частности менее обеспеченных и более уязвимых групп. В рамках значительной помощи, предоставляемой на цели поощрения уважения прав человека, пристальное внимание уделяется деятельности в поддержку уязвимых групп, включая коренные народы.</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85.</w:t>
      </w:r>
      <w:r>
        <w:rPr>
          <w:sz w:val="23"/>
        </w:rPr>
        <w:tab/>
        <w:t>Совокупный бюджет ОПР, предусмотренный Данией на 2002 год, составил 13 900 млн. датских крон (приблизительно 1853 млн. долл. США). Окончательный показатель, сообщаемый в КСР Организации по безопасности и сотрудничеству в Европе, может несколько отличаться от данной цифры. Таким образом, Дания является одной из ведущих стран-доноров ОПР в привязке к подушевому ВНД.</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
      </w:pPr>
      <w:bookmarkStart w:id="42" w:name="_Toc51496852"/>
      <w:bookmarkStart w:id="43" w:name="_Toc51497019"/>
      <w:bookmarkStart w:id="44" w:name="_Toc51497544"/>
      <w:r>
        <w:t>Статья 3</w:t>
      </w:r>
      <w:bookmarkEnd w:id="42"/>
      <w:bookmarkEnd w:id="43"/>
      <w:bookmarkEnd w:id="44"/>
      <w:r>
        <w:t xml:space="preserve"> </w:t>
      </w:r>
    </w:p>
    <w:p w:rsidR="00000000" w:rsidRDefault="00000000">
      <w:pPr>
        <w:pStyle w:val="a"/>
      </w:pPr>
    </w:p>
    <w:p w:rsidR="00000000" w:rsidRDefault="00000000">
      <w:pPr>
        <w:pStyle w:val="a"/>
      </w:pPr>
      <w:bookmarkStart w:id="45" w:name="_Toc51496853"/>
      <w:bookmarkStart w:id="46" w:name="_Toc51497020"/>
      <w:bookmarkStart w:id="47" w:name="_Toc51497545"/>
      <w:r>
        <w:t>Равенство между мужчинами и женщинами</w:t>
      </w:r>
      <w:bookmarkEnd w:id="45"/>
      <w:bookmarkEnd w:id="46"/>
      <w:bookmarkEnd w:id="47"/>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86.</w:t>
      </w:r>
      <w:r>
        <w:rPr>
          <w:sz w:val="23"/>
        </w:rPr>
        <w:tab/>
        <w:t>Делается ссылка на пятый периодический доклад, представленный правительством Дании Комитету по ликвидации дискриминации в отношении женщин (CEDAW/C/DEN/5) в мае 2002 года.</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87.</w:t>
      </w:r>
      <w:r>
        <w:rPr>
          <w:sz w:val="23"/>
        </w:rPr>
        <w:tab/>
        <w:t xml:space="preserve">Поощрению гендерного равенства придается важное значение в Дании. В июле 1999 года премьер-министр назначил министра по вопросам гендерного равенства, который в настоящее время также занимает пост министра социальных дел и отвечает за поощрение гендерного равенства. В мае 2000 года датский парламент принял Закон о гендерном равенстве (Закон № 388 от 30 мая 2002 года). Закон гласит, что женщины и мужчины пользуются равным статусом при ведении государственных дел, а также в сфере профессиональной и иной деятельности. В соответствии со стратегией, касающейся учета гендерных факторов, в Законе отмечается, что все государственные органы в пределах своей компетенции должны добиваться обеспечения гендерного равенства и принимать во внимание проблематику гендерного равенства в рамках всей плановой и административно-управленческой деятельности.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88.</w:t>
      </w:r>
      <w:r>
        <w:rPr>
          <w:sz w:val="23"/>
        </w:rPr>
        <w:tab/>
        <w:t xml:space="preserve">Министр по вопросам гендерного равенства учредил межминистерский Руководящий комитет, задача которого заключается в осуществлении стратегии, касающейся учета гендерных факторов, во всех областях деятельности в государственном секторе. В состав Руководящего комитета входят старшие должные лица из всех министерств.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
      </w:pPr>
      <w:bookmarkStart w:id="48" w:name="_Toc51496854"/>
      <w:bookmarkStart w:id="49" w:name="_Toc51497021"/>
      <w:bookmarkStart w:id="50" w:name="_Toc51497546"/>
      <w:r>
        <w:t>Статья 4</w:t>
      </w:r>
      <w:bookmarkEnd w:id="48"/>
      <w:bookmarkEnd w:id="49"/>
      <w:bookmarkEnd w:id="50"/>
      <w:r>
        <w:t xml:space="preserve"> </w:t>
      </w:r>
    </w:p>
    <w:p w:rsidR="00000000" w:rsidRDefault="00000000">
      <w:pPr>
        <w:pStyle w:val="a"/>
      </w:pPr>
    </w:p>
    <w:p w:rsidR="00000000" w:rsidRDefault="00000000">
      <w:pPr>
        <w:pStyle w:val="a"/>
      </w:pPr>
      <w:bookmarkStart w:id="51" w:name="_Toc51496855"/>
      <w:bookmarkStart w:id="52" w:name="_Toc51497022"/>
      <w:bookmarkStart w:id="53" w:name="_Toc51497547"/>
      <w:r>
        <w:t>Ограничения</w:t>
      </w:r>
      <w:bookmarkEnd w:id="51"/>
      <w:bookmarkEnd w:id="52"/>
      <w:bookmarkEnd w:id="53"/>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89.</w:t>
      </w:r>
      <w:r>
        <w:rPr>
          <w:sz w:val="23"/>
        </w:rPr>
        <w:tab/>
        <w:t xml:space="preserve">О каких-либо существующих ограничениях будет упомянуто в разделе, посвященном соответствующей статье.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
      </w:pPr>
      <w:r>
        <w:br w:type="page"/>
      </w:r>
      <w:bookmarkStart w:id="54" w:name="_Toc51496856"/>
      <w:bookmarkStart w:id="55" w:name="_Toc51497023"/>
      <w:bookmarkStart w:id="56" w:name="_Toc51497548"/>
      <w:r>
        <w:t>Статья 5</w:t>
      </w:r>
      <w:bookmarkEnd w:id="54"/>
      <w:bookmarkEnd w:id="55"/>
      <w:bookmarkEnd w:id="56"/>
    </w:p>
    <w:p w:rsidR="00000000" w:rsidRDefault="00000000">
      <w:pPr>
        <w:pStyle w:val="a"/>
      </w:pPr>
    </w:p>
    <w:p w:rsidR="00000000" w:rsidRDefault="00000000">
      <w:pPr>
        <w:pStyle w:val="a"/>
      </w:pPr>
      <w:bookmarkStart w:id="57" w:name="_Toc51496857"/>
      <w:bookmarkStart w:id="58" w:name="_Toc51497024"/>
      <w:bookmarkStart w:id="59" w:name="_Toc51497549"/>
      <w:r>
        <w:t>Действия, направленные на уничтожение или ограничение прав</w:t>
      </w:r>
      <w:bookmarkEnd w:id="57"/>
      <w:bookmarkEnd w:id="58"/>
      <w:bookmarkEnd w:id="59"/>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90.</w:t>
      </w:r>
      <w:r>
        <w:rPr>
          <w:sz w:val="23"/>
        </w:rPr>
        <w:tab/>
        <w:t xml:space="preserve">Правительству Дании не известно о случаях, когда положения Пакта использовались в нарушение положений, содержащихся в статье 5.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
      </w:pPr>
      <w:bookmarkStart w:id="60" w:name="_Toc51496858"/>
      <w:bookmarkStart w:id="61" w:name="_Toc51497025"/>
      <w:bookmarkStart w:id="62" w:name="_Toc51497550"/>
      <w:r>
        <w:t>Статья 6</w:t>
      </w:r>
      <w:bookmarkEnd w:id="60"/>
      <w:bookmarkEnd w:id="61"/>
      <w:bookmarkEnd w:id="62"/>
    </w:p>
    <w:p w:rsidR="00000000" w:rsidRDefault="00000000">
      <w:pPr>
        <w:pStyle w:val="a"/>
      </w:pPr>
    </w:p>
    <w:p w:rsidR="00000000" w:rsidRDefault="00000000">
      <w:pPr>
        <w:pStyle w:val="a"/>
      </w:pPr>
      <w:bookmarkStart w:id="63" w:name="_Toc51496859"/>
      <w:bookmarkStart w:id="64" w:name="_Toc51497026"/>
      <w:bookmarkStart w:id="65" w:name="_Toc51497551"/>
      <w:r>
        <w:t>Право на труд</w:t>
      </w:r>
      <w:bookmarkEnd w:id="63"/>
      <w:bookmarkEnd w:id="64"/>
      <w:bookmarkEnd w:id="65"/>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pStyle w:val="a0"/>
      </w:pPr>
      <w:bookmarkStart w:id="66" w:name="_Toc51496860"/>
      <w:bookmarkStart w:id="67" w:name="_Toc51497027"/>
      <w:bookmarkStart w:id="68" w:name="_Toc51497552"/>
      <w:r>
        <w:t>Пункт 8 руководящих принципов: Представление докладов в отношении соответствующих смежных конвенций</w:t>
      </w:r>
      <w:bookmarkEnd w:id="66"/>
      <w:bookmarkEnd w:id="67"/>
      <w:bookmarkEnd w:id="68"/>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91.</w:t>
      </w:r>
      <w:r>
        <w:rPr>
          <w:sz w:val="23"/>
        </w:rPr>
        <w:tab/>
        <w:t>Делается ссылка на третий периодический доклад, представленный правительством Дании Комитету по экономическим, социальным и культурным правам (</w:t>
      </w:r>
      <w:r>
        <w:rPr>
          <w:sz w:val="23"/>
          <w:lang w:val="en-US"/>
        </w:rPr>
        <w:t>E</w:t>
      </w:r>
      <w:r>
        <w:rPr>
          <w:sz w:val="23"/>
        </w:rPr>
        <w:t>/1994/104/</w:t>
      </w:r>
      <w:r>
        <w:rPr>
          <w:sz w:val="23"/>
          <w:lang w:val="en-US"/>
        </w:rPr>
        <w:t>Add</w:t>
      </w:r>
      <w:r>
        <w:rPr>
          <w:sz w:val="23"/>
        </w:rPr>
        <w:t>.15) в сентябре 1997 года, и на доклады, представленные правительством Дании (в круглых скобках указывается год представления последнего доклада) Международному бюро труда и касающиеся осуществления Конвенции № 122 о политике в области занятости (2000 год) и Конвенции № 111 о дискриминации (в области труда и занятий) (1999 год), а также Комитету по ликвидации расовой дискриминации (2001 год) и Комитету по ликвидации дискриминации в отношении женщин (2000 год).</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69" w:name="_Toc51496861"/>
      <w:bookmarkStart w:id="70" w:name="_Toc51497028"/>
      <w:bookmarkStart w:id="71" w:name="_Toc51497553"/>
      <w:r>
        <w:t>Пункт 9 а) руководящих принципов: Информация о занятости</w:t>
      </w:r>
      <w:bookmarkEnd w:id="69"/>
      <w:bookmarkEnd w:id="70"/>
      <w:bookmarkEnd w:id="71"/>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92.</w:t>
      </w:r>
      <w:r>
        <w:rPr>
          <w:sz w:val="23"/>
        </w:rPr>
        <w:tab/>
        <w:t>В приводимых ниже таблицах содержится информация о произошедших на рынке труда изменениях, касающихся занятости, уровня трудовой активности и безработицы. Данные были подготовлены Статистическим управлением Дании.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10"/>
        <w:tabs>
          <w:tab w:val="clear" w:pos="567"/>
          <w:tab w:val="clear" w:pos="1701"/>
          <w:tab w:val="clear" w:pos="2268"/>
          <w:tab w:val="clear" w:pos="6237"/>
          <w:tab w:val="left" w:pos="680"/>
          <w:tab w:val="left" w:pos="1134"/>
        </w:tabs>
        <w:spacing w:line="240" w:lineRule="auto"/>
        <w:rPr>
          <w:bCs/>
          <w:sz w:val="23"/>
        </w:rPr>
      </w:pPr>
      <w:r>
        <w:rPr>
          <w:bCs/>
          <w:sz w:val="23"/>
        </w:rPr>
        <w:t>Таблица 1</w:t>
      </w:r>
    </w:p>
    <w:p w:rsidR="00000000" w:rsidRDefault="00000000">
      <w:pPr>
        <w:pStyle w:val="10"/>
        <w:tabs>
          <w:tab w:val="clear" w:pos="567"/>
          <w:tab w:val="clear" w:pos="1701"/>
          <w:tab w:val="clear" w:pos="2268"/>
          <w:tab w:val="clear" w:pos="6237"/>
          <w:tab w:val="left" w:pos="680"/>
          <w:tab w:val="left" w:pos="1134"/>
        </w:tabs>
        <w:spacing w:line="240" w:lineRule="auto"/>
        <w:rPr>
          <w:bCs/>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t>Занятость в 1990, 1995 и 2000 годах (тыс. человек)</w:t>
      </w: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000" w:firstRow="0" w:lastRow="0" w:firstColumn="0" w:lastColumn="0" w:noHBand="0" w:noVBand="0"/>
      </w:tblPr>
      <w:tblGrid>
        <w:gridCol w:w="2495"/>
        <w:gridCol w:w="2381"/>
        <w:gridCol w:w="2381"/>
        <w:gridCol w:w="2381"/>
      </w:tblGrid>
      <w:tr w:rsidR="00000000">
        <w:tblPrEx>
          <w:tblCellMar>
            <w:top w:w="0" w:type="dxa"/>
            <w:bottom w:w="0" w:type="dxa"/>
          </w:tblCellMar>
        </w:tblPrEx>
        <w:tc>
          <w:tcPr>
            <w:tcW w:w="2495" w:type="dxa"/>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p>
        </w:tc>
        <w:tc>
          <w:tcPr>
            <w:tcW w:w="2381"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4-й квартал 1990 года</w:t>
            </w:r>
          </w:p>
        </w:tc>
        <w:tc>
          <w:tcPr>
            <w:tcW w:w="2381"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4-й квартал 1995 года</w:t>
            </w:r>
          </w:p>
        </w:tc>
        <w:tc>
          <w:tcPr>
            <w:tcW w:w="2381"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4-й квартал 2000 года</w:t>
            </w:r>
          </w:p>
        </w:tc>
      </w:tr>
      <w:tr w:rsidR="00000000">
        <w:tblPrEx>
          <w:tblCellMar>
            <w:top w:w="0" w:type="dxa"/>
            <w:bottom w:w="0" w:type="dxa"/>
          </w:tblCellMar>
        </w:tblPrEx>
        <w:tc>
          <w:tcPr>
            <w:tcW w:w="2495" w:type="dxa"/>
            <w:tcBorders>
              <w:bottom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Полная занятость, скорректированная на сезонные колебания</w:t>
            </w:r>
          </w:p>
        </w:tc>
        <w:tc>
          <w:tcPr>
            <w:tcW w:w="2381" w:type="dxa"/>
            <w:tcBorders>
              <w:bottom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2 014</w:t>
            </w:r>
          </w:p>
        </w:tc>
        <w:tc>
          <w:tcPr>
            <w:tcW w:w="2381" w:type="dxa"/>
            <w:tcBorders>
              <w:bottom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2 037</w:t>
            </w:r>
          </w:p>
        </w:tc>
        <w:tc>
          <w:tcPr>
            <w:tcW w:w="2381" w:type="dxa"/>
            <w:tcBorders>
              <w:bottom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2 200</w:t>
            </w:r>
          </w:p>
        </w:tc>
      </w:tr>
    </w:tbl>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93.</w:t>
      </w:r>
      <w:r>
        <w:rPr>
          <w:sz w:val="23"/>
        </w:rPr>
        <w:tab/>
        <w:t>Занятость увеличивается с 1993 года. В 2000 году занятость достигла рекордно высокого показателя, увеличившись на 9% по сравнению с 1990 годом.</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br w:type="page"/>
        <w:t>Таблица 2</w:t>
      </w: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t>Безработица в процентах от численности рабочей силы в 1991, 1995 и 2000 годах</w:t>
      </w:r>
    </w:p>
    <w:p w:rsidR="00000000" w:rsidRDefault="00000000">
      <w:pPr>
        <w:tabs>
          <w:tab w:val="clear" w:pos="567"/>
          <w:tab w:val="clear" w:pos="1701"/>
          <w:tab w:val="clear" w:pos="2268"/>
          <w:tab w:val="clear" w:pos="6237"/>
          <w:tab w:val="left" w:pos="680"/>
          <w:tab w:val="left" w:pos="1134"/>
        </w:tabs>
        <w:spacing w:line="240" w:lineRule="auto"/>
        <w:rPr>
          <w:b/>
          <w:bCs/>
          <w:sz w:val="23"/>
        </w:rPr>
      </w:pPr>
    </w:p>
    <w:tbl>
      <w:tblPr>
        <w:tblW w:w="0" w:type="auto"/>
        <w:jc w:val="center"/>
        <w:tblInd w:w="57" w:type="dxa"/>
        <w:tblCellMar>
          <w:left w:w="56" w:type="dxa"/>
          <w:right w:w="56" w:type="dxa"/>
        </w:tblCellMar>
        <w:tblLook w:val="0000" w:firstRow="0" w:lastRow="0" w:firstColumn="0" w:lastColumn="0" w:noHBand="0" w:noVBand="0"/>
      </w:tblPr>
      <w:tblGrid>
        <w:gridCol w:w="4536"/>
        <w:gridCol w:w="1418"/>
        <w:gridCol w:w="1418"/>
        <w:gridCol w:w="1418"/>
      </w:tblGrid>
      <w:tr w:rsidR="00000000">
        <w:tblPrEx>
          <w:tblCellMar>
            <w:top w:w="0" w:type="dxa"/>
            <w:bottom w:w="0" w:type="dxa"/>
          </w:tblCellMar>
        </w:tblPrEx>
        <w:trPr>
          <w:jc w:val="center"/>
        </w:trPr>
        <w:tc>
          <w:tcPr>
            <w:tcW w:w="4536" w:type="dxa"/>
            <w:tcBorders>
              <w:top w:val="single" w:sz="4" w:space="0" w:color="auto"/>
              <w:left w:val="single" w:sz="4" w:space="0" w:color="auto"/>
              <w:bottom w:val="single" w:sz="4" w:space="0" w:color="auto"/>
              <w:right w:val="single" w:sz="4" w:space="0" w:color="auto"/>
            </w:tcBorders>
          </w:tcPr>
          <w:p w:rsidR="00000000" w:rsidRDefault="00000000">
            <w:pPr>
              <w:pStyle w:val="FootnoteText"/>
              <w:tabs>
                <w:tab w:val="clear" w:pos="567"/>
                <w:tab w:val="clear" w:pos="1701"/>
                <w:tab w:val="clear" w:pos="2268"/>
                <w:tab w:val="clear" w:pos="6237"/>
                <w:tab w:val="left" w:pos="680"/>
                <w:tab w:val="left" w:pos="1134"/>
              </w:tabs>
              <w:spacing w:before="40" w:after="40"/>
              <w:rPr>
                <w:sz w:val="23"/>
              </w:rPr>
            </w:pP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1991 год</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1995 год</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2000 год</w:t>
            </w:r>
          </w:p>
        </w:tc>
      </w:tr>
      <w:tr w:rsidR="00000000">
        <w:tblPrEx>
          <w:tblCellMar>
            <w:top w:w="0" w:type="dxa"/>
            <w:bottom w:w="0" w:type="dxa"/>
          </w:tblCellMar>
        </w:tblPrEx>
        <w:trPr>
          <w:jc w:val="center"/>
        </w:trPr>
        <w:tc>
          <w:tcPr>
            <w:tcW w:w="4536"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Совокупная безработица</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10,6</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10,4</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5,4</w:t>
            </w:r>
          </w:p>
        </w:tc>
      </w:tr>
      <w:tr w:rsidR="00000000">
        <w:tblPrEx>
          <w:tblCellMar>
            <w:top w:w="0" w:type="dxa"/>
            <w:bottom w:w="0" w:type="dxa"/>
          </w:tblCellMar>
        </w:tblPrEx>
        <w:trPr>
          <w:jc w:val="center"/>
        </w:trPr>
        <w:tc>
          <w:tcPr>
            <w:tcW w:w="4536" w:type="dxa"/>
            <w:tcBorders>
              <w:top w:val="single" w:sz="4" w:space="0" w:color="auto"/>
              <w:bottom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p>
        </w:tc>
        <w:tc>
          <w:tcPr>
            <w:tcW w:w="1418" w:type="dxa"/>
            <w:tcBorders>
              <w:top w:val="single" w:sz="4" w:space="0" w:color="auto"/>
              <w:bottom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p>
        </w:tc>
        <w:tc>
          <w:tcPr>
            <w:tcW w:w="1418" w:type="dxa"/>
            <w:tcBorders>
              <w:top w:val="single" w:sz="4" w:space="0" w:color="auto"/>
              <w:bottom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p>
        </w:tc>
        <w:tc>
          <w:tcPr>
            <w:tcW w:w="1418" w:type="dxa"/>
            <w:tcBorders>
              <w:top w:val="single" w:sz="4" w:space="0" w:color="auto"/>
              <w:bottom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p>
        </w:tc>
      </w:tr>
      <w:tr w:rsidR="00000000">
        <w:tblPrEx>
          <w:tblCellMar>
            <w:top w:w="0" w:type="dxa"/>
            <w:bottom w:w="0" w:type="dxa"/>
          </w:tblCellMar>
        </w:tblPrEx>
        <w:trPr>
          <w:jc w:val="center"/>
        </w:trPr>
        <w:tc>
          <w:tcPr>
            <w:tcW w:w="453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701"/>
                <w:tab w:val="clear" w:pos="2268"/>
                <w:tab w:val="clear" w:pos="6237"/>
                <w:tab w:val="left" w:pos="680"/>
                <w:tab w:val="left" w:pos="1134"/>
              </w:tabs>
              <w:spacing w:before="40" w:after="120" w:line="240" w:lineRule="auto"/>
              <w:rPr>
                <w:sz w:val="23"/>
              </w:rPr>
            </w:pPr>
            <w:r>
              <w:rPr>
                <w:sz w:val="23"/>
              </w:rPr>
              <w:t>Безработица в разбивке по возрастным группам</w:t>
            </w:r>
          </w:p>
          <w:p w:rsidR="00000000" w:rsidRDefault="00000000">
            <w:pPr>
              <w:tabs>
                <w:tab w:val="clear" w:pos="567"/>
                <w:tab w:val="clear" w:pos="1701"/>
                <w:tab w:val="clear" w:pos="2268"/>
                <w:tab w:val="clear" w:pos="6237"/>
                <w:tab w:val="left" w:pos="680"/>
                <w:tab w:val="left" w:pos="1134"/>
              </w:tabs>
              <w:spacing w:before="40" w:after="120" w:line="240" w:lineRule="auto"/>
              <w:rPr>
                <w:sz w:val="23"/>
              </w:rPr>
            </w:pPr>
            <w:r>
              <w:rPr>
                <w:sz w:val="23"/>
              </w:rPr>
              <w:t>16–24 года</w:t>
            </w:r>
          </w:p>
          <w:p w:rsidR="00000000" w:rsidRDefault="00000000">
            <w:pPr>
              <w:tabs>
                <w:tab w:val="clear" w:pos="567"/>
                <w:tab w:val="clear" w:pos="1701"/>
                <w:tab w:val="clear" w:pos="2268"/>
                <w:tab w:val="clear" w:pos="6237"/>
                <w:tab w:val="left" w:pos="680"/>
                <w:tab w:val="left" w:pos="1134"/>
              </w:tabs>
              <w:spacing w:before="40" w:after="120" w:line="240" w:lineRule="auto"/>
              <w:rPr>
                <w:sz w:val="23"/>
              </w:rPr>
            </w:pPr>
            <w:r>
              <w:rPr>
                <w:sz w:val="23"/>
              </w:rPr>
              <w:t>25–34 года</w:t>
            </w:r>
          </w:p>
          <w:p w:rsidR="00000000" w:rsidRDefault="00000000">
            <w:pPr>
              <w:tabs>
                <w:tab w:val="clear" w:pos="567"/>
                <w:tab w:val="clear" w:pos="1701"/>
                <w:tab w:val="clear" w:pos="2268"/>
                <w:tab w:val="clear" w:pos="6237"/>
                <w:tab w:val="left" w:pos="680"/>
                <w:tab w:val="left" w:pos="1134"/>
              </w:tabs>
              <w:spacing w:before="40" w:after="120" w:line="240" w:lineRule="auto"/>
              <w:rPr>
                <w:sz w:val="23"/>
              </w:rPr>
            </w:pPr>
            <w:r>
              <w:rPr>
                <w:sz w:val="23"/>
              </w:rPr>
              <w:t>35–54 года</w:t>
            </w:r>
          </w:p>
          <w:p w:rsidR="00000000" w:rsidRDefault="00000000">
            <w:pPr>
              <w:tabs>
                <w:tab w:val="clear" w:pos="567"/>
                <w:tab w:val="clear" w:pos="1701"/>
                <w:tab w:val="clear" w:pos="2268"/>
                <w:tab w:val="clear" w:pos="6237"/>
                <w:tab w:val="left" w:pos="680"/>
                <w:tab w:val="left" w:pos="1134"/>
              </w:tabs>
              <w:spacing w:before="40" w:after="120" w:line="240" w:lineRule="auto"/>
              <w:rPr>
                <w:sz w:val="23"/>
              </w:rPr>
            </w:pPr>
            <w:r>
              <w:rPr>
                <w:sz w:val="23"/>
              </w:rPr>
              <w:t>55–59 лет</w:t>
            </w:r>
          </w:p>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60–66 лет</w:t>
            </w:r>
          </w:p>
        </w:tc>
        <w:tc>
          <w:tcPr>
            <w:tcW w:w="141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701"/>
                <w:tab w:val="clear" w:pos="2268"/>
                <w:tab w:val="clear" w:pos="6237"/>
                <w:tab w:val="left" w:pos="680"/>
                <w:tab w:val="left" w:pos="1134"/>
              </w:tabs>
              <w:spacing w:before="40" w:after="120" w:line="240" w:lineRule="auto"/>
              <w:jc w:val="center"/>
              <w:rPr>
                <w:sz w:val="23"/>
              </w:rPr>
            </w:pPr>
          </w:p>
          <w:p w:rsidR="00000000" w:rsidRDefault="00000000">
            <w:pPr>
              <w:pStyle w:val="16"/>
              <w:tabs>
                <w:tab w:val="clear" w:pos="567"/>
                <w:tab w:val="clear" w:pos="1701"/>
                <w:tab w:val="clear" w:pos="2268"/>
                <w:tab w:val="clear" w:pos="6237"/>
                <w:tab w:val="left" w:pos="680"/>
                <w:tab w:val="left" w:pos="1134"/>
              </w:tabs>
              <w:spacing w:before="40" w:after="120" w:line="240" w:lineRule="auto"/>
              <w:rPr>
                <w:sz w:val="23"/>
              </w:rPr>
            </w:pPr>
            <w:r>
              <w:rPr>
                <w:sz w:val="23"/>
              </w:rPr>
              <w:t>10,9</w:t>
            </w:r>
          </w:p>
          <w:p w:rsidR="00000000" w:rsidRDefault="00000000">
            <w:pPr>
              <w:tabs>
                <w:tab w:val="clear" w:pos="567"/>
                <w:tab w:val="clear" w:pos="1701"/>
                <w:tab w:val="clear" w:pos="2268"/>
                <w:tab w:val="clear" w:pos="6237"/>
                <w:tab w:val="left" w:pos="680"/>
                <w:tab w:val="left" w:pos="1134"/>
              </w:tabs>
              <w:spacing w:before="40" w:after="120" w:line="240" w:lineRule="auto"/>
              <w:jc w:val="center"/>
              <w:rPr>
                <w:sz w:val="23"/>
              </w:rPr>
            </w:pPr>
            <w:r>
              <w:rPr>
                <w:sz w:val="23"/>
              </w:rPr>
              <w:t>14,0</w:t>
            </w:r>
          </w:p>
          <w:p w:rsidR="00000000" w:rsidRDefault="00000000">
            <w:pPr>
              <w:tabs>
                <w:tab w:val="clear" w:pos="567"/>
                <w:tab w:val="clear" w:pos="1701"/>
                <w:tab w:val="clear" w:pos="2268"/>
                <w:tab w:val="clear" w:pos="6237"/>
                <w:tab w:val="left" w:pos="680"/>
                <w:tab w:val="left" w:pos="1134"/>
              </w:tabs>
              <w:spacing w:before="40" w:after="120" w:line="240" w:lineRule="auto"/>
              <w:jc w:val="center"/>
              <w:rPr>
                <w:sz w:val="23"/>
              </w:rPr>
            </w:pPr>
            <w:r>
              <w:rPr>
                <w:sz w:val="23"/>
              </w:rPr>
              <w:t>8,5</w:t>
            </w:r>
          </w:p>
          <w:p w:rsidR="00000000" w:rsidRDefault="00000000">
            <w:pPr>
              <w:tabs>
                <w:tab w:val="clear" w:pos="567"/>
                <w:tab w:val="clear" w:pos="1701"/>
                <w:tab w:val="clear" w:pos="2268"/>
                <w:tab w:val="clear" w:pos="6237"/>
                <w:tab w:val="left" w:pos="680"/>
                <w:tab w:val="left" w:pos="1134"/>
              </w:tabs>
              <w:spacing w:before="40" w:after="120" w:line="240" w:lineRule="auto"/>
              <w:jc w:val="center"/>
              <w:rPr>
                <w:sz w:val="23"/>
              </w:rPr>
            </w:pPr>
            <w:r>
              <w:rPr>
                <w:sz w:val="23"/>
              </w:rPr>
              <w:t>11,7</w:t>
            </w:r>
          </w:p>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9,6</w:t>
            </w:r>
          </w:p>
        </w:tc>
        <w:tc>
          <w:tcPr>
            <w:tcW w:w="141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701"/>
                <w:tab w:val="clear" w:pos="2268"/>
                <w:tab w:val="clear" w:pos="6237"/>
                <w:tab w:val="left" w:pos="680"/>
                <w:tab w:val="left" w:pos="1134"/>
              </w:tabs>
              <w:spacing w:before="40" w:after="120" w:line="240" w:lineRule="auto"/>
              <w:jc w:val="center"/>
              <w:rPr>
                <w:sz w:val="23"/>
              </w:rPr>
            </w:pPr>
          </w:p>
          <w:p w:rsidR="00000000" w:rsidRDefault="00000000">
            <w:pPr>
              <w:tabs>
                <w:tab w:val="clear" w:pos="567"/>
                <w:tab w:val="clear" w:pos="1701"/>
                <w:tab w:val="clear" w:pos="2268"/>
                <w:tab w:val="clear" w:pos="6237"/>
                <w:tab w:val="left" w:pos="680"/>
                <w:tab w:val="left" w:pos="1134"/>
              </w:tabs>
              <w:spacing w:before="40" w:after="120" w:line="240" w:lineRule="auto"/>
              <w:jc w:val="center"/>
              <w:rPr>
                <w:sz w:val="23"/>
              </w:rPr>
            </w:pPr>
            <w:r>
              <w:rPr>
                <w:sz w:val="23"/>
              </w:rPr>
              <w:t>8,5</w:t>
            </w:r>
          </w:p>
          <w:p w:rsidR="00000000" w:rsidRDefault="00000000">
            <w:pPr>
              <w:tabs>
                <w:tab w:val="clear" w:pos="567"/>
                <w:tab w:val="clear" w:pos="1701"/>
                <w:tab w:val="clear" w:pos="2268"/>
                <w:tab w:val="clear" w:pos="6237"/>
                <w:tab w:val="left" w:pos="680"/>
                <w:tab w:val="left" w:pos="1134"/>
              </w:tabs>
              <w:spacing w:before="40" w:after="120" w:line="240" w:lineRule="auto"/>
              <w:jc w:val="center"/>
              <w:rPr>
                <w:sz w:val="23"/>
              </w:rPr>
            </w:pPr>
            <w:r>
              <w:rPr>
                <w:sz w:val="23"/>
              </w:rPr>
              <w:t>12,3</w:t>
            </w:r>
          </w:p>
          <w:p w:rsidR="00000000" w:rsidRDefault="00000000">
            <w:pPr>
              <w:tabs>
                <w:tab w:val="clear" w:pos="567"/>
                <w:tab w:val="clear" w:pos="1701"/>
                <w:tab w:val="clear" w:pos="2268"/>
                <w:tab w:val="clear" w:pos="6237"/>
                <w:tab w:val="left" w:pos="680"/>
                <w:tab w:val="left" w:pos="1134"/>
              </w:tabs>
              <w:spacing w:before="40" w:after="120" w:line="240" w:lineRule="auto"/>
              <w:jc w:val="center"/>
              <w:rPr>
                <w:sz w:val="23"/>
              </w:rPr>
            </w:pPr>
            <w:r>
              <w:rPr>
                <w:sz w:val="23"/>
              </w:rPr>
              <w:t>8,9</w:t>
            </w:r>
          </w:p>
          <w:p w:rsidR="00000000" w:rsidRDefault="00000000">
            <w:pPr>
              <w:tabs>
                <w:tab w:val="clear" w:pos="567"/>
                <w:tab w:val="clear" w:pos="1701"/>
                <w:tab w:val="clear" w:pos="2268"/>
                <w:tab w:val="clear" w:pos="6237"/>
                <w:tab w:val="left" w:pos="680"/>
                <w:tab w:val="left" w:pos="1134"/>
              </w:tabs>
              <w:spacing w:before="40" w:after="120" w:line="240" w:lineRule="auto"/>
              <w:jc w:val="center"/>
              <w:rPr>
                <w:sz w:val="23"/>
              </w:rPr>
            </w:pPr>
            <w:r>
              <w:rPr>
                <w:sz w:val="23"/>
              </w:rPr>
              <w:t>15,1</w:t>
            </w:r>
          </w:p>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16,6</w:t>
            </w:r>
          </w:p>
        </w:tc>
        <w:tc>
          <w:tcPr>
            <w:tcW w:w="141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701"/>
                <w:tab w:val="clear" w:pos="2268"/>
                <w:tab w:val="clear" w:pos="6237"/>
                <w:tab w:val="left" w:pos="680"/>
                <w:tab w:val="left" w:pos="1134"/>
              </w:tabs>
              <w:spacing w:before="40" w:after="120" w:line="240" w:lineRule="auto"/>
              <w:jc w:val="center"/>
              <w:rPr>
                <w:sz w:val="23"/>
              </w:rPr>
            </w:pPr>
          </w:p>
          <w:p w:rsidR="00000000" w:rsidRDefault="00000000">
            <w:pPr>
              <w:tabs>
                <w:tab w:val="clear" w:pos="567"/>
                <w:tab w:val="clear" w:pos="1701"/>
                <w:tab w:val="clear" w:pos="2268"/>
                <w:tab w:val="clear" w:pos="6237"/>
                <w:tab w:val="left" w:pos="680"/>
                <w:tab w:val="left" w:pos="1134"/>
              </w:tabs>
              <w:spacing w:before="40" w:after="120" w:line="240" w:lineRule="auto"/>
              <w:jc w:val="center"/>
              <w:rPr>
                <w:sz w:val="23"/>
              </w:rPr>
            </w:pPr>
            <w:r>
              <w:rPr>
                <w:sz w:val="23"/>
              </w:rPr>
              <w:t>3,0</w:t>
            </w:r>
          </w:p>
          <w:p w:rsidR="00000000" w:rsidRDefault="00000000">
            <w:pPr>
              <w:tabs>
                <w:tab w:val="clear" w:pos="567"/>
                <w:tab w:val="clear" w:pos="1701"/>
                <w:tab w:val="clear" w:pos="2268"/>
                <w:tab w:val="clear" w:pos="6237"/>
                <w:tab w:val="left" w:pos="680"/>
                <w:tab w:val="left" w:pos="1134"/>
              </w:tabs>
              <w:spacing w:before="40" w:after="120" w:line="240" w:lineRule="auto"/>
              <w:jc w:val="center"/>
              <w:rPr>
                <w:sz w:val="23"/>
              </w:rPr>
            </w:pPr>
            <w:r>
              <w:rPr>
                <w:sz w:val="23"/>
              </w:rPr>
              <w:t>6,2</w:t>
            </w:r>
          </w:p>
          <w:p w:rsidR="00000000" w:rsidRDefault="00000000">
            <w:pPr>
              <w:tabs>
                <w:tab w:val="clear" w:pos="567"/>
                <w:tab w:val="clear" w:pos="1701"/>
                <w:tab w:val="clear" w:pos="2268"/>
                <w:tab w:val="clear" w:pos="6237"/>
                <w:tab w:val="left" w:pos="680"/>
                <w:tab w:val="left" w:pos="1134"/>
              </w:tabs>
              <w:spacing w:before="40" w:after="120" w:line="240" w:lineRule="auto"/>
              <w:jc w:val="center"/>
              <w:rPr>
                <w:sz w:val="23"/>
              </w:rPr>
            </w:pPr>
            <w:r>
              <w:rPr>
                <w:sz w:val="23"/>
              </w:rPr>
              <w:t>5,1</w:t>
            </w:r>
          </w:p>
          <w:p w:rsidR="00000000" w:rsidRDefault="00000000">
            <w:pPr>
              <w:tabs>
                <w:tab w:val="clear" w:pos="567"/>
                <w:tab w:val="clear" w:pos="1701"/>
                <w:tab w:val="clear" w:pos="2268"/>
                <w:tab w:val="clear" w:pos="6237"/>
                <w:tab w:val="left" w:pos="680"/>
                <w:tab w:val="left" w:pos="1134"/>
              </w:tabs>
              <w:spacing w:before="40" w:after="120" w:line="240" w:lineRule="auto"/>
              <w:jc w:val="center"/>
              <w:rPr>
                <w:sz w:val="23"/>
              </w:rPr>
            </w:pPr>
            <w:r>
              <w:rPr>
                <w:sz w:val="23"/>
              </w:rPr>
              <w:t>8,4</w:t>
            </w:r>
          </w:p>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7,5</w:t>
            </w:r>
          </w:p>
        </w:tc>
      </w:tr>
      <w:tr w:rsidR="00000000">
        <w:tblPrEx>
          <w:tblCellMar>
            <w:top w:w="0" w:type="dxa"/>
            <w:bottom w:w="0" w:type="dxa"/>
          </w:tblCellMar>
        </w:tblPrEx>
        <w:trPr>
          <w:jc w:val="center"/>
        </w:trPr>
        <w:tc>
          <w:tcPr>
            <w:tcW w:w="4536" w:type="dxa"/>
            <w:tcBorders>
              <w:top w:val="single" w:sz="4" w:space="0" w:color="auto"/>
              <w:bottom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p>
        </w:tc>
        <w:tc>
          <w:tcPr>
            <w:tcW w:w="1418" w:type="dxa"/>
            <w:tcBorders>
              <w:top w:val="single" w:sz="4" w:space="0" w:color="auto"/>
              <w:bottom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p>
        </w:tc>
        <w:tc>
          <w:tcPr>
            <w:tcW w:w="1418" w:type="dxa"/>
            <w:tcBorders>
              <w:top w:val="single" w:sz="4" w:space="0" w:color="auto"/>
              <w:bottom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p>
        </w:tc>
        <w:tc>
          <w:tcPr>
            <w:tcW w:w="1418" w:type="dxa"/>
            <w:tcBorders>
              <w:top w:val="single" w:sz="4" w:space="0" w:color="auto"/>
              <w:bottom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p>
        </w:tc>
      </w:tr>
      <w:tr w:rsidR="00000000">
        <w:tblPrEx>
          <w:tblCellMar>
            <w:top w:w="0" w:type="dxa"/>
            <w:bottom w:w="0" w:type="dxa"/>
          </w:tblCellMar>
        </w:tblPrEx>
        <w:trPr>
          <w:jc w:val="center"/>
        </w:trPr>
        <w:tc>
          <w:tcPr>
            <w:tcW w:w="4536"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Безработица в разбивке по признаку пола</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p>
        </w:tc>
      </w:tr>
      <w:tr w:rsidR="00000000">
        <w:tblPrEx>
          <w:tblCellMar>
            <w:top w:w="0" w:type="dxa"/>
            <w:bottom w:w="0" w:type="dxa"/>
          </w:tblCellMar>
        </w:tblPrEx>
        <w:trPr>
          <w:jc w:val="center"/>
        </w:trPr>
        <w:tc>
          <w:tcPr>
            <w:tcW w:w="4536"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Мужчины</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9,2</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9,0</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4,6</w:t>
            </w:r>
          </w:p>
        </w:tc>
      </w:tr>
      <w:tr w:rsidR="00000000">
        <w:tblPrEx>
          <w:tblCellMar>
            <w:top w:w="0" w:type="dxa"/>
            <w:bottom w:w="0" w:type="dxa"/>
          </w:tblCellMar>
        </w:tblPrEx>
        <w:trPr>
          <w:jc w:val="center"/>
        </w:trPr>
        <w:tc>
          <w:tcPr>
            <w:tcW w:w="4536"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Женщины</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12,1</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12,0</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6,3</w:t>
            </w:r>
          </w:p>
        </w:tc>
      </w:tr>
    </w:tbl>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94.</w:t>
      </w:r>
      <w:r>
        <w:rPr>
          <w:sz w:val="23"/>
        </w:rPr>
        <w:tab/>
        <w:t>Безработица стала снижаться начиная с 1993/1994 года. За этот период она сократилась в два раза. Ее спад затронул все возрастные группы. В наибольшей степени, а именно примерно на 67%, сократилась безработица среди молодежи. Сокращение безработицы среди мужчин и среди женщин было одинаковым (приблизительно 50%). Показатель безработицы среди женщин по-прежнему остается более высоким, чем показатель безработицы среди мужчин.</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t>Таблица 3</w:t>
      </w: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pStyle w:val="10"/>
        <w:tabs>
          <w:tab w:val="clear" w:pos="567"/>
          <w:tab w:val="clear" w:pos="1701"/>
          <w:tab w:val="clear" w:pos="2268"/>
          <w:tab w:val="clear" w:pos="6237"/>
          <w:tab w:val="left" w:pos="680"/>
          <w:tab w:val="left" w:pos="1134"/>
        </w:tabs>
        <w:spacing w:line="240" w:lineRule="auto"/>
        <w:rPr>
          <w:bCs/>
          <w:sz w:val="23"/>
        </w:rPr>
      </w:pPr>
      <w:r>
        <w:rPr>
          <w:bCs/>
          <w:sz w:val="23"/>
        </w:rPr>
        <w:t xml:space="preserve">Коэффициенты трудовой активности и занятости в 2000 году </w:t>
      </w:r>
      <w:r>
        <w:rPr>
          <w:bCs/>
          <w:sz w:val="23"/>
        </w:rPr>
        <w:br/>
        <w:t>в разбивке по полу и возрасту</w:t>
      </w: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tbl>
      <w:tblPr>
        <w:tblW w:w="0" w:type="auto"/>
        <w:jc w:val="cente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000" w:firstRow="0" w:lastRow="0" w:firstColumn="0" w:lastColumn="0" w:noHBand="0" w:noVBand="0"/>
      </w:tblPr>
      <w:tblGrid>
        <w:gridCol w:w="2268"/>
        <w:gridCol w:w="2268"/>
        <w:gridCol w:w="2268"/>
      </w:tblGrid>
      <w:tr w:rsidR="00000000">
        <w:tblPrEx>
          <w:tblCellMar>
            <w:top w:w="0" w:type="dxa"/>
            <w:bottom w:w="0" w:type="dxa"/>
          </w:tblCellMar>
        </w:tblPrEx>
        <w:trPr>
          <w:jc w:val="center"/>
        </w:trPr>
        <w:tc>
          <w:tcPr>
            <w:tcW w:w="2268" w:type="dxa"/>
          </w:tcPr>
          <w:p w:rsidR="00000000" w:rsidRDefault="00000000">
            <w:pPr>
              <w:tabs>
                <w:tab w:val="clear" w:pos="567"/>
                <w:tab w:val="clear" w:pos="1701"/>
                <w:tab w:val="clear" w:pos="2268"/>
                <w:tab w:val="clear" w:pos="6237"/>
                <w:tab w:val="left" w:pos="680"/>
                <w:tab w:val="left" w:pos="1134"/>
              </w:tabs>
              <w:spacing w:before="80" w:after="80" w:line="240" w:lineRule="auto"/>
              <w:jc w:val="center"/>
              <w:rPr>
                <w:sz w:val="23"/>
              </w:rPr>
            </w:pPr>
          </w:p>
        </w:tc>
        <w:tc>
          <w:tcPr>
            <w:tcW w:w="2268" w:type="dxa"/>
          </w:tcPr>
          <w:p w:rsidR="00000000" w:rsidRDefault="00000000">
            <w:pPr>
              <w:tabs>
                <w:tab w:val="clear" w:pos="567"/>
                <w:tab w:val="clear" w:pos="1701"/>
                <w:tab w:val="clear" w:pos="2268"/>
                <w:tab w:val="clear" w:pos="6237"/>
                <w:tab w:val="left" w:pos="680"/>
                <w:tab w:val="left" w:pos="1134"/>
              </w:tabs>
              <w:spacing w:before="80" w:after="80" w:line="240" w:lineRule="auto"/>
              <w:jc w:val="center"/>
              <w:rPr>
                <w:sz w:val="23"/>
              </w:rPr>
            </w:pPr>
            <w:r>
              <w:rPr>
                <w:sz w:val="23"/>
              </w:rPr>
              <w:t>Коэффициент трудовой активности</w:t>
            </w:r>
          </w:p>
        </w:tc>
        <w:tc>
          <w:tcPr>
            <w:tcW w:w="2268" w:type="dxa"/>
          </w:tcPr>
          <w:p w:rsidR="00000000" w:rsidRDefault="00000000">
            <w:pPr>
              <w:tabs>
                <w:tab w:val="clear" w:pos="567"/>
                <w:tab w:val="clear" w:pos="1701"/>
                <w:tab w:val="clear" w:pos="2268"/>
                <w:tab w:val="clear" w:pos="6237"/>
                <w:tab w:val="left" w:pos="680"/>
                <w:tab w:val="left" w:pos="1134"/>
              </w:tabs>
              <w:spacing w:before="80" w:after="80" w:line="240" w:lineRule="auto"/>
              <w:jc w:val="center"/>
              <w:rPr>
                <w:sz w:val="23"/>
              </w:rPr>
            </w:pPr>
            <w:r>
              <w:rPr>
                <w:sz w:val="23"/>
              </w:rPr>
              <w:t>Коэффициент занятости</w:t>
            </w:r>
          </w:p>
        </w:tc>
      </w:tr>
      <w:tr w:rsidR="00000000">
        <w:tblPrEx>
          <w:tblCellMar>
            <w:top w:w="0" w:type="dxa"/>
            <w:bottom w:w="0" w:type="dxa"/>
          </w:tblCellMar>
        </w:tblPrEx>
        <w:trPr>
          <w:jc w:val="center"/>
        </w:trPr>
        <w:tc>
          <w:tcPr>
            <w:tcW w:w="2268" w:type="dxa"/>
          </w:tcPr>
          <w:p w:rsidR="00000000" w:rsidRDefault="00000000">
            <w:pPr>
              <w:tabs>
                <w:tab w:val="clear" w:pos="567"/>
                <w:tab w:val="clear" w:pos="1701"/>
                <w:tab w:val="clear" w:pos="2268"/>
                <w:tab w:val="clear" w:pos="6237"/>
                <w:tab w:val="left" w:pos="680"/>
                <w:tab w:val="left" w:pos="1134"/>
              </w:tabs>
              <w:spacing w:before="80" w:after="80" w:line="240" w:lineRule="auto"/>
              <w:rPr>
                <w:sz w:val="23"/>
              </w:rPr>
            </w:pPr>
            <w:r>
              <w:rPr>
                <w:sz w:val="23"/>
              </w:rPr>
              <w:t>16–66 лет</w:t>
            </w:r>
          </w:p>
        </w:tc>
        <w:tc>
          <w:tcPr>
            <w:tcW w:w="2268" w:type="dxa"/>
          </w:tcPr>
          <w:p w:rsidR="00000000" w:rsidRDefault="00000000">
            <w:pPr>
              <w:pStyle w:val="16"/>
              <w:tabs>
                <w:tab w:val="clear" w:pos="567"/>
                <w:tab w:val="clear" w:pos="1701"/>
                <w:tab w:val="clear" w:pos="2268"/>
                <w:tab w:val="clear" w:pos="6237"/>
                <w:tab w:val="left" w:pos="680"/>
                <w:tab w:val="left" w:pos="1134"/>
              </w:tabs>
              <w:spacing w:before="80" w:after="80" w:line="240" w:lineRule="auto"/>
              <w:rPr>
                <w:sz w:val="23"/>
              </w:rPr>
            </w:pPr>
            <w:r>
              <w:rPr>
                <w:sz w:val="23"/>
              </w:rPr>
              <w:t>77,5</w:t>
            </w:r>
          </w:p>
        </w:tc>
        <w:tc>
          <w:tcPr>
            <w:tcW w:w="2268" w:type="dxa"/>
          </w:tcPr>
          <w:p w:rsidR="00000000" w:rsidRDefault="00000000">
            <w:pPr>
              <w:tabs>
                <w:tab w:val="clear" w:pos="567"/>
                <w:tab w:val="clear" w:pos="1701"/>
                <w:tab w:val="clear" w:pos="2268"/>
                <w:tab w:val="clear" w:pos="6237"/>
                <w:tab w:val="left" w:pos="680"/>
                <w:tab w:val="left" w:pos="1134"/>
              </w:tabs>
              <w:spacing w:before="80" w:after="80" w:line="240" w:lineRule="auto"/>
              <w:jc w:val="center"/>
              <w:rPr>
                <w:sz w:val="23"/>
              </w:rPr>
            </w:pPr>
            <w:r>
              <w:rPr>
                <w:sz w:val="23"/>
              </w:rPr>
              <w:t>74,2</w:t>
            </w:r>
          </w:p>
        </w:tc>
      </w:tr>
      <w:tr w:rsidR="00000000">
        <w:tblPrEx>
          <w:tblCellMar>
            <w:top w:w="0" w:type="dxa"/>
            <w:bottom w:w="0" w:type="dxa"/>
          </w:tblCellMar>
        </w:tblPrEx>
        <w:trPr>
          <w:jc w:val="center"/>
        </w:trPr>
        <w:tc>
          <w:tcPr>
            <w:tcW w:w="2268" w:type="dxa"/>
          </w:tcPr>
          <w:p w:rsidR="00000000" w:rsidRDefault="00000000">
            <w:pPr>
              <w:tabs>
                <w:tab w:val="clear" w:pos="567"/>
                <w:tab w:val="clear" w:pos="1701"/>
                <w:tab w:val="clear" w:pos="2268"/>
                <w:tab w:val="clear" w:pos="6237"/>
                <w:tab w:val="left" w:pos="680"/>
                <w:tab w:val="left" w:pos="1134"/>
              </w:tabs>
              <w:spacing w:before="80" w:after="80" w:line="240" w:lineRule="auto"/>
              <w:rPr>
                <w:sz w:val="23"/>
              </w:rPr>
            </w:pPr>
            <w:r>
              <w:rPr>
                <w:sz w:val="23"/>
              </w:rPr>
              <w:t>Мужчины</w:t>
            </w:r>
          </w:p>
        </w:tc>
        <w:tc>
          <w:tcPr>
            <w:tcW w:w="2268" w:type="dxa"/>
          </w:tcPr>
          <w:p w:rsidR="00000000" w:rsidRDefault="00000000">
            <w:pPr>
              <w:tabs>
                <w:tab w:val="clear" w:pos="567"/>
                <w:tab w:val="clear" w:pos="1701"/>
                <w:tab w:val="clear" w:pos="2268"/>
                <w:tab w:val="clear" w:pos="6237"/>
                <w:tab w:val="left" w:pos="680"/>
                <w:tab w:val="left" w:pos="1134"/>
              </w:tabs>
              <w:spacing w:before="80" w:after="80" w:line="240" w:lineRule="auto"/>
              <w:jc w:val="center"/>
              <w:rPr>
                <w:sz w:val="23"/>
              </w:rPr>
            </w:pPr>
            <w:r>
              <w:rPr>
                <w:sz w:val="23"/>
              </w:rPr>
              <w:t>81,4</w:t>
            </w:r>
          </w:p>
        </w:tc>
        <w:tc>
          <w:tcPr>
            <w:tcW w:w="2268" w:type="dxa"/>
          </w:tcPr>
          <w:p w:rsidR="00000000" w:rsidRDefault="00000000">
            <w:pPr>
              <w:tabs>
                <w:tab w:val="clear" w:pos="567"/>
                <w:tab w:val="clear" w:pos="1701"/>
                <w:tab w:val="clear" w:pos="2268"/>
                <w:tab w:val="clear" w:pos="6237"/>
                <w:tab w:val="left" w:pos="680"/>
                <w:tab w:val="left" w:pos="1134"/>
              </w:tabs>
              <w:spacing w:before="80" w:after="80" w:line="240" w:lineRule="auto"/>
              <w:jc w:val="center"/>
              <w:rPr>
                <w:sz w:val="23"/>
              </w:rPr>
            </w:pPr>
            <w:r>
              <w:rPr>
                <w:sz w:val="23"/>
              </w:rPr>
              <w:t>78,2</w:t>
            </w:r>
          </w:p>
        </w:tc>
      </w:tr>
      <w:tr w:rsidR="00000000">
        <w:tblPrEx>
          <w:tblCellMar>
            <w:top w:w="0" w:type="dxa"/>
            <w:bottom w:w="0" w:type="dxa"/>
          </w:tblCellMar>
        </w:tblPrEx>
        <w:trPr>
          <w:jc w:val="center"/>
        </w:trPr>
        <w:tc>
          <w:tcPr>
            <w:tcW w:w="2268" w:type="dxa"/>
          </w:tcPr>
          <w:p w:rsidR="00000000" w:rsidRDefault="00000000">
            <w:pPr>
              <w:tabs>
                <w:tab w:val="clear" w:pos="567"/>
                <w:tab w:val="clear" w:pos="1701"/>
                <w:tab w:val="clear" w:pos="2268"/>
                <w:tab w:val="clear" w:pos="6237"/>
                <w:tab w:val="left" w:pos="680"/>
                <w:tab w:val="left" w:pos="1134"/>
              </w:tabs>
              <w:spacing w:before="80" w:after="80" w:line="240" w:lineRule="auto"/>
              <w:rPr>
                <w:sz w:val="23"/>
              </w:rPr>
            </w:pPr>
            <w:r>
              <w:rPr>
                <w:sz w:val="23"/>
              </w:rPr>
              <w:t>Женщины</w:t>
            </w:r>
          </w:p>
        </w:tc>
        <w:tc>
          <w:tcPr>
            <w:tcW w:w="2268" w:type="dxa"/>
          </w:tcPr>
          <w:p w:rsidR="00000000" w:rsidRDefault="00000000">
            <w:pPr>
              <w:tabs>
                <w:tab w:val="clear" w:pos="567"/>
                <w:tab w:val="clear" w:pos="1701"/>
                <w:tab w:val="clear" w:pos="2268"/>
                <w:tab w:val="clear" w:pos="6237"/>
                <w:tab w:val="left" w:pos="680"/>
                <w:tab w:val="left" w:pos="1134"/>
              </w:tabs>
              <w:spacing w:before="80" w:after="80" w:line="240" w:lineRule="auto"/>
              <w:jc w:val="center"/>
              <w:rPr>
                <w:sz w:val="23"/>
              </w:rPr>
            </w:pPr>
            <w:r>
              <w:rPr>
                <w:sz w:val="23"/>
              </w:rPr>
              <w:t>73,6</w:t>
            </w:r>
          </w:p>
        </w:tc>
        <w:tc>
          <w:tcPr>
            <w:tcW w:w="2268" w:type="dxa"/>
          </w:tcPr>
          <w:p w:rsidR="00000000" w:rsidRDefault="00000000">
            <w:pPr>
              <w:tabs>
                <w:tab w:val="clear" w:pos="567"/>
                <w:tab w:val="clear" w:pos="1701"/>
                <w:tab w:val="clear" w:pos="2268"/>
                <w:tab w:val="clear" w:pos="6237"/>
                <w:tab w:val="left" w:pos="680"/>
                <w:tab w:val="left" w:pos="1134"/>
              </w:tabs>
              <w:spacing w:before="80" w:after="80" w:line="240" w:lineRule="auto"/>
              <w:jc w:val="center"/>
              <w:rPr>
                <w:sz w:val="23"/>
              </w:rPr>
            </w:pPr>
            <w:r>
              <w:rPr>
                <w:sz w:val="23"/>
              </w:rPr>
              <w:t>70,2</w:t>
            </w:r>
          </w:p>
        </w:tc>
      </w:tr>
      <w:tr w:rsidR="00000000">
        <w:tblPrEx>
          <w:tblCellMar>
            <w:top w:w="0" w:type="dxa"/>
            <w:bottom w:w="0" w:type="dxa"/>
          </w:tblCellMar>
        </w:tblPrEx>
        <w:trPr>
          <w:jc w:val="center"/>
        </w:trPr>
        <w:tc>
          <w:tcPr>
            <w:tcW w:w="2268" w:type="dxa"/>
          </w:tcPr>
          <w:p w:rsidR="00000000" w:rsidRDefault="00000000">
            <w:pPr>
              <w:tabs>
                <w:tab w:val="clear" w:pos="567"/>
                <w:tab w:val="clear" w:pos="1701"/>
                <w:tab w:val="clear" w:pos="2268"/>
                <w:tab w:val="clear" w:pos="6237"/>
                <w:tab w:val="left" w:pos="680"/>
                <w:tab w:val="left" w:pos="1134"/>
              </w:tabs>
              <w:spacing w:before="80" w:after="80" w:line="240" w:lineRule="auto"/>
              <w:rPr>
                <w:sz w:val="23"/>
              </w:rPr>
            </w:pPr>
            <w:r>
              <w:rPr>
                <w:sz w:val="23"/>
              </w:rPr>
              <w:t>50–59 лет</w:t>
            </w:r>
          </w:p>
        </w:tc>
        <w:tc>
          <w:tcPr>
            <w:tcW w:w="2268" w:type="dxa"/>
          </w:tcPr>
          <w:p w:rsidR="00000000" w:rsidRDefault="00000000">
            <w:pPr>
              <w:tabs>
                <w:tab w:val="clear" w:pos="567"/>
                <w:tab w:val="clear" w:pos="1701"/>
                <w:tab w:val="clear" w:pos="2268"/>
                <w:tab w:val="clear" w:pos="6237"/>
                <w:tab w:val="left" w:pos="680"/>
                <w:tab w:val="left" w:pos="1134"/>
              </w:tabs>
              <w:spacing w:before="80" w:after="80" w:line="240" w:lineRule="auto"/>
              <w:jc w:val="center"/>
              <w:rPr>
                <w:sz w:val="23"/>
              </w:rPr>
            </w:pPr>
            <w:r>
              <w:rPr>
                <w:sz w:val="23"/>
              </w:rPr>
              <w:t>79,7</w:t>
            </w:r>
          </w:p>
        </w:tc>
        <w:tc>
          <w:tcPr>
            <w:tcW w:w="2268" w:type="dxa"/>
          </w:tcPr>
          <w:p w:rsidR="00000000" w:rsidRDefault="00000000">
            <w:pPr>
              <w:tabs>
                <w:tab w:val="clear" w:pos="567"/>
                <w:tab w:val="clear" w:pos="1701"/>
                <w:tab w:val="clear" w:pos="2268"/>
                <w:tab w:val="clear" w:pos="6237"/>
                <w:tab w:val="left" w:pos="680"/>
                <w:tab w:val="left" w:pos="1134"/>
              </w:tabs>
              <w:spacing w:before="80" w:after="80" w:line="240" w:lineRule="auto"/>
              <w:jc w:val="center"/>
              <w:rPr>
                <w:sz w:val="23"/>
              </w:rPr>
            </w:pPr>
            <w:r>
              <w:rPr>
                <w:sz w:val="23"/>
              </w:rPr>
              <w:t>76,1</w:t>
            </w:r>
          </w:p>
        </w:tc>
      </w:tr>
      <w:tr w:rsidR="00000000">
        <w:tblPrEx>
          <w:tblCellMar>
            <w:top w:w="0" w:type="dxa"/>
            <w:bottom w:w="0" w:type="dxa"/>
          </w:tblCellMar>
        </w:tblPrEx>
        <w:trPr>
          <w:jc w:val="center"/>
        </w:trPr>
        <w:tc>
          <w:tcPr>
            <w:tcW w:w="2268" w:type="dxa"/>
          </w:tcPr>
          <w:p w:rsidR="00000000" w:rsidRDefault="00000000">
            <w:pPr>
              <w:tabs>
                <w:tab w:val="clear" w:pos="567"/>
                <w:tab w:val="clear" w:pos="1701"/>
                <w:tab w:val="clear" w:pos="2268"/>
                <w:tab w:val="clear" w:pos="6237"/>
                <w:tab w:val="left" w:pos="680"/>
                <w:tab w:val="left" w:pos="1134"/>
              </w:tabs>
              <w:spacing w:before="80" w:after="80" w:line="240" w:lineRule="auto"/>
              <w:rPr>
                <w:sz w:val="23"/>
              </w:rPr>
            </w:pPr>
            <w:r>
              <w:rPr>
                <w:sz w:val="23"/>
              </w:rPr>
              <w:t>60–66 лет</w:t>
            </w:r>
          </w:p>
        </w:tc>
        <w:tc>
          <w:tcPr>
            <w:tcW w:w="2268" w:type="dxa"/>
          </w:tcPr>
          <w:p w:rsidR="00000000" w:rsidRDefault="00000000">
            <w:pPr>
              <w:tabs>
                <w:tab w:val="clear" w:pos="567"/>
                <w:tab w:val="clear" w:pos="1701"/>
                <w:tab w:val="clear" w:pos="2268"/>
                <w:tab w:val="clear" w:pos="6237"/>
                <w:tab w:val="left" w:pos="680"/>
                <w:tab w:val="left" w:pos="1134"/>
              </w:tabs>
              <w:spacing w:before="80" w:after="80" w:line="240" w:lineRule="auto"/>
              <w:jc w:val="center"/>
              <w:rPr>
                <w:sz w:val="23"/>
              </w:rPr>
            </w:pPr>
            <w:r>
              <w:rPr>
                <w:sz w:val="23"/>
              </w:rPr>
              <w:t>27,8</w:t>
            </w:r>
          </w:p>
        </w:tc>
        <w:tc>
          <w:tcPr>
            <w:tcW w:w="2268" w:type="dxa"/>
          </w:tcPr>
          <w:p w:rsidR="00000000" w:rsidRDefault="00000000">
            <w:pPr>
              <w:tabs>
                <w:tab w:val="clear" w:pos="567"/>
                <w:tab w:val="clear" w:pos="1701"/>
                <w:tab w:val="clear" w:pos="2268"/>
                <w:tab w:val="clear" w:pos="6237"/>
                <w:tab w:val="left" w:pos="680"/>
                <w:tab w:val="left" w:pos="1134"/>
              </w:tabs>
              <w:spacing w:before="80" w:after="80" w:line="240" w:lineRule="auto"/>
              <w:jc w:val="center"/>
              <w:rPr>
                <w:sz w:val="23"/>
              </w:rPr>
            </w:pPr>
            <w:r>
              <w:rPr>
                <w:sz w:val="23"/>
              </w:rPr>
              <w:t>26,6</w:t>
            </w:r>
          </w:p>
        </w:tc>
      </w:tr>
      <w:tr w:rsidR="00000000">
        <w:tblPrEx>
          <w:tblCellMar>
            <w:top w:w="0" w:type="dxa"/>
            <w:bottom w:w="0" w:type="dxa"/>
          </w:tblCellMar>
        </w:tblPrEx>
        <w:trPr>
          <w:jc w:val="center"/>
        </w:trPr>
        <w:tc>
          <w:tcPr>
            <w:tcW w:w="2268" w:type="dxa"/>
          </w:tcPr>
          <w:p w:rsidR="00000000" w:rsidRDefault="00000000">
            <w:pPr>
              <w:tabs>
                <w:tab w:val="clear" w:pos="567"/>
                <w:tab w:val="clear" w:pos="1701"/>
                <w:tab w:val="clear" w:pos="2268"/>
                <w:tab w:val="clear" w:pos="6237"/>
                <w:tab w:val="left" w:pos="680"/>
                <w:tab w:val="left" w:pos="1134"/>
              </w:tabs>
              <w:spacing w:before="80" w:after="80" w:line="240" w:lineRule="auto"/>
              <w:rPr>
                <w:sz w:val="23"/>
              </w:rPr>
            </w:pPr>
            <w:r>
              <w:rPr>
                <w:sz w:val="23"/>
              </w:rPr>
              <w:t>Иммигранты</w:t>
            </w:r>
          </w:p>
        </w:tc>
        <w:tc>
          <w:tcPr>
            <w:tcW w:w="2268" w:type="dxa"/>
          </w:tcPr>
          <w:p w:rsidR="00000000" w:rsidRDefault="00000000">
            <w:pPr>
              <w:tabs>
                <w:tab w:val="clear" w:pos="567"/>
                <w:tab w:val="clear" w:pos="1701"/>
                <w:tab w:val="clear" w:pos="2268"/>
                <w:tab w:val="clear" w:pos="6237"/>
                <w:tab w:val="left" w:pos="680"/>
                <w:tab w:val="left" w:pos="1134"/>
              </w:tabs>
              <w:spacing w:before="80" w:after="80" w:line="240" w:lineRule="auto"/>
              <w:jc w:val="center"/>
              <w:rPr>
                <w:sz w:val="23"/>
              </w:rPr>
            </w:pPr>
            <w:r>
              <w:rPr>
                <w:sz w:val="23"/>
              </w:rPr>
              <w:t>55,6</w:t>
            </w:r>
          </w:p>
        </w:tc>
        <w:tc>
          <w:tcPr>
            <w:tcW w:w="2268" w:type="dxa"/>
          </w:tcPr>
          <w:p w:rsidR="00000000" w:rsidRDefault="00000000">
            <w:pPr>
              <w:tabs>
                <w:tab w:val="clear" w:pos="567"/>
                <w:tab w:val="clear" w:pos="1701"/>
                <w:tab w:val="clear" w:pos="2268"/>
                <w:tab w:val="clear" w:pos="6237"/>
                <w:tab w:val="left" w:pos="680"/>
                <w:tab w:val="left" w:pos="1134"/>
              </w:tabs>
              <w:spacing w:before="80" w:after="80" w:line="240" w:lineRule="auto"/>
              <w:jc w:val="center"/>
              <w:rPr>
                <w:sz w:val="23"/>
              </w:rPr>
            </w:pPr>
            <w:r>
              <w:rPr>
                <w:sz w:val="23"/>
              </w:rPr>
              <w:t>49,3</w:t>
            </w:r>
          </w:p>
        </w:tc>
      </w:tr>
    </w:tbl>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95.</w:t>
      </w:r>
      <w:r>
        <w:rPr>
          <w:sz w:val="23"/>
        </w:rPr>
        <w:tab/>
        <w:t>Коэффициент трудовой активности отражает долю трудоспособного населения. Коэффициент занятости отражает долю занятого населения. Таким образом, разница между коэффициентом трудовой активности и коэффициентом занятости представляет собой долю безработного населения. В возрастной группе 16–66 лет 3,3% являются безработными. Следует отметить, что данный показатель безработицы не совпадает с обычным показателем безработицы, указанным выше (доля безработных от общей численности рабочей силы).</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96.</w:t>
      </w:r>
      <w:r>
        <w:rPr>
          <w:sz w:val="23"/>
        </w:rPr>
        <w:tab/>
        <w:t>Коэффициенты трудовой активности и занятости среди мужчин выше, чем среди женщин. По мере перехода к более старшей возрастной группе коэффициенты уменьшаются.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97.</w:t>
      </w:r>
      <w:r>
        <w:rPr>
          <w:sz w:val="23"/>
        </w:rPr>
        <w:tab/>
        <w:t xml:space="preserve">Что касается иммигрантов, то коэффициенты их трудовой активности и занятости значительно ниже, чем для остального населения. Поэтому принимаются интеграционные меры, направленные на расширение занятости среди иммигрантов.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98.</w:t>
      </w:r>
      <w:r>
        <w:rPr>
          <w:sz w:val="23"/>
        </w:rPr>
        <w:tab/>
        <w:t>Аналогичным образом в Дании отмечается сравнительно высокий коэффициент безработицы среди лиц, которые по своем этническому происхождению не являются уроженцами Дании, и предпринят ряд инициатив с целью поощрения интеграции новых датчан на рынке труда. В этой связи можно сослаться на пятнадцатый периодический доклад Дании Комитету по ликвидации расовой дискриминации (</w:t>
      </w:r>
      <w:r>
        <w:rPr>
          <w:sz w:val="23"/>
          <w:lang w:val="en-US"/>
        </w:rPr>
        <w:t>CERD</w:t>
      </w:r>
      <w:r>
        <w:rPr>
          <w:sz w:val="23"/>
        </w:rPr>
        <w:t>/</w:t>
      </w:r>
      <w:r>
        <w:rPr>
          <w:sz w:val="23"/>
          <w:lang w:val="en-US"/>
        </w:rPr>
        <w:t>C</w:t>
      </w:r>
      <w:r>
        <w:rPr>
          <w:sz w:val="23"/>
        </w:rPr>
        <w:t>/408/</w:t>
      </w:r>
      <w:r>
        <w:rPr>
          <w:sz w:val="23"/>
          <w:lang w:val="en-US"/>
        </w:rPr>
        <w:t>Add</w:t>
      </w:r>
      <w:r>
        <w:rPr>
          <w:sz w:val="23"/>
        </w:rPr>
        <w:t>.1).</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72" w:name="_Toc51496862"/>
      <w:bookmarkStart w:id="73" w:name="_Toc51497029"/>
      <w:bookmarkStart w:id="74" w:name="_Toc51497554"/>
      <w:r>
        <w:t>Пункт 9 b) и с) руководящих принципов: Меры по обеспечению права каждого на производительный труд</w:t>
      </w:r>
      <w:bookmarkEnd w:id="72"/>
      <w:bookmarkEnd w:id="73"/>
      <w:bookmarkEnd w:id="74"/>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99.</w:t>
      </w:r>
      <w:r>
        <w:rPr>
          <w:sz w:val="23"/>
        </w:rPr>
        <w:tab/>
        <w:t>Делается ссылка на третий периодический доклад Комитету по экономическим, социальным и культурным правам (</w:t>
      </w:r>
      <w:r>
        <w:rPr>
          <w:sz w:val="23"/>
          <w:lang w:val="en-US"/>
        </w:rPr>
        <w:t>E</w:t>
      </w:r>
      <w:r>
        <w:rPr>
          <w:sz w:val="23"/>
        </w:rPr>
        <w:t>/1994/104/</w:t>
      </w:r>
      <w:r>
        <w:rPr>
          <w:sz w:val="23"/>
          <w:lang w:val="en-US"/>
        </w:rPr>
        <w:t>Add</w:t>
      </w:r>
      <w:r>
        <w:rPr>
          <w:sz w:val="23"/>
        </w:rPr>
        <w:t>.15).</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75" w:name="_Toc51496863"/>
      <w:bookmarkStart w:id="76" w:name="_Toc51497030"/>
      <w:bookmarkStart w:id="77" w:name="_Toc51497555"/>
      <w:r>
        <w:t>Пункт 9 d) руководящих принципов: Свобода выбора работы</w:t>
      </w:r>
      <w:bookmarkEnd w:id="75"/>
      <w:bookmarkEnd w:id="76"/>
      <w:bookmarkEnd w:id="77"/>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100.</w:t>
      </w:r>
      <w:r>
        <w:rPr>
          <w:sz w:val="23"/>
        </w:rPr>
        <w:tab/>
        <w:t>В Дании отсутствует какая-либо дискриминация в отношении права на свободный выбор работы. Условия труда не ущемляют основополагающие политические и экономические свободы личности. Более того, целью проводимой кадровой политики является предоставление каждому человеку образования, а также надлежащей работы и защиты от дискриминации в соответствии с положениями Конвенции МОТ № 111 о дискриминации в области труда и занятий.</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78" w:name="_Toc51496864"/>
      <w:bookmarkStart w:id="79" w:name="_Toc51497031"/>
      <w:bookmarkStart w:id="80" w:name="_Toc51497556"/>
      <w:r>
        <w:t>Пункт 9 е) руководящих принципов: Программы профессионально-технической подготовки</w:t>
      </w:r>
      <w:bookmarkEnd w:id="78"/>
      <w:bookmarkEnd w:id="79"/>
      <w:bookmarkEnd w:id="80"/>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101.</w:t>
      </w:r>
      <w:r>
        <w:rPr>
          <w:sz w:val="23"/>
        </w:rPr>
        <w:tab/>
        <w:t xml:space="preserve">В мае 2000 года датский парламент (фолькетинг) принял ряд законодательных актов, предусматривающих увязку программ непрерывной подготовки и дальнейшего образования в рамках единой, последовательной и транспарентной системы образования взрослых.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102.</w:t>
      </w:r>
      <w:r>
        <w:rPr>
          <w:sz w:val="23"/>
        </w:rPr>
        <w:tab/>
        <w:t xml:space="preserve">Реформа сферы образования взрослых преследует три основные цели. Во-первых, она направлена на обеспечение соответствующего образования взрослых и предусматривает возможности непрерывной подготовки каждого взрослого человека на всех уровнях образования, начиная с низкоквалифицированных рабочих и заканчивая выпускниками университетов. Мероприятия в области образования/подготовки призваны формировать систему закрепления компетенции, предполагающую официальное признание знаний и квалификации каждого взрослого человека независимо от того, приобретаются ли они на рабочем месте или в результате прохождения формальных программ образования/подготовки. Во-вторых, реформа направлена на расширение возможностей лиц, имеющих самый низкий уровень образования. Важное место в усилиях с целью улучшения возможностей образования/подготовки малоквалифицированных групп занимают учебные курсы для взрослых по таким общим предметам, как чтение, правописание и математика, а также непрерывная профессиональная подготовка. То же самое относится к новым возможностям накопления трудового опыта и участия в непрерывной подготовке в рамках программы обучения, подразумевающей официальное признание профессиональной компетентности задействованных лиц. И наконец, реформа направлена на совершенствование использования ресурсов. В 1998 году датское государство ассигновало 12,8 млрд. датских крон на непрерывную подготовку и повышение квалификации. Реформа сферы образования взрослых позволит осваивать дефицитные ресурсы в интересах образования взрослых на более эффективной с точки зрения затрат основе.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103.</w:t>
      </w:r>
      <w:r>
        <w:rPr>
          <w:sz w:val="23"/>
        </w:rPr>
        <w:tab/>
        <w:t>Программы обучения, осуществляемые в системе образования взрослых, характеризуются тем, что они организуются для трудящихся взрослых граждан, предполагают учет характера их работы и накопленного ими опыта и осуществляются на гибкой основе.</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104.</w:t>
      </w:r>
      <w:r>
        <w:rPr>
          <w:sz w:val="23"/>
        </w:rPr>
        <w:tab/>
        <w:t>Применительно к системе профессиональной подготовки следует отметить нижеследующее. Программы профессиональной подготовки представляют собой инструменты политики, проводимой на рынке рабочей силы под эгидой министерства труда, и являются неотъемлемым элементом общих усилий в области производственного обучения и непрерывной подготовки взрослого населения, направленных на повышение образовательного уровня этой части населения.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105.</w:t>
      </w:r>
      <w:r>
        <w:rPr>
          <w:sz w:val="23"/>
        </w:rPr>
        <w:tab/>
        <w:t xml:space="preserve">Цель этих программ заключается в обеспечении соответствующего обучения/подготовки для усвоения признанных навыков, в первую очередь малоквалифицированными работниками, в увязке с требованиями конкретной трудовой деятельности. Система профессиональной подготовки ориентирована на повышение квалификации рабочей силы при постоянном учете потребностей рынка труда.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106.</w:t>
      </w:r>
      <w:r>
        <w:rPr>
          <w:sz w:val="23"/>
        </w:rPr>
        <w:tab/>
        <w:t>Под сферу действия системы профессиональной подготовки подпадают главным образом неквалифицированные рабочие, однако ею также охватываются квалифицированные работники. Она распространяется на безработных и работающих, в качестве которых выступают лица наемного труда в частном и государственном секторах и самостоятельно занятое население. Эти группы имеют доступ к образованию/подготовке, и с учетом их потребностей разрабатываются соответствующие программы; основной упор делается на потребностях трудящегося населения. За финансирование программ образования/подготовки безработных отвечают местные государственные органы (Государственная служба занятости), которые стремятся к достижению соответствия между выбираемым профилем образования/подготовки и возможностями получения работы.</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107.</w:t>
      </w:r>
      <w:r>
        <w:rPr>
          <w:sz w:val="23"/>
        </w:rPr>
        <w:tab/>
        <w:t xml:space="preserve">Содержание программ разрабатывается органами, в состав которых входят представители социальных партнеров, с учетом конкретных секторов и профессий и утверждается на центральном уровне. Программы осуществляются в разбивке по учебным модулям, предполагающим постепенное повышение компетентности вплоть до определенного уровня профессионального образования, при этом цель каждой отдельной программы устанавливается в зависимости от требований конкретной работы на рынке труда. В настоящее время насчитывается примерно 2000 программ профессиональной подготовки.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108.</w:t>
      </w:r>
      <w:r>
        <w:rPr>
          <w:sz w:val="23"/>
        </w:rPr>
        <w:tab/>
        <w:t>Программы осуществляются 15 независимыми центрами профессиональной подготовки, в профессионально-технических училищах, находящихся в ведении министерства образования, в полугосударственных учреждениях и частными организациями.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109.</w:t>
      </w:r>
      <w:r>
        <w:rPr>
          <w:sz w:val="23"/>
        </w:rPr>
        <w:tab/>
        <w:t>Социальные партнеры выполняют в данной области консультативные функции по вопросам, касающимся правил, потребностей в области развития, конкретного содержания программ и финансирования. В некоторых случаях социальные партнеры могут рекомендовать неполное субсидирование программ, с тем чтобы в их финансировании также участвовали предприятия. Это касается главным образом тех областей деятельности, в которых предприятия, как предполагается, будут проводить подготовку своего персонала даже при отсутствии государственного финансирования.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110.</w:t>
      </w:r>
      <w:r>
        <w:rPr>
          <w:sz w:val="23"/>
        </w:rPr>
        <w:tab/>
        <w:t xml:space="preserve">В связи с прохождением программ выплачивается дотация, которая устанавливается с учетом политики, проводимой на рынке труда, а также политики в сфере профильного производственного образования взрослых и непрерывной профессиональной подготовки лиц, обладающих некоторой квалификацией или же вообще не имеющих никакого образования. Дотация на образование соответствует максимальной ставке пособий по безработице и может выплачиваться в порядке возмещения расходов работодателям, которые целиком выплачивают заработную плату своим работникам в период их обучения/профессиональной подготовки. Молодым людям в возрасте до 25 лет эта дотация может выплачиваться в течение лишь ограниченного периода времени с целью предотвращения того, чтобы по причине прохождения непрерывной профессионально-технической подготовки, обеспечивающей удовлетворительное материальное положение, они не отказывались от получения базового образования.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81" w:name="_Toc51496865"/>
      <w:bookmarkStart w:id="82" w:name="_Toc51497032"/>
      <w:bookmarkStart w:id="83" w:name="_Toc51497557"/>
      <w:r>
        <w:t xml:space="preserve">Пункт 9 </w:t>
      </w:r>
      <w:r>
        <w:rPr>
          <w:lang w:val="en-US"/>
        </w:rPr>
        <w:t>f</w:t>
      </w:r>
      <w:r>
        <w:t>) руководящих принципов: Возникающие трудности</w:t>
      </w:r>
      <w:bookmarkEnd w:id="81"/>
      <w:bookmarkEnd w:id="82"/>
      <w:bookmarkEnd w:id="83"/>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111.</w:t>
      </w:r>
      <w:r>
        <w:rPr>
          <w:sz w:val="23"/>
        </w:rPr>
        <w:tab/>
        <w:t>Делается ссылка на третий периодический доклад правительства Дании Комитету по экономическим, социальным и культурным правам (Е/1994/104/</w:t>
      </w:r>
      <w:r>
        <w:rPr>
          <w:sz w:val="23"/>
          <w:lang w:val="en-US"/>
        </w:rPr>
        <w:t>Add</w:t>
      </w:r>
      <w:r>
        <w:rPr>
          <w:sz w:val="23"/>
        </w:rPr>
        <w:t>.15).</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84" w:name="_Toc51496866"/>
      <w:bookmarkStart w:id="85" w:name="_Toc51497033"/>
      <w:bookmarkStart w:id="86" w:name="_Toc51497558"/>
      <w:r>
        <w:t>Пункт 10 а) руководящих принципов: Различия, исключения, ограничения или привилегии в отношении каких-либо лиц или групп лиц</w:t>
      </w:r>
      <w:bookmarkEnd w:id="84"/>
      <w:bookmarkEnd w:id="85"/>
      <w:bookmarkEnd w:id="86"/>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112.</w:t>
      </w:r>
      <w:r>
        <w:rPr>
          <w:sz w:val="23"/>
        </w:rPr>
        <w:tab/>
        <w:t>Основным законом является Закон о запрещении дискриминации на рынке труда и т. д. №</w:t>
      </w:r>
      <w:r>
        <w:rPr>
          <w:sz w:val="23"/>
          <w:lang w:val="en-US"/>
        </w:rPr>
        <w:t> </w:t>
      </w:r>
      <w:r>
        <w:rPr>
          <w:sz w:val="23"/>
        </w:rPr>
        <w:t>459 от 12 июня 1996 года, который направлен на осуществление Конвенции о дискриминации в области труда и занятий (Конвенция МОТ № 111) и Международной конвенции о ликвидации всех форм расовой дискриминации. Закон охватывает критерии, упомянутые в этих двух конвенциях, т. е. дискриминацию по признаку расы, цвета кожи, религии, политических убеждений, национального, социального или этнического происхождения.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113.</w:t>
      </w:r>
      <w:r>
        <w:rPr>
          <w:sz w:val="23"/>
        </w:rPr>
        <w:tab/>
        <w:t xml:space="preserve">Закон также налагает запрет на дискриминацию вследствие сексуальной ориентации. Включение указанного критерия объясняется тем, что в ряде областей датского законодательства предусматривается защита от дискриминации по этому признаку со стороны частных и государственных структур.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114.</w:t>
      </w:r>
      <w:r>
        <w:rPr>
          <w:sz w:val="23"/>
        </w:rPr>
        <w:tab/>
        <w:t>Закон запрещает как прямую, так и косвенную дискриминацию. Запрещение дискриминации распространяется на всех работодателей частного и государственного секторов, любых лиц, занимающихся консультированием и деятельностью в области образования/подготовки, и любых лиц, ведающих кадровыми вопросами в связи с приемом на работу, увольнением, переводом, продвижением по службе или определением размеров заработной платы и условий труда. Запрет охватывает все этапы трудовых отношений.</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115.</w:t>
      </w:r>
      <w:r>
        <w:rPr>
          <w:sz w:val="23"/>
        </w:rPr>
        <w:tab/>
        <w:t>Закон не препятствует принятию иных законодательных актов или государственных мер с целью расширения возможностей занятости лиц той или иной расы, цвета кожи, религии и т. д.</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116.</w:t>
      </w:r>
      <w:r>
        <w:rPr>
          <w:sz w:val="23"/>
        </w:rPr>
        <w:tab/>
        <w:t>Осуществление директив по статье 13 о соблюдении принципа равного обращения со всеми людьми независимо от расового или этнического происхождения, Директивы Совета 2000/43/ЕС от 29 июня 2000 года и Директивы Совета 2000/78/ЕС от 27 ноября 2000 года, устанавливающей общие рамочные положения для обеспечения равного обращения в области труда и занятий, приведет к внесению поправок в Закон о запрещении дискриминации на рынке труда.</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117.</w:t>
      </w:r>
      <w:r>
        <w:rPr>
          <w:sz w:val="23"/>
        </w:rPr>
        <w:tab/>
        <w:t>Можно дополнительно сослаться на пятнадцатый доклад Дании в отношении осуществления Международной конвенции о ликвидации всех форм расовой дискриминации (</w:t>
      </w:r>
      <w:r>
        <w:rPr>
          <w:sz w:val="23"/>
          <w:lang w:val="en-US"/>
        </w:rPr>
        <w:t>CERD</w:t>
      </w:r>
      <w:r>
        <w:rPr>
          <w:sz w:val="23"/>
        </w:rPr>
        <w:t>/</w:t>
      </w:r>
      <w:r>
        <w:rPr>
          <w:sz w:val="23"/>
          <w:lang w:val="en-US"/>
        </w:rPr>
        <w:t>C</w:t>
      </w:r>
      <w:r>
        <w:rPr>
          <w:sz w:val="23"/>
        </w:rPr>
        <w:t>/408/</w:t>
      </w:r>
      <w:r>
        <w:rPr>
          <w:sz w:val="23"/>
          <w:lang w:val="en-US"/>
        </w:rPr>
        <w:t>Add</w:t>
      </w:r>
      <w:r>
        <w:rPr>
          <w:sz w:val="23"/>
        </w:rPr>
        <w:t xml:space="preserve">.1).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87" w:name="_Toc51496867"/>
      <w:bookmarkStart w:id="88" w:name="_Toc51497034"/>
      <w:bookmarkStart w:id="89" w:name="_Toc51497559"/>
      <w:r>
        <w:t xml:space="preserve">Пункт 10 </w:t>
      </w:r>
      <w:r>
        <w:rPr>
          <w:lang w:val="en-US"/>
        </w:rPr>
        <w:t>b</w:t>
      </w:r>
      <w:r>
        <w:t xml:space="preserve">) руководящих принципов: Положение в области профессиональной </w:t>
      </w:r>
      <w:r>
        <w:br/>
        <w:t>ориентации и т. д.</w:t>
      </w:r>
      <w:bookmarkEnd w:id="87"/>
      <w:bookmarkEnd w:id="88"/>
      <w:bookmarkEnd w:id="89"/>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118.</w:t>
      </w:r>
      <w:r>
        <w:rPr>
          <w:sz w:val="23"/>
        </w:rPr>
        <w:tab/>
        <w:t>Делается ссылка на третий периодический доклад правительства Дании Комитету по экономическим, социальным и культурным правам (Е/1994/104/</w:t>
      </w:r>
      <w:r>
        <w:rPr>
          <w:sz w:val="23"/>
          <w:lang w:val="en-US"/>
        </w:rPr>
        <w:t>Add</w:t>
      </w:r>
      <w:r>
        <w:rPr>
          <w:sz w:val="23"/>
        </w:rPr>
        <w:t>.15).</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90" w:name="_Toc51496868"/>
      <w:bookmarkStart w:id="91" w:name="_Toc51497035"/>
      <w:bookmarkStart w:id="92" w:name="_Toc51497560"/>
      <w:r>
        <w:t>Пункт 10 с) руководящих принципов: Наличие различий, не считающееся дискриминацией</w:t>
      </w:r>
      <w:bookmarkEnd w:id="90"/>
      <w:bookmarkEnd w:id="91"/>
      <w:bookmarkEnd w:id="92"/>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119.</w:t>
      </w:r>
      <w:r>
        <w:rPr>
          <w:sz w:val="23"/>
        </w:rPr>
        <w:tab/>
        <w:t>В статье 6 Закона о запрещении дискриминации на рынке труда перечисляются предварительные условия, допускающие изъятие. Разрешается принятие специальных мер, которые установлены законом или со ссылкой на закон. Эта статья также предусматривает возможность осуществления государственных проектов, направленных на обеспечение равенства.</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120.</w:t>
      </w:r>
      <w:r>
        <w:rPr>
          <w:sz w:val="23"/>
        </w:rPr>
        <w:tab/>
        <w:t>Кроме того, из сферы действия Закона о запрещении дискриминации на рынке труда могут исключаться работодатели, мотивирующие свои кадровые решения тем, что крайне важное значение для выполнения соответствующей деятельности имеет конкретное этническое происхождение работника. Таким конкретным изъятием пользуется Центр документации и консультирования по вопросам расовой дискриминации.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93" w:name="_Toc51496869"/>
      <w:bookmarkStart w:id="94" w:name="_Toc51497036"/>
      <w:bookmarkStart w:id="95" w:name="_Toc51497561"/>
      <w:r>
        <w:t>Пункт 11 руководящих принципов: Доля лиц, работающих в двух или более местах по принципу полной занятости</w:t>
      </w:r>
      <w:bookmarkEnd w:id="93"/>
      <w:bookmarkEnd w:id="94"/>
      <w:bookmarkEnd w:id="95"/>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121.</w:t>
      </w:r>
      <w:r>
        <w:rPr>
          <w:sz w:val="23"/>
        </w:rPr>
        <w:tab/>
        <w:t>Чисто статистически нельзя ответить на вопрос о том, какая часть трудящихся имеет более чем одну работу с целью "обеспечить соответствующий уровень жизни для себя и своих семей". Положение в данной области можно приблизительно охарактеризовать с помощью статистических данных из "Отчета об использовании рабочей силы" ("</w:t>
      </w:r>
      <w:r>
        <w:rPr>
          <w:sz w:val="23"/>
          <w:lang w:val="en-US"/>
        </w:rPr>
        <w:t>Working</w:t>
      </w:r>
      <w:r>
        <w:rPr>
          <w:sz w:val="23"/>
        </w:rPr>
        <w:t xml:space="preserve"> </w:t>
      </w:r>
      <w:r>
        <w:rPr>
          <w:sz w:val="23"/>
          <w:lang w:val="en-US"/>
        </w:rPr>
        <w:t>hour</w:t>
      </w:r>
      <w:r>
        <w:rPr>
          <w:sz w:val="23"/>
        </w:rPr>
        <w:t xml:space="preserve"> </w:t>
      </w:r>
      <w:r>
        <w:rPr>
          <w:sz w:val="23"/>
          <w:lang w:val="en-US"/>
        </w:rPr>
        <w:t>statement</w:t>
      </w:r>
      <w:r>
        <w:rPr>
          <w:sz w:val="23"/>
        </w:rPr>
        <w:t>"), подготовленного Статистическим управлением Дании.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br w:type="page"/>
        <w:t>Таблица 4</w:t>
      </w: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t>Количество рабочих мест и численность занятых в 1995 и 2000 годах</w:t>
      </w:r>
    </w:p>
    <w:p w:rsidR="00000000" w:rsidRDefault="00000000">
      <w:pPr>
        <w:tabs>
          <w:tab w:val="clear" w:pos="567"/>
          <w:tab w:val="clear" w:pos="1701"/>
          <w:tab w:val="clear" w:pos="2268"/>
          <w:tab w:val="clear" w:pos="6237"/>
          <w:tab w:val="left" w:pos="680"/>
          <w:tab w:val="left" w:pos="1134"/>
        </w:tabs>
        <w:spacing w:line="240" w:lineRule="auto"/>
        <w:rPr>
          <w:b/>
          <w:bCs/>
          <w:sz w:val="23"/>
        </w:rPr>
      </w:pPr>
    </w:p>
    <w:tbl>
      <w:tblPr>
        <w:tblW w:w="964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000" w:firstRow="0" w:lastRow="0" w:firstColumn="0" w:lastColumn="0" w:noHBand="0" w:noVBand="0"/>
      </w:tblPr>
      <w:tblGrid>
        <w:gridCol w:w="5670"/>
        <w:gridCol w:w="1985"/>
        <w:gridCol w:w="1985"/>
      </w:tblGrid>
      <w:tr w:rsidR="00000000">
        <w:tblPrEx>
          <w:tblCellMar>
            <w:top w:w="0" w:type="dxa"/>
            <w:bottom w:w="0" w:type="dxa"/>
          </w:tblCellMar>
        </w:tblPrEx>
        <w:tc>
          <w:tcPr>
            <w:tcW w:w="5670" w:type="dxa"/>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p>
        </w:tc>
        <w:tc>
          <w:tcPr>
            <w:tcW w:w="1985"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1995 год</w:t>
            </w:r>
          </w:p>
        </w:tc>
        <w:tc>
          <w:tcPr>
            <w:tcW w:w="1985"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2000 год</w:t>
            </w:r>
          </w:p>
        </w:tc>
      </w:tr>
      <w:tr w:rsidR="00000000">
        <w:tblPrEx>
          <w:tblCellMar>
            <w:top w:w="0" w:type="dxa"/>
            <w:bottom w:w="0" w:type="dxa"/>
          </w:tblCellMar>
        </w:tblPrEx>
        <w:tc>
          <w:tcPr>
            <w:tcW w:w="5670" w:type="dxa"/>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Количество рабочих мест</w:t>
            </w:r>
          </w:p>
        </w:tc>
        <w:tc>
          <w:tcPr>
            <w:tcW w:w="1985"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2 912 194</w:t>
            </w:r>
          </w:p>
        </w:tc>
        <w:tc>
          <w:tcPr>
            <w:tcW w:w="1985"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3 091 261</w:t>
            </w:r>
          </w:p>
        </w:tc>
      </w:tr>
      <w:tr w:rsidR="00000000">
        <w:tblPrEx>
          <w:tblCellMar>
            <w:top w:w="0" w:type="dxa"/>
            <w:bottom w:w="0" w:type="dxa"/>
          </w:tblCellMar>
        </w:tblPrEx>
        <w:tc>
          <w:tcPr>
            <w:tcW w:w="5670" w:type="dxa"/>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Численность занятых</w:t>
            </w:r>
          </w:p>
        </w:tc>
        <w:tc>
          <w:tcPr>
            <w:tcW w:w="1985"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2 611 119</w:t>
            </w:r>
          </w:p>
        </w:tc>
        <w:tc>
          <w:tcPr>
            <w:tcW w:w="1985"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2 748 950</w:t>
            </w:r>
          </w:p>
        </w:tc>
      </w:tr>
      <w:tr w:rsidR="00000000">
        <w:tblPrEx>
          <w:tblCellMar>
            <w:top w:w="0" w:type="dxa"/>
            <w:bottom w:w="0" w:type="dxa"/>
          </w:tblCellMar>
        </w:tblPrEx>
        <w:tc>
          <w:tcPr>
            <w:tcW w:w="5670" w:type="dxa"/>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Количество рабочих мест в расчете на одного занятого</w:t>
            </w:r>
          </w:p>
        </w:tc>
        <w:tc>
          <w:tcPr>
            <w:tcW w:w="1985"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1,12</w:t>
            </w:r>
          </w:p>
        </w:tc>
        <w:tc>
          <w:tcPr>
            <w:tcW w:w="1985"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1,12</w:t>
            </w:r>
          </w:p>
        </w:tc>
      </w:tr>
      <w:tr w:rsidR="00000000">
        <w:tblPrEx>
          <w:tblCellMar>
            <w:top w:w="0" w:type="dxa"/>
            <w:bottom w:w="0" w:type="dxa"/>
          </w:tblCellMar>
        </w:tblPrEx>
        <w:tc>
          <w:tcPr>
            <w:tcW w:w="5670" w:type="dxa"/>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Численность трудящихся, работающих по совместительству в двух или более местах</w:t>
            </w:r>
          </w:p>
        </w:tc>
        <w:tc>
          <w:tcPr>
            <w:tcW w:w="1985"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lang w:val="en-US"/>
              </w:rPr>
            </w:pPr>
            <w:r>
              <w:rPr>
                <w:sz w:val="23"/>
              </w:rPr>
              <w:t>приблизительно</w:t>
            </w:r>
            <w:r>
              <w:rPr>
                <w:sz w:val="23"/>
                <w:lang w:val="en-US"/>
              </w:rPr>
              <w:br/>
              <w:t>300 000</w:t>
            </w:r>
          </w:p>
        </w:tc>
        <w:tc>
          <w:tcPr>
            <w:tcW w:w="1985"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lang w:val="en-US"/>
              </w:rPr>
            </w:pPr>
            <w:r>
              <w:rPr>
                <w:sz w:val="23"/>
              </w:rPr>
              <w:t>приблизительно</w:t>
            </w:r>
            <w:r>
              <w:rPr>
                <w:sz w:val="23"/>
                <w:lang w:val="en-US"/>
              </w:rPr>
              <w:br/>
              <w:t>342 000</w:t>
            </w:r>
          </w:p>
        </w:tc>
      </w:tr>
    </w:tbl>
    <w:p w:rsidR="00000000" w:rsidRDefault="00000000">
      <w:pPr>
        <w:tabs>
          <w:tab w:val="clear" w:pos="567"/>
          <w:tab w:val="clear" w:pos="1701"/>
          <w:tab w:val="clear" w:pos="2268"/>
          <w:tab w:val="clear" w:pos="6237"/>
          <w:tab w:val="left" w:pos="680"/>
          <w:tab w:val="left" w:pos="1134"/>
        </w:tabs>
        <w:spacing w:before="120" w:line="240" w:lineRule="auto"/>
        <w:rPr>
          <w:sz w:val="23"/>
          <w:lang w:val="en-US"/>
        </w:rPr>
      </w:pPr>
      <w:r>
        <w:rPr>
          <w:sz w:val="23"/>
          <w:u w:val="single"/>
        </w:rPr>
        <w:t>Источник</w:t>
      </w:r>
      <w:r>
        <w:rPr>
          <w:sz w:val="23"/>
          <w:lang w:val="en-US"/>
        </w:rPr>
        <w:t>: "Working hour statement", 4Q 2000, Labour Market 2001:15, 29 March 2000</w:t>
      </w:r>
    </w:p>
    <w:p w:rsidR="00000000" w:rsidRDefault="00000000">
      <w:pPr>
        <w:tabs>
          <w:tab w:val="clear" w:pos="567"/>
          <w:tab w:val="clear" w:pos="1701"/>
          <w:tab w:val="clear" w:pos="2268"/>
          <w:tab w:val="clear" w:pos="6237"/>
          <w:tab w:val="left" w:pos="680"/>
          <w:tab w:val="left" w:pos="1134"/>
        </w:tabs>
        <w:spacing w:line="240" w:lineRule="auto"/>
        <w:rPr>
          <w:sz w:val="23"/>
          <w:lang w:val="en-US"/>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122.</w:t>
      </w:r>
      <w:r>
        <w:rPr>
          <w:sz w:val="23"/>
        </w:rPr>
        <w:tab/>
        <w:t>С поправкой на неопределенности, связанные с приводимыми данными, осторожная оценка предполагает, что 10–12% занятых имеют более чем одну обычную работу и что в период между 1995 годом и 2000 годом в этой области не произошло никаких значительных сдвигов.</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96" w:name="_Toc51496870"/>
      <w:bookmarkStart w:id="97" w:name="_Toc51497037"/>
      <w:bookmarkStart w:id="98" w:name="_Toc51497562"/>
      <w:r>
        <w:t>Пункт 12 руководящих принципов: Изменения с момента представления предыдущего доклада</w:t>
      </w:r>
      <w:bookmarkEnd w:id="96"/>
      <w:bookmarkEnd w:id="97"/>
      <w:bookmarkEnd w:id="98"/>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123.</w:t>
      </w:r>
      <w:r>
        <w:rPr>
          <w:sz w:val="23"/>
        </w:rPr>
        <w:tab/>
        <w:t>Делается ссылка на информацию, представленную в ответе по пункту 10 а) руководящих принципов, касающемуся различий, исключений, ограничений или привилегий в отношении каких-либо лиц или групп лиц (пункты 112–117).</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124.</w:t>
      </w:r>
      <w:r>
        <w:rPr>
          <w:sz w:val="23"/>
        </w:rPr>
        <w:tab/>
        <w:t xml:space="preserve">Кроме того, следует отметить, что датские суды рассматривали четыре дела о дискриминации по этническим признакам на рынке труда. Одно дело было связано с тем, что девушки, проходившие стажировку в универсальном магазине, в соответствии со своими религиозными обычаями покрывали головы платками (дополнительную информацию по данному делу см. в пункте 50, выше). В результате рассмотрения этого дела было принято решение о том, что увольнение стажерки из-за того, что она носила платок, как того требует ее религия, является косвенной дискриминацией.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125.</w:t>
      </w:r>
      <w:r>
        <w:rPr>
          <w:sz w:val="23"/>
        </w:rPr>
        <w:tab/>
        <w:t>В Копенгагене было проведено разбирательство по делу, в результате которого один торгово-развлекательный центр согласился выплатить штраф в размере 3000 датских крон за то, что в Интернете было помещено объявление о том, что требуется лицо датской национальности для заполнения вакантной должности помощника по обслуживанию.</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126.</w:t>
      </w:r>
      <w:r>
        <w:rPr>
          <w:sz w:val="23"/>
        </w:rPr>
        <w:tab/>
        <w:t>Делается ссылка на пятнадцатый периодический доклад правительства Дании об осуществлении Международной конвенции о ликвидации всех форм расовой дискриминации (</w:t>
      </w:r>
      <w:r>
        <w:rPr>
          <w:sz w:val="23"/>
          <w:lang w:val="en-US"/>
        </w:rPr>
        <w:t>CERD</w:t>
      </w:r>
      <w:r>
        <w:rPr>
          <w:sz w:val="23"/>
        </w:rPr>
        <w:t>/</w:t>
      </w:r>
      <w:r>
        <w:rPr>
          <w:sz w:val="23"/>
          <w:lang w:val="en-US"/>
        </w:rPr>
        <w:t>C</w:t>
      </w:r>
      <w:r>
        <w:rPr>
          <w:sz w:val="23"/>
        </w:rPr>
        <w:t>/408/</w:t>
      </w:r>
      <w:r>
        <w:rPr>
          <w:sz w:val="23"/>
          <w:lang w:val="en-US"/>
        </w:rPr>
        <w:t>Add</w:t>
      </w:r>
      <w:r>
        <w:rPr>
          <w:sz w:val="23"/>
        </w:rPr>
        <w:t>.1).</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99" w:name="_Toc51496871"/>
      <w:bookmarkStart w:id="100" w:name="_Toc51497038"/>
      <w:bookmarkStart w:id="101" w:name="_Toc51497563"/>
      <w:r>
        <w:t>Пункт 13 руководящих принципов: Роль международной помощи</w:t>
      </w:r>
      <w:bookmarkEnd w:id="99"/>
      <w:bookmarkEnd w:id="100"/>
      <w:bookmarkEnd w:id="101"/>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127.</w:t>
      </w:r>
      <w:r>
        <w:rPr>
          <w:sz w:val="23"/>
        </w:rPr>
        <w:tab/>
        <w:t xml:space="preserve">Дания не получает международную помощь.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
        <w:spacing w:line="235" w:lineRule="auto"/>
      </w:pPr>
      <w:r>
        <w:br w:type="page"/>
      </w:r>
      <w:bookmarkStart w:id="102" w:name="_Toc51496872"/>
      <w:bookmarkStart w:id="103" w:name="_Toc51497039"/>
      <w:bookmarkStart w:id="104" w:name="_Toc51497564"/>
      <w:r>
        <w:t>Статья 7</w:t>
      </w:r>
      <w:bookmarkEnd w:id="102"/>
      <w:bookmarkEnd w:id="103"/>
      <w:bookmarkEnd w:id="104"/>
    </w:p>
    <w:p w:rsidR="00000000" w:rsidRDefault="00000000">
      <w:pPr>
        <w:pStyle w:val="a"/>
        <w:spacing w:line="235" w:lineRule="auto"/>
      </w:pPr>
    </w:p>
    <w:p w:rsidR="00000000" w:rsidRDefault="00000000">
      <w:pPr>
        <w:pStyle w:val="a"/>
        <w:spacing w:line="235" w:lineRule="auto"/>
      </w:pPr>
      <w:bookmarkStart w:id="105" w:name="_Toc51496873"/>
      <w:bookmarkStart w:id="106" w:name="_Toc51497040"/>
      <w:bookmarkStart w:id="107" w:name="_Toc51497565"/>
      <w:r>
        <w:t>Справедливые и благоприятные условия труда</w:t>
      </w:r>
      <w:bookmarkEnd w:id="105"/>
      <w:bookmarkEnd w:id="106"/>
      <w:bookmarkEnd w:id="107"/>
    </w:p>
    <w:p w:rsidR="00000000" w:rsidRDefault="00000000">
      <w:pPr>
        <w:tabs>
          <w:tab w:val="clear" w:pos="567"/>
          <w:tab w:val="clear" w:pos="1701"/>
          <w:tab w:val="clear" w:pos="2268"/>
          <w:tab w:val="clear" w:pos="6237"/>
          <w:tab w:val="left" w:pos="680"/>
          <w:tab w:val="left" w:pos="1134"/>
        </w:tabs>
        <w:spacing w:line="235" w:lineRule="auto"/>
        <w:jc w:val="center"/>
        <w:rPr>
          <w:b/>
          <w:bCs/>
          <w:sz w:val="23"/>
        </w:rPr>
      </w:pPr>
    </w:p>
    <w:p w:rsidR="00000000" w:rsidRDefault="00000000">
      <w:pPr>
        <w:pStyle w:val="a0"/>
        <w:spacing w:line="235" w:lineRule="auto"/>
      </w:pPr>
      <w:bookmarkStart w:id="108" w:name="_Toc51496874"/>
      <w:bookmarkStart w:id="109" w:name="_Toc51497041"/>
      <w:bookmarkStart w:id="110" w:name="_Toc51497566"/>
      <w:r>
        <w:t>Пункт 14 руководящих принципов: Ссылки на предыдущий доклад</w:t>
      </w:r>
      <w:bookmarkEnd w:id="108"/>
      <w:bookmarkEnd w:id="109"/>
      <w:bookmarkEnd w:id="110"/>
    </w:p>
    <w:p w:rsidR="00000000" w:rsidRDefault="00000000">
      <w:pPr>
        <w:tabs>
          <w:tab w:val="clear" w:pos="567"/>
          <w:tab w:val="clear" w:pos="1701"/>
          <w:tab w:val="clear" w:pos="2268"/>
          <w:tab w:val="clear" w:pos="6237"/>
          <w:tab w:val="left" w:pos="680"/>
          <w:tab w:val="left" w:pos="1134"/>
        </w:tabs>
        <w:spacing w:line="235" w:lineRule="auto"/>
        <w:rPr>
          <w:b/>
          <w:bCs/>
          <w:sz w:val="23"/>
        </w:rPr>
      </w:pPr>
    </w:p>
    <w:p w:rsidR="00000000" w:rsidRDefault="00000000">
      <w:pPr>
        <w:tabs>
          <w:tab w:val="clear" w:pos="567"/>
          <w:tab w:val="clear" w:pos="1701"/>
          <w:tab w:val="clear" w:pos="2268"/>
          <w:tab w:val="clear" w:pos="6237"/>
          <w:tab w:val="left" w:pos="680"/>
          <w:tab w:val="left" w:pos="1134"/>
        </w:tabs>
        <w:spacing w:line="235" w:lineRule="auto"/>
        <w:rPr>
          <w:sz w:val="23"/>
        </w:rPr>
      </w:pPr>
      <w:r>
        <w:rPr>
          <w:sz w:val="23"/>
        </w:rPr>
        <w:t>128.</w:t>
      </w:r>
      <w:r>
        <w:rPr>
          <w:sz w:val="23"/>
        </w:rPr>
        <w:tab/>
        <w:t>Делается ссылка на третий периодический доклад, представленный правительством Дании Комитету по экономическим, социальным и культурным правам, и на доклады, представленные Международному бюро труда и касающиеся осуществления следующих конвенций МОТ (указанный в скобках год означает год представления доклада):</w:t>
      </w:r>
    </w:p>
    <w:p w:rsidR="00000000" w:rsidRDefault="00000000">
      <w:pPr>
        <w:tabs>
          <w:tab w:val="clear" w:pos="567"/>
          <w:tab w:val="clear" w:pos="1701"/>
          <w:tab w:val="clear" w:pos="2268"/>
          <w:tab w:val="clear" w:pos="6237"/>
          <w:tab w:val="left" w:pos="680"/>
          <w:tab w:val="left" w:pos="1134"/>
        </w:tabs>
        <w:spacing w:line="235" w:lineRule="auto"/>
        <w:rPr>
          <w:sz w:val="23"/>
        </w:rPr>
      </w:pPr>
    </w:p>
    <w:p w:rsidR="00000000" w:rsidRDefault="00000000">
      <w:pPr>
        <w:tabs>
          <w:tab w:val="clear" w:pos="567"/>
          <w:tab w:val="clear" w:pos="1701"/>
          <w:tab w:val="clear" w:pos="2268"/>
          <w:tab w:val="clear" w:pos="6237"/>
          <w:tab w:val="left" w:pos="680"/>
          <w:tab w:val="left" w:pos="1134"/>
        </w:tabs>
        <w:spacing w:after="120" w:line="235" w:lineRule="auto"/>
        <w:ind w:left="680" w:hanging="680"/>
        <w:rPr>
          <w:sz w:val="23"/>
        </w:rPr>
      </w:pPr>
      <w:r>
        <w:rPr>
          <w:sz w:val="23"/>
        </w:rPr>
        <w:tab/>
        <w:t>Конвенции 1951 года о равном вознаграждении (№ 100) (2000 год)</w:t>
      </w:r>
    </w:p>
    <w:p w:rsidR="00000000" w:rsidRDefault="00000000">
      <w:pPr>
        <w:tabs>
          <w:tab w:val="clear" w:pos="567"/>
          <w:tab w:val="clear" w:pos="1701"/>
          <w:tab w:val="clear" w:pos="2268"/>
          <w:tab w:val="clear" w:pos="6237"/>
          <w:tab w:val="left" w:pos="680"/>
          <w:tab w:val="left" w:pos="1134"/>
        </w:tabs>
        <w:spacing w:after="120" w:line="235" w:lineRule="auto"/>
        <w:ind w:left="680" w:hanging="680"/>
        <w:rPr>
          <w:sz w:val="23"/>
        </w:rPr>
      </w:pPr>
      <w:r>
        <w:rPr>
          <w:sz w:val="23"/>
        </w:rPr>
        <w:tab/>
        <w:t>Конвенции 1921 года о еженедельном отдыхе (в промышленности) (№ 14) (2000 год)</w:t>
      </w:r>
    </w:p>
    <w:p w:rsidR="00000000" w:rsidRDefault="00000000">
      <w:pPr>
        <w:tabs>
          <w:tab w:val="clear" w:pos="567"/>
          <w:tab w:val="clear" w:pos="1701"/>
          <w:tab w:val="clear" w:pos="2268"/>
          <w:tab w:val="clear" w:pos="6237"/>
          <w:tab w:val="left" w:pos="680"/>
          <w:tab w:val="left" w:pos="1134"/>
        </w:tabs>
        <w:spacing w:after="120" w:line="235" w:lineRule="auto"/>
        <w:ind w:left="680" w:hanging="680"/>
        <w:rPr>
          <w:sz w:val="23"/>
        </w:rPr>
      </w:pPr>
      <w:r>
        <w:rPr>
          <w:sz w:val="23"/>
        </w:rPr>
        <w:tab/>
        <w:t>Конвенции 1957 года о еженедельном отдыхе (в торговле и учреждениях) (№ 106) (2000</w:t>
      </w:r>
      <w:r>
        <w:rPr>
          <w:sz w:val="23"/>
          <w:lang w:val="en-US"/>
        </w:rPr>
        <w:t> </w:t>
      </w:r>
      <w:r>
        <w:rPr>
          <w:sz w:val="23"/>
        </w:rPr>
        <w:t>год)</w:t>
      </w:r>
    </w:p>
    <w:p w:rsidR="00000000" w:rsidRDefault="00000000">
      <w:pPr>
        <w:tabs>
          <w:tab w:val="clear" w:pos="567"/>
          <w:tab w:val="clear" w:pos="1701"/>
          <w:tab w:val="clear" w:pos="2268"/>
          <w:tab w:val="clear" w:pos="6237"/>
          <w:tab w:val="left" w:pos="680"/>
          <w:tab w:val="left" w:pos="1134"/>
        </w:tabs>
        <w:spacing w:after="120" w:line="235" w:lineRule="auto"/>
        <w:ind w:left="680" w:hanging="680"/>
        <w:rPr>
          <w:sz w:val="23"/>
        </w:rPr>
      </w:pPr>
      <w:r>
        <w:rPr>
          <w:sz w:val="23"/>
        </w:rPr>
        <w:tab/>
        <w:t>Конвенции 1947 года об инспекции труда (№ 81) (1997 год)</w:t>
      </w:r>
    </w:p>
    <w:p w:rsidR="00000000" w:rsidRDefault="00000000">
      <w:pPr>
        <w:tabs>
          <w:tab w:val="clear" w:pos="567"/>
          <w:tab w:val="clear" w:pos="1701"/>
          <w:tab w:val="clear" w:pos="2268"/>
          <w:tab w:val="clear" w:pos="6237"/>
          <w:tab w:val="left" w:pos="680"/>
          <w:tab w:val="left" w:pos="1134"/>
        </w:tabs>
        <w:spacing w:after="120" w:line="235" w:lineRule="auto"/>
        <w:ind w:left="680" w:hanging="680"/>
        <w:rPr>
          <w:sz w:val="23"/>
        </w:rPr>
      </w:pPr>
      <w:r>
        <w:rPr>
          <w:sz w:val="23"/>
        </w:rPr>
        <w:tab/>
        <w:t>Конвенции 1969 года об инспекции труда (в сельском хозяйстве) (№ 129) (2000 год)</w:t>
      </w:r>
    </w:p>
    <w:p w:rsidR="00000000" w:rsidRDefault="00000000">
      <w:pPr>
        <w:tabs>
          <w:tab w:val="clear" w:pos="567"/>
          <w:tab w:val="clear" w:pos="1701"/>
          <w:tab w:val="clear" w:pos="2268"/>
          <w:tab w:val="clear" w:pos="6237"/>
          <w:tab w:val="left" w:pos="680"/>
          <w:tab w:val="left" w:pos="1134"/>
        </w:tabs>
        <w:spacing w:line="235" w:lineRule="auto"/>
        <w:ind w:left="680" w:hanging="680"/>
        <w:rPr>
          <w:sz w:val="23"/>
        </w:rPr>
      </w:pPr>
      <w:r>
        <w:rPr>
          <w:sz w:val="23"/>
        </w:rPr>
        <w:tab/>
        <w:t>Конвенции 1981 года о безопасности и гигиене труда (№ 155) (1999 год)</w:t>
      </w:r>
    </w:p>
    <w:p w:rsidR="00000000" w:rsidRDefault="00000000">
      <w:pPr>
        <w:tabs>
          <w:tab w:val="clear" w:pos="567"/>
          <w:tab w:val="clear" w:pos="1701"/>
          <w:tab w:val="clear" w:pos="2268"/>
          <w:tab w:val="clear" w:pos="6237"/>
          <w:tab w:val="left" w:pos="680"/>
          <w:tab w:val="left" w:pos="1134"/>
        </w:tabs>
        <w:spacing w:line="235" w:lineRule="auto"/>
        <w:rPr>
          <w:sz w:val="23"/>
        </w:rPr>
      </w:pPr>
    </w:p>
    <w:p w:rsidR="00000000" w:rsidRDefault="00000000">
      <w:pPr>
        <w:pStyle w:val="a0"/>
        <w:spacing w:line="235" w:lineRule="auto"/>
      </w:pPr>
      <w:bookmarkStart w:id="111" w:name="_Toc51496875"/>
      <w:bookmarkStart w:id="112" w:name="_Toc51497042"/>
      <w:bookmarkStart w:id="113" w:name="_Toc51497567"/>
      <w:r>
        <w:t xml:space="preserve">Пункт 15 а) и </w:t>
      </w:r>
      <w:r>
        <w:rPr>
          <w:lang w:val="en-US"/>
        </w:rPr>
        <w:t>b</w:t>
      </w:r>
      <w:r>
        <w:t>) руководящих принципов: Система минимальной заработной платы</w:t>
      </w:r>
      <w:bookmarkEnd w:id="111"/>
      <w:bookmarkEnd w:id="112"/>
      <w:bookmarkEnd w:id="113"/>
      <w:r>
        <w:t xml:space="preserve"> </w:t>
      </w:r>
    </w:p>
    <w:p w:rsidR="00000000" w:rsidRDefault="00000000">
      <w:pPr>
        <w:tabs>
          <w:tab w:val="clear" w:pos="567"/>
          <w:tab w:val="clear" w:pos="1701"/>
          <w:tab w:val="clear" w:pos="2268"/>
          <w:tab w:val="clear" w:pos="6237"/>
          <w:tab w:val="left" w:pos="680"/>
          <w:tab w:val="left" w:pos="1134"/>
        </w:tabs>
        <w:spacing w:line="235" w:lineRule="auto"/>
        <w:rPr>
          <w:b/>
          <w:bCs/>
          <w:sz w:val="23"/>
        </w:rPr>
      </w:pPr>
    </w:p>
    <w:p w:rsidR="00000000" w:rsidRDefault="00000000">
      <w:pPr>
        <w:tabs>
          <w:tab w:val="clear" w:pos="567"/>
          <w:tab w:val="clear" w:pos="1701"/>
          <w:tab w:val="clear" w:pos="2268"/>
          <w:tab w:val="clear" w:pos="6237"/>
          <w:tab w:val="left" w:pos="680"/>
          <w:tab w:val="left" w:pos="1134"/>
        </w:tabs>
        <w:spacing w:line="235" w:lineRule="auto"/>
        <w:rPr>
          <w:sz w:val="23"/>
        </w:rPr>
      </w:pPr>
      <w:r>
        <w:rPr>
          <w:sz w:val="23"/>
        </w:rPr>
        <w:t>129.</w:t>
      </w:r>
      <w:r>
        <w:rPr>
          <w:sz w:val="23"/>
        </w:rPr>
        <w:tab/>
        <w:t>Делается ссылка на третий периодический доклад правительства Дании Комитету по экономическим, социальным и культурным правам (</w:t>
      </w:r>
      <w:r>
        <w:rPr>
          <w:sz w:val="23"/>
          <w:lang w:val="en-US"/>
        </w:rPr>
        <w:t>E</w:t>
      </w:r>
      <w:r>
        <w:rPr>
          <w:sz w:val="23"/>
        </w:rPr>
        <w:t>/1994/104/</w:t>
      </w:r>
      <w:r>
        <w:rPr>
          <w:sz w:val="23"/>
          <w:lang w:val="en-US"/>
        </w:rPr>
        <w:t>Add</w:t>
      </w:r>
      <w:r>
        <w:rPr>
          <w:sz w:val="23"/>
        </w:rPr>
        <w:t>.15).</w:t>
      </w:r>
    </w:p>
    <w:p w:rsidR="00000000" w:rsidRDefault="00000000">
      <w:pPr>
        <w:tabs>
          <w:tab w:val="clear" w:pos="567"/>
          <w:tab w:val="clear" w:pos="1701"/>
          <w:tab w:val="clear" w:pos="2268"/>
          <w:tab w:val="clear" w:pos="6237"/>
          <w:tab w:val="left" w:pos="680"/>
          <w:tab w:val="left" w:pos="1134"/>
        </w:tabs>
        <w:spacing w:line="235" w:lineRule="auto"/>
        <w:rPr>
          <w:sz w:val="23"/>
        </w:rPr>
      </w:pPr>
    </w:p>
    <w:p w:rsidR="00000000" w:rsidRDefault="00000000">
      <w:pPr>
        <w:tabs>
          <w:tab w:val="clear" w:pos="567"/>
          <w:tab w:val="clear" w:pos="1701"/>
          <w:tab w:val="clear" w:pos="2268"/>
          <w:tab w:val="clear" w:pos="6237"/>
          <w:tab w:val="left" w:pos="680"/>
          <w:tab w:val="left" w:pos="1134"/>
        </w:tabs>
        <w:spacing w:line="235" w:lineRule="auto"/>
        <w:jc w:val="center"/>
        <w:rPr>
          <w:b/>
          <w:bCs/>
          <w:sz w:val="23"/>
        </w:rPr>
      </w:pPr>
      <w:r>
        <w:rPr>
          <w:b/>
          <w:bCs/>
          <w:sz w:val="23"/>
        </w:rPr>
        <w:t>Таблица 5</w:t>
      </w:r>
    </w:p>
    <w:p w:rsidR="00000000" w:rsidRDefault="00000000">
      <w:pPr>
        <w:tabs>
          <w:tab w:val="clear" w:pos="567"/>
          <w:tab w:val="clear" w:pos="1701"/>
          <w:tab w:val="clear" w:pos="2268"/>
          <w:tab w:val="clear" w:pos="6237"/>
          <w:tab w:val="left" w:pos="680"/>
          <w:tab w:val="left" w:pos="1134"/>
        </w:tabs>
        <w:spacing w:line="235" w:lineRule="auto"/>
        <w:jc w:val="center"/>
        <w:rPr>
          <w:b/>
          <w:bCs/>
          <w:sz w:val="23"/>
        </w:rPr>
      </w:pPr>
    </w:p>
    <w:p w:rsidR="00000000" w:rsidRDefault="00000000">
      <w:pPr>
        <w:pStyle w:val="BodyText"/>
        <w:tabs>
          <w:tab w:val="clear" w:pos="567"/>
          <w:tab w:val="clear" w:pos="1701"/>
          <w:tab w:val="clear" w:pos="2268"/>
          <w:tab w:val="clear" w:pos="6237"/>
          <w:tab w:val="left" w:pos="680"/>
          <w:tab w:val="left" w:pos="1134"/>
        </w:tabs>
        <w:spacing w:before="0" w:line="235" w:lineRule="auto"/>
        <w:jc w:val="center"/>
        <w:rPr>
          <w:sz w:val="23"/>
        </w:rPr>
      </w:pPr>
      <w:r>
        <w:rPr>
          <w:sz w:val="23"/>
        </w:rPr>
        <w:t xml:space="preserve">Индекс потребительских цен и индексированная заработная плата </w:t>
      </w:r>
      <w:r>
        <w:rPr>
          <w:sz w:val="23"/>
        </w:rPr>
        <w:br/>
        <w:t>в 1991, 1995 и 2000 годах</w:t>
      </w:r>
    </w:p>
    <w:p w:rsidR="00000000" w:rsidRDefault="00000000">
      <w:pPr>
        <w:pStyle w:val="BodyText"/>
        <w:tabs>
          <w:tab w:val="clear" w:pos="567"/>
          <w:tab w:val="clear" w:pos="1701"/>
          <w:tab w:val="clear" w:pos="2268"/>
          <w:tab w:val="clear" w:pos="6237"/>
          <w:tab w:val="left" w:pos="680"/>
          <w:tab w:val="left" w:pos="1134"/>
        </w:tabs>
        <w:spacing w:before="0" w:line="235" w:lineRule="auto"/>
        <w:jc w:val="center"/>
        <w:rPr>
          <w:sz w:val="23"/>
        </w:rPr>
      </w:pPr>
    </w:p>
    <w:tbl>
      <w:tblPr>
        <w:tblW w:w="964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000" w:firstRow="0" w:lastRow="0" w:firstColumn="0" w:lastColumn="0" w:noHBand="0" w:noVBand="0"/>
      </w:tblPr>
      <w:tblGrid>
        <w:gridCol w:w="5387"/>
        <w:gridCol w:w="1418"/>
        <w:gridCol w:w="1418"/>
        <w:gridCol w:w="1418"/>
      </w:tblGrid>
      <w:tr w:rsidR="00000000">
        <w:tblPrEx>
          <w:tblCellMar>
            <w:top w:w="0" w:type="dxa"/>
            <w:bottom w:w="0" w:type="dxa"/>
          </w:tblCellMar>
        </w:tblPrEx>
        <w:tc>
          <w:tcPr>
            <w:tcW w:w="5387" w:type="dxa"/>
            <w:tcBorders>
              <w:bottom w:val="single" w:sz="4" w:space="0" w:color="auto"/>
            </w:tcBorders>
          </w:tcPr>
          <w:p w:rsidR="00000000" w:rsidRDefault="00000000">
            <w:pPr>
              <w:pStyle w:val="FootnoteText"/>
              <w:tabs>
                <w:tab w:val="clear" w:pos="567"/>
                <w:tab w:val="clear" w:pos="1701"/>
                <w:tab w:val="clear" w:pos="2268"/>
                <w:tab w:val="clear" w:pos="6237"/>
                <w:tab w:val="left" w:pos="680"/>
                <w:tab w:val="left" w:pos="1134"/>
              </w:tabs>
              <w:spacing w:before="40" w:after="40" w:line="235" w:lineRule="auto"/>
              <w:rPr>
                <w:sz w:val="23"/>
              </w:rPr>
            </w:pPr>
          </w:p>
        </w:tc>
        <w:tc>
          <w:tcPr>
            <w:tcW w:w="1418" w:type="dxa"/>
            <w:tcBorders>
              <w:bottom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3"/>
              </w:rPr>
            </w:pPr>
            <w:r>
              <w:rPr>
                <w:sz w:val="23"/>
              </w:rPr>
              <w:t>1991 год</w:t>
            </w:r>
          </w:p>
        </w:tc>
        <w:tc>
          <w:tcPr>
            <w:tcW w:w="1418" w:type="dxa"/>
            <w:tcBorders>
              <w:bottom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3"/>
              </w:rPr>
            </w:pPr>
            <w:r>
              <w:rPr>
                <w:sz w:val="23"/>
              </w:rPr>
              <w:t>1995 год</w:t>
            </w:r>
          </w:p>
        </w:tc>
        <w:tc>
          <w:tcPr>
            <w:tcW w:w="1418" w:type="dxa"/>
            <w:tcBorders>
              <w:bottom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3"/>
              </w:rPr>
            </w:pPr>
            <w:r>
              <w:rPr>
                <w:sz w:val="23"/>
              </w:rPr>
              <w:t>2000 год</w:t>
            </w:r>
          </w:p>
        </w:tc>
      </w:tr>
      <w:tr w:rsidR="00000000">
        <w:tblPrEx>
          <w:tblCellMar>
            <w:top w:w="0" w:type="dxa"/>
            <w:bottom w:w="0" w:type="dxa"/>
          </w:tblCellMar>
        </w:tblPrEx>
        <w:tc>
          <w:tcPr>
            <w:tcW w:w="5387" w:type="dxa"/>
            <w:tcBorders>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rPr>
                <w:sz w:val="23"/>
              </w:rPr>
            </w:pPr>
            <w:r>
              <w:rPr>
                <w:sz w:val="23"/>
              </w:rPr>
              <w:t>Среднегодовая заработная плата</w:t>
            </w:r>
          </w:p>
        </w:tc>
        <w:tc>
          <w:tcPr>
            <w:tcW w:w="1418" w:type="dxa"/>
            <w:tcBorders>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3"/>
              </w:rPr>
            </w:pPr>
          </w:p>
        </w:tc>
        <w:tc>
          <w:tcPr>
            <w:tcW w:w="1418" w:type="dxa"/>
            <w:tcBorders>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3"/>
              </w:rPr>
            </w:pPr>
          </w:p>
        </w:tc>
        <w:tc>
          <w:tcPr>
            <w:tcW w:w="1418" w:type="dxa"/>
            <w:tcBorders>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3"/>
              </w:rPr>
            </w:pPr>
          </w:p>
        </w:tc>
      </w:tr>
      <w:tr w:rsidR="00000000">
        <w:tblPrEx>
          <w:tblCellMar>
            <w:top w:w="0" w:type="dxa"/>
            <w:bottom w:w="0" w:type="dxa"/>
          </w:tblCellMar>
        </w:tblPrEx>
        <w:tc>
          <w:tcPr>
            <w:tcW w:w="5387"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rPr>
                <w:sz w:val="23"/>
              </w:rPr>
            </w:pPr>
            <w:r>
              <w:rPr>
                <w:sz w:val="23"/>
              </w:rPr>
              <w:t>Неквалифицированные работники – женщины</w:t>
            </w:r>
          </w:p>
        </w:tc>
        <w:tc>
          <w:tcPr>
            <w:tcW w:w="1418"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3"/>
              </w:rPr>
            </w:pPr>
            <w:r>
              <w:rPr>
                <w:sz w:val="23"/>
              </w:rPr>
              <w:t>100,0</w:t>
            </w:r>
          </w:p>
        </w:tc>
        <w:tc>
          <w:tcPr>
            <w:tcW w:w="1418"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3"/>
              </w:rPr>
            </w:pPr>
            <w:r>
              <w:rPr>
                <w:sz w:val="23"/>
              </w:rPr>
              <w:t>111,5</w:t>
            </w:r>
          </w:p>
        </w:tc>
        <w:tc>
          <w:tcPr>
            <w:tcW w:w="1418"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3"/>
              </w:rPr>
            </w:pPr>
            <w:r>
              <w:rPr>
                <w:sz w:val="23"/>
              </w:rPr>
              <w:t>129,4</w:t>
            </w:r>
          </w:p>
        </w:tc>
      </w:tr>
      <w:tr w:rsidR="00000000">
        <w:tblPrEx>
          <w:tblCellMar>
            <w:top w:w="0" w:type="dxa"/>
            <w:bottom w:w="0" w:type="dxa"/>
          </w:tblCellMar>
        </w:tblPrEx>
        <w:tc>
          <w:tcPr>
            <w:tcW w:w="5387"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rPr>
                <w:sz w:val="23"/>
              </w:rPr>
            </w:pPr>
            <w:r>
              <w:rPr>
                <w:sz w:val="23"/>
              </w:rPr>
              <w:t>Квалифицированные работники – мужчины</w:t>
            </w:r>
          </w:p>
        </w:tc>
        <w:tc>
          <w:tcPr>
            <w:tcW w:w="1418"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3"/>
              </w:rPr>
            </w:pPr>
            <w:r>
              <w:rPr>
                <w:sz w:val="23"/>
              </w:rPr>
              <w:t>100,0</w:t>
            </w:r>
          </w:p>
        </w:tc>
        <w:tc>
          <w:tcPr>
            <w:tcW w:w="1418"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3"/>
              </w:rPr>
            </w:pPr>
            <w:r>
              <w:rPr>
                <w:sz w:val="23"/>
              </w:rPr>
              <w:t>110,4</w:t>
            </w:r>
          </w:p>
        </w:tc>
        <w:tc>
          <w:tcPr>
            <w:tcW w:w="1418"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3"/>
              </w:rPr>
            </w:pPr>
            <w:r>
              <w:rPr>
                <w:sz w:val="23"/>
              </w:rPr>
              <w:t>128,2</w:t>
            </w:r>
          </w:p>
        </w:tc>
      </w:tr>
      <w:tr w:rsidR="00000000">
        <w:tblPrEx>
          <w:tblCellMar>
            <w:top w:w="0" w:type="dxa"/>
            <w:bottom w:w="0" w:type="dxa"/>
          </w:tblCellMar>
        </w:tblPrEx>
        <w:tc>
          <w:tcPr>
            <w:tcW w:w="5387"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rPr>
                <w:sz w:val="23"/>
              </w:rPr>
            </w:pPr>
            <w:r>
              <w:rPr>
                <w:sz w:val="23"/>
              </w:rPr>
              <w:t>Государственные служащие</w:t>
            </w:r>
          </w:p>
        </w:tc>
        <w:tc>
          <w:tcPr>
            <w:tcW w:w="1418"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3"/>
              </w:rPr>
            </w:pPr>
            <w:r>
              <w:rPr>
                <w:sz w:val="23"/>
              </w:rPr>
              <w:t>100,0</w:t>
            </w:r>
          </w:p>
        </w:tc>
        <w:tc>
          <w:tcPr>
            <w:tcW w:w="1418"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3"/>
              </w:rPr>
            </w:pPr>
            <w:r>
              <w:rPr>
                <w:sz w:val="23"/>
              </w:rPr>
              <w:t>108,5</w:t>
            </w:r>
          </w:p>
        </w:tc>
        <w:tc>
          <w:tcPr>
            <w:tcW w:w="1418"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3"/>
              </w:rPr>
            </w:pPr>
            <w:r>
              <w:rPr>
                <w:sz w:val="23"/>
              </w:rPr>
              <w:t>124,8</w:t>
            </w:r>
          </w:p>
        </w:tc>
      </w:tr>
      <w:tr w:rsidR="00000000">
        <w:tblPrEx>
          <w:tblCellMar>
            <w:top w:w="0" w:type="dxa"/>
            <w:bottom w:w="0" w:type="dxa"/>
          </w:tblCellMar>
        </w:tblPrEx>
        <w:tc>
          <w:tcPr>
            <w:tcW w:w="5387"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rPr>
                <w:sz w:val="23"/>
              </w:rPr>
            </w:pPr>
            <w:r>
              <w:rPr>
                <w:sz w:val="23"/>
              </w:rPr>
              <w:t>Лица наемного труда в частном секторе</w:t>
            </w:r>
          </w:p>
        </w:tc>
        <w:tc>
          <w:tcPr>
            <w:tcW w:w="1418"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3"/>
              </w:rPr>
            </w:pPr>
            <w:r>
              <w:rPr>
                <w:sz w:val="23"/>
              </w:rPr>
              <w:t>100,0</w:t>
            </w:r>
          </w:p>
        </w:tc>
        <w:tc>
          <w:tcPr>
            <w:tcW w:w="1418"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3"/>
              </w:rPr>
            </w:pPr>
            <w:r>
              <w:rPr>
                <w:sz w:val="23"/>
              </w:rPr>
              <w:t>111,7</w:t>
            </w:r>
          </w:p>
        </w:tc>
        <w:tc>
          <w:tcPr>
            <w:tcW w:w="1418"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3"/>
              </w:rPr>
            </w:pPr>
            <w:r>
              <w:rPr>
                <w:sz w:val="23"/>
              </w:rPr>
              <w:t>134,2</w:t>
            </w:r>
          </w:p>
        </w:tc>
      </w:tr>
      <w:tr w:rsidR="00000000">
        <w:tblPrEx>
          <w:tblCellMar>
            <w:top w:w="0" w:type="dxa"/>
            <w:bottom w:w="0" w:type="dxa"/>
          </w:tblCellMar>
        </w:tblPrEx>
        <w:tc>
          <w:tcPr>
            <w:tcW w:w="5387" w:type="dxa"/>
            <w:tcBorders>
              <w:top w:val="nil"/>
              <w:bottom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35" w:lineRule="auto"/>
              <w:rPr>
                <w:sz w:val="23"/>
              </w:rPr>
            </w:pPr>
            <w:r>
              <w:rPr>
                <w:sz w:val="23"/>
              </w:rPr>
              <w:t>Индекс потребительских цен</w:t>
            </w:r>
          </w:p>
        </w:tc>
        <w:tc>
          <w:tcPr>
            <w:tcW w:w="1418" w:type="dxa"/>
            <w:tcBorders>
              <w:top w:val="nil"/>
              <w:bottom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3"/>
              </w:rPr>
            </w:pPr>
            <w:r>
              <w:rPr>
                <w:sz w:val="23"/>
              </w:rPr>
              <w:t>100,0</w:t>
            </w:r>
          </w:p>
        </w:tc>
        <w:tc>
          <w:tcPr>
            <w:tcW w:w="1418" w:type="dxa"/>
            <w:tcBorders>
              <w:top w:val="nil"/>
              <w:bottom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3"/>
              </w:rPr>
            </w:pPr>
            <w:r>
              <w:rPr>
                <w:sz w:val="23"/>
              </w:rPr>
              <w:t>110,2</w:t>
            </w:r>
          </w:p>
        </w:tc>
        <w:tc>
          <w:tcPr>
            <w:tcW w:w="1418" w:type="dxa"/>
            <w:tcBorders>
              <w:top w:val="nil"/>
              <w:bottom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3"/>
              </w:rPr>
            </w:pPr>
            <w:r>
              <w:rPr>
                <w:sz w:val="23"/>
              </w:rPr>
              <w:t>123,7</w:t>
            </w:r>
          </w:p>
        </w:tc>
      </w:tr>
      <w:tr w:rsidR="00000000">
        <w:tblPrEx>
          <w:tblCellMar>
            <w:top w:w="0" w:type="dxa"/>
            <w:bottom w:w="0" w:type="dxa"/>
          </w:tblCellMar>
        </w:tblPrEx>
        <w:tc>
          <w:tcPr>
            <w:tcW w:w="5387"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rPr>
                <w:sz w:val="23"/>
              </w:rPr>
            </w:pPr>
            <w:r>
              <w:rPr>
                <w:sz w:val="23"/>
              </w:rPr>
              <w:t>Среднегодовая заработная плата/индекс потребительских цен</w:t>
            </w:r>
          </w:p>
        </w:tc>
        <w:tc>
          <w:tcPr>
            <w:tcW w:w="1418"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3"/>
              </w:rPr>
            </w:pPr>
          </w:p>
        </w:tc>
        <w:tc>
          <w:tcPr>
            <w:tcW w:w="1418"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3"/>
              </w:rPr>
            </w:pPr>
          </w:p>
        </w:tc>
        <w:tc>
          <w:tcPr>
            <w:tcW w:w="1418"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3"/>
              </w:rPr>
            </w:pPr>
          </w:p>
        </w:tc>
      </w:tr>
      <w:tr w:rsidR="00000000">
        <w:tblPrEx>
          <w:tblCellMar>
            <w:top w:w="0" w:type="dxa"/>
            <w:bottom w:w="0" w:type="dxa"/>
          </w:tblCellMar>
        </w:tblPrEx>
        <w:tc>
          <w:tcPr>
            <w:tcW w:w="5387"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rPr>
                <w:sz w:val="23"/>
              </w:rPr>
            </w:pPr>
            <w:r>
              <w:rPr>
                <w:sz w:val="23"/>
              </w:rPr>
              <w:t>Неквалифицированные работники – женщины</w:t>
            </w:r>
          </w:p>
        </w:tc>
        <w:tc>
          <w:tcPr>
            <w:tcW w:w="1418"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3"/>
              </w:rPr>
            </w:pPr>
            <w:r>
              <w:rPr>
                <w:sz w:val="23"/>
              </w:rPr>
              <w:t>100,0</w:t>
            </w:r>
          </w:p>
        </w:tc>
        <w:tc>
          <w:tcPr>
            <w:tcW w:w="1418"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3"/>
              </w:rPr>
            </w:pPr>
            <w:r>
              <w:rPr>
                <w:sz w:val="23"/>
              </w:rPr>
              <w:t>101,2</w:t>
            </w:r>
          </w:p>
        </w:tc>
        <w:tc>
          <w:tcPr>
            <w:tcW w:w="1418"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3"/>
              </w:rPr>
            </w:pPr>
            <w:r>
              <w:rPr>
                <w:sz w:val="23"/>
              </w:rPr>
              <w:t>104,6</w:t>
            </w:r>
          </w:p>
        </w:tc>
      </w:tr>
      <w:tr w:rsidR="00000000">
        <w:tblPrEx>
          <w:tblCellMar>
            <w:top w:w="0" w:type="dxa"/>
            <w:bottom w:w="0" w:type="dxa"/>
          </w:tblCellMar>
        </w:tblPrEx>
        <w:tc>
          <w:tcPr>
            <w:tcW w:w="5387"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rPr>
                <w:sz w:val="23"/>
              </w:rPr>
            </w:pPr>
            <w:r>
              <w:rPr>
                <w:sz w:val="23"/>
              </w:rPr>
              <w:t>Квалифицированные работники – мужчины</w:t>
            </w:r>
          </w:p>
        </w:tc>
        <w:tc>
          <w:tcPr>
            <w:tcW w:w="1418"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3"/>
              </w:rPr>
            </w:pPr>
            <w:r>
              <w:rPr>
                <w:sz w:val="23"/>
              </w:rPr>
              <w:t>100,0</w:t>
            </w:r>
          </w:p>
        </w:tc>
        <w:tc>
          <w:tcPr>
            <w:tcW w:w="1418"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3"/>
              </w:rPr>
            </w:pPr>
            <w:r>
              <w:rPr>
                <w:sz w:val="23"/>
              </w:rPr>
              <w:t>100,2</w:t>
            </w:r>
          </w:p>
        </w:tc>
        <w:tc>
          <w:tcPr>
            <w:tcW w:w="1418"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3"/>
              </w:rPr>
            </w:pPr>
            <w:r>
              <w:rPr>
                <w:sz w:val="23"/>
              </w:rPr>
              <w:t>103,6</w:t>
            </w:r>
          </w:p>
        </w:tc>
      </w:tr>
      <w:tr w:rsidR="00000000">
        <w:tblPrEx>
          <w:tblCellMar>
            <w:top w:w="0" w:type="dxa"/>
            <w:bottom w:w="0" w:type="dxa"/>
          </w:tblCellMar>
        </w:tblPrEx>
        <w:tc>
          <w:tcPr>
            <w:tcW w:w="5387"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rPr>
                <w:sz w:val="23"/>
              </w:rPr>
            </w:pPr>
            <w:r>
              <w:rPr>
                <w:sz w:val="23"/>
              </w:rPr>
              <w:t>Государственные служащие</w:t>
            </w:r>
          </w:p>
        </w:tc>
        <w:tc>
          <w:tcPr>
            <w:tcW w:w="1418"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3"/>
              </w:rPr>
            </w:pPr>
            <w:r>
              <w:rPr>
                <w:sz w:val="23"/>
              </w:rPr>
              <w:t>100,0</w:t>
            </w:r>
          </w:p>
        </w:tc>
        <w:tc>
          <w:tcPr>
            <w:tcW w:w="1418"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3"/>
              </w:rPr>
            </w:pPr>
            <w:r>
              <w:rPr>
                <w:sz w:val="23"/>
              </w:rPr>
              <w:t>98,5</w:t>
            </w:r>
          </w:p>
        </w:tc>
        <w:tc>
          <w:tcPr>
            <w:tcW w:w="1418"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3"/>
              </w:rPr>
            </w:pPr>
            <w:r>
              <w:rPr>
                <w:sz w:val="23"/>
              </w:rPr>
              <w:t>100,9</w:t>
            </w:r>
          </w:p>
        </w:tc>
      </w:tr>
      <w:tr w:rsidR="00000000">
        <w:tblPrEx>
          <w:tblCellMar>
            <w:top w:w="0" w:type="dxa"/>
            <w:bottom w:w="0" w:type="dxa"/>
          </w:tblCellMar>
        </w:tblPrEx>
        <w:tc>
          <w:tcPr>
            <w:tcW w:w="5387" w:type="dxa"/>
            <w:tcBorders>
              <w:top w:val="nil"/>
            </w:tcBorders>
          </w:tcPr>
          <w:p w:rsidR="00000000" w:rsidRDefault="00000000">
            <w:pPr>
              <w:tabs>
                <w:tab w:val="clear" w:pos="567"/>
                <w:tab w:val="clear" w:pos="1701"/>
                <w:tab w:val="clear" w:pos="2268"/>
                <w:tab w:val="clear" w:pos="6237"/>
                <w:tab w:val="left" w:pos="680"/>
                <w:tab w:val="left" w:pos="1134"/>
              </w:tabs>
              <w:spacing w:before="40" w:after="40" w:line="235" w:lineRule="auto"/>
              <w:rPr>
                <w:sz w:val="23"/>
              </w:rPr>
            </w:pPr>
            <w:r>
              <w:rPr>
                <w:sz w:val="23"/>
              </w:rPr>
              <w:t>Лица наемного труда в частном секторе</w:t>
            </w:r>
          </w:p>
        </w:tc>
        <w:tc>
          <w:tcPr>
            <w:tcW w:w="1418" w:type="dxa"/>
            <w:tcBorders>
              <w:top w:val="nil"/>
            </w:tcBorders>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3"/>
                <w:lang w:val="en-US"/>
              </w:rPr>
            </w:pPr>
            <w:r>
              <w:rPr>
                <w:sz w:val="23"/>
                <w:lang w:val="en-US"/>
              </w:rPr>
              <w:t>100,0</w:t>
            </w:r>
          </w:p>
        </w:tc>
        <w:tc>
          <w:tcPr>
            <w:tcW w:w="1418" w:type="dxa"/>
            <w:tcBorders>
              <w:top w:val="nil"/>
            </w:tcBorders>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3"/>
                <w:lang w:val="en-US"/>
              </w:rPr>
            </w:pPr>
            <w:r>
              <w:rPr>
                <w:sz w:val="23"/>
                <w:lang w:val="en-US"/>
              </w:rPr>
              <w:t>101,4</w:t>
            </w:r>
          </w:p>
        </w:tc>
        <w:tc>
          <w:tcPr>
            <w:tcW w:w="1418" w:type="dxa"/>
            <w:tcBorders>
              <w:top w:val="nil"/>
            </w:tcBorders>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3"/>
                <w:lang w:val="en-US"/>
              </w:rPr>
            </w:pPr>
            <w:r>
              <w:rPr>
                <w:sz w:val="23"/>
                <w:lang w:val="en-US"/>
              </w:rPr>
              <w:t>108,5</w:t>
            </w:r>
          </w:p>
        </w:tc>
      </w:tr>
    </w:tbl>
    <w:p w:rsidR="00000000" w:rsidRDefault="00000000">
      <w:pPr>
        <w:tabs>
          <w:tab w:val="clear" w:pos="567"/>
          <w:tab w:val="clear" w:pos="1701"/>
          <w:tab w:val="clear" w:pos="2268"/>
          <w:tab w:val="clear" w:pos="6237"/>
          <w:tab w:val="left" w:pos="680"/>
          <w:tab w:val="left" w:pos="1134"/>
        </w:tabs>
        <w:spacing w:before="120" w:line="235" w:lineRule="auto"/>
        <w:rPr>
          <w:sz w:val="23"/>
          <w:lang w:val="en-US"/>
        </w:rPr>
      </w:pPr>
      <w:r>
        <w:rPr>
          <w:sz w:val="23"/>
          <w:u w:val="single"/>
        </w:rPr>
        <w:t>Источник</w:t>
      </w:r>
      <w:r>
        <w:rPr>
          <w:sz w:val="23"/>
          <w:lang w:val="en-US"/>
        </w:rPr>
        <w:t>: Annual wages: Families and earnings, Ministry of Economic Affairs, November 2000. Consumer price index: Statistics Denmark.</w:t>
      </w:r>
    </w:p>
    <w:p w:rsidR="00000000" w:rsidRDefault="00000000">
      <w:pPr>
        <w:pStyle w:val="a0"/>
      </w:pPr>
      <w:bookmarkStart w:id="114" w:name="_Toc51496876"/>
      <w:bookmarkStart w:id="115" w:name="_Toc51497043"/>
      <w:bookmarkStart w:id="116" w:name="_Toc51497568"/>
      <w:r>
        <w:t>Пункт 15 с) руководящих принципов: Равенство вознаграждения</w:t>
      </w:r>
      <w:bookmarkEnd w:id="114"/>
      <w:bookmarkEnd w:id="115"/>
      <w:bookmarkEnd w:id="116"/>
    </w:p>
    <w:p w:rsidR="00000000" w:rsidRDefault="00000000">
      <w:pPr>
        <w:pStyle w:val="Heading7"/>
        <w:tabs>
          <w:tab w:val="clear" w:pos="567"/>
          <w:tab w:val="clear" w:pos="1496"/>
          <w:tab w:val="clear" w:pos="2268"/>
          <w:tab w:val="clear" w:pos="6237"/>
          <w:tab w:val="left" w:pos="680"/>
          <w:tab w:val="left" w:pos="1134"/>
        </w:tabs>
        <w:spacing w:before="0"/>
        <w:ind w:left="0" w:firstLine="0"/>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130.</w:t>
      </w:r>
      <w:r>
        <w:rPr>
          <w:sz w:val="23"/>
        </w:rPr>
        <w:tab/>
        <w:t>Делается ссылка на страницы 31 и 32 пятого периодического доклада правительства Дании об осуществлении Конвенции о ликвидации всех форм дискриминации в отношении женщин (</w:t>
      </w:r>
      <w:r>
        <w:rPr>
          <w:sz w:val="23"/>
          <w:lang w:val="en-US"/>
        </w:rPr>
        <w:t>CEDAW</w:t>
      </w:r>
      <w:r>
        <w:rPr>
          <w:sz w:val="23"/>
        </w:rPr>
        <w:t>/</w:t>
      </w:r>
      <w:r>
        <w:rPr>
          <w:sz w:val="23"/>
          <w:lang w:val="en-US"/>
        </w:rPr>
        <w:t>C</w:t>
      </w:r>
      <w:r>
        <w:rPr>
          <w:sz w:val="23"/>
        </w:rPr>
        <w:t>/</w:t>
      </w:r>
      <w:r>
        <w:rPr>
          <w:sz w:val="23"/>
          <w:lang w:val="en-US"/>
        </w:rPr>
        <w:t>DEN</w:t>
      </w:r>
      <w:r>
        <w:rPr>
          <w:sz w:val="23"/>
        </w:rPr>
        <w:t>/5).</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131.</w:t>
      </w:r>
      <w:r>
        <w:rPr>
          <w:sz w:val="23"/>
        </w:rPr>
        <w:tab/>
        <w:t xml:space="preserve">Поощрению гендерного равенства в Дании придается важное значение. В июле 1999 года был назначен министр по вопросам гендерного равенства, отвечающий за обеспечение гендерного равенства. В мае 2000 года датский парламент принял Закон о гендерном равенстве (Закон № 388 от 30 мая 2000 года). Закон гласит, что женщины и мужчины должны подвергаться равному обращению со стороны государственных административных органов, а также в сфере профессиональной и иной деятельности. Согласно стратегии, касающейся учета гендерных факторов, в Законе отмечается, что все государственные органы в пределах своей компетенции должны добиваться обеспечения гендерного равенства и принимать во внимание проблематику гендерного равенства во всей своей плановой и административно-управленческой деятельности.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132.</w:t>
      </w:r>
      <w:r>
        <w:rPr>
          <w:sz w:val="23"/>
        </w:rPr>
        <w:tab/>
        <w:t xml:space="preserve">Правительство учредило межминистерский Руководящий комитет, призванный заниматься осуществлением стратегии, касающейся учета гендерных факторов, во всех областях деятельности в государственном секторе. В состав Руководящего комитета входят старшие должностные лица из всех министерств.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117" w:name="_Toc51496877"/>
      <w:bookmarkStart w:id="118" w:name="_Toc51497044"/>
      <w:bookmarkStart w:id="119" w:name="_Toc51497569"/>
      <w:r>
        <w:t xml:space="preserve">Пункт 15 </w:t>
      </w:r>
      <w:r>
        <w:rPr>
          <w:lang w:val="en-US"/>
        </w:rPr>
        <w:t>d</w:t>
      </w:r>
      <w:r>
        <w:t>) руководящих принципов: Распределение доходов лиц наемного труда</w:t>
      </w:r>
      <w:bookmarkEnd w:id="117"/>
      <w:bookmarkEnd w:id="118"/>
      <w:bookmarkEnd w:id="119"/>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133.</w:t>
      </w:r>
      <w:r>
        <w:rPr>
          <w:sz w:val="23"/>
        </w:rPr>
        <w:tab/>
        <w:t>Статистические данные, дающие представление о разбивке доходов лиц наемного труда в частном и государственном секторах, отсутствуют. Аналогичным образом не имеется информации о таких компонентах системы оплаты труда, как "денежное вознаграждение и нефинансовые выгоды".</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134.</w:t>
      </w:r>
      <w:r>
        <w:rPr>
          <w:sz w:val="23"/>
        </w:rPr>
        <w:tab/>
        <w:t>Можно проанализировать итоговые данные об оплате труда в частном секторе и государственном секторе за 1998 год, которые дают следующую среднегодовую заработную плату (рассчитанную путем деления совокупного фонда оплаты труда на количество лиц, работающих с учетом полной занятости):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134"/>
          <w:tab w:val="clear" w:pos="1701"/>
          <w:tab w:val="clear" w:pos="2268"/>
          <w:tab w:val="clear" w:pos="6237"/>
          <w:tab w:val="left" w:pos="1418"/>
          <w:tab w:val="left" w:pos="4253"/>
        </w:tabs>
        <w:spacing w:line="240" w:lineRule="auto"/>
        <w:rPr>
          <w:sz w:val="23"/>
        </w:rPr>
      </w:pPr>
      <w:r>
        <w:rPr>
          <w:sz w:val="23"/>
        </w:rPr>
        <w:tab/>
        <w:t>частный сектор:</w:t>
      </w:r>
      <w:r>
        <w:rPr>
          <w:sz w:val="23"/>
        </w:rPr>
        <w:tab/>
        <w:t>270 000 датских крон</w:t>
      </w:r>
    </w:p>
    <w:p w:rsidR="00000000" w:rsidRDefault="00000000">
      <w:pPr>
        <w:tabs>
          <w:tab w:val="clear" w:pos="567"/>
          <w:tab w:val="clear" w:pos="1134"/>
          <w:tab w:val="clear" w:pos="1701"/>
          <w:tab w:val="clear" w:pos="2268"/>
          <w:tab w:val="clear" w:pos="6237"/>
          <w:tab w:val="left" w:pos="1418"/>
          <w:tab w:val="left" w:pos="4253"/>
        </w:tabs>
        <w:spacing w:line="240" w:lineRule="auto"/>
        <w:rPr>
          <w:sz w:val="23"/>
        </w:rPr>
      </w:pPr>
    </w:p>
    <w:p w:rsidR="00000000" w:rsidRDefault="00000000">
      <w:pPr>
        <w:tabs>
          <w:tab w:val="clear" w:pos="567"/>
          <w:tab w:val="clear" w:pos="1134"/>
          <w:tab w:val="clear" w:pos="1701"/>
          <w:tab w:val="clear" w:pos="2268"/>
          <w:tab w:val="clear" w:pos="6237"/>
          <w:tab w:val="left" w:pos="1418"/>
          <w:tab w:val="left" w:pos="4253"/>
        </w:tabs>
        <w:spacing w:line="240" w:lineRule="auto"/>
        <w:rPr>
          <w:sz w:val="23"/>
        </w:rPr>
      </w:pPr>
      <w:r>
        <w:rPr>
          <w:sz w:val="23"/>
        </w:rPr>
        <w:tab/>
        <w:t xml:space="preserve">государственный сектор: </w:t>
      </w:r>
      <w:r>
        <w:rPr>
          <w:sz w:val="23"/>
        </w:rPr>
        <w:tab/>
        <w:t>248 000 датских крон</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120" w:name="_Toc51496878"/>
      <w:bookmarkStart w:id="121" w:name="_Toc51497045"/>
      <w:bookmarkStart w:id="122" w:name="_Toc51497570"/>
      <w:r>
        <w:t>Пункт 16 а) руководящих принципов: Категории трудящихся, которые не подпадают под действие существующих систем по закону или которые пользуются этими системами в недостаточной степени или не пользуются ими вообще</w:t>
      </w:r>
      <w:bookmarkEnd w:id="120"/>
      <w:bookmarkEnd w:id="121"/>
      <w:bookmarkEnd w:id="122"/>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135.</w:t>
      </w:r>
      <w:r>
        <w:rPr>
          <w:sz w:val="23"/>
        </w:rPr>
        <w:tab/>
        <w:t>Делается ссылка на третий периодический доклад правительства Дании Комитету по экономическим, социальным и культурным правам (Е/1994/104/</w:t>
      </w:r>
      <w:r>
        <w:rPr>
          <w:sz w:val="23"/>
          <w:lang w:val="en-US"/>
        </w:rPr>
        <w:t>Add</w:t>
      </w:r>
      <w:r>
        <w:rPr>
          <w:sz w:val="23"/>
        </w:rPr>
        <w:t>.15).</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136.</w:t>
      </w:r>
      <w:r>
        <w:rPr>
          <w:sz w:val="23"/>
        </w:rPr>
        <w:tab/>
        <w:t>В период с 1994 года по май 2001 года на основании Закона об условиях труда было издано 68 постановлений.</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spacing w:line="230" w:lineRule="auto"/>
      </w:pPr>
      <w:bookmarkStart w:id="123" w:name="_Toc51496879"/>
      <w:bookmarkStart w:id="124" w:name="_Toc51497046"/>
      <w:bookmarkStart w:id="125" w:name="_Toc51497571"/>
      <w:r>
        <w:br w:type="page"/>
        <w:t xml:space="preserve">Пункт 16 </w:t>
      </w:r>
      <w:r>
        <w:rPr>
          <w:lang w:val="en-US"/>
        </w:rPr>
        <w:t>b</w:t>
      </w:r>
      <w:r>
        <w:t>) руководящих принципов: Информация о несчастных случаях на производстве и профессиональных заболеваниях</w:t>
      </w:r>
      <w:bookmarkEnd w:id="123"/>
      <w:bookmarkEnd w:id="124"/>
      <w:bookmarkEnd w:id="125"/>
    </w:p>
    <w:p w:rsidR="00000000" w:rsidRDefault="00000000">
      <w:pPr>
        <w:tabs>
          <w:tab w:val="clear" w:pos="567"/>
          <w:tab w:val="clear" w:pos="1701"/>
          <w:tab w:val="clear" w:pos="2268"/>
          <w:tab w:val="clear" w:pos="6237"/>
          <w:tab w:val="left" w:pos="680"/>
          <w:tab w:val="left" w:pos="1134"/>
        </w:tabs>
        <w:spacing w:line="230" w:lineRule="auto"/>
        <w:rPr>
          <w:b/>
          <w:bCs/>
          <w:sz w:val="23"/>
        </w:rPr>
      </w:pPr>
    </w:p>
    <w:p w:rsidR="00000000" w:rsidRDefault="00000000">
      <w:pPr>
        <w:tabs>
          <w:tab w:val="clear" w:pos="567"/>
          <w:tab w:val="clear" w:pos="1701"/>
          <w:tab w:val="clear" w:pos="2268"/>
          <w:tab w:val="clear" w:pos="6237"/>
          <w:tab w:val="left" w:pos="680"/>
          <w:tab w:val="left" w:pos="1134"/>
        </w:tabs>
        <w:spacing w:line="230" w:lineRule="auto"/>
        <w:rPr>
          <w:sz w:val="23"/>
        </w:rPr>
      </w:pPr>
      <w:r>
        <w:rPr>
          <w:sz w:val="23"/>
        </w:rPr>
        <w:t>137.</w:t>
      </w:r>
      <w:r>
        <w:rPr>
          <w:sz w:val="23"/>
        </w:rPr>
        <w:tab/>
        <w:t>Статистическая информация о количестве зарегистрированных несчастных случаев на производстве в Дании за 1993–2000 годы прилагается.</w:t>
      </w:r>
    </w:p>
    <w:p w:rsidR="00000000" w:rsidRDefault="00000000">
      <w:pPr>
        <w:tabs>
          <w:tab w:val="clear" w:pos="567"/>
          <w:tab w:val="clear" w:pos="1701"/>
          <w:tab w:val="clear" w:pos="2268"/>
          <w:tab w:val="clear" w:pos="6237"/>
          <w:tab w:val="left" w:pos="680"/>
          <w:tab w:val="left" w:pos="1134"/>
        </w:tabs>
        <w:spacing w:line="230" w:lineRule="auto"/>
        <w:rPr>
          <w:sz w:val="23"/>
        </w:rPr>
      </w:pPr>
    </w:p>
    <w:p w:rsidR="00000000" w:rsidRDefault="00000000">
      <w:pPr>
        <w:pStyle w:val="a0"/>
        <w:spacing w:line="230" w:lineRule="auto"/>
      </w:pPr>
      <w:bookmarkStart w:id="126" w:name="_Toc51496880"/>
      <w:bookmarkStart w:id="127" w:name="_Toc51497047"/>
      <w:bookmarkStart w:id="128" w:name="_Toc51497572"/>
      <w:r>
        <w:t>Пункт 17 руководящих принципов: Принцип равных возможностей продвижения по службе</w:t>
      </w:r>
      <w:bookmarkEnd w:id="126"/>
      <w:bookmarkEnd w:id="127"/>
      <w:bookmarkEnd w:id="128"/>
    </w:p>
    <w:p w:rsidR="00000000" w:rsidRDefault="00000000">
      <w:pPr>
        <w:tabs>
          <w:tab w:val="clear" w:pos="567"/>
          <w:tab w:val="clear" w:pos="1701"/>
          <w:tab w:val="clear" w:pos="2268"/>
          <w:tab w:val="clear" w:pos="6237"/>
          <w:tab w:val="left" w:pos="680"/>
          <w:tab w:val="left" w:pos="1134"/>
        </w:tabs>
        <w:spacing w:line="230" w:lineRule="auto"/>
        <w:rPr>
          <w:b/>
          <w:bCs/>
          <w:sz w:val="23"/>
        </w:rPr>
      </w:pPr>
    </w:p>
    <w:p w:rsidR="00000000" w:rsidRDefault="00000000">
      <w:pPr>
        <w:tabs>
          <w:tab w:val="clear" w:pos="567"/>
          <w:tab w:val="clear" w:pos="1701"/>
          <w:tab w:val="clear" w:pos="2268"/>
          <w:tab w:val="clear" w:pos="6237"/>
          <w:tab w:val="left" w:pos="680"/>
          <w:tab w:val="left" w:pos="1134"/>
        </w:tabs>
        <w:spacing w:line="230" w:lineRule="auto"/>
        <w:rPr>
          <w:sz w:val="23"/>
        </w:rPr>
      </w:pPr>
      <w:r>
        <w:rPr>
          <w:sz w:val="23"/>
        </w:rPr>
        <w:t>138.</w:t>
      </w:r>
      <w:r>
        <w:rPr>
          <w:sz w:val="23"/>
        </w:rPr>
        <w:tab/>
        <w:t>Делается ссылка на страницы 32 и 33 пятого периодического доклада правительства Дании об осуществлении Конвенции о ликвидации всех форм дискриминации в отношении женщин (</w:t>
      </w:r>
      <w:r>
        <w:rPr>
          <w:sz w:val="23"/>
          <w:lang w:val="en-US"/>
        </w:rPr>
        <w:t>CEDAW</w:t>
      </w:r>
      <w:r>
        <w:rPr>
          <w:sz w:val="23"/>
        </w:rPr>
        <w:t>/</w:t>
      </w:r>
      <w:r>
        <w:rPr>
          <w:sz w:val="23"/>
          <w:lang w:val="en-US"/>
        </w:rPr>
        <w:t>C</w:t>
      </w:r>
      <w:r>
        <w:rPr>
          <w:sz w:val="23"/>
        </w:rPr>
        <w:t>/</w:t>
      </w:r>
      <w:r>
        <w:rPr>
          <w:sz w:val="23"/>
          <w:lang w:val="en-US"/>
        </w:rPr>
        <w:t>DEN</w:t>
      </w:r>
      <w:r>
        <w:rPr>
          <w:sz w:val="23"/>
        </w:rPr>
        <w:t>/5).</w:t>
      </w:r>
    </w:p>
    <w:p w:rsidR="00000000" w:rsidRDefault="00000000">
      <w:pPr>
        <w:tabs>
          <w:tab w:val="clear" w:pos="567"/>
          <w:tab w:val="clear" w:pos="1701"/>
          <w:tab w:val="clear" w:pos="2268"/>
          <w:tab w:val="clear" w:pos="6237"/>
          <w:tab w:val="left" w:pos="680"/>
          <w:tab w:val="left" w:pos="1134"/>
        </w:tabs>
        <w:spacing w:line="230" w:lineRule="auto"/>
        <w:rPr>
          <w:sz w:val="23"/>
        </w:rPr>
      </w:pPr>
    </w:p>
    <w:p w:rsidR="00000000" w:rsidRDefault="00000000">
      <w:pPr>
        <w:tabs>
          <w:tab w:val="clear" w:pos="567"/>
          <w:tab w:val="clear" w:pos="1701"/>
          <w:tab w:val="clear" w:pos="2268"/>
          <w:tab w:val="clear" w:pos="6237"/>
          <w:tab w:val="left" w:pos="680"/>
          <w:tab w:val="left" w:pos="1134"/>
        </w:tabs>
        <w:spacing w:line="230" w:lineRule="auto"/>
        <w:rPr>
          <w:sz w:val="23"/>
        </w:rPr>
      </w:pPr>
      <w:r>
        <w:rPr>
          <w:sz w:val="23"/>
        </w:rPr>
        <w:t>139.</w:t>
      </w:r>
      <w:r>
        <w:rPr>
          <w:sz w:val="23"/>
        </w:rPr>
        <w:tab/>
        <w:t>В связи с принятием Закона № 440 от 7 июня 2001 года в порядке осуществления Директивы о совместном бремени доказывания (90/87/ЕЕС) в сферах деятельности, касающихся равного обращения и равной платы, введен принцип совместного бремени доказывания.</w:t>
      </w:r>
    </w:p>
    <w:p w:rsidR="00000000" w:rsidRDefault="00000000">
      <w:pPr>
        <w:tabs>
          <w:tab w:val="clear" w:pos="567"/>
          <w:tab w:val="clear" w:pos="1701"/>
          <w:tab w:val="clear" w:pos="2268"/>
          <w:tab w:val="clear" w:pos="6237"/>
          <w:tab w:val="left" w:pos="680"/>
          <w:tab w:val="left" w:pos="1134"/>
        </w:tabs>
        <w:spacing w:line="230" w:lineRule="auto"/>
        <w:rPr>
          <w:sz w:val="23"/>
        </w:rPr>
      </w:pPr>
    </w:p>
    <w:p w:rsidR="00000000" w:rsidRDefault="00000000">
      <w:pPr>
        <w:pStyle w:val="a0"/>
        <w:spacing w:line="230" w:lineRule="auto"/>
      </w:pPr>
      <w:bookmarkStart w:id="129" w:name="_Toc51496881"/>
      <w:bookmarkStart w:id="130" w:name="_Toc51497048"/>
      <w:bookmarkStart w:id="131" w:name="_Toc51497573"/>
      <w:r>
        <w:t>Пункт 18 руководящих принципов: Отдых и оплачиваемые выходные дни</w:t>
      </w:r>
      <w:bookmarkEnd w:id="129"/>
      <w:bookmarkEnd w:id="130"/>
      <w:bookmarkEnd w:id="131"/>
    </w:p>
    <w:p w:rsidR="00000000" w:rsidRDefault="00000000">
      <w:pPr>
        <w:tabs>
          <w:tab w:val="clear" w:pos="567"/>
          <w:tab w:val="clear" w:pos="1701"/>
          <w:tab w:val="clear" w:pos="2268"/>
          <w:tab w:val="clear" w:pos="6237"/>
          <w:tab w:val="left" w:pos="680"/>
          <w:tab w:val="left" w:pos="1134"/>
        </w:tabs>
        <w:spacing w:line="230" w:lineRule="auto"/>
        <w:rPr>
          <w:b/>
          <w:bCs/>
          <w:sz w:val="23"/>
        </w:rPr>
      </w:pPr>
    </w:p>
    <w:p w:rsidR="00000000" w:rsidRDefault="00000000">
      <w:pPr>
        <w:tabs>
          <w:tab w:val="clear" w:pos="567"/>
          <w:tab w:val="clear" w:pos="1701"/>
          <w:tab w:val="clear" w:pos="2268"/>
          <w:tab w:val="clear" w:pos="6237"/>
          <w:tab w:val="left" w:pos="680"/>
          <w:tab w:val="left" w:pos="1134"/>
        </w:tabs>
        <w:spacing w:line="230" w:lineRule="auto"/>
        <w:rPr>
          <w:sz w:val="23"/>
        </w:rPr>
      </w:pPr>
      <w:r>
        <w:rPr>
          <w:sz w:val="23"/>
        </w:rPr>
        <w:t>140.</w:t>
      </w:r>
      <w:r>
        <w:rPr>
          <w:sz w:val="23"/>
        </w:rPr>
        <w:tab/>
        <w:t>Со времени представления третьего периодического доклада правительства Дании Комитету по экономическим, социальным и культурным правам (Е/1994/104/Add.15) никаких изменений не произошло.</w:t>
      </w:r>
    </w:p>
    <w:p w:rsidR="00000000" w:rsidRDefault="00000000">
      <w:pPr>
        <w:tabs>
          <w:tab w:val="clear" w:pos="567"/>
          <w:tab w:val="clear" w:pos="1701"/>
          <w:tab w:val="clear" w:pos="2268"/>
          <w:tab w:val="clear" w:pos="6237"/>
          <w:tab w:val="left" w:pos="680"/>
          <w:tab w:val="left" w:pos="1134"/>
        </w:tabs>
        <w:spacing w:line="230" w:lineRule="auto"/>
        <w:rPr>
          <w:sz w:val="23"/>
        </w:rPr>
      </w:pPr>
    </w:p>
    <w:p w:rsidR="00000000" w:rsidRDefault="00000000">
      <w:pPr>
        <w:pStyle w:val="a0"/>
        <w:spacing w:line="230" w:lineRule="auto"/>
      </w:pPr>
      <w:bookmarkStart w:id="132" w:name="_Toc51496882"/>
      <w:bookmarkStart w:id="133" w:name="_Toc51497049"/>
      <w:bookmarkStart w:id="134" w:name="_Toc51497574"/>
      <w:r>
        <w:t>Пункт 19 руководящих принципов: Изменения с момента представления предыдущего доклада</w:t>
      </w:r>
      <w:bookmarkEnd w:id="132"/>
      <w:bookmarkEnd w:id="133"/>
      <w:bookmarkEnd w:id="134"/>
    </w:p>
    <w:p w:rsidR="00000000" w:rsidRDefault="00000000">
      <w:pPr>
        <w:tabs>
          <w:tab w:val="clear" w:pos="567"/>
          <w:tab w:val="clear" w:pos="1701"/>
          <w:tab w:val="clear" w:pos="2268"/>
          <w:tab w:val="clear" w:pos="6237"/>
          <w:tab w:val="left" w:pos="680"/>
          <w:tab w:val="left" w:pos="1134"/>
        </w:tabs>
        <w:spacing w:line="230" w:lineRule="auto"/>
        <w:rPr>
          <w:b/>
          <w:bCs/>
          <w:sz w:val="23"/>
        </w:rPr>
      </w:pPr>
    </w:p>
    <w:p w:rsidR="00000000" w:rsidRDefault="00000000">
      <w:pPr>
        <w:tabs>
          <w:tab w:val="clear" w:pos="567"/>
          <w:tab w:val="clear" w:pos="1701"/>
          <w:tab w:val="clear" w:pos="2268"/>
          <w:tab w:val="clear" w:pos="6237"/>
          <w:tab w:val="left" w:pos="680"/>
          <w:tab w:val="left" w:pos="1134"/>
        </w:tabs>
        <w:spacing w:line="230" w:lineRule="auto"/>
        <w:rPr>
          <w:sz w:val="23"/>
        </w:rPr>
      </w:pPr>
      <w:r>
        <w:rPr>
          <w:sz w:val="23"/>
        </w:rPr>
        <w:t>141.</w:t>
      </w:r>
      <w:r>
        <w:rPr>
          <w:sz w:val="23"/>
        </w:rPr>
        <w:tab/>
        <w:t>Любые прои</w:t>
      </w:r>
      <w:r>
        <w:rPr>
          <w:sz w:val="23"/>
          <w:lang w:val="en-US"/>
        </w:rPr>
        <w:t>c</w:t>
      </w:r>
      <w:r>
        <w:rPr>
          <w:sz w:val="23"/>
        </w:rPr>
        <w:t>шедшие изменения уже рассматривались в соответствующих разделах выше.</w:t>
      </w:r>
    </w:p>
    <w:p w:rsidR="00000000" w:rsidRDefault="00000000">
      <w:pPr>
        <w:tabs>
          <w:tab w:val="clear" w:pos="567"/>
          <w:tab w:val="clear" w:pos="1701"/>
          <w:tab w:val="clear" w:pos="2268"/>
          <w:tab w:val="clear" w:pos="6237"/>
          <w:tab w:val="left" w:pos="680"/>
          <w:tab w:val="left" w:pos="1134"/>
        </w:tabs>
        <w:spacing w:line="230" w:lineRule="auto"/>
        <w:rPr>
          <w:sz w:val="23"/>
        </w:rPr>
      </w:pPr>
    </w:p>
    <w:p w:rsidR="00000000" w:rsidRDefault="00000000">
      <w:pPr>
        <w:pStyle w:val="a0"/>
        <w:spacing w:line="230" w:lineRule="auto"/>
      </w:pPr>
      <w:bookmarkStart w:id="135" w:name="_Toc51496883"/>
      <w:bookmarkStart w:id="136" w:name="_Toc51497050"/>
      <w:bookmarkStart w:id="137" w:name="_Toc51497575"/>
      <w:r>
        <w:t>Пункт 20 руководящих принципов: Роль международной помощи</w:t>
      </w:r>
      <w:bookmarkEnd w:id="135"/>
      <w:bookmarkEnd w:id="136"/>
      <w:bookmarkEnd w:id="137"/>
    </w:p>
    <w:p w:rsidR="00000000" w:rsidRDefault="00000000">
      <w:pPr>
        <w:tabs>
          <w:tab w:val="clear" w:pos="567"/>
          <w:tab w:val="clear" w:pos="1701"/>
          <w:tab w:val="clear" w:pos="2268"/>
          <w:tab w:val="clear" w:pos="6237"/>
          <w:tab w:val="left" w:pos="680"/>
          <w:tab w:val="left" w:pos="1134"/>
        </w:tabs>
        <w:spacing w:line="230" w:lineRule="auto"/>
        <w:rPr>
          <w:b/>
          <w:bCs/>
          <w:sz w:val="23"/>
        </w:rPr>
      </w:pPr>
    </w:p>
    <w:p w:rsidR="00000000" w:rsidRDefault="00000000">
      <w:pPr>
        <w:tabs>
          <w:tab w:val="clear" w:pos="567"/>
          <w:tab w:val="clear" w:pos="1701"/>
          <w:tab w:val="clear" w:pos="2268"/>
          <w:tab w:val="clear" w:pos="6237"/>
          <w:tab w:val="left" w:pos="680"/>
          <w:tab w:val="left" w:pos="1134"/>
        </w:tabs>
        <w:spacing w:line="230" w:lineRule="auto"/>
        <w:rPr>
          <w:sz w:val="23"/>
        </w:rPr>
      </w:pPr>
      <w:r>
        <w:rPr>
          <w:sz w:val="23"/>
        </w:rPr>
        <w:t>142.</w:t>
      </w:r>
      <w:r>
        <w:rPr>
          <w:sz w:val="23"/>
        </w:rPr>
        <w:tab/>
        <w:t>Дания не получает международную помощь.</w:t>
      </w:r>
    </w:p>
    <w:p w:rsidR="00000000" w:rsidRDefault="00000000">
      <w:pPr>
        <w:tabs>
          <w:tab w:val="clear" w:pos="567"/>
          <w:tab w:val="clear" w:pos="1701"/>
          <w:tab w:val="clear" w:pos="2268"/>
          <w:tab w:val="clear" w:pos="6237"/>
          <w:tab w:val="left" w:pos="680"/>
          <w:tab w:val="left" w:pos="1134"/>
        </w:tabs>
        <w:spacing w:line="230" w:lineRule="auto"/>
        <w:rPr>
          <w:sz w:val="23"/>
        </w:rPr>
      </w:pPr>
    </w:p>
    <w:p w:rsidR="00000000" w:rsidRDefault="00000000">
      <w:pPr>
        <w:tabs>
          <w:tab w:val="clear" w:pos="567"/>
          <w:tab w:val="clear" w:pos="1701"/>
          <w:tab w:val="clear" w:pos="2268"/>
          <w:tab w:val="clear" w:pos="6237"/>
          <w:tab w:val="left" w:pos="680"/>
          <w:tab w:val="left" w:pos="1134"/>
        </w:tabs>
        <w:spacing w:line="230" w:lineRule="auto"/>
        <w:rPr>
          <w:sz w:val="23"/>
        </w:rPr>
      </w:pPr>
    </w:p>
    <w:p w:rsidR="00000000" w:rsidRDefault="00000000">
      <w:pPr>
        <w:pStyle w:val="a"/>
        <w:spacing w:line="230" w:lineRule="auto"/>
      </w:pPr>
      <w:bookmarkStart w:id="138" w:name="_Toc51496884"/>
      <w:bookmarkStart w:id="139" w:name="_Toc51497051"/>
      <w:bookmarkStart w:id="140" w:name="_Toc51497576"/>
      <w:r>
        <w:t>Статья 8</w:t>
      </w:r>
      <w:bookmarkEnd w:id="138"/>
      <w:bookmarkEnd w:id="139"/>
      <w:bookmarkEnd w:id="140"/>
    </w:p>
    <w:p w:rsidR="00000000" w:rsidRDefault="00000000">
      <w:pPr>
        <w:pStyle w:val="a"/>
        <w:spacing w:line="230" w:lineRule="auto"/>
      </w:pPr>
    </w:p>
    <w:p w:rsidR="00000000" w:rsidRDefault="00000000">
      <w:pPr>
        <w:pStyle w:val="a"/>
        <w:spacing w:line="230" w:lineRule="auto"/>
      </w:pPr>
      <w:bookmarkStart w:id="141" w:name="_Toc51496885"/>
      <w:bookmarkStart w:id="142" w:name="_Toc51497052"/>
      <w:bookmarkStart w:id="143" w:name="_Toc51497577"/>
      <w:r>
        <w:t>Профсоюзы</w:t>
      </w:r>
      <w:bookmarkEnd w:id="141"/>
      <w:bookmarkEnd w:id="142"/>
      <w:bookmarkEnd w:id="143"/>
    </w:p>
    <w:p w:rsidR="00000000" w:rsidRDefault="00000000">
      <w:pPr>
        <w:tabs>
          <w:tab w:val="clear" w:pos="567"/>
          <w:tab w:val="clear" w:pos="1701"/>
          <w:tab w:val="clear" w:pos="2268"/>
          <w:tab w:val="clear" w:pos="6237"/>
          <w:tab w:val="left" w:pos="680"/>
          <w:tab w:val="left" w:pos="1134"/>
        </w:tabs>
        <w:spacing w:line="230" w:lineRule="auto"/>
        <w:jc w:val="center"/>
        <w:rPr>
          <w:b/>
          <w:bCs/>
          <w:sz w:val="23"/>
        </w:rPr>
      </w:pPr>
    </w:p>
    <w:p w:rsidR="00000000" w:rsidRDefault="00000000">
      <w:pPr>
        <w:pStyle w:val="a0"/>
        <w:spacing w:line="230" w:lineRule="auto"/>
      </w:pPr>
      <w:bookmarkStart w:id="144" w:name="_Toc51496886"/>
      <w:bookmarkStart w:id="145" w:name="_Toc51497053"/>
      <w:bookmarkStart w:id="146" w:name="_Toc51497578"/>
      <w:r>
        <w:t>Пункт 21 руководящих принципов: Ссылки на другие доклады</w:t>
      </w:r>
      <w:bookmarkEnd w:id="144"/>
      <w:bookmarkEnd w:id="145"/>
      <w:bookmarkEnd w:id="146"/>
    </w:p>
    <w:p w:rsidR="00000000" w:rsidRDefault="00000000">
      <w:pPr>
        <w:tabs>
          <w:tab w:val="clear" w:pos="567"/>
          <w:tab w:val="clear" w:pos="1701"/>
          <w:tab w:val="clear" w:pos="2268"/>
          <w:tab w:val="clear" w:pos="6237"/>
          <w:tab w:val="left" w:pos="680"/>
          <w:tab w:val="left" w:pos="1134"/>
        </w:tabs>
        <w:spacing w:line="230" w:lineRule="auto"/>
        <w:rPr>
          <w:b/>
          <w:bCs/>
          <w:sz w:val="23"/>
        </w:rPr>
      </w:pPr>
    </w:p>
    <w:p w:rsidR="00000000" w:rsidRDefault="00000000">
      <w:pPr>
        <w:tabs>
          <w:tab w:val="clear" w:pos="567"/>
          <w:tab w:val="clear" w:pos="1701"/>
          <w:tab w:val="clear" w:pos="2268"/>
          <w:tab w:val="clear" w:pos="6237"/>
          <w:tab w:val="left" w:pos="680"/>
          <w:tab w:val="left" w:pos="1134"/>
        </w:tabs>
        <w:spacing w:line="230" w:lineRule="auto"/>
        <w:rPr>
          <w:sz w:val="23"/>
        </w:rPr>
      </w:pPr>
      <w:r>
        <w:rPr>
          <w:sz w:val="23"/>
        </w:rPr>
        <w:t>143.</w:t>
      </w:r>
      <w:r>
        <w:rPr>
          <w:sz w:val="23"/>
        </w:rPr>
        <w:tab/>
        <w:t>Делается ссылка на третий периодический доклад, представленный правительством Дании Комитету по экономическим, социальным и культурным правам (Е/1994/104/Add.15), и на доклады, представленные Международной организации труда и касающиеся осуществления следующих конвенций МОТ (в скобках указывается год представления последнего доклада):</w:t>
      </w:r>
    </w:p>
    <w:p w:rsidR="00000000" w:rsidRDefault="00000000">
      <w:pPr>
        <w:tabs>
          <w:tab w:val="clear" w:pos="567"/>
          <w:tab w:val="clear" w:pos="1701"/>
          <w:tab w:val="clear" w:pos="2268"/>
          <w:tab w:val="clear" w:pos="6237"/>
          <w:tab w:val="left" w:pos="680"/>
          <w:tab w:val="left" w:pos="1134"/>
        </w:tabs>
        <w:spacing w:line="230" w:lineRule="auto"/>
        <w:rPr>
          <w:sz w:val="23"/>
        </w:rPr>
      </w:pPr>
    </w:p>
    <w:p w:rsidR="00000000" w:rsidRDefault="00000000">
      <w:pPr>
        <w:tabs>
          <w:tab w:val="clear" w:pos="567"/>
          <w:tab w:val="clear" w:pos="1701"/>
          <w:tab w:val="clear" w:pos="2268"/>
          <w:tab w:val="clear" w:pos="6237"/>
          <w:tab w:val="left" w:pos="680"/>
          <w:tab w:val="left" w:pos="1134"/>
        </w:tabs>
        <w:spacing w:line="230" w:lineRule="auto"/>
        <w:rPr>
          <w:sz w:val="23"/>
        </w:rPr>
      </w:pPr>
      <w:r>
        <w:rPr>
          <w:sz w:val="23"/>
        </w:rPr>
        <w:tab/>
        <w:t>Конвенции № 87 о свободе ассоциации и защите права на организацию (2000 год)</w:t>
      </w:r>
    </w:p>
    <w:p w:rsidR="00000000" w:rsidRDefault="00000000">
      <w:pPr>
        <w:tabs>
          <w:tab w:val="clear" w:pos="567"/>
          <w:tab w:val="clear" w:pos="1701"/>
          <w:tab w:val="clear" w:pos="2268"/>
          <w:tab w:val="clear" w:pos="6237"/>
          <w:tab w:val="left" w:pos="680"/>
          <w:tab w:val="left" w:pos="1134"/>
        </w:tabs>
        <w:spacing w:line="230" w:lineRule="auto"/>
        <w:rPr>
          <w:sz w:val="23"/>
        </w:rPr>
      </w:pPr>
    </w:p>
    <w:p w:rsidR="00000000" w:rsidRDefault="00000000">
      <w:pPr>
        <w:tabs>
          <w:tab w:val="clear" w:pos="567"/>
          <w:tab w:val="clear" w:pos="1701"/>
          <w:tab w:val="clear" w:pos="2268"/>
          <w:tab w:val="clear" w:pos="6237"/>
          <w:tab w:val="left" w:pos="680"/>
          <w:tab w:val="left" w:pos="1134"/>
        </w:tabs>
        <w:spacing w:line="230" w:lineRule="auto"/>
        <w:ind w:left="680" w:hanging="680"/>
        <w:rPr>
          <w:sz w:val="23"/>
        </w:rPr>
      </w:pPr>
      <w:r>
        <w:rPr>
          <w:sz w:val="23"/>
        </w:rPr>
        <w:tab/>
        <w:t>Конвенции № 98 о праве на организацию и на ведение коллективных переговоров (1999 год)</w:t>
      </w:r>
    </w:p>
    <w:p w:rsidR="00000000" w:rsidRDefault="00000000">
      <w:pPr>
        <w:tabs>
          <w:tab w:val="clear" w:pos="567"/>
          <w:tab w:val="clear" w:pos="1701"/>
          <w:tab w:val="clear" w:pos="2268"/>
          <w:tab w:val="clear" w:pos="6237"/>
          <w:tab w:val="left" w:pos="680"/>
          <w:tab w:val="left" w:pos="1134"/>
        </w:tabs>
        <w:spacing w:line="230" w:lineRule="auto"/>
        <w:rPr>
          <w:sz w:val="23"/>
        </w:rPr>
      </w:pPr>
    </w:p>
    <w:p w:rsidR="00000000" w:rsidRDefault="00000000">
      <w:pPr>
        <w:tabs>
          <w:tab w:val="clear" w:pos="567"/>
          <w:tab w:val="clear" w:pos="1701"/>
          <w:tab w:val="clear" w:pos="2268"/>
          <w:tab w:val="clear" w:pos="6237"/>
          <w:tab w:val="left" w:pos="680"/>
          <w:tab w:val="left" w:pos="1134"/>
        </w:tabs>
        <w:spacing w:line="230" w:lineRule="auto"/>
        <w:rPr>
          <w:sz w:val="23"/>
        </w:rPr>
      </w:pPr>
      <w:r>
        <w:rPr>
          <w:sz w:val="23"/>
        </w:rPr>
        <w:tab/>
        <w:t>Конвенции № 151 о трудовых отношениях (государственная служба) (1999 год)</w:t>
      </w:r>
    </w:p>
    <w:p w:rsidR="00000000" w:rsidRDefault="00000000">
      <w:pPr>
        <w:pStyle w:val="a0"/>
      </w:pPr>
      <w:bookmarkStart w:id="147" w:name="_Toc51496887"/>
      <w:bookmarkStart w:id="148" w:name="_Toc51497054"/>
      <w:bookmarkStart w:id="149" w:name="_Toc51497579"/>
      <w:r>
        <w:t>Пункт 22 а)–е) руководящих принципов: Условия для вступления в профсоюзы и создания профсоюзов</w:t>
      </w:r>
      <w:bookmarkEnd w:id="147"/>
      <w:bookmarkEnd w:id="148"/>
      <w:bookmarkEnd w:id="149"/>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144.</w:t>
      </w:r>
      <w:r>
        <w:rPr>
          <w:sz w:val="23"/>
        </w:rPr>
        <w:tab/>
        <w:t>С момента представления третьего периодического доклада правительства Дании Комитету по экономическим, социальным и культурным правам (Е/1994/104/Add.15) никаких изменений не произошло.</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150" w:name="_Toc51496888"/>
      <w:bookmarkStart w:id="151" w:name="_Toc51497055"/>
      <w:bookmarkStart w:id="152" w:name="_Toc51497580"/>
      <w:r>
        <w:t>Пункт 23 руководящих принципов: Право на забастовки</w:t>
      </w:r>
      <w:bookmarkEnd w:id="150"/>
      <w:bookmarkEnd w:id="151"/>
      <w:bookmarkEnd w:id="152"/>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145.</w:t>
      </w:r>
      <w:r>
        <w:rPr>
          <w:sz w:val="23"/>
        </w:rPr>
        <w:tab/>
        <w:t>Социальная хартия сообщества 1989 года предусматривает право на осуществление коллективных действий в случае столкновения интересов, включая право на забастовки, при условии соблюдения обязательств, установленных в национальных нормативных актах и коллективных соглашениях.</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146.</w:t>
      </w:r>
      <w:r>
        <w:rPr>
          <w:sz w:val="23"/>
        </w:rPr>
        <w:tab/>
        <w:t>Кроме того, можно сослаться на раздел третьего периодического доклада правительства Дании Комитету по экономическим, социальным и культурным правам (Е/1994/104/Add.15), посвященный статье 8 Пакта, пункты 3 и 4.</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147.</w:t>
      </w:r>
      <w:r>
        <w:rPr>
          <w:sz w:val="23"/>
        </w:rPr>
        <w:tab/>
        <w:t>Что касается права на забастовки учителей государственных начальных и младших средних школ, то этот вопрос рассматривался МОТ в связи с жалобой, поданной на датское правительство в связи с нарушением права на свободу организации. Можно сослаться на дело, зарегистрированное МОТ под № 1950. Рекомендация, вынесенная по этому делу, гласит, в частности, следующее: "Комитет просит правительство принять необходимые меры для обеспечения того, чтобы все учителя безотносительно их статуса в качестве государственных служащих имели право на забастовки, и сообщить ему информацию о достигнутом в этой области прогрессе".</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148.</w:t>
      </w:r>
      <w:r>
        <w:rPr>
          <w:sz w:val="23"/>
        </w:rPr>
        <w:tab/>
        <w:t>Впоследствии между социальными партнерами были проведены переговоры, касающиеся решения по этому делу. В результате переговоров было достигнуто согласие о том, что "в порядке последующей меры по выполнению рекомендаций, вынесенных МОТ по делу № 1950, нет необходимости принимать какое-либо законодательство с целью предоставления государственным служащим возможности для инициирования промышленных конфликтов". Таким образом, социальные партнеры заявили о том, что они не будут предпринимать никаких дальнейших действий в этом отношении.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153" w:name="_Toc51496889"/>
      <w:bookmarkStart w:id="154" w:name="_Toc51497056"/>
      <w:bookmarkStart w:id="155" w:name="_Toc51497581"/>
      <w:r>
        <w:t>Пункт 24 руководящих принципов: Ограничение права на забастовки</w:t>
      </w:r>
      <w:bookmarkEnd w:id="153"/>
      <w:bookmarkEnd w:id="154"/>
      <w:bookmarkEnd w:id="155"/>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149.</w:t>
      </w:r>
      <w:r>
        <w:rPr>
          <w:sz w:val="23"/>
        </w:rPr>
        <w:tab/>
        <w:t>Какие-либо условия, ограничивающие вступление в профсоюз или создание профсоюза, отсутствуют. Власти никак не ограничивают право каждого человека на вступление в соответствующие организации или на их создание.</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150.</w:t>
      </w:r>
      <w:r>
        <w:rPr>
          <w:sz w:val="23"/>
        </w:rPr>
        <w:tab/>
        <w:t xml:space="preserve">Датская система производственных отношений характеризуется значительной степенью "юридификации". Существует важное "обязательство об общественном спокойствии", т. е. обязательство профсоюза, являющегося стороной коллективного соглашения, и зачастую также его членов (отдельных трудящихся) воздерживаться от промышленных конфликтов (забастовок, захвата предприятия, пикетирования) при наличии действующего коллективного соглашения.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r>
        <w:br w:type="page"/>
      </w:r>
      <w:bookmarkStart w:id="156" w:name="_Toc51496890"/>
      <w:bookmarkStart w:id="157" w:name="_Toc51497057"/>
      <w:bookmarkStart w:id="158" w:name="_Toc51497582"/>
      <w:r>
        <w:t>Пункт 25 руководящих принципов: Изменения с момента представления предыдущего доклада</w:t>
      </w:r>
      <w:bookmarkEnd w:id="156"/>
      <w:bookmarkEnd w:id="157"/>
      <w:bookmarkEnd w:id="158"/>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151.</w:t>
      </w:r>
      <w:r>
        <w:rPr>
          <w:sz w:val="23"/>
        </w:rPr>
        <w:tab/>
        <w:t>Любые произошедшие изменения уже рассматривались в соответствующих разделах выше.</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
      </w:pPr>
      <w:bookmarkStart w:id="159" w:name="_Toc51496891"/>
      <w:bookmarkStart w:id="160" w:name="_Toc51497058"/>
      <w:bookmarkStart w:id="161" w:name="_Toc51497583"/>
      <w:r>
        <w:t>Статья 9</w:t>
      </w:r>
      <w:bookmarkEnd w:id="159"/>
      <w:bookmarkEnd w:id="160"/>
      <w:bookmarkEnd w:id="161"/>
    </w:p>
    <w:p w:rsidR="00000000" w:rsidRDefault="00000000">
      <w:pPr>
        <w:pStyle w:val="a"/>
      </w:pPr>
    </w:p>
    <w:p w:rsidR="00000000" w:rsidRDefault="00000000">
      <w:pPr>
        <w:pStyle w:val="a"/>
      </w:pPr>
      <w:bookmarkStart w:id="162" w:name="_Toc51496892"/>
      <w:bookmarkStart w:id="163" w:name="_Toc51497059"/>
      <w:bookmarkStart w:id="164" w:name="_Toc51497584"/>
      <w:r>
        <w:t>Социальное обеспечение</w:t>
      </w:r>
      <w:bookmarkEnd w:id="162"/>
      <w:bookmarkEnd w:id="163"/>
      <w:bookmarkEnd w:id="164"/>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pStyle w:val="a0"/>
        <w:rPr>
          <w:spacing w:val="-2"/>
        </w:rPr>
      </w:pPr>
      <w:bookmarkStart w:id="165" w:name="_Toc51496893"/>
      <w:bookmarkStart w:id="166" w:name="_Toc51497060"/>
      <w:bookmarkStart w:id="167" w:name="_Toc51497585"/>
      <w:r>
        <w:rPr>
          <w:spacing w:val="-2"/>
        </w:rPr>
        <w:t>Пункт 26 руководящих принципов: Социальное обеспечение в соответствии с нормами МОТ</w:t>
      </w:r>
      <w:bookmarkEnd w:id="165"/>
      <w:bookmarkEnd w:id="166"/>
      <w:bookmarkEnd w:id="167"/>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152.</w:t>
      </w:r>
      <w:r>
        <w:rPr>
          <w:sz w:val="23"/>
        </w:rPr>
        <w:tab/>
        <w:t>Дания ратифицировала Конвенцию МОТ № 102.</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168" w:name="_Toc51496894"/>
      <w:bookmarkStart w:id="169" w:name="_Toc51497061"/>
      <w:bookmarkStart w:id="170" w:name="_Toc51497586"/>
      <w:r>
        <w:t>Пункт 27 руководящих принципов: Категории социального обеспечения</w:t>
      </w:r>
      <w:bookmarkEnd w:id="168"/>
      <w:bookmarkEnd w:id="169"/>
      <w:bookmarkEnd w:id="170"/>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153.</w:t>
      </w:r>
      <w:r>
        <w:rPr>
          <w:sz w:val="23"/>
        </w:rPr>
        <w:tab/>
        <w:t>Существуют все упоминаемые категории социального обеспечения.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171" w:name="_Toc51496895"/>
      <w:bookmarkStart w:id="172" w:name="_Toc51497062"/>
      <w:bookmarkStart w:id="173" w:name="_Toc51497587"/>
      <w:r>
        <w:t>Пункт 28 руководящих принципов: Основная характеристика различных схем</w:t>
      </w:r>
      <w:bookmarkEnd w:id="171"/>
      <w:bookmarkEnd w:id="172"/>
      <w:bookmarkEnd w:id="173"/>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b/>
          <w:bCs/>
          <w:sz w:val="23"/>
        </w:rPr>
      </w:pPr>
      <w:r>
        <w:rPr>
          <w:b/>
          <w:bCs/>
          <w:sz w:val="23"/>
        </w:rPr>
        <w:t>Социальные пенсии</w:t>
      </w:r>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154.</w:t>
      </w:r>
      <w:r>
        <w:rPr>
          <w:sz w:val="23"/>
        </w:rPr>
        <w:tab/>
        <w:t>В Дании пожилые люди, лица с ограниченной трудоспособностью и некоторые другие категории населения получают содержание в порядке помощи в соответствии с Законом о социальных пенсиях. Государственная пенсия по старости выплачивается всем престарелым в возрасте старше 67 лет, а досрочная пенсия выплачивается людям в возрасте 18–66 лет, которые в силу своей ограниченной трудоспособности не могут получать доход, полностью или в определенной степени обеспечивающий им средства к существованию.</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b/>
          <w:bCs/>
          <w:sz w:val="23"/>
        </w:rPr>
      </w:pPr>
      <w:r>
        <w:rPr>
          <w:b/>
          <w:bCs/>
          <w:sz w:val="23"/>
        </w:rPr>
        <w:t>Пенсия по старости</w:t>
      </w:r>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155.</w:t>
      </w:r>
      <w:r>
        <w:rPr>
          <w:sz w:val="23"/>
        </w:rPr>
        <w:tab/>
        <w:t xml:space="preserve"> Государственная пенсия по старости является в Дании базовой пенсией, обеспечивающей содержание всем пожилым людям по достижении ими 67 лет. Государственная пенсия по старости финансируется из бюджета центрального правительства, не строится на принципах страхования и не зависит от предыдущего положения соответствующего лица на рынке труда. Лица, которые ранее никогда не работали, например домашние хозяйки, также получают пенсию по старости по достижении 67 лет.</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156.</w:t>
      </w:r>
      <w:r>
        <w:rPr>
          <w:sz w:val="23"/>
        </w:rPr>
        <w:tab/>
        <w:t xml:space="preserve">В 2004 году для лиц, родившихся 1 июля 1939 года или позднее, возраст, дающий право на получение пенсии по старости, будет снижен с 67 до 65 лет.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157.</w:t>
      </w:r>
      <w:r>
        <w:rPr>
          <w:sz w:val="23"/>
        </w:rPr>
        <w:tab/>
        <w:t xml:space="preserve">Государственная пенсия по старости обеспечивает всем престарелым базовый доход, который с политической точки зрения считается справедливым. Установленный уровень дохода следует рассматривать с учетом того факта, что лица, получающие государственную пенсию по старости, могут пользоваться рядом специальных льгот (благоприятным режимом получения жилищных пособий, пособиями на отопление, пособиями на здравоохранение, скидками в плане налогообложения жилья, занимаемого ими как собственниками), большинство из которых зависят от дохода и имущества того или иного пенсионера. Кроме того, с учетом конкретной оценки личных потребностей пенсионерам, находящимся в особо стесненных обстоятельствах, может предоставляться персональное пособие. При анализе государственной пенсионной системы следует также принимать во внимание тот факт, что пенсионеры имеют право на получение ряда бесплатных услуг, таких, как помощь на дому и больничное лечение.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35" w:lineRule="auto"/>
        <w:rPr>
          <w:sz w:val="23"/>
        </w:rPr>
      </w:pPr>
      <w:r>
        <w:rPr>
          <w:sz w:val="23"/>
        </w:rPr>
        <w:t>158.</w:t>
      </w:r>
      <w:r>
        <w:rPr>
          <w:sz w:val="23"/>
        </w:rPr>
        <w:tab/>
        <w:t>В принципе всем выплачивается одна и та же пенсия по старости. Однако размеры пенсии зависят от уровня дохода (см. ниже). Пенсионная система строится на принципе, предполагающем желательность увеличения размеров пенсии за счет дополнительных доходов, обеспечиваемых участием в частных пенсионных фондах или иных сберегательных программах.</w:t>
      </w:r>
    </w:p>
    <w:p w:rsidR="00000000" w:rsidRDefault="00000000">
      <w:pPr>
        <w:tabs>
          <w:tab w:val="clear" w:pos="567"/>
          <w:tab w:val="clear" w:pos="1701"/>
          <w:tab w:val="clear" w:pos="2268"/>
          <w:tab w:val="clear" w:pos="6237"/>
          <w:tab w:val="left" w:pos="680"/>
          <w:tab w:val="left" w:pos="1134"/>
        </w:tabs>
        <w:spacing w:line="235" w:lineRule="auto"/>
        <w:rPr>
          <w:sz w:val="23"/>
        </w:rPr>
      </w:pPr>
    </w:p>
    <w:p w:rsidR="00000000" w:rsidRDefault="00000000">
      <w:pPr>
        <w:tabs>
          <w:tab w:val="clear" w:pos="567"/>
          <w:tab w:val="clear" w:pos="1701"/>
          <w:tab w:val="clear" w:pos="2268"/>
          <w:tab w:val="clear" w:pos="6237"/>
          <w:tab w:val="left" w:pos="680"/>
          <w:tab w:val="left" w:pos="1134"/>
        </w:tabs>
        <w:spacing w:line="235" w:lineRule="auto"/>
        <w:rPr>
          <w:sz w:val="23"/>
        </w:rPr>
      </w:pPr>
      <w:r>
        <w:rPr>
          <w:sz w:val="23"/>
        </w:rPr>
        <w:t>159.</w:t>
      </w:r>
      <w:r>
        <w:rPr>
          <w:sz w:val="23"/>
        </w:rPr>
        <w:tab/>
        <w:t>Пенсию по старости могут получать лица, которые i) имеют датское гражданство, ii) проживают в Дании, iii) постоянно проживали в Дании в течение как минимум трех лет в возрасте от 15 до 67 лет и iv) достигли 67-летнего возраста. Однако из требований, касающихся гражданства и ценза оседлости, делается ряд исключений.</w:t>
      </w:r>
    </w:p>
    <w:p w:rsidR="00000000" w:rsidRDefault="00000000">
      <w:pPr>
        <w:tabs>
          <w:tab w:val="clear" w:pos="567"/>
          <w:tab w:val="clear" w:pos="1701"/>
          <w:tab w:val="clear" w:pos="2268"/>
          <w:tab w:val="clear" w:pos="6237"/>
          <w:tab w:val="left" w:pos="680"/>
          <w:tab w:val="left" w:pos="1134"/>
        </w:tabs>
        <w:spacing w:line="235" w:lineRule="auto"/>
        <w:rPr>
          <w:sz w:val="23"/>
        </w:rPr>
      </w:pPr>
    </w:p>
    <w:p w:rsidR="00000000" w:rsidRDefault="00000000">
      <w:pPr>
        <w:tabs>
          <w:tab w:val="clear" w:pos="567"/>
          <w:tab w:val="clear" w:pos="1701"/>
          <w:tab w:val="clear" w:pos="2268"/>
          <w:tab w:val="clear" w:pos="6237"/>
          <w:tab w:val="left" w:pos="680"/>
          <w:tab w:val="left" w:pos="1134"/>
        </w:tabs>
        <w:spacing w:line="235" w:lineRule="auto"/>
        <w:rPr>
          <w:sz w:val="23"/>
        </w:rPr>
      </w:pPr>
      <w:r>
        <w:rPr>
          <w:sz w:val="23"/>
        </w:rPr>
        <w:t>160.</w:t>
      </w:r>
      <w:r>
        <w:rPr>
          <w:sz w:val="23"/>
        </w:rPr>
        <w:tab/>
        <w:t>Условием получения полной пенсии по старости является постоянное проживание заявителя в Дании в течение не менее 40 лет в возрасте от 15 до 67 лет. Если заявитель не имеет права на получение полной пенсии, то размер пенсии устанавливается пропорционально соотношению между фактическим временем проживания в возрасте от 15 до 67 лет и 40-летним сроком.</w:t>
      </w:r>
    </w:p>
    <w:p w:rsidR="00000000" w:rsidRDefault="00000000">
      <w:pPr>
        <w:tabs>
          <w:tab w:val="clear" w:pos="567"/>
          <w:tab w:val="clear" w:pos="1701"/>
          <w:tab w:val="clear" w:pos="2268"/>
          <w:tab w:val="clear" w:pos="6237"/>
          <w:tab w:val="left" w:pos="680"/>
          <w:tab w:val="left" w:pos="1134"/>
        </w:tabs>
        <w:spacing w:line="235" w:lineRule="auto"/>
        <w:rPr>
          <w:sz w:val="23"/>
        </w:rPr>
      </w:pPr>
    </w:p>
    <w:p w:rsidR="00000000" w:rsidRDefault="00000000">
      <w:pPr>
        <w:tabs>
          <w:tab w:val="clear" w:pos="567"/>
          <w:tab w:val="clear" w:pos="1701"/>
          <w:tab w:val="clear" w:pos="2268"/>
          <w:tab w:val="clear" w:pos="6237"/>
          <w:tab w:val="left" w:pos="680"/>
          <w:tab w:val="left" w:pos="1134"/>
        </w:tabs>
        <w:spacing w:line="235" w:lineRule="auto"/>
        <w:rPr>
          <w:sz w:val="23"/>
        </w:rPr>
      </w:pPr>
      <w:r>
        <w:rPr>
          <w:sz w:val="23"/>
        </w:rPr>
        <w:t>161.</w:t>
      </w:r>
      <w:r>
        <w:rPr>
          <w:sz w:val="23"/>
        </w:rPr>
        <w:tab/>
        <w:t xml:space="preserve">Пенсия по старости включает базовую сумму и пенсионную надбавку. По состоянию на 1 января 2001 года пенсионные ставки были следующими: </w:t>
      </w:r>
    </w:p>
    <w:p w:rsidR="00000000" w:rsidRDefault="00000000">
      <w:pPr>
        <w:tabs>
          <w:tab w:val="clear" w:pos="567"/>
          <w:tab w:val="clear" w:pos="1701"/>
          <w:tab w:val="clear" w:pos="2268"/>
          <w:tab w:val="clear" w:pos="6237"/>
          <w:tab w:val="left" w:pos="680"/>
          <w:tab w:val="left" w:pos="1134"/>
        </w:tabs>
        <w:spacing w:line="235" w:lineRule="auto"/>
        <w:rPr>
          <w:sz w:val="23"/>
        </w:rPr>
      </w:pPr>
    </w:p>
    <w:p w:rsidR="00000000" w:rsidRDefault="00000000">
      <w:pPr>
        <w:pStyle w:val="FootnoteText"/>
        <w:tabs>
          <w:tab w:val="clear" w:pos="567"/>
          <w:tab w:val="clear" w:pos="1701"/>
          <w:tab w:val="clear" w:pos="2268"/>
          <w:tab w:val="clear" w:pos="6237"/>
          <w:tab w:val="left" w:pos="680"/>
          <w:tab w:val="left" w:pos="1134"/>
          <w:tab w:val="left" w:pos="3261"/>
          <w:tab w:val="left" w:pos="6804"/>
        </w:tabs>
        <w:spacing w:line="235" w:lineRule="auto"/>
        <w:rPr>
          <w:sz w:val="23"/>
        </w:rPr>
      </w:pPr>
      <w:r>
        <w:rPr>
          <w:sz w:val="23"/>
        </w:rPr>
        <w:tab/>
        <w:t xml:space="preserve">базовая сумма: </w:t>
      </w:r>
      <w:r>
        <w:rPr>
          <w:sz w:val="23"/>
        </w:rPr>
        <w:tab/>
      </w:r>
      <w:r>
        <w:rPr>
          <w:sz w:val="23"/>
        </w:rPr>
        <w:tab/>
        <w:t>51 144 датские кроны</w:t>
      </w:r>
    </w:p>
    <w:p w:rsidR="00000000" w:rsidRDefault="00000000">
      <w:pPr>
        <w:pStyle w:val="FootnoteText"/>
        <w:tabs>
          <w:tab w:val="clear" w:pos="567"/>
          <w:tab w:val="clear" w:pos="1701"/>
          <w:tab w:val="clear" w:pos="2268"/>
          <w:tab w:val="clear" w:pos="6237"/>
          <w:tab w:val="left" w:pos="680"/>
          <w:tab w:val="left" w:pos="1134"/>
          <w:tab w:val="left" w:pos="3261"/>
          <w:tab w:val="left" w:pos="6804"/>
        </w:tabs>
        <w:spacing w:line="235" w:lineRule="auto"/>
        <w:rPr>
          <w:sz w:val="23"/>
        </w:rPr>
      </w:pPr>
    </w:p>
    <w:p w:rsidR="00000000" w:rsidRDefault="00000000">
      <w:pPr>
        <w:tabs>
          <w:tab w:val="clear" w:pos="567"/>
          <w:tab w:val="clear" w:pos="1701"/>
          <w:tab w:val="clear" w:pos="2268"/>
          <w:tab w:val="clear" w:pos="6237"/>
          <w:tab w:val="left" w:pos="680"/>
          <w:tab w:val="left" w:pos="1134"/>
          <w:tab w:val="left" w:pos="3261"/>
          <w:tab w:val="left" w:pos="6804"/>
        </w:tabs>
        <w:spacing w:line="235" w:lineRule="auto"/>
        <w:rPr>
          <w:sz w:val="23"/>
        </w:rPr>
      </w:pPr>
      <w:r>
        <w:rPr>
          <w:sz w:val="23"/>
        </w:rPr>
        <w:tab/>
        <w:t>пенсионная надбавка:</w:t>
      </w:r>
      <w:r>
        <w:rPr>
          <w:sz w:val="23"/>
        </w:rPr>
        <w:tab/>
        <w:t>состоящие в браке пенсионеры –</w:t>
      </w:r>
      <w:r>
        <w:rPr>
          <w:sz w:val="23"/>
        </w:rPr>
        <w:tab/>
        <w:t>24 024 детские кроны в год</w:t>
      </w:r>
    </w:p>
    <w:p w:rsidR="00000000" w:rsidRDefault="00000000">
      <w:pPr>
        <w:tabs>
          <w:tab w:val="clear" w:pos="567"/>
          <w:tab w:val="clear" w:pos="1701"/>
          <w:tab w:val="clear" w:pos="2268"/>
          <w:tab w:val="clear" w:pos="6237"/>
          <w:tab w:val="left" w:pos="680"/>
          <w:tab w:val="left" w:pos="1134"/>
          <w:tab w:val="left" w:pos="3261"/>
          <w:tab w:val="left" w:pos="6804"/>
        </w:tabs>
        <w:spacing w:line="235" w:lineRule="auto"/>
        <w:rPr>
          <w:sz w:val="23"/>
        </w:rPr>
      </w:pPr>
    </w:p>
    <w:p w:rsidR="00000000" w:rsidRDefault="00000000">
      <w:pPr>
        <w:tabs>
          <w:tab w:val="clear" w:pos="567"/>
          <w:tab w:val="clear" w:pos="1701"/>
          <w:tab w:val="clear" w:pos="2268"/>
          <w:tab w:val="clear" w:pos="6237"/>
          <w:tab w:val="left" w:pos="680"/>
          <w:tab w:val="left" w:pos="1134"/>
          <w:tab w:val="left" w:pos="3261"/>
          <w:tab w:val="left" w:pos="6804"/>
        </w:tabs>
        <w:spacing w:line="235" w:lineRule="auto"/>
        <w:rPr>
          <w:sz w:val="23"/>
        </w:rPr>
      </w:pPr>
      <w:r>
        <w:rPr>
          <w:sz w:val="23"/>
        </w:rPr>
        <w:tab/>
        <w:t>пенсионная надбавка:</w:t>
      </w:r>
      <w:r>
        <w:rPr>
          <w:sz w:val="23"/>
        </w:rPr>
        <w:tab/>
        <w:t>одинокие пенсионеры –</w:t>
      </w:r>
      <w:r>
        <w:rPr>
          <w:sz w:val="23"/>
        </w:rPr>
        <w:tab/>
        <w:t>51 480 датских крон в год</w:t>
      </w:r>
    </w:p>
    <w:p w:rsidR="00000000" w:rsidRDefault="00000000">
      <w:pPr>
        <w:tabs>
          <w:tab w:val="clear" w:pos="567"/>
          <w:tab w:val="clear" w:pos="1701"/>
          <w:tab w:val="clear" w:pos="2268"/>
          <w:tab w:val="clear" w:pos="6237"/>
          <w:tab w:val="left" w:pos="680"/>
          <w:tab w:val="left" w:pos="1134"/>
        </w:tabs>
        <w:spacing w:line="235" w:lineRule="auto"/>
        <w:rPr>
          <w:sz w:val="23"/>
        </w:rPr>
      </w:pPr>
    </w:p>
    <w:p w:rsidR="00000000" w:rsidRDefault="00000000">
      <w:pPr>
        <w:tabs>
          <w:tab w:val="clear" w:pos="567"/>
          <w:tab w:val="clear" w:pos="1701"/>
          <w:tab w:val="clear" w:pos="2268"/>
          <w:tab w:val="clear" w:pos="6237"/>
          <w:tab w:val="left" w:pos="680"/>
          <w:tab w:val="left" w:pos="1134"/>
        </w:tabs>
        <w:spacing w:line="235" w:lineRule="auto"/>
        <w:rPr>
          <w:sz w:val="23"/>
        </w:rPr>
      </w:pPr>
      <w:r>
        <w:rPr>
          <w:sz w:val="23"/>
        </w:rPr>
        <w:t>162.</w:t>
      </w:r>
      <w:r>
        <w:rPr>
          <w:sz w:val="23"/>
        </w:rPr>
        <w:tab/>
        <w:t>Базовая сумма уменьшается в зависимости от дохода только в том случае, если доход от индивидуальной трудовой деятельности превышает установленную сумму в размере 270 300 датских крон по состоянию на 2001 год. Пенсионная надбавка уменьшается в том случае, если пенсионер/пенсионерка или его супруга/ее супруг или сожитель/сожительница получает помимо пенсии доходы сверх определенного предельного уровня. Стоимость имущества, если таковое имеется, никак не отражается на величине государственной пенсии по старости.</w:t>
      </w:r>
    </w:p>
    <w:p w:rsidR="00000000" w:rsidRDefault="00000000">
      <w:pPr>
        <w:tabs>
          <w:tab w:val="clear" w:pos="567"/>
          <w:tab w:val="clear" w:pos="1701"/>
          <w:tab w:val="clear" w:pos="2268"/>
          <w:tab w:val="clear" w:pos="6237"/>
          <w:tab w:val="left" w:pos="680"/>
          <w:tab w:val="left" w:pos="1134"/>
        </w:tabs>
        <w:spacing w:line="235" w:lineRule="auto"/>
        <w:rPr>
          <w:sz w:val="23"/>
        </w:rPr>
      </w:pPr>
    </w:p>
    <w:p w:rsidR="00000000" w:rsidRDefault="00000000">
      <w:pPr>
        <w:tabs>
          <w:tab w:val="clear" w:pos="567"/>
          <w:tab w:val="clear" w:pos="1701"/>
          <w:tab w:val="clear" w:pos="2268"/>
          <w:tab w:val="clear" w:pos="6237"/>
          <w:tab w:val="left" w:pos="680"/>
          <w:tab w:val="left" w:pos="1134"/>
        </w:tabs>
        <w:spacing w:line="235" w:lineRule="auto"/>
        <w:rPr>
          <w:sz w:val="23"/>
        </w:rPr>
      </w:pPr>
      <w:r>
        <w:rPr>
          <w:sz w:val="23"/>
        </w:rPr>
        <w:t>163.</w:t>
      </w:r>
      <w:r>
        <w:rPr>
          <w:sz w:val="23"/>
        </w:rPr>
        <w:tab/>
        <w:t xml:space="preserve">Государственная пенсия по старости ежегодно корректируется с учетом динамики заработной платы в частном секторе. </w:t>
      </w:r>
    </w:p>
    <w:p w:rsidR="00000000" w:rsidRDefault="00000000">
      <w:pPr>
        <w:tabs>
          <w:tab w:val="clear" w:pos="567"/>
          <w:tab w:val="clear" w:pos="1701"/>
          <w:tab w:val="clear" w:pos="2268"/>
          <w:tab w:val="clear" w:pos="6237"/>
          <w:tab w:val="left" w:pos="680"/>
          <w:tab w:val="left" w:pos="1134"/>
        </w:tabs>
        <w:spacing w:line="235" w:lineRule="auto"/>
        <w:rPr>
          <w:sz w:val="23"/>
        </w:rPr>
      </w:pPr>
    </w:p>
    <w:p w:rsidR="00000000" w:rsidRDefault="00000000">
      <w:pPr>
        <w:tabs>
          <w:tab w:val="clear" w:pos="567"/>
          <w:tab w:val="clear" w:pos="1701"/>
          <w:tab w:val="clear" w:pos="2268"/>
          <w:tab w:val="clear" w:pos="6237"/>
          <w:tab w:val="left" w:pos="680"/>
          <w:tab w:val="left" w:pos="1134"/>
        </w:tabs>
        <w:spacing w:line="235" w:lineRule="auto"/>
        <w:rPr>
          <w:b/>
          <w:bCs/>
          <w:sz w:val="23"/>
        </w:rPr>
      </w:pPr>
      <w:r>
        <w:rPr>
          <w:b/>
          <w:bCs/>
          <w:sz w:val="23"/>
        </w:rPr>
        <w:t>Досрочная пенсия</w:t>
      </w:r>
    </w:p>
    <w:p w:rsidR="00000000" w:rsidRDefault="00000000">
      <w:pPr>
        <w:tabs>
          <w:tab w:val="clear" w:pos="567"/>
          <w:tab w:val="clear" w:pos="1701"/>
          <w:tab w:val="clear" w:pos="2268"/>
          <w:tab w:val="clear" w:pos="6237"/>
          <w:tab w:val="left" w:pos="680"/>
          <w:tab w:val="left" w:pos="1134"/>
        </w:tabs>
        <w:spacing w:line="235" w:lineRule="auto"/>
        <w:rPr>
          <w:b/>
          <w:bCs/>
          <w:sz w:val="23"/>
        </w:rPr>
      </w:pPr>
    </w:p>
    <w:p w:rsidR="00000000" w:rsidRDefault="00000000">
      <w:pPr>
        <w:tabs>
          <w:tab w:val="clear" w:pos="567"/>
          <w:tab w:val="clear" w:pos="1701"/>
          <w:tab w:val="clear" w:pos="2268"/>
          <w:tab w:val="clear" w:pos="6237"/>
          <w:tab w:val="left" w:pos="680"/>
          <w:tab w:val="left" w:pos="1134"/>
        </w:tabs>
        <w:spacing w:line="235" w:lineRule="auto"/>
        <w:rPr>
          <w:sz w:val="23"/>
        </w:rPr>
      </w:pPr>
      <w:r>
        <w:rPr>
          <w:sz w:val="23"/>
        </w:rPr>
        <w:t>164.</w:t>
      </w:r>
      <w:r>
        <w:rPr>
          <w:sz w:val="23"/>
        </w:rPr>
        <w:tab/>
        <w:t xml:space="preserve">С 1 января 2003 года была фактически развернута реформа системы досрочных пенсий. Реформа включает в себя упрощение ряда процедур пенсионного обеспечения. После реформы досрочная пенсия будет выплачиваться в качестве единой налогооблагаемой суммы. В соответствии с предыдущими правилами предусматривалось четыре вида досрочной пенсии, некоторые из которых не подлежали налогообложению. Реформа также предполагает коренные изменения в базовых условиях предоставления пенсии. Отныне упор будет делаться на оценку трудоспособности граждан, т. е. потенциала их участия на рынке труда. Это изменение набирает силу, расширяет рамки нынешнего активного курса социальной политики и обеспечивает бóльшую совместимость с другими правилами, применяющимися в данной области. </w:t>
      </w:r>
    </w:p>
    <w:p w:rsidR="00000000" w:rsidRDefault="00000000">
      <w:pPr>
        <w:tabs>
          <w:tab w:val="clear" w:pos="567"/>
          <w:tab w:val="clear" w:pos="1701"/>
          <w:tab w:val="clear" w:pos="2268"/>
          <w:tab w:val="clear" w:pos="6237"/>
          <w:tab w:val="left" w:pos="680"/>
          <w:tab w:val="left" w:pos="1134"/>
        </w:tabs>
        <w:spacing w:line="235" w:lineRule="auto"/>
        <w:rPr>
          <w:sz w:val="23"/>
        </w:rPr>
      </w:pPr>
    </w:p>
    <w:p w:rsidR="00000000" w:rsidRDefault="00000000">
      <w:pPr>
        <w:tabs>
          <w:tab w:val="clear" w:pos="567"/>
          <w:tab w:val="clear" w:pos="1701"/>
          <w:tab w:val="clear" w:pos="2268"/>
          <w:tab w:val="clear" w:pos="6237"/>
          <w:tab w:val="left" w:pos="680"/>
          <w:tab w:val="left" w:pos="1134"/>
        </w:tabs>
        <w:spacing w:line="235" w:lineRule="auto"/>
        <w:rPr>
          <w:sz w:val="23"/>
        </w:rPr>
      </w:pPr>
      <w:r>
        <w:rPr>
          <w:sz w:val="23"/>
        </w:rPr>
        <w:t>165.</w:t>
      </w:r>
      <w:r>
        <w:rPr>
          <w:sz w:val="23"/>
        </w:rPr>
        <w:tab/>
        <w:t>Досрочная пенсия может выплачиваться лицам в возрасте от 18 до 65 лет (67 лет, если пенсионер родился до 1 июля 1939 года), если их трудоспособность не позволяет им получать доход, полностью или в определенной степени обеспечивающий им средства к существованию. Это означает, что досрочная пенсия не назначается лицам, которые, как документально подтверждается, пригодны к работе, которая может осуществляться с использованием гибких форм трудовой деятельности. Досрочная пенсия финансируется центральным правительством (35%) и местными органами власти (65%).</w:t>
      </w:r>
    </w:p>
    <w:p w:rsidR="00000000" w:rsidRDefault="00000000">
      <w:pPr>
        <w:tabs>
          <w:tab w:val="clear" w:pos="567"/>
          <w:tab w:val="clear" w:pos="1701"/>
          <w:tab w:val="clear" w:pos="2268"/>
          <w:tab w:val="clear" w:pos="6237"/>
          <w:tab w:val="left" w:pos="680"/>
          <w:tab w:val="left" w:pos="1134"/>
        </w:tabs>
        <w:spacing w:line="235" w:lineRule="auto"/>
        <w:rPr>
          <w:sz w:val="23"/>
        </w:rPr>
      </w:pPr>
    </w:p>
    <w:p w:rsidR="00000000" w:rsidRDefault="00000000">
      <w:pPr>
        <w:tabs>
          <w:tab w:val="clear" w:pos="567"/>
          <w:tab w:val="clear" w:pos="1701"/>
          <w:tab w:val="clear" w:pos="2268"/>
          <w:tab w:val="clear" w:pos="6237"/>
          <w:tab w:val="left" w:pos="680"/>
          <w:tab w:val="left" w:pos="1134"/>
        </w:tabs>
        <w:spacing w:line="235" w:lineRule="auto"/>
        <w:rPr>
          <w:sz w:val="23"/>
        </w:rPr>
      </w:pPr>
      <w:r>
        <w:rPr>
          <w:sz w:val="23"/>
        </w:rPr>
        <w:t>166.</w:t>
      </w:r>
      <w:r>
        <w:rPr>
          <w:sz w:val="23"/>
        </w:rPr>
        <w:tab/>
        <w:t>Требования, касающиеся гражданства и ценза оседлости, и исключения из этих требований являются такими же, как и в случае пенсии по старости. Предварительным условием для получения досрочной полной пенсии является постоянное проживание в стране как минимум в течение срока, составляющего 4/5 срока со времени достижения 15-летнего возраста до момента первой выплаты пенсии.</w:t>
      </w:r>
    </w:p>
    <w:p w:rsidR="00000000" w:rsidRDefault="00000000">
      <w:pPr>
        <w:tabs>
          <w:tab w:val="clear" w:pos="567"/>
          <w:tab w:val="clear" w:pos="1701"/>
          <w:tab w:val="clear" w:pos="2268"/>
          <w:tab w:val="clear" w:pos="6237"/>
          <w:tab w:val="left" w:pos="680"/>
          <w:tab w:val="left" w:pos="1134"/>
        </w:tabs>
        <w:spacing w:line="235" w:lineRule="auto"/>
        <w:rPr>
          <w:sz w:val="23"/>
        </w:rPr>
      </w:pPr>
    </w:p>
    <w:p w:rsidR="00000000" w:rsidRDefault="00000000">
      <w:pPr>
        <w:tabs>
          <w:tab w:val="clear" w:pos="567"/>
          <w:tab w:val="clear" w:pos="1701"/>
          <w:tab w:val="clear" w:pos="2268"/>
          <w:tab w:val="clear" w:pos="6237"/>
          <w:tab w:val="left" w:pos="680"/>
          <w:tab w:val="left" w:pos="1134"/>
        </w:tabs>
        <w:spacing w:line="235" w:lineRule="auto"/>
        <w:rPr>
          <w:sz w:val="23"/>
        </w:rPr>
      </w:pPr>
      <w:r>
        <w:rPr>
          <w:sz w:val="23"/>
        </w:rPr>
        <w:t>167.</w:t>
      </w:r>
      <w:r>
        <w:rPr>
          <w:sz w:val="23"/>
        </w:rPr>
        <w:tab/>
        <w:t>Новые правила не касаются лиц, для которых досрочная пенсия была назначена по предыдущей схеме. Они будут по-прежнему получать полагающиеся им пенсионные пособия в соответствии с предыдущей пенсионной схемой.</w:t>
      </w:r>
    </w:p>
    <w:p w:rsidR="00000000" w:rsidRDefault="00000000">
      <w:pPr>
        <w:tabs>
          <w:tab w:val="clear" w:pos="567"/>
          <w:tab w:val="clear" w:pos="1701"/>
          <w:tab w:val="clear" w:pos="2268"/>
          <w:tab w:val="clear" w:pos="6237"/>
          <w:tab w:val="left" w:pos="680"/>
          <w:tab w:val="left" w:pos="1134"/>
        </w:tabs>
        <w:spacing w:line="235" w:lineRule="auto"/>
        <w:rPr>
          <w:sz w:val="23"/>
        </w:rPr>
      </w:pPr>
    </w:p>
    <w:p w:rsidR="00000000" w:rsidRDefault="00000000">
      <w:pPr>
        <w:tabs>
          <w:tab w:val="clear" w:pos="567"/>
          <w:tab w:val="clear" w:pos="1701"/>
          <w:tab w:val="clear" w:pos="2268"/>
          <w:tab w:val="clear" w:pos="6237"/>
          <w:tab w:val="left" w:pos="680"/>
          <w:tab w:val="left" w:pos="1134"/>
        </w:tabs>
        <w:spacing w:line="235" w:lineRule="auto"/>
        <w:rPr>
          <w:sz w:val="23"/>
        </w:rPr>
      </w:pPr>
      <w:r>
        <w:rPr>
          <w:sz w:val="23"/>
        </w:rPr>
        <w:t>168.</w:t>
      </w:r>
      <w:r>
        <w:rPr>
          <w:sz w:val="23"/>
        </w:rPr>
        <w:tab/>
        <w:t>По состоянию на 1 января 2003 года (в привязке к уровню на январь 2001 года) размер досрочных пенсий в рамках новой схемы был следующим:</w:t>
      </w:r>
    </w:p>
    <w:p w:rsidR="00000000" w:rsidRDefault="00000000">
      <w:pPr>
        <w:tabs>
          <w:tab w:val="clear" w:pos="567"/>
          <w:tab w:val="clear" w:pos="1701"/>
          <w:tab w:val="clear" w:pos="2268"/>
          <w:tab w:val="clear" w:pos="6237"/>
          <w:tab w:val="left" w:pos="680"/>
          <w:tab w:val="left" w:pos="1134"/>
        </w:tabs>
        <w:spacing w:line="235" w:lineRule="auto"/>
        <w:rPr>
          <w:sz w:val="23"/>
        </w:rPr>
      </w:pPr>
    </w:p>
    <w:p w:rsidR="00000000" w:rsidRDefault="00000000">
      <w:pPr>
        <w:tabs>
          <w:tab w:val="clear" w:pos="567"/>
          <w:tab w:val="clear" w:pos="1701"/>
          <w:tab w:val="clear" w:pos="2268"/>
          <w:tab w:val="clear" w:pos="6237"/>
          <w:tab w:val="left" w:pos="680"/>
          <w:tab w:val="left" w:pos="1134"/>
          <w:tab w:val="left" w:pos="4253"/>
          <w:tab w:val="left" w:pos="6804"/>
        </w:tabs>
        <w:spacing w:line="235" w:lineRule="auto"/>
        <w:rPr>
          <w:sz w:val="23"/>
        </w:rPr>
      </w:pPr>
      <w:r>
        <w:rPr>
          <w:sz w:val="23"/>
        </w:rPr>
        <w:tab/>
        <w:t>Одинокие пенсионеры:</w:t>
      </w:r>
      <w:r>
        <w:rPr>
          <w:sz w:val="23"/>
        </w:rPr>
        <w:tab/>
        <w:t>152 880 датских крон в год ежегодно</w:t>
      </w:r>
    </w:p>
    <w:p w:rsidR="00000000" w:rsidRDefault="00000000">
      <w:pPr>
        <w:tabs>
          <w:tab w:val="clear" w:pos="567"/>
          <w:tab w:val="clear" w:pos="1701"/>
          <w:tab w:val="clear" w:pos="2268"/>
          <w:tab w:val="clear" w:pos="6237"/>
          <w:tab w:val="left" w:pos="680"/>
          <w:tab w:val="left" w:pos="1134"/>
          <w:tab w:val="left" w:pos="4253"/>
          <w:tab w:val="left" w:pos="6804"/>
        </w:tabs>
        <w:spacing w:line="235" w:lineRule="auto"/>
        <w:rPr>
          <w:sz w:val="23"/>
        </w:rPr>
      </w:pPr>
    </w:p>
    <w:p w:rsidR="00000000" w:rsidRDefault="00000000">
      <w:pPr>
        <w:tabs>
          <w:tab w:val="clear" w:pos="567"/>
          <w:tab w:val="clear" w:pos="1701"/>
          <w:tab w:val="clear" w:pos="2268"/>
          <w:tab w:val="clear" w:pos="6237"/>
          <w:tab w:val="left" w:pos="680"/>
          <w:tab w:val="left" w:pos="1134"/>
          <w:tab w:val="left" w:pos="4253"/>
          <w:tab w:val="left" w:pos="6804"/>
        </w:tabs>
        <w:spacing w:line="235" w:lineRule="auto"/>
        <w:rPr>
          <w:sz w:val="23"/>
        </w:rPr>
      </w:pPr>
      <w:r>
        <w:rPr>
          <w:sz w:val="23"/>
        </w:rPr>
        <w:tab/>
        <w:t>Состоящие в браке пенсионеры:</w:t>
      </w:r>
      <w:r>
        <w:rPr>
          <w:sz w:val="23"/>
        </w:rPr>
        <w:tab/>
        <w:t>129 948 датских крон в год</w:t>
      </w:r>
    </w:p>
    <w:p w:rsidR="00000000" w:rsidRDefault="00000000">
      <w:pPr>
        <w:pStyle w:val="FootnoteText"/>
        <w:tabs>
          <w:tab w:val="clear" w:pos="567"/>
          <w:tab w:val="clear" w:pos="1701"/>
          <w:tab w:val="clear" w:pos="2268"/>
          <w:tab w:val="clear" w:pos="6237"/>
          <w:tab w:val="left" w:pos="680"/>
          <w:tab w:val="left" w:pos="1134"/>
        </w:tabs>
        <w:spacing w:line="235" w:lineRule="auto"/>
        <w:rPr>
          <w:sz w:val="23"/>
        </w:rPr>
      </w:pPr>
    </w:p>
    <w:p w:rsidR="00000000" w:rsidRDefault="00000000">
      <w:pPr>
        <w:tabs>
          <w:tab w:val="clear" w:pos="567"/>
          <w:tab w:val="clear" w:pos="1701"/>
          <w:tab w:val="clear" w:pos="2268"/>
          <w:tab w:val="clear" w:pos="6237"/>
          <w:tab w:val="left" w:pos="680"/>
          <w:tab w:val="left" w:pos="1134"/>
        </w:tabs>
        <w:spacing w:line="235" w:lineRule="auto"/>
        <w:jc w:val="center"/>
        <w:rPr>
          <w:b/>
          <w:bCs/>
          <w:sz w:val="23"/>
        </w:rPr>
      </w:pPr>
      <w:r>
        <w:rPr>
          <w:b/>
          <w:bCs/>
          <w:sz w:val="23"/>
        </w:rPr>
        <w:t>Таблица 6</w:t>
      </w:r>
    </w:p>
    <w:p w:rsidR="00000000" w:rsidRDefault="00000000">
      <w:pPr>
        <w:tabs>
          <w:tab w:val="clear" w:pos="567"/>
          <w:tab w:val="clear" w:pos="1701"/>
          <w:tab w:val="clear" w:pos="2268"/>
          <w:tab w:val="clear" w:pos="6237"/>
          <w:tab w:val="left" w:pos="680"/>
          <w:tab w:val="left" w:pos="1134"/>
        </w:tabs>
        <w:spacing w:line="235" w:lineRule="auto"/>
        <w:jc w:val="center"/>
        <w:rPr>
          <w:b/>
          <w:bCs/>
          <w:sz w:val="23"/>
        </w:rPr>
      </w:pPr>
    </w:p>
    <w:p w:rsidR="00000000" w:rsidRDefault="00000000">
      <w:pPr>
        <w:tabs>
          <w:tab w:val="clear" w:pos="567"/>
          <w:tab w:val="clear" w:pos="1701"/>
          <w:tab w:val="clear" w:pos="2268"/>
          <w:tab w:val="clear" w:pos="6237"/>
          <w:tab w:val="left" w:pos="680"/>
          <w:tab w:val="left" w:pos="1134"/>
        </w:tabs>
        <w:spacing w:line="235" w:lineRule="auto"/>
        <w:jc w:val="center"/>
        <w:rPr>
          <w:b/>
          <w:bCs/>
          <w:sz w:val="23"/>
        </w:rPr>
      </w:pPr>
      <w:r>
        <w:rPr>
          <w:b/>
          <w:bCs/>
          <w:sz w:val="23"/>
        </w:rPr>
        <w:t xml:space="preserve">Ставки досрочной пенсии по состоянию на 1 января 2001 года </w:t>
      </w:r>
      <w:r>
        <w:rPr>
          <w:b/>
          <w:bCs/>
          <w:sz w:val="23"/>
        </w:rPr>
        <w:br/>
        <w:t>(предыдущая пенсионная схема)</w:t>
      </w:r>
    </w:p>
    <w:p w:rsidR="00000000" w:rsidRDefault="00000000">
      <w:pPr>
        <w:tabs>
          <w:tab w:val="clear" w:pos="567"/>
          <w:tab w:val="clear" w:pos="1701"/>
          <w:tab w:val="clear" w:pos="2268"/>
          <w:tab w:val="clear" w:pos="6237"/>
          <w:tab w:val="left" w:pos="680"/>
          <w:tab w:val="left" w:pos="1134"/>
        </w:tabs>
        <w:spacing w:line="235" w:lineRule="auto"/>
        <w:rPr>
          <w:b/>
          <w:bCs/>
          <w:sz w:val="23"/>
        </w:rPr>
      </w:pPr>
    </w:p>
    <w:tbl>
      <w:tblPr>
        <w:tblW w:w="963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835"/>
        <w:gridCol w:w="1134"/>
        <w:gridCol w:w="1134"/>
        <w:gridCol w:w="1134"/>
        <w:gridCol w:w="1134"/>
        <w:gridCol w:w="1134"/>
        <w:gridCol w:w="1134"/>
      </w:tblGrid>
      <w:tr w:rsidR="00000000">
        <w:tblPrEx>
          <w:tblCellMar>
            <w:top w:w="0" w:type="dxa"/>
            <w:bottom w:w="0" w:type="dxa"/>
          </w:tblCellMar>
        </w:tblPrEx>
        <w:tc>
          <w:tcPr>
            <w:tcW w:w="2835" w:type="dxa"/>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0"/>
              </w:rPr>
            </w:pPr>
            <w:r>
              <w:rPr>
                <w:sz w:val="20"/>
              </w:rPr>
              <w:t>Досрочные пенсии, установленные до 1 января 2003 года</w:t>
            </w:r>
          </w:p>
        </w:tc>
        <w:tc>
          <w:tcPr>
            <w:tcW w:w="1134" w:type="dxa"/>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0"/>
              </w:rPr>
            </w:pPr>
            <w:r>
              <w:rPr>
                <w:sz w:val="20"/>
              </w:rPr>
              <w:t>Макси-</w:t>
            </w:r>
            <w:r>
              <w:rPr>
                <w:sz w:val="20"/>
              </w:rPr>
              <w:br/>
              <w:t>мальная сумма досрочной пенсии</w:t>
            </w:r>
          </w:p>
        </w:tc>
        <w:tc>
          <w:tcPr>
            <w:tcW w:w="1134" w:type="dxa"/>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0"/>
              </w:rPr>
            </w:pPr>
            <w:r>
              <w:rPr>
                <w:sz w:val="20"/>
              </w:rPr>
              <w:t>Средняя ставка досрочной пенсии</w:t>
            </w:r>
          </w:p>
        </w:tc>
        <w:tc>
          <w:tcPr>
            <w:tcW w:w="1134" w:type="dxa"/>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0"/>
              </w:rPr>
            </w:pPr>
            <w:r>
              <w:rPr>
                <w:sz w:val="20"/>
              </w:rPr>
              <w:t>Повы-</w:t>
            </w:r>
            <w:r>
              <w:rPr>
                <w:sz w:val="20"/>
              </w:rPr>
              <w:br/>
              <w:t>шенная обычная досрочная пенсия</w:t>
            </w:r>
          </w:p>
        </w:tc>
        <w:tc>
          <w:tcPr>
            <w:tcW w:w="1134" w:type="dxa"/>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0"/>
              </w:rPr>
            </w:pPr>
            <w:r>
              <w:rPr>
                <w:sz w:val="20"/>
              </w:rPr>
              <w:t xml:space="preserve">Пенсия </w:t>
            </w:r>
            <w:r>
              <w:rPr>
                <w:sz w:val="20"/>
              </w:rPr>
              <w:br/>
              <w:t>по старости и обычная досрочная пенсия</w:t>
            </w:r>
          </w:p>
        </w:tc>
        <w:tc>
          <w:tcPr>
            <w:tcW w:w="1134" w:type="dxa"/>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0"/>
              </w:rPr>
            </w:pPr>
            <w:r>
              <w:rPr>
                <w:sz w:val="20"/>
              </w:rPr>
              <w:t>Подлежит налого-</w:t>
            </w:r>
            <w:r>
              <w:rPr>
                <w:sz w:val="20"/>
              </w:rPr>
              <w:br/>
              <w:t>обложению</w:t>
            </w:r>
          </w:p>
        </w:tc>
        <w:tc>
          <w:tcPr>
            <w:tcW w:w="1134" w:type="dxa"/>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0"/>
              </w:rPr>
            </w:pPr>
            <w:r>
              <w:rPr>
                <w:sz w:val="20"/>
              </w:rPr>
              <w:t xml:space="preserve">Зависит </w:t>
            </w:r>
            <w:r>
              <w:rPr>
                <w:sz w:val="20"/>
              </w:rPr>
              <w:br/>
              <w:t>от уровня доходов</w:t>
            </w:r>
          </w:p>
        </w:tc>
      </w:tr>
      <w:tr w:rsidR="00000000">
        <w:tblPrEx>
          <w:tblCellMar>
            <w:top w:w="0" w:type="dxa"/>
            <w:bottom w:w="0" w:type="dxa"/>
          </w:tblCellMar>
        </w:tblPrEx>
        <w:tc>
          <w:tcPr>
            <w:tcW w:w="2835" w:type="dxa"/>
          </w:tcPr>
          <w:p w:rsidR="00000000" w:rsidRDefault="00000000">
            <w:pPr>
              <w:tabs>
                <w:tab w:val="clear" w:pos="567"/>
                <w:tab w:val="clear" w:pos="1701"/>
                <w:tab w:val="clear" w:pos="2268"/>
                <w:tab w:val="clear" w:pos="6237"/>
                <w:tab w:val="left" w:pos="680"/>
                <w:tab w:val="left" w:pos="1134"/>
              </w:tabs>
              <w:spacing w:before="40" w:after="40" w:line="235" w:lineRule="auto"/>
              <w:rPr>
                <w:sz w:val="20"/>
              </w:rPr>
            </w:pPr>
            <w:r>
              <w:rPr>
                <w:sz w:val="20"/>
              </w:rPr>
              <w:t>Базовая сумма</w:t>
            </w:r>
          </w:p>
        </w:tc>
        <w:tc>
          <w:tcPr>
            <w:tcW w:w="1134" w:type="dxa"/>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0"/>
              </w:rPr>
            </w:pPr>
            <w:r>
              <w:rPr>
                <w:sz w:val="20"/>
              </w:rPr>
              <w:t>51</w:t>
            </w:r>
            <w:r>
              <w:rPr>
                <w:sz w:val="20"/>
                <w:lang w:val="en-US"/>
              </w:rPr>
              <w:t> </w:t>
            </w:r>
            <w:r>
              <w:rPr>
                <w:sz w:val="20"/>
              </w:rPr>
              <w:t>144</w:t>
            </w:r>
          </w:p>
        </w:tc>
        <w:tc>
          <w:tcPr>
            <w:tcW w:w="1134" w:type="dxa"/>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0"/>
              </w:rPr>
            </w:pPr>
            <w:r>
              <w:rPr>
                <w:sz w:val="20"/>
              </w:rPr>
              <w:t>51</w:t>
            </w:r>
            <w:r>
              <w:rPr>
                <w:sz w:val="20"/>
                <w:lang w:val="en-US"/>
              </w:rPr>
              <w:t> </w:t>
            </w:r>
            <w:r>
              <w:rPr>
                <w:sz w:val="20"/>
              </w:rPr>
              <w:t>144</w:t>
            </w:r>
          </w:p>
        </w:tc>
        <w:tc>
          <w:tcPr>
            <w:tcW w:w="1134" w:type="dxa"/>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0"/>
              </w:rPr>
            </w:pPr>
            <w:r>
              <w:rPr>
                <w:sz w:val="20"/>
              </w:rPr>
              <w:t>51</w:t>
            </w:r>
            <w:r>
              <w:rPr>
                <w:sz w:val="20"/>
                <w:lang w:val="en-US"/>
              </w:rPr>
              <w:t> </w:t>
            </w:r>
            <w:r>
              <w:rPr>
                <w:sz w:val="20"/>
              </w:rPr>
              <w:t>144</w:t>
            </w:r>
          </w:p>
        </w:tc>
        <w:tc>
          <w:tcPr>
            <w:tcW w:w="1134" w:type="dxa"/>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0"/>
              </w:rPr>
            </w:pPr>
            <w:r>
              <w:rPr>
                <w:sz w:val="20"/>
              </w:rPr>
              <w:t>51</w:t>
            </w:r>
            <w:r>
              <w:rPr>
                <w:sz w:val="20"/>
                <w:lang w:val="en-US"/>
              </w:rPr>
              <w:t> </w:t>
            </w:r>
            <w:r>
              <w:rPr>
                <w:sz w:val="20"/>
              </w:rPr>
              <w:t>144</w:t>
            </w:r>
          </w:p>
        </w:tc>
        <w:tc>
          <w:tcPr>
            <w:tcW w:w="1134" w:type="dxa"/>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0"/>
              </w:rPr>
            </w:pPr>
            <w:r>
              <w:rPr>
                <w:sz w:val="20"/>
              </w:rPr>
              <w:t>+</w:t>
            </w:r>
          </w:p>
        </w:tc>
        <w:tc>
          <w:tcPr>
            <w:tcW w:w="1134" w:type="dxa"/>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0"/>
              </w:rPr>
            </w:pPr>
            <w:r>
              <w:rPr>
                <w:sz w:val="20"/>
              </w:rPr>
              <w:t>+</w:t>
            </w:r>
          </w:p>
        </w:tc>
      </w:tr>
      <w:tr w:rsidR="00000000">
        <w:tblPrEx>
          <w:tblCellMar>
            <w:top w:w="0" w:type="dxa"/>
            <w:bottom w:w="0" w:type="dxa"/>
          </w:tblCellMar>
        </w:tblPrEx>
        <w:tc>
          <w:tcPr>
            <w:tcW w:w="2835" w:type="dxa"/>
          </w:tcPr>
          <w:p w:rsidR="00000000" w:rsidRDefault="00000000">
            <w:pPr>
              <w:tabs>
                <w:tab w:val="clear" w:pos="567"/>
                <w:tab w:val="clear" w:pos="1701"/>
                <w:tab w:val="clear" w:pos="2268"/>
                <w:tab w:val="clear" w:pos="6237"/>
                <w:tab w:val="left" w:pos="680"/>
                <w:tab w:val="left" w:pos="1134"/>
              </w:tabs>
              <w:spacing w:before="40" w:after="40" w:line="235" w:lineRule="auto"/>
              <w:rPr>
                <w:sz w:val="20"/>
              </w:rPr>
            </w:pPr>
            <w:r>
              <w:rPr>
                <w:sz w:val="20"/>
              </w:rPr>
              <w:t>Обычная пенсионная надбавка для состоящих в браке пенсионеров</w:t>
            </w:r>
          </w:p>
        </w:tc>
        <w:tc>
          <w:tcPr>
            <w:tcW w:w="1134" w:type="dxa"/>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0"/>
              </w:rPr>
            </w:pPr>
            <w:r>
              <w:rPr>
                <w:sz w:val="20"/>
              </w:rPr>
              <w:t>24</w:t>
            </w:r>
            <w:r>
              <w:rPr>
                <w:sz w:val="20"/>
                <w:lang w:val="en-US"/>
              </w:rPr>
              <w:t> </w:t>
            </w:r>
            <w:r>
              <w:rPr>
                <w:sz w:val="20"/>
              </w:rPr>
              <w:t>024</w:t>
            </w:r>
          </w:p>
        </w:tc>
        <w:tc>
          <w:tcPr>
            <w:tcW w:w="1134" w:type="dxa"/>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0"/>
              </w:rPr>
            </w:pPr>
            <w:r>
              <w:rPr>
                <w:sz w:val="20"/>
              </w:rPr>
              <w:t>24</w:t>
            </w:r>
            <w:r>
              <w:rPr>
                <w:sz w:val="20"/>
                <w:lang w:val="en-US"/>
              </w:rPr>
              <w:t> </w:t>
            </w:r>
            <w:r>
              <w:rPr>
                <w:sz w:val="20"/>
              </w:rPr>
              <w:t>024</w:t>
            </w:r>
          </w:p>
        </w:tc>
        <w:tc>
          <w:tcPr>
            <w:tcW w:w="1134" w:type="dxa"/>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0"/>
              </w:rPr>
            </w:pPr>
            <w:r>
              <w:rPr>
                <w:sz w:val="20"/>
              </w:rPr>
              <w:t>24</w:t>
            </w:r>
            <w:r>
              <w:rPr>
                <w:sz w:val="20"/>
                <w:lang w:val="en-US"/>
              </w:rPr>
              <w:t> </w:t>
            </w:r>
            <w:r>
              <w:rPr>
                <w:sz w:val="20"/>
              </w:rPr>
              <w:t>024</w:t>
            </w:r>
          </w:p>
        </w:tc>
        <w:tc>
          <w:tcPr>
            <w:tcW w:w="1134" w:type="dxa"/>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0"/>
              </w:rPr>
            </w:pPr>
            <w:r>
              <w:rPr>
                <w:sz w:val="20"/>
              </w:rPr>
              <w:t>24</w:t>
            </w:r>
            <w:r>
              <w:rPr>
                <w:sz w:val="20"/>
                <w:lang w:val="en-US"/>
              </w:rPr>
              <w:t> </w:t>
            </w:r>
            <w:r>
              <w:rPr>
                <w:sz w:val="20"/>
              </w:rPr>
              <w:t>024</w:t>
            </w:r>
          </w:p>
        </w:tc>
        <w:tc>
          <w:tcPr>
            <w:tcW w:w="1134" w:type="dxa"/>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0"/>
              </w:rPr>
            </w:pPr>
            <w:r>
              <w:rPr>
                <w:sz w:val="20"/>
              </w:rPr>
              <w:t>+</w:t>
            </w:r>
          </w:p>
        </w:tc>
        <w:tc>
          <w:tcPr>
            <w:tcW w:w="1134" w:type="dxa"/>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0"/>
              </w:rPr>
            </w:pPr>
            <w:r>
              <w:rPr>
                <w:sz w:val="20"/>
              </w:rPr>
              <w:t>+</w:t>
            </w:r>
          </w:p>
        </w:tc>
      </w:tr>
      <w:tr w:rsidR="00000000">
        <w:tblPrEx>
          <w:tblCellMar>
            <w:top w:w="0" w:type="dxa"/>
            <w:bottom w:w="0" w:type="dxa"/>
          </w:tblCellMar>
        </w:tblPrEx>
        <w:tc>
          <w:tcPr>
            <w:tcW w:w="2835" w:type="dxa"/>
          </w:tcPr>
          <w:p w:rsidR="00000000" w:rsidRDefault="00000000">
            <w:pPr>
              <w:tabs>
                <w:tab w:val="clear" w:pos="567"/>
                <w:tab w:val="clear" w:pos="1701"/>
                <w:tab w:val="clear" w:pos="2268"/>
                <w:tab w:val="clear" w:pos="6237"/>
                <w:tab w:val="left" w:pos="680"/>
                <w:tab w:val="left" w:pos="1134"/>
              </w:tabs>
              <w:spacing w:before="40" w:after="40" w:line="235" w:lineRule="auto"/>
              <w:rPr>
                <w:sz w:val="20"/>
              </w:rPr>
            </w:pPr>
            <w:r>
              <w:rPr>
                <w:sz w:val="20"/>
              </w:rPr>
              <w:t>Специальная надбавка для одиноких пенсионеров</w:t>
            </w:r>
          </w:p>
        </w:tc>
        <w:tc>
          <w:tcPr>
            <w:tcW w:w="1134" w:type="dxa"/>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0"/>
              </w:rPr>
            </w:pPr>
            <w:r>
              <w:rPr>
                <w:sz w:val="20"/>
              </w:rPr>
              <w:t>27 456</w:t>
            </w:r>
          </w:p>
        </w:tc>
        <w:tc>
          <w:tcPr>
            <w:tcW w:w="1134" w:type="dxa"/>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0"/>
              </w:rPr>
            </w:pPr>
            <w:r>
              <w:rPr>
                <w:sz w:val="20"/>
              </w:rPr>
              <w:t>27 456</w:t>
            </w:r>
          </w:p>
        </w:tc>
        <w:tc>
          <w:tcPr>
            <w:tcW w:w="1134" w:type="dxa"/>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0"/>
              </w:rPr>
            </w:pPr>
            <w:r>
              <w:rPr>
                <w:sz w:val="20"/>
              </w:rPr>
              <w:t>27 456</w:t>
            </w:r>
          </w:p>
        </w:tc>
        <w:tc>
          <w:tcPr>
            <w:tcW w:w="1134" w:type="dxa"/>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0"/>
              </w:rPr>
            </w:pPr>
            <w:r>
              <w:rPr>
                <w:sz w:val="20"/>
              </w:rPr>
              <w:t>27 456</w:t>
            </w:r>
          </w:p>
        </w:tc>
        <w:tc>
          <w:tcPr>
            <w:tcW w:w="1134" w:type="dxa"/>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0"/>
              </w:rPr>
            </w:pPr>
            <w:r>
              <w:rPr>
                <w:sz w:val="20"/>
              </w:rPr>
              <w:t>+</w:t>
            </w:r>
          </w:p>
        </w:tc>
        <w:tc>
          <w:tcPr>
            <w:tcW w:w="1134" w:type="dxa"/>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0"/>
              </w:rPr>
            </w:pPr>
            <w:r>
              <w:rPr>
                <w:sz w:val="20"/>
              </w:rPr>
              <w:t>–</w:t>
            </w:r>
          </w:p>
        </w:tc>
      </w:tr>
      <w:tr w:rsidR="00000000">
        <w:tblPrEx>
          <w:tblCellMar>
            <w:top w:w="0" w:type="dxa"/>
            <w:bottom w:w="0" w:type="dxa"/>
          </w:tblCellMar>
        </w:tblPrEx>
        <w:tc>
          <w:tcPr>
            <w:tcW w:w="2835" w:type="dxa"/>
          </w:tcPr>
          <w:p w:rsidR="00000000" w:rsidRDefault="00000000">
            <w:pPr>
              <w:tabs>
                <w:tab w:val="clear" w:pos="567"/>
                <w:tab w:val="clear" w:pos="1701"/>
                <w:tab w:val="clear" w:pos="2268"/>
                <w:tab w:val="clear" w:pos="6237"/>
                <w:tab w:val="left" w:pos="680"/>
                <w:tab w:val="left" w:pos="1134"/>
              </w:tabs>
              <w:spacing w:before="40" w:after="40" w:line="235" w:lineRule="auto"/>
              <w:rPr>
                <w:sz w:val="20"/>
              </w:rPr>
            </w:pPr>
            <w:r>
              <w:rPr>
                <w:sz w:val="20"/>
              </w:rPr>
              <w:t>Пособие по инвалидности</w:t>
            </w:r>
          </w:p>
        </w:tc>
        <w:tc>
          <w:tcPr>
            <w:tcW w:w="1134" w:type="dxa"/>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0"/>
              </w:rPr>
            </w:pPr>
            <w:r>
              <w:rPr>
                <w:sz w:val="20"/>
              </w:rPr>
              <w:t>24 876</w:t>
            </w:r>
          </w:p>
        </w:tc>
        <w:tc>
          <w:tcPr>
            <w:tcW w:w="1134" w:type="dxa"/>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0"/>
              </w:rPr>
            </w:pPr>
            <w:r>
              <w:rPr>
                <w:sz w:val="20"/>
              </w:rPr>
              <w:t>24 876</w:t>
            </w:r>
          </w:p>
        </w:tc>
        <w:tc>
          <w:tcPr>
            <w:tcW w:w="1134" w:type="dxa"/>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0"/>
              </w:rPr>
            </w:pPr>
          </w:p>
        </w:tc>
        <w:tc>
          <w:tcPr>
            <w:tcW w:w="1134" w:type="dxa"/>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0"/>
              </w:rPr>
            </w:pPr>
          </w:p>
        </w:tc>
        <w:tc>
          <w:tcPr>
            <w:tcW w:w="1134" w:type="dxa"/>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0"/>
              </w:rPr>
            </w:pPr>
            <w:r>
              <w:rPr>
                <w:sz w:val="20"/>
              </w:rPr>
              <w:t>–</w:t>
            </w:r>
          </w:p>
        </w:tc>
        <w:tc>
          <w:tcPr>
            <w:tcW w:w="1134" w:type="dxa"/>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0"/>
              </w:rPr>
            </w:pPr>
            <w:r>
              <w:rPr>
                <w:sz w:val="20"/>
              </w:rPr>
              <w:t>–</w:t>
            </w:r>
          </w:p>
        </w:tc>
      </w:tr>
      <w:tr w:rsidR="00000000">
        <w:tblPrEx>
          <w:tblCellMar>
            <w:top w:w="0" w:type="dxa"/>
            <w:bottom w:w="0" w:type="dxa"/>
          </w:tblCellMar>
        </w:tblPrEx>
        <w:tc>
          <w:tcPr>
            <w:tcW w:w="2835" w:type="dxa"/>
          </w:tcPr>
          <w:p w:rsidR="00000000" w:rsidRDefault="00000000">
            <w:pPr>
              <w:tabs>
                <w:tab w:val="clear" w:pos="567"/>
                <w:tab w:val="clear" w:pos="1701"/>
                <w:tab w:val="clear" w:pos="2268"/>
                <w:tab w:val="clear" w:pos="6237"/>
                <w:tab w:val="left" w:pos="680"/>
                <w:tab w:val="left" w:pos="1134"/>
              </w:tabs>
              <w:spacing w:before="40" w:after="40" w:line="235" w:lineRule="auto"/>
              <w:rPr>
                <w:sz w:val="20"/>
              </w:rPr>
            </w:pPr>
            <w:r>
              <w:rPr>
                <w:sz w:val="20"/>
              </w:rPr>
              <w:t>Надбавка в связи с отсутствием возможности для трудоустройства</w:t>
            </w:r>
          </w:p>
        </w:tc>
        <w:tc>
          <w:tcPr>
            <w:tcW w:w="1134" w:type="dxa"/>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0"/>
              </w:rPr>
            </w:pPr>
            <w:r>
              <w:rPr>
                <w:sz w:val="20"/>
              </w:rPr>
              <w:t>34</w:t>
            </w:r>
            <w:r>
              <w:rPr>
                <w:sz w:val="20"/>
                <w:lang w:val="en-US"/>
              </w:rPr>
              <w:t> </w:t>
            </w:r>
            <w:r>
              <w:rPr>
                <w:sz w:val="20"/>
              </w:rPr>
              <w:t>344</w:t>
            </w:r>
          </w:p>
        </w:tc>
        <w:tc>
          <w:tcPr>
            <w:tcW w:w="1134" w:type="dxa"/>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0"/>
              </w:rPr>
            </w:pPr>
          </w:p>
        </w:tc>
        <w:tc>
          <w:tcPr>
            <w:tcW w:w="1134" w:type="dxa"/>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0"/>
              </w:rPr>
            </w:pPr>
          </w:p>
        </w:tc>
        <w:tc>
          <w:tcPr>
            <w:tcW w:w="1134" w:type="dxa"/>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0"/>
              </w:rPr>
            </w:pPr>
          </w:p>
        </w:tc>
        <w:tc>
          <w:tcPr>
            <w:tcW w:w="1134" w:type="dxa"/>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0"/>
              </w:rPr>
            </w:pPr>
            <w:r>
              <w:rPr>
                <w:sz w:val="20"/>
              </w:rPr>
              <w:t>+</w:t>
            </w:r>
          </w:p>
        </w:tc>
        <w:tc>
          <w:tcPr>
            <w:tcW w:w="1134" w:type="dxa"/>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0"/>
              </w:rPr>
            </w:pPr>
            <w:r>
              <w:rPr>
                <w:sz w:val="20"/>
              </w:rPr>
              <w:t>–</w:t>
            </w:r>
          </w:p>
        </w:tc>
      </w:tr>
      <w:tr w:rsidR="00000000">
        <w:tblPrEx>
          <w:tblCellMar>
            <w:top w:w="0" w:type="dxa"/>
            <w:bottom w:w="0" w:type="dxa"/>
          </w:tblCellMar>
        </w:tblPrEx>
        <w:tc>
          <w:tcPr>
            <w:tcW w:w="2835" w:type="dxa"/>
          </w:tcPr>
          <w:p w:rsidR="00000000" w:rsidRDefault="00000000">
            <w:pPr>
              <w:tabs>
                <w:tab w:val="clear" w:pos="567"/>
                <w:tab w:val="clear" w:pos="1701"/>
                <w:tab w:val="clear" w:pos="2268"/>
                <w:tab w:val="clear" w:pos="6237"/>
                <w:tab w:val="left" w:pos="680"/>
                <w:tab w:val="left" w:pos="1134"/>
              </w:tabs>
              <w:spacing w:before="40" w:after="40" w:line="235" w:lineRule="auto"/>
              <w:rPr>
                <w:sz w:val="20"/>
              </w:rPr>
            </w:pPr>
            <w:r>
              <w:rPr>
                <w:sz w:val="20"/>
              </w:rPr>
              <w:t>Надбавка в связи с досрочным начислением пенсии</w:t>
            </w:r>
          </w:p>
        </w:tc>
        <w:tc>
          <w:tcPr>
            <w:tcW w:w="1134" w:type="dxa"/>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0"/>
              </w:rPr>
            </w:pPr>
          </w:p>
        </w:tc>
        <w:tc>
          <w:tcPr>
            <w:tcW w:w="1134" w:type="dxa"/>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0"/>
              </w:rPr>
            </w:pPr>
          </w:p>
        </w:tc>
        <w:tc>
          <w:tcPr>
            <w:tcW w:w="1134" w:type="dxa"/>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0"/>
              </w:rPr>
            </w:pPr>
            <w:r>
              <w:rPr>
                <w:sz w:val="20"/>
              </w:rPr>
              <w:t>13</w:t>
            </w:r>
            <w:r>
              <w:rPr>
                <w:sz w:val="20"/>
                <w:lang w:val="en-US"/>
              </w:rPr>
              <w:t> </w:t>
            </w:r>
            <w:r>
              <w:rPr>
                <w:sz w:val="20"/>
              </w:rPr>
              <w:t>008</w:t>
            </w:r>
          </w:p>
        </w:tc>
        <w:tc>
          <w:tcPr>
            <w:tcW w:w="1134" w:type="dxa"/>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0"/>
              </w:rPr>
            </w:pPr>
          </w:p>
        </w:tc>
        <w:tc>
          <w:tcPr>
            <w:tcW w:w="1134" w:type="dxa"/>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0"/>
              </w:rPr>
            </w:pPr>
            <w:r>
              <w:rPr>
                <w:sz w:val="20"/>
              </w:rPr>
              <w:t>–</w:t>
            </w:r>
          </w:p>
        </w:tc>
        <w:tc>
          <w:tcPr>
            <w:tcW w:w="1134" w:type="dxa"/>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0"/>
              </w:rPr>
            </w:pPr>
            <w:r>
              <w:rPr>
                <w:sz w:val="20"/>
              </w:rPr>
              <w:t>–</w:t>
            </w:r>
          </w:p>
        </w:tc>
      </w:tr>
    </w:tbl>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169.</w:t>
      </w:r>
      <w:r>
        <w:rPr>
          <w:sz w:val="23"/>
        </w:rPr>
        <w:tab/>
        <w:t>Досрочные пенсии назначаются местными органами власти. Решения местных органов власти могут быть обжалованы в районном совете по социальным вопросам. Решения, принятые районным советом по социальным вопросам, не могут быть обжалованы ни в каком другом административном органе. Однако Апелляционный совет по социальным вопросам, действующий при центральном правительстве, может возобновить производство по любому делу, которое, как считается, имеет общественную значимость.</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b/>
          <w:bCs/>
          <w:sz w:val="23"/>
        </w:rPr>
      </w:pPr>
      <w:r>
        <w:rPr>
          <w:b/>
          <w:bCs/>
          <w:sz w:val="23"/>
        </w:rPr>
        <w:t>Частичные пенсионные пособия</w:t>
      </w:r>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170.</w:t>
      </w:r>
      <w:r>
        <w:rPr>
          <w:sz w:val="23"/>
        </w:rPr>
        <w:tab/>
        <w:t>Частичные пенсионные пособия стали выплачиваться с 1 января 1987 года. Их цель заключается в том, чтобы предоставить работающему населению в возрасте от 60 до 66 лет возможность постепенно прекращать производственную деятельность до момента окончательного выхода на пенсию. Данная схема позволяет сочетать работу на неполную ставку с получением государственного частичного пенсионного пособия, что дает возможность конкретному человеку уменьшать продолжительность своего рабочего дня в зависимости от личных пожеланий и потребностей. Частичные пенсионные пособия выплачиваются как лицам, работающим по найму, так и самозанятым, в возрасте от 60 до 66 лет. Действие закона распространяется и на самозанятых, в том числе на помогающих им супругов.</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171.</w:t>
      </w:r>
      <w:r>
        <w:rPr>
          <w:sz w:val="23"/>
        </w:rPr>
        <w:tab/>
        <w:t xml:space="preserve">По отношению к лицам, работающим по найму, и самозанятым применяются различные условия. Основным критерием при решении вопроса о том, к какой из двух указанных категорий относить то или иное лицо, является форма занятости после перевода конкретного лица на частичное пенсионное обеспечение. При переводе конкретного лица на частичное пенсионное обеспечение необходимо, чтобы в течение девяти месяцев, предшествующих этому моменту, средняя продолжительность его рабочей недели была снижена по крайней мере на семь часов. Впоследствии средняя продолжительность рабочей недели должна составлять от 12 до 30 часов. Кроме того, в каждом квартале должно быть отработано не менее 20 рабочих дней. Что касается самозанятых, то при переходе на получение частичных пенсионных пособий они должны уменьшить свою рабочую неделю по крайней мере на 18,5 часов, с тем чтобы ее средняя продолжительность после назначения соответствующего пособия составляла 18,5 часов.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172.</w:t>
      </w:r>
      <w:r>
        <w:rPr>
          <w:sz w:val="23"/>
        </w:rPr>
        <w:tab/>
        <w:t xml:space="preserve">Претендовать на частичные пенсионные пособия могут не только датские граждане. Иностранцы, живущие и работающие в Дании, отвечающие всем установленным требованиям, также могут получать данное пособие.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173.</w:t>
      </w:r>
      <w:r>
        <w:rPr>
          <w:sz w:val="23"/>
        </w:rPr>
        <w:tab/>
        <w:t>Размер годового частичного пенсионного пособия рассчитывается на основе базисного показателя, равного 82% от максимального годового пособия по безработице, которое по состоянию на 1 января 2001 года равнялось 125 234 датским кронам. Частичное пенсионное пособие составляет 1/37 от базисной суммы за каждый час, на который уменьшается продолжительность рабочей недели. Например, если продолжительность рабочей недели уменьшается с 37 до 15 часов, размер частичного пенсионного пособия будет составлять 22/37 от 125 234 датских крон, т. е. 74 464 датских крон в год.</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174.</w:t>
      </w:r>
      <w:r>
        <w:rPr>
          <w:sz w:val="23"/>
        </w:rPr>
        <w:tab/>
        <w:t>Частичное пенсионное пособие выплачивается до достижения получателем 67 лет, и в том числе за тот месяц, когда он достигает этого возраста. Частичное пенсионное пособие не может выплачиваться вместе с досрочной пенсией. Платежи прекращаются с момента начала получения пенсии или аванса в счет пенсии.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Heading1"/>
        <w:tabs>
          <w:tab w:val="clear" w:pos="567"/>
          <w:tab w:val="clear" w:pos="1701"/>
          <w:tab w:val="clear" w:pos="2268"/>
          <w:tab w:val="clear" w:pos="6237"/>
          <w:tab w:val="left" w:pos="680"/>
          <w:tab w:val="left" w:pos="1134"/>
        </w:tabs>
        <w:spacing w:line="240" w:lineRule="auto"/>
        <w:rPr>
          <w:bCs/>
          <w:sz w:val="23"/>
        </w:rPr>
      </w:pPr>
      <w:r>
        <w:rPr>
          <w:bCs/>
          <w:sz w:val="23"/>
        </w:rPr>
        <w:t>Пособия по болезни</w:t>
      </w:r>
    </w:p>
    <w:p w:rsidR="00000000" w:rsidRDefault="00000000">
      <w:pPr>
        <w:pStyle w:val="Heading1"/>
        <w:tabs>
          <w:tab w:val="clear" w:pos="567"/>
          <w:tab w:val="clear" w:pos="1701"/>
          <w:tab w:val="clear" w:pos="2268"/>
          <w:tab w:val="clear" w:pos="6237"/>
          <w:tab w:val="left" w:pos="680"/>
          <w:tab w:val="left" w:pos="1134"/>
        </w:tabs>
        <w:spacing w:line="240" w:lineRule="auto"/>
        <w:rPr>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175.</w:t>
      </w:r>
      <w:r>
        <w:rPr>
          <w:sz w:val="23"/>
        </w:rPr>
        <w:tab/>
        <w:t>Согласно Закону о ежедневном наличном пособии (по болезни или беременности и родам) лица, работающие по найму, или самозанятые могут отсутствовать на рабочем месте по причине болезни или травмы. Лица, работающие по найму, или самозанятые, частично утратившие трудоспособность, могут претендовать на получение частичного пособия по болезни, если лечащий врач установит, что они могут работать неполный рабочий день.</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176.</w:t>
      </w:r>
      <w:r>
        <w:rPr>
          <w:sz w:val="23"/>
        </w:rPr>
        <w:tab/>
        <w:t>Согласно Закону о ежедневном наличном пособии (по болезни или материнству) отсутствие на рабочем месте в случае заболевания ребенка не дает права на получение пособия по болезни. Что касается лиц, работающих по найму, в некоторых коллективных соглашениях предусматривается право на получение пособия от работодателя в случае отсутствия на рабочем месте по причине болезни ребенка.</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177.</w:t>
      </w:r>
      <w:r>
        <w:rPr>
          <w:sz w:val="23"/>
        </w:rPr>
        <w:tab/>
        <w:t>Размер пособия по болезни, как правило, рассчитывается на основе почасового дохода, который работник мог бы получить, если бы он не отсутствовал по причине болезни. Это пособие не должно превышать фиксированного потолка, равнявшегося по состоянию на 11</w:t>
      </w:r>
      <w:r>
        <w:rPr>
          <w:sz w:val="23"/>
          <w:lang w:val="en-US"/>
        </w:rPr>
        <w:t> </w:t>
      </w:r>
      <w:r>
        <w:rPr>
          <w:sz w:val="23"/>
        </w:rPr>
        <w:t>декабря 2000 года 79,38 датских крон в час. После двух недель болезни размер пособия не должен превышать фиксированного недельного потолка. По состоянию на 11 декабря 2000 года он составлял 2973,00 датских крон.</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Heading1"/>
        <w:tabs>
          <w:tab w:val="clear" w:pos="567"/>
          <w:tab w:val="clear" w:pos="1701"/>
          <w:tab w:val="clear" w:pos="2268"/>
          <w:tab w:val="clear" w:pos="6237"/>
          <w:tab w:val="left" w:pos="680"/>
          <w:tab w:val="left" w:pos="1134"/>
        </w:tabs>
        <w:spacing w:line="240" w:lineRule="auto"/>
        <w:rPr>
          <w:bCs/>
          <w:sz w:val="23"/>
        </w:rPr>
      </w:pPr>
      <w:r>
        <w:rPr>
          <w:bCs/>
          <w:sz w:val="23"/>
        </w:rPr>
        <w:t>Помощь больным и престарелым</w:t>
      </w:r>
    </w:p>
    <w:p w:rsidR="00000000" w:rsidRDefault="00000000">
      <w:pPr>
        <w:pStyle w:val="Heading1"/>
        <w:tabs>
          <w:tab w:val="clear" w:pos="567"/>
          <w:tab w:val="clear" w:pos="1701"/>
          <w:tab w:val="clear" w:pos="2268"/>
          <w:tab w:val="clear" w:pos="6237"/>
          <w:tab w:val="left" w:pos="680"/>
          <w:tab w:val="left" w:pos="1134"/>
        </w:tabs>
        <w:spacing w:line="240" w:lineRule="auto"/>
        <w:rPr>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178.</w:t>
      </w:r>
      <w:r>
        <w:rPr>
          <w:sz w:val="23"/>
        </w:rPr>
        <w:tab/>
        <w:t xml:space="preserve">Постоянная помощь на дому в ведении хозяйства и удовлетворении личных нужд оказывается лицам, нуждающимся в ней по причине хронических заболеваний или физических недостатков.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179.</w:t>
      </w:r>
      <w:r>
        <w:rPr>
          <w:sz w:val="23"/>
        </w:rPr>
        <w:tab/>
        <w:t>В апреле 1990 года Закон о социальной помощи открыл возможность для получения пособия по уходу на дому за смертельно больными лицами. Эта помощь имеет следующие формы:</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ind w:left="680" w:hanging="680"/>
        <w:rPr>
          <w:sz w:val="23"/>
        </w:rPr>
      </w:pPr>
      <w:r>
        <w:rPr>
          <w:sz w:val="23"/>
        </w:rPr>
        <w:tab/>
        <w:t>возмещение утраченного дохода ближайшему родственнику, ухаживающему за умирающим в своем доме больным, в размере не свыше максимального вознаграждения домработников;</w:t>
      </w:r>
    </w:p>
    <w:p w:rsidR="00000000" w:rsidRDefault="00000000">
      <w:pPr>
        <w:tabs>
          <w:tab w:val="clear" w:pos="567"/>
          <w:tab w:val="clear" w:pos="1701"/>
          <w:tab w:val="clear" w:pos="2268"/>
          <w:tab w:val="clear" w:pos="6237"/>
          <w:tab w:val="left" w:pos="680"/>
          <w:tab w:val="left" w:pos="1134"/>
        </w:tabs>
        <w:spacing w:line="240" w:lineRule="auto"/>
        <w:ind w:left="680" w:hanging="680"/>
        <w:rPr>
          <w:sz w:val="23"/>
        </w:rPr>
      </w:pPr>
    </w:p>
    <w:p w:rsidR="00000000" w:rsidRDefault="00000000">
      <w:pPr>
        <w:tabs>
          <w:tab w:val="clear" w:pos="567"/>
          <w:tab w:val="clear" w:pos="1701"/>
          <w:tab w:val="clear" w:pos="2268"/>
          <w:tab w:val="clear" w:pos="6237"/>
          <w:tab w:val="left" w:pos="680"/>
          <w:tab w:val="left" w:pos="1134"/>
        </w:tabs>
        <w:spacing w:line="240" w:lineRule="auto"/>
        <w:ind w:left="680" w:hanging="680"/>
        <w:rPr>
          <w:sz w:val="23"/>
        </w:rPr>
      </w:pPr>
      <w:r>
        <w:rPr>
          <w:sz w:val="23"/>
        </w:rPr>
        <w:tab/>
        <w:t>возмещение стоимости различных принадлежностей вне зависимости от материального положения больного или его семьи. Смысл этого заключается в том, что в связи с уходом за больным на дому не должны возникать такие неоплаченные расходы, которые этот больной не понес бы в случае госпитализации;</w:t>
      </w:r>
    </w:p>
    <w:p w:rsidR="00000000" w:rsidRDefault="00000000">
      <w:pPr>
        <w:tabs>
          <w:tab w:val="clear" w:pos="567"/>
          <w:tab w:val="clear" w:pos="1701"/>
          <w:tab w:val="clear" w:pos="2268"/>
          <w:tab w:val="clear" w:pos="6237"/>
          <w:tab w:val="left" w:pos="680"/>
          <w:tab w:val="left" w:pos="1134"/>
        </w:tabs>
        <w:spacing w:line="240" w:lineRule="auto"/>
        <w:ind w:left="680" w:hanging="680"/>
        <w:rPr>
          <w:sz w:val="23"/>
        </w:rPr>
      </w:pPr>
    </w:p>
    <w:p w:rsidR="00000000" w:rsidRDefault="00000000">
      <w:pPr>
        <w:tabs>
          <w:tab w:val="clear" w:pos="567"/>
          <w:tab w:val="clear" w:pos="1701"/>
          <w:tab w:val="clear" w:pos="2268"/>
          <w:tab w:val="clear" w:pos="6237"/>
          <w:tab w:val="left" w:pos="680"/>
          <w:tab w:val="left" w:pos="1134"/>
        </w:tabs>
        <w:spacing w:line="240" w:lineRule="auto"/>
        <w:ind w:left="680" w:hanging="680"/>
        <w:rPr>
          <w:sz w:val="23"/>
        </w:rPr>
      </w:pPr>
      <w:r>
        <w:rPr>
          <w:sz w:val="23"/>
        </w:rPr>
        <w:tab/>
        <w:t>бесплатная помощь по ведению домашнего хозяйства в связи с уходом за смертельно больным.</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180.</w:t>
      </w:r>
      <w:r>
        <w:rPr>
          <w:sz w:val="23"/>
        </w:rPr>
        <w:tab/>
        <w:t>Все лица, страдающие инвалидностью или хроническими расстройствами здоровья в силу болезни или пожилого возраста, могут требовать возмещения расходов на оплату оказываемой им помощи, в том числе дополнительных расходов на такие специальные предметы одежды, которые позволяют им продолжать работать по найму или осуществлять личную коммерческую деятельность, могут заметно облегчить тяжесть их заболевания или значительно помочь им в повседневной домашней жизни. Все лица, страдающие инвалидностью или хроническими расстройствами здоровья по причине болезни или пожилого возраста, имеют право на получение помощи в максимальном приспособлении занимаемых ими жилых помещений к их потребностям. В этой связи могут также покрываться расходы на необходимую помощь или установку специальных устройств в квартирах с обслуживанием, конкретно предназначенных для инвалидов или престарелых.</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181.</w:t>
      </w:r>
      <w:r>
        <w:rPr>
          <w:sz w:val="23"/>
        </w:rPr>
        <w:tab/>
        <w:t>Местные советы обеспечивают оказание помощи или оказывают помощь учреждениям по уходу за лицами, получающими социальные пенсии, за исключением пособий по нетрудоспособности. Муниципальные советы отвечают за то, чтобы лица, нуждающиеся в постоянном присмотре и уходе, который они не могут получить дома в течение дня, принимались в центры дневного ухода. Кроме того, местные советы должны обеспечивать создание в подведомственных им районах центров дневного ухода для оказания таких социальных услуг, которые наилучшим образом могут оказываться именно в рамках подобных учреждений. Муниципальные советы отвечают за организацию оказания круглосуточной помощи лицам, нуждающимся в ней по медицинским соображениям. Муниципальные советы могут выполнять свои обязанности в этой области путем организации круглосуточных служб оказания помощи нуждающимся, причем такие службы должны функционировать на принципах максимального участия и совместной ответственности пользователей в интересах обеспечения их благополучия.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182.</w:t>
      </w:r>
      <w:r>
        <w:rPr>
          <w:sz w:val="23"/>
        </w:rPr>
        <w:tab/>
        <w:t xml:space="preserve">С 1 января 1988 года строительство домов попечения и приютов перестало регулироваться Законом о социальной помощи. Вместо этого дома престарелых подлежат строительству на основании Закона о домах престарелых. В то же время существующие дома попечения и приюты, построенные на основании Закона о социальной помощи, будут продолжать эксплуатироваться после модернизации и обновления. Ими, в частности, могут пользоваться муниципальные советы для выполнения своих обязанностей, предусмотренных в Законе о социальной помощи.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Heading1"/>
        <w:tabs>
          <w:tab w:val="clear" w:pos="567"/>
          <w:tab w:val="clear" w:pos="1701"/>
          <w:tab w:val="clear" w:pos="2268"/>
          <w:tab w:val="clear" w:pos="6237"/>
          <w:tab w:val="left" w:pos="680"/>
          <w:tab w:val="left" w:pos="1134"/>
        </w:tabs>
        <w:spacing w:line="240" w:lineRule="auto"/>
        <w:rPr>
          <w:bCs/>
          <w:sz w:val="23"/>
        </w:rPr>
      </w:pPr>
      <w:r>
        <w:rPr>
          <w:bCs/>
          <w:sz w:val="23"/>
        </w:rPr>
        <w:t>Компенсация за производственные травмы</w:t>
      </w:r>
    </w:p>
    <w:p w:rsidR="00000000" w:rsidRDefault="00000000">
      <w:pPr>
        <w:pStyle w:val="Heading1"/>
        <w:tabs>
          <w:tab w:val="clear" w:pos="567"/>
          <w:tab w:val="clear" w:pos="1701"/>
          <w:tab w:val="clear" w:pos="2268"/>
          <w:tab w:val="clear" w:pos="6237"/>
          <w:tab w:val="left" w:pos="680"/>
          <w:tab w:val="left" w:pos="1134"/>
        </w:tabs>
        <w:spacing w:line="240" w:lineRule="auto"/>
        <w:rPr>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183.</w:t>
      </w:r>
      <w:r>
        <w:rPr>
          <w:sz w:val="23"/>
        </w:rPr>
        <w:tab/>
        <w:t>Закон о компенсации за производственные травмы распространяется на всех лиц, работающих в Дании по найму. Иностранцы, работающие в Дании, также охватываются данным Законом, равно как и моряки на судах, плавающих под датским флагом. Положения Закона действуют и в отношении лиц, откомандированных для работы за рубеж, при условии соблюдения некоторых требований и условий. Закон касается всех видов оплачиваемой и неоплачиваемой работы, как краткосрочного, так и длительного характера, включая оказание частных услуг работодателю и его семье.</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184.</w:t>
      </w:r>
      <w:r>
        <w:rPr>
          <w:sz w:val="23"/>
        </w:rPr>
        <w:tab/>
        <w:t>Под производственной травмой понимается такая травма, которая была причинена лицу вследствие выполнения им работы или под воздействием условий, в которых он выполнял эту работу. Это касается производственных травм и профессиональных заболеваний. Производственные травмы представляют собой внезапные события, наносящие ущерб здоровью человека. Такое событие может носить и непреднамеренный характер. Заболевания, не считающиеся профессиональными, в раде случаев также могут относиться на счет работы, если будет установлено, что конкретное заболевание вызвано особым характером выполняемой работы.</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br w:type="page"/>
        <w:t>185.</w:t>
      </w:r>
      <w:r>
        <w:rPr>
          <w:sz w:val="23"/>
        </w:rPr>
        <w:tab/>
        <w:t>Законом предусматриваются следующие выплаты:</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ind w:left="680" w:hanging="680"/>
        <w:rPr>
          <w:spacing w:val="-2"/>
          <w:sz w:val="23"/>
        </w:rPr>
      </w:pPr>
      <w:r>
        <w:rPr>
          <w:spacing w:val="-2"/>
          <w:sz w:val="23"/>
        </w:rPr>
        <w:tab/>
        <w:t>оплата расходов на лечение, реабилитацию, вспомогательные технические средства и т.</w:t>
      </w:r>
      <w:r>
        <w:rPr>
          <w:spacing w:val="-2"/>
          <w:sz w:val="23"/>
          <w:lang w:val="en-US"/>
        </w:rPr>
        <w:t> </w:t>
      </w:r>
      <w:r>
        <w:rPr>
          <w:spacing w:val="-2"/>
          <w:sz w:val="23"/>
        </w:rPr>
        <w:t>д.;</w:t>
      </w:r>
    </w:p>
    <w:p w:rsidR="00000000" w:rsidRDefault="00000000">
      <w:pPr>
        <w:tabs>
          <w:tab w:val="clear" w:pos="567"/>
          <w:tab w:val="clear" w:pos="1701"/>
          <w:tab w:val="clear" w:pos="2268"/>
          <w:tab w:val="clear" w:pos="6237"/>
          <w:tab w:val="left" w:pos="680"/>
          <w:tab w:val="left" w:pos="1134"/>
        </w:tabs>
        <w:spacing w:line="240" w:lineRule="auto"/>
        <w:ind w:left="680" w:hanging="680"/>
        <w:rPr>
          <w:sz w:val="23"/>
        </w:rPr>
      </w:pPr>
    </w:p>
    <w:p w:rsidR="00000000" w:rsidRDefault="00000000">
      <w:pPr>
        <w:tabs>
          <w:tab w:val="clear" w:pos="567"/>
          <w:tab w:val="clear" w:pos="1701"/>
          <w:tab w:val="clear" w:pos="2268"/>
          <w:tab w:val="clear" w:pos="6237"/>
          <w:tab w:val="left" w:pos="680"/>
          <w:tab w:val="left" w:pos="1134"/>
        </w:tabs>
        <w:spacing w:line="240" w:lineRule="auto"/>
        <w:ind w:left="680" w:hanging="680"/>
        <w:rPr>
          <w:sz w:val="23"/>
        </w:rPr>
      </w:pPr>
      <w:r>
        <w:rPr>
          <w:sz w:val="23"/>
        </w:rPr>
        <w:tab/>
        <w:t>компенсация потери трудоспособности;</w:t>
      </w:r>
    </w:p>
    <w:p w:rsidR="00000000" w:rsidRDefault="00000000">
      <w:pPr>
        <w:tabs>
          <w:tab w:val="clear" w:pos="567"/>
          <w:tab w:val="clear" w:pos="1701"/>
          <w:tab w:val="clear" w:pos="2268"/>
          <w:tab w:val="clear" w:pos="6237"/>
          <w:tab w:val="left" w:pos="680"/>
          <w:tab w:val="left" w:pos="1134"/>
        </w:tabs>
        <w:spacing w:line="240" w:lineRule="auto"/>
        <w:ind w:left="680" w:hanging="680"/>
        <w:rPr>
          <w:sz w:val="23"/>
        </w:rPr>
      </w:pPr>
    </w:p>
    <w:p w:rsidR="00000000" w:rsidRDefault="00000000">
      <w:pPr>
        <w:tabs>
          <w:tab w:val="clear" w:pos="567"/>
          <w:tab w:val="clear" w:pos="1701"/>
          <w:tab w:val="clear" w:pos="2268"/>
          <w:tab w:val="clear" w:pos="6237"/>
          <w:tab w:val="left" w:pos="680"/>
          <w:tab w:val="left" w:pos="1134"/>
        </w:tabs>
        <w:spacing w:line="240" w:lineRule="auto"/>
        <w:ind w:left="680" w:hanging="680"/>
        <w:rPr>
          <w:sz w:val="23"/>
        </w:rPr>
      </w:pPr>
      <w:r>
        <w:rPr>
          <w:sz w:val="23"/>
        </w:rPr>
        <w:tab/>
        <w:t>компенсация за хроническую травму;</w:t>
      </w:r>
    </w:p>
    <w:p w:rsidR="00000000" w:rsidRDefault="00000000">
      <w:pPr>
        <w:tabs>
          <w:tab w:val="clear" w:pos="567"/>
          <w:tab w:val="clear" w:pos="1701"/>
          <w:tab w:val="clear" w:pos="2268"/>
          <w:tab w:val="clear" w:pos="6237"/>
          <w:tab w:val="left" w:pos="680"/>
          <w:tab w:val="left" w:pos="1134"/>
        </w:tabs>
        <w:spacing w:line="240" w:lineRule="auto"/>
        <w:ind w:left="680" w:hanging="680"/>
        <w:rPr>
          <w:sz w:val="23"/>
        </w:rPr>
      </w:pPr>
    </w:p>
    <w:p w:rsidR="00000000" w:rsidRDefault="00000000">
      <w:pPr>
        <w:tabs>
          <w:tab w:val="clear" w:pos="567"/>
          <w:tab w:val="clear" w:pos="1701"/>
          <w:tab w:val="clear" w:pos="2268"/>
          <w:tab w:val="clear" w:pos="6237"/>
          <w:tab w:val="left" w:pos="680"/>
          <w:tab w:val="left" w:pos="1134"/>
        </w:tabs>
        <w:spacing w:line="240" w:lineRule="auto"/>
        <w:ind w:left="680" w:hanging="680"/>
        <w:rPr>
          <w:sz w:val="23"/>
        </w:rPr>
      </w:pPr>
      <w:r>
        <w:rPr>
          <w:sz w:val="23"/>
        </w:rPr>
        <w:tab/>
        <w:t>компенсация потери кормильца;</w:t>
      </w:r>
    </w:p>
    <w:p w:rsidR="00000000" w:rsidRDefault="00000000">
      <w:pPr>
        <w:tabs>
          <w:tab w:val="clear" w:pos="567"/>
          <w:tab w:val="clear" w:pos="1701"/>
          <w:tab w:val="clear" w:pos="2268"/>
          <w:tab w:val="clear" w:pos="6237"/>
          <w:tab w:val="left" w:pos="680"/>
          <w:tab w:val="left" w:pos="1134"/>
        </w:tabs>
        <w:spacing w:line="240" w:lineRule="auto"/>
        <w:ind w:left="680" w:hanging="680"/>
        <w:rPr>
          <w:sz w:val="23"/>
        </w:rPr>
      </w:pPr>
    </w:p>
    <w:p w:rsidR="00000000" w:rsidRDefault="00000000">
      <w:pPr>
        <w:tabs>
          <w:tab w:val="clear" w:pos="567"/>
          <w:tab w:val="clear" w:pos="1701"/>
          <w:tab w:val="clear" w:pos="2268"/>
          <w:tab w:val="clear" w:pos="6237"/>
          <w:tab w:val="left" w:pos="680"/>
          <w:tab w:val="left" w:pos="1134"/>
        </w:tabs>
        <w:spacing w:line="240" w:lineRule="auto"/>
        <w:ind w:left="680" w:hanging="680"/>
        <w:rPr>
          <w:sz w:val="23"/>
        </w:rPr>
      </w:pPr>
      <w:r>
        <w:rPr>
          <w:sz w:val="23"/>
        </w:rPr>
        <w:tab/>
        <w:t>временное пособие в случае смерти.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186.</w:t>
      </w:r>
      <w:r>
        <w:rPr>
          <w:sz w:val="23"/>
        </w:rPr>
        <w:tab/>
        <w:t>В случае частичной потери трудоспособности на 15–50% компенсация, как правило, выплачивается в виде единоразовой суммы без предварительного согласия пострадавшего.</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187.</w:t>
      </w:r>
      <w:r>
        <w:rPr>
          <w:sz w:val="23"/>
        </w:rPr>
        <w:tab/>
        <w:t>В случае частичной потери трудоспособности более чем на 50% половина размера компенсации может быть с согласия бенефициара выплачена в одноразовом порядке.</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188.</w:t>
      </w:r>
      <w:r>
        <w:rPr>
          <w:sz w:val="23"/>
        </w:rPr>
        <w:tab/>
        <w:t>Периодические пособия выплачиваются в течение ограниченного периода времени, т. е. до достижения соответствующим лицом 65 лет, после чего вместо этого выплачивается не облагаемое налогом единоразовое пособие в размере четырех годовых сумм периодических пособий.</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189.</w:t>
      </w:r>
      <w:r>
        <w:rPr>
          <w:sz w:val="23"/>
        </w:rPr>
        <w:tab/>
        <w:t>Кроме того, дети до 18 лет, как правило, имеют право на компенсацию в случае потери кормильца. Выплата пособий детям, которых должен был содержать пострадавший, прекращается по достижении ими 18 лет или 21 года, если они проходят профессиональную подготовку или учатся.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190.</w:t>
      </w:r>
      <w:r>
        <w:rPr>
          <w:sz w:val="23"/>
        </w:rPr>
        <w:tab/>
        <w:t>Периодически выплачиваемые пособия облагаются налогом. Одноразовые пособия не подлежат налогообложению в качестве дохода.</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Heading1"/>
        <w:tabs>
          <w:tab w:val="clear" w:pos="567"/>
          <w:tab w:val="clear" w:pos="1701"/>
          <w:tab w:val="clear" w:pos="2268"/>
          <w:tab w:val="clear" w:pos="6237"/>
          <w:tab w:val="left" w:pos="680"/>
          <w:tab w:val="left" w:pos="1134"/>
        </w:tabs>
        <w:spacing w:line="240" w:lineRule="auto"/>
        <w:rPr>
          <w:bCs/>
          <w:sz w:val="23"/>
        </w:rPr>
      </w:pPr>
      <w:r>
        <w:rPr>
          <w:bCs/>
          <w:sz w:val="23"/>
        </w:rPr>
        <w:t>Финансирование</w:t>
      </w:r>
    </w:p>
    <w:p w:rsidR="00000000" w:rsidRDefault="00000000">
      <w:pPr>
        <w:pStyle w:val="Heading1"/>
        <w:tabs>
          <w:tab w:val="clear" w:pos="567"/>
          <w:tab w:val="clear" w:pos="1701"/>
          <w:tab w:val="clear" w:pos="2268"/>
          <w:tab w:val="clear" w:pos="6237"/>
          <w:tab w:val="left" w:pos="680"/>
          <w:tab w:val="left" w:pos="1134"/>
        </w:tabs>
        <w:spacing w:line="240" w:lineRule="auto"/>
        <w:rPr>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191.</w:t>
      </w:r>
      <w:r>
        <w:rPr>
          <w:sz w:val="23"/>
        </w:rPr>
        <w:tab/>
        <w:t>Всем лицам, постоянно проживающим в Дании, гарантируются нормальные условия жизни, и все они имеют право на услуги, социальное обеспечение и пособия независимо от положения на рынке труда. 45% взрослого населения получает трансфертные выплаты, при этом родители обязаны содержать своих детей до достижения ими 18 лет. Однако ежегодно трансфертные платежи в той или иной форме, например как пособие по безработице, получают гораздо больше людей – около 60% населения.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192.</w:t>
      </w:r>
      <w:r>
        <w:rPr>
          <w:sz w:val="23"/>
        </w:rPr>
        <w:tab/>
        <w:t>Практически все выплаты и услуги по линии социального обеспечения финансируются за счет налогов и сборов. В социальный сектор (в том числе на выплату пособий по безработице) направляется примерно половина ВНП.</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193.</w:t>
      </w:r>
      <w:r>
        <w:rPr>
          <w:sz w:val="23"/>
        </w:rPr>
        <w:tab/>
        <w:t>Объем трансфертных платежей стал резко расти отчасти в связи с увеличением пенсии по старости. Две трети всех трансфертных платежей приходится на частичные пенсионные пособия, пенсии по старости, досрочные пенсии и пособия по безработице. Основная часть платежей в рамках социального обеспечения приходится на компенсацию утраченного дохода. Основной статьей является выплата пенсий по старости, за которой следуют досрочные пенсии и пособия по безработице. К числу трансфертных платежей, не финансируемых государством, относятся взносы частных работодателей на цели страхования от производственных травм и покрытие расходов на выплату пособий по болезни в течение первых двух недель. Пособия по болезни и по беременности и родам также частично финансируются за счет взносов работодателей. Конкретные суммы определяются в коллективных трудовых соглашениях.</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174" w:name="_Toc51496896"/>
      <w:bookmarkStart w:id="175" w:name="_Toc51497063"/>
      <w:bookmarkStart w:id="176" w:name="_Toc51497588"/>
      <w:r>
        <w:t>Пункт 29 руководящих принципов: Доля ВНП, расходуемая на социальное обеспечение</w:t>
      </w:r>
      <w:bookmarkEnd w:id="174"/>
      <w:bookmarkEnd w:id="175"/>
      <w:bookmarkEnd w:id="176"/>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194.</w:t>
      </w:r>
      <w:r>
        <w:rPr>
          <w:sz w:val="23"/>
        </w:rPr>
        <w:tab/>
        <w:t>Доля расходов на выплату пособий по линии социального обеспечения в ВВП (в ценах каждого года) за 1988 год и 1998 год составила соответственно 27,5% (всего 205 511 000 000 датских крон) и 29,1% (всего 339 728 000 000 датских крон).</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195.</w:t>
      </w:r>
      <w:r>
        <w:rPr>
          <w:sz w:val="23"/>
        </w:rPr>
        <w:tab/>
        <w:t>Одна из причин, объясняющих эту тенденцию, заключается в росте расходов в связи с увеличением численности престарелых в Дании и выплат пособий по болезни. Кроме того, большинство пособий в системе социального обеспечения корректируются в сторону повышения с учетом динамики цен и окладов/заработной платы.</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177" w:name="_Toc51496897"/>
      <w:bookmarkStart w:id="178" w:name="_Toc51497064"/>
      <w:bookmarkStart w:id="179" w:name="_Toc51497589"/>
      <w:r>
        <w:t>Пункт 30 руководящих принципов: Частные меры</w:t>
      </w:r>
      <w:bookmarkEnd w:id="177"/>
      <w:bookmarkEnd w:id="178"/>
      <w:bookmarkEnd w:id="179"/>
    </w:p>
    <w:p w:rsidR="00000000" w:rsidRDefault="00000000">
      <w:pPr>
        <w:pStyle w:val="Heading1"/>
        <w:tabs>
          <w:tab w:val="clear" w:pos="567"/>
          <w:tab w:val="clear" w:pos="1701"/>
          <w:tab w:val="clear" w:pos="2268"/>
          <w:tab w:val="clear" w:pos="6237"/>
          <w:tab w:val="left" w:pos="680"/>
          <w:tab w:val="left" w:pos="1134"/>
        </w:tabs>
        <w:spacing w:line="240" w:lineRule="auto"/>
        <w:rPr>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196.</w:t>
      </w:r>
      <w:r>
        <w:rPr>
          <w:sz w:val="23"/>
        </w:rPr>
        <w:tab/>
        <w:t>Делается ссылка на третий периодический доклад, представленный правительством Дании Комитету по экономическим, социальным и культурным правам (</w:t>
      </w:r>
      <w:r>
        <w:rPr>
          <w:sz w:val="23"/>
          <w:lang w:val="en-US"/>
        </w:rPr>
        <w:t>E</w:t>
      </w:r>
      <w:r>
        <w:rPr>
          <w:sz w:val="23"/>
        </w:rPr>
        <w:t>/1994/104/</w:t>
      </w:r>
      <w:r>
        <w:rPr>
          <w:sz w:val="23"/>
          <w:lang w:val="en-US"/>
        </w:rPr>
        <w:t>Add</w:t>
      </w:r>
      <w:r>
        <w:rPr>
          <w:sz w:val="23"/>
        </w:rPr>
        <w:t>.15) в сентябре 1997 года.</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180" w:name="_Toc51496898"/>
      <w:bookmarkStart w:id="181" w:name="_Toc51497065"/>
      <w:bookmarkStart w:id="182" w:name="_Toc51497590"/>
      <w:r>
        <w:t>Пункт 31 руководящих принципов: Уязвимые группы</w:t>
      </w:r>
      <w:bookmarkEnd w:id="180"/>
      <w:bookmarkEnd w:id="181"/>
      <w:bookmarkEnd w:id="182"/>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197.</w:t>
      </w:r>
      <w:r>
        <w:rPr>
          <w:sz w:val="23"/>
        </w:rPr>
        <w:tab/>
        <w:t>Всем людям, постоянно проживающим в Дании, на равных началах гарантируются права на социальное обеспечение и пособия независимо от их положения на рынке труда. Женщины имеют равное с мужчинами право на социальное обеспечение.</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198.</w:t>
      </w:r>
      <w:r>
        <w:rPr>
          <w:sz w:val="23"/>
        </w:rPr>
        <w:tab/>
        <w:t>Законы о социальном обеспечении, пересмотренные в 1998 году, в нормативном порядке закрепляют право уязвимых групп на получение помощи и самоопределение.</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199.</w:t>
      </w:r>
      <w:r>
        <w:rPr>
          <w:sz w:val="23"/>
        </w:rPr>
        <w:tab/>
        <w:t>В основе проводимой Данией социальной политики по оказанию помощи инвалидам лежит принцип, согласно которому каждый человек вправе получить компенсацию за свою инвалидность, с тем чтобы иметь возможность вести такую жизнь, которая была бы максимально приближена к нормальной. В этом контексте следует, в частности, отметить государственную поддержку в деле обеспечения вспомогательных технических средств и транспорта, а также персональных помощников. С тем чтобы граждане, страдающие инвалидностью, могли учиться и получить работу, для покрытия дополнительных расходов, являющихся следствием инвалидности, им выплачиваются денежные пособия. Необходимые меры принимаются в интересах граждан, которые при оказании им помощи могут оставаться жить в собственном доме.</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200.</w:t>
      </w:r>
      <w:r>
        <w:rPr>
          <w:sz w:val="23"/>
        </w:rPr>
        <w:tab/>
        <w:t xml:space="preserve">Компенсационные пособия являются безвозмездными, предоставляются независимо от личного дохода или материального положения конкретного лица и не облагаются налогом. Расходы на их выплату покрываются в порядке совместного финансирования за счет подоходного налога.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201.</w:t>
      </w:r>
      <w:r>
        <w:rPr>
          <w:sz w:val="23"/>
        </w:rPr>
        <w:tab/>
        <w:t>С годами система ухода за инвалидами претерпевает изменения. Инвалиды, которые не могут жить одни дома, переводятся из крупных заведений в небольшие, а также расселяются вместе друг с другом в квартирах или в частных домах. Инвалиды имеют право на помощь, необходимую для приспособления жилых помещений к их потребностям, а также на возмещение дополнительных расходов, возникающих по причине их инвалидности. Те же самые правила применяются и к родителям, воспитывающим детей-инвалидов.</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202.</w:t>
      </w:r>
      <w:r>
        <w:rPr>
          <w:sz w:val="23"/>
        </w:rPr>
        <w:tab/>
        <w:t>Инвалиды, способные передвигаться, могут пользоваться транспортом для поездки в школу и обратно; кроме того, они могут участвовать в культурных и спортивных мероприятиях. Инвалиды имеют также право на финансовую помощь для покупки и адаптации личного автомобиля.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203.</w:t>
      </w:r>
      <w:r>
        <w:rPr>
          <w:sz w:val="23"/>
        </w:rPr>
        <w:tab/>
        <w:t>Независимо от размера дохода инвалидов местные органы власти обеспечивают инвалидов вспомогательными техническими средствами для облегчения удовлетворения ими своих бытовых нужд.</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204.</w:t>
      </w:r>
      <w:r>
        <w:rPr>
          <w:sz w:val="23"/>
        </w:rPr>
        <w:tab/>
        <w:t>Реабилитация, переподготовка и трудоустройство инвалидов происходят в обычных учебных центрах и на рабочих местах. Возможности трудоустройства инвалидов расширяются благодаря программам дополнительной оплаты труда и финансовой помощи по адаптации рабочих мест.</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Heading1"/>
        <w:tabs>
          <w:tab w:val="clear" w:pos="567"/>
          <w:tab w:val="clear" w:pos="1701"/>
          <w:tab w:val="clear" w:pos="2268"/>
          <w:tab w:val="clear" w:pos="6237"/>
          <w:tab w:val="left" w:pos="680"/>
          <w:tab w:val="left" w:pos="1134"/>
        </w:tabs>
        <w:spacing w:line="240" w:lineRule="auto"/>
        <w:rPr>
          <w:bCs/>
          <w:sz w:val="23"/>
        </w:rPr>
      </w:pPr>
      <w:r>
        <w:rPr>
          <w:bCs/>
          <w:sz w:val="23"/>
        </w:rPr>
        <w:t>Социально отчужденные лица</w:t>
      </w:r>
    </w:p>
    <w:p w:rsidR="00000000" w:rsidRDefault="00000000">
      <w:pPr>
        <w:pStyle w:val="Heading1"/>
        <w:tabs>
          <w:tab w:val="clear" w:pos="567"/>
          <w:tab w:val="clear" w:pos="1701"/>
          <w:tab w:val="clear" w:pos="2268"/>
          <w:tab w:val="clear" w:pos="6237"/>
          <w:tab w:val="left" w:pos="680"/>
          <w:tab w:val="left" w:pos="1134"/>
        </w:tabs>
        <w:spacing w:line="240" w:lineRule="auto"/>
        <w:rPr>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205.</w:t>
      </w:r>
      <w:r>
        <w:rPr>
          <w:sz w:val="23"/>
        </w:rPr>
        <w:tab/>
        <w:t>Хотя Дания может по праву гордиться развитой системой социальной защиты и здравоохранения, еще существуют люди, которым общество не смогло оказать необходимую помощь. К этой небольшой группе относятся бездомные, наркоманы, беспризорные дети, определенная прослойка лиц с умственными заболеваниями, проститутки, а также некоторые иммигранты и беженцы. Все большее число таких лиц страдает от "комплексных проблем", например от наркомании и умственных заболеваний. С 1993 года Дания активизировала свои усилия в интересах бездомных, инвалидов, умственно больных лиц и социально маргинализованных групп, целенаправленно выделяя государственные средства на поддержку региональных и местных проектов, предусматривающих предоставление помощи и жилья.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206.</w:t>
      </w:r>
      <w:r>
        <w:rPr>
          <w:sz w:val="23"/>
        </w:rPr>
        <w:tab/>
        <w:t>В последние годы в категории бездомных произошли изменения: среди них возросла доля молодежи, женщин, наркоманов, лиц, получающих досрочную пенсию, душевнобольных и беженцев. Для социально отчужденных лиц существуют специализированные приюты, пансионы и общежития. Улучшение их положения является важнейшей политической задачей.</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207.</w:t>
      </w:r>
      <w:r>
        <w:rPr>
          <w:sz w:val="23"/>
        </w:rPr>
        <w:tab/>
        <w:t>Дания ассигнует значительные средства на поддержку бездомных, и в частности на строительство государственных приютов и специального жилья, а также на деятельность по развитию системы самопомощи.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208.</w:t>
      </w:r>
      <w:r>
        <w:rPr>
          <w:sz w:val="23"/>
        </w:rPr>
        <w:tab/>
        <w:t>Местные власти занимаются оказанием необходимой помощи гражданам, проживающим в подведомственных им районах. Каждому человеку, нуждающемуся в поддержке, могут быть предоставлены индивидуальная помощь, помощь на дому, услуги в области реабилитации, занятости, лечения и в решении жилищного вопроса.</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209.</w:t>
      </w:r>
      <w:r>
        <w:rPr>
          <w:sz w:val="23"/>
        </w:rPr>
        <w:tab/>
        <w:t>Местные власти также отвечают за обеспечение жильем проживающих в подведомственной им территории граждан, которые сами не могут удовлетворить соответствующие потребности из-за своих физических и умственных недостатков или социальной ущемленности.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210.</w:t>
      </w:r>
      <w:r>
        <w:rPr>
          <w:sz w:val="23"/>
        </w:rPr>
        <w:tab/>
        <w:t>В последние десять лет датское правительство осуществляло в рамках усилий, направленных на борьбу с наркоманией и алкоголизмом, централизованные программы поддержки. Они включали в себя лечебные мероприятия, реабилитацию, создание возможностей для трудоустройства, открытие центров дневного попечения и предоставление временного жилья.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211.</w:t>
      </w:r>
      <w:r>
        <w:rPr>
          <w:sz w:val="23"/>
        </w:rPr>
        <w:tab/>
        <w:t>Была реализована программа оказания помощи женщинам, которые против своей воли занимаются проституцией, и Дания участвует в международной деятельности по решению проблемы торговли женщинами и детьми для целей порабощения или проституции.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b/>
          <w:bCs/>
          <w:sz w:val="23"/>
        </w:rPr>
      </w:pPr>
      <w:r>
        <w:rPr>
          <w:b/>
          <w:bCs/>
          <w:sz w:val="23"/>
        </w:rPr>
        <w:t>Лица с психическими расстройствами</w:t>
      </w:r>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212.</w:t>
      </w:r>
      <w:r>
        <w:rPr>
          <w:sz w:val="23"/>
        </w:rPr>
        <w:tab/>
        <w:t>Дания расширяет и активизирует свои усилия в интересах психически больных лиц в соответствии с общим курсом политики, направленной на обеспечение того, чтобы лица с психическими расстройствами были ограждены от эксплуатации в порядке обязательного лечения и по возможности получали помощь, позволяющую им самостоятельно жить у себя дома или в небольших общежитиях и пансионах с круглосуточным дежурством.</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213.</w:t>
      </w:r>
      <w:r>
        <w:rPr>
          <w:sz w:val="23"/>
        </w:rPr>
        <w:tab/>
        <w:t>В последние десятилетия были выделены значительные финансовые ресурсы в целях обеспечения возможностей для размещения психически больных лиц в одноместных палатах в психиатрических клиниках и с целью общего сокращения времени их нахождения в клинике.</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FootnoteText"/>
        <w:tabs>
          <w:tab w:val="clear" w:pos="567"/>
          <w:tab w:val="clear" w:pos="1701"/>
          <w:tab w:val="clear" w:pos="2268"/>
          <w:tab w:val="clear" w:pos="6237"/>
          <w:tab w:val="left" w:pos="680"/>
          <w:tab w:val="left" w:pos="1134"/>
        </w:tabs>
        <w:rPr>
          <w:sz w:val="23"/>
        </w:rPr>
      </w:pPr>
      <w:r>
        <w:rPr>
          <w:sz w:val="23"/>
        </w:rPr>
        <w:t>214.</w:t>
      </w:r>
      <w:r>
        <w:rPr>
          <w:sz w:val="23"/>
        </w:rPr>
        <w:tab/>
        <w:t>Число больничных коек в психиатрических лечебницах уменьшилось на 60%. Одновременно растет число людей, проходящих амбулаторное лечение в районных психиатрических клиниках. В то же время расширяются социальные программы по обеспечению жильем и уходу, а также открываются новые возможности в сфере образования, досуга и профессиональной деятельности. Цель подобной реорганизации заключается в том, чтобы дать психически больным лицам возможность вести как можно более нормальный образ жизни.</w:t>
      </w:r>
    </w:p>
    <w:p w:rsidR="00000000" w:rsidRDefault="00000000">
      <w:pPr>
        <w:pStyle w:val="FootnoteText"/>
        <w:tabs>
          <w:tab w:val="clear" w:pos="567"/>
          <w:tab w:val="clear" w:pos="1701"/>
          <w:tab w:val="clear" w:pos="2268"/>
          <w:tab w:val="clear" w:pos="6237"/>
          <w:tab w:val="left" w:pos="680"/>
          <w:tab w:val="left" w:pos="1134"/>
        </w:tabs>
        <w:rPr>
          <w:sz w:val="23"/>
        </w:rPr>
      </w:pPr>
    </w:p>
    <w:p w:rsidR="00000000" w:rsidRDefault="00000000">
      <w:pPr>
        <w:pStyle w:val="FootnoteText"/>
        <w:tabs>
          <w:tab w:val="clear" w:pos="567"/>
          <w:tab w:val="clear" w:pos="1701"/>
          <w:tab w:val="clear" w:pos="2268"/>
          <w:tab w:val="clear" w:pos="6237"/>
          <w:tab w:val="left" w:pos="680"/>
          <w:tab w:val="left" w:pos="1134"/>
        </w:tabs>
        <w:rPr>
          <w:sz w:val="23"/>
        </w:rPr>
      </w:pPr>
      <w:r>
        <w:rPr>
          <w:sz w:val="23"/>
        </w:rPr>
        <w:t>215.</w:t>
      </w:r>
      <w:r>
        <w:rPr>
          <w:sz w:val="23"/>
        </w:rPr>
        <w:tab/>
        <w:t>В интересах душевнобольных создан целый ряд вспомогательных служб. Существуют сети по оказанию им помощи в следующих областях: интеграция в обычную жизнь после больничного лечения, выполнение повседневных функций, обеспечение жильем, создание возможностей для получения образования и работы, восстановление личных контактов, использование свободного времени для занятия спортом и других культурных мероприятий, а также пользование услугами социальной системы.</w:t>
      </w:r>
    </w:p>
    <w:p w:rsidR="00000000" w:rsidRDefault="00000000">
      <w:pPr>
        <w:pStyle w:val="FootnoteText"/>
        <w:tabs>
          <w:tab w:val="clear" w:pos="567"/>
          <w:tab w:val="clear" w:pos="1701"/>
          <w:tab w:val="clear" w:pos="2268"/>
          <w:tab w:val="clear" w:pos="6237"/>
          <w:tab w:val="left" w:pos="680"/>
          <w:tab w:val="left" w:pos="1134"/>
        </w:tabs>
        <w:rPr>
          <w:sz w:val="23"/>
        </w:rPr>
      </w:pPr>
    </w:p>
    <w:p w:rsidR="00000000" w:rsidRDefault="00000000">
      <w:pPr>
        <w:pStyle w:val="a0"/>
      </w:pPr>
      <w:bookmarkStart w:id="183" w:name="_Toc51496899"/>
      <w:bookmarkStart w:id="184" w:name="_Toc51497066"/>
      <w:bookmarkStart w:id="185" w:name="_Toc51497591"/>
      <w:r>
        <w:t>Пункт 32 руководящих принципов: Обзор изменений</w:t>
      </w:r>
      <w:bookmarkEnd w:id="183"/>
      <w:bookmarkEnd w:id="184"/>
      <w:bookmarkEnd w:id="185"/>
    </w:p>
    <w:p w:rsidR="00000000" w:rsidRDefault="00000000">
      <w:pPr>
        <w:pStyle w:val="Heading1"/>
        <w:tabs>
          <w:tab w:val="clear" w:pos="567"/>
          <w:tab w:val="clear" w:pos="1701"/>
          <w:tab w:val="clear" w:pos="2268"/>
          <w:tab w:val="clear" w:pos="6237"/>
          <w:tab w:val="left" w:pos="680"/>
          <w:tab w:val="left" w:pos="1134"/>
        </w:tabs>
        <w:spacing w:line="240" w:lineRule="auto"/>
        <w:rPr>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216.</w:t>
      </w:r>
      <w:r>
        <w:rPr>
          <w:sz w:val="23"/>
        </w:rPr>
        <w:tab/>
        <w:t>В своих заключительных замечаниях в отношении третьего периодического доклада Дании Комитет по экономическим, социальным и культурным правам (именуемый далее "Комитет") отметил в качестве позитивного аспекта новый Закон об интеграции и деятельность датского правительства с целью интеграции иностранцев и членов их семей в датское общество.</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217.</w:t>
      </w:r>
      <w:r>
        <w:rPr>
          <w:sz w:val="23"/>
        </w:rPr>
        <w:tab/>
        <w:t>В пункте 16 своих заключительных замечаний Комитет выразил обеспокоенность тем, что новый Закон об интеграции может иметь дискриминационные последствия для беженцев. Комитет в конечном итоге рекомендовал правительству тщательно отслеживать последствия осуществления нового Закона об интеграции и предложил ему принять срочные меры по исправлению положения, если это законодательство действительно имеет дискриминационные последствия для беженцев. Причиной для высказывания этих замечаний послужил размер пособия на адаптацию, которое в то время было меньше, чем обычное денежное пособие.</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218.</w:t>
      </w:r>
      <w:r>
        <w:rPr>
          <w:sz w:val="23"/>
        </w:rPr>
        <w:tab/>
        <w:t xml:space="preserve">26 июня 1998 года датский парламент (фолькетинг) принял Закон об интеграции иностранцев в Дании (Закон об интеграции). Этот Закон, вступивший в силу 1 января 1999 года, является первым направленным на обеспечение фактической интеграции нормативным актом в Дании, которая ранее не имела всеобъемлющего свода норм в данной области.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219.</w:t>
      </w:r>
      <w:r>
        <w:rPr>
          <w:sz w:val="23"/>
        </w:rPr>
        <w:tab/>
        <w:t>Одна из общих целей правительства в контексте Закона заключается в том, чтобы беженцы и иммигранты стали полезными членами датского общества наравне с датчанами. Таким образом, Закон об интеграции предусматривает создание условий для участия вновь прибывающих иностранцев в программе адаптации, которая состоит из курса, посвященного изучению основ датского общества, уроков датского языка и активного профилирования, включающего в себя практическую или формальную подготовку и образование с целью расширения возможностей конкретных иностранцев в плане получения работы. Закон также охватывает правила, в соответствии с которыми иностранцы, не способные себя обеспечить, получают специальные пособия на адаптацию до тех пор, пока они сами не встанут на ноги.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220.</w:t>
      </w:r>
      <w:r>
        <w:rPr>
          <w:sz w:val="23"/>
        </w:rPr>
        <w:tab/>
        <w:t>Когда Закон об интеграции вступил в силу, правительство разработало план действий с целью оценки хода его осуществления. В декабре 1999 года было опубликовано исследование, проведенное в 34 муниципалитетах Дании и посвященное вопросу о занятости иностранцев и их общем финансовом положении. Один из выводов, сделанных по результатам исследования, заключался в том, что нормальную работу, предполагаемую Законом, имеют небольшое число охватываемых его сферой действий иностранцев и что в значительной степени иностранцы получают поддержку согласно специальным правилам об оказании помощи. С тем чтобы создать иностранцам по возможности наилучшие условия для активного участия в интеграционных процессах, правительство решило принять законодательство, предусматривающее увеличение суммы пособия на адаптацию путем его корректировки с учетом размера денежного пособия. Эта поправка была принята датским парламентом в качестве Закона № 57 от 25 января 2000 года.</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221.</w:t>
      </w:r>
      <w:r>
        <w:rPr>
          <w:sz w:val="23"/>
        </w:rPr>
        <w:tab/>
        <w:t>В целом следует отметить, что Закон об интеграции подвергается регулярной оценке. В</w:t>
      </w:r>
      <w:r>
        <w:rPr>
          <w:sz w:val="23"/>
          <w:lang w:val="en-US"/>
        </w:rPr>
        <w:t> </w:t>
      </w:r>
      <w:r>
        <w:rPr>
          <w:sz w:val="23"/>
        </w:rPr>
        <w:t>дополнение к исследованию, упоминаемому выше, министерство по делам беженцев, иммиграции и интеграции инициировало подготовку еще двух внешних исследований по вопросу оценки хода осуществления Закона об интеграции, которые были проведены международно признанными частными консультационными фирмами.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222.</w:t>
      </w:r>
      <w:r>
        <w:rPr>
          <w:sz w:val="23"/>
        </w:rPr>
        <w:tab/>
        <w:t>Один доклад, озаглавленный "Интеграция на практике: первый опыт работы местных советов по линии Закона об интеграции", был опубликован 16 ноября 2000 года и представляет собой исследование, посвященное деятельности местных советов по осуществлению Закона об интеграции и мобилизации интеграционных усилий. Другой доклад, озаглавленный "Восприятие иностранцами своего положения и процессы интеграции в Дании", был также опубликован 16</w:t>
      </w:r>
      <w:r>
        <w:rPr>
          <w:sz w:val="23"/>
          <w:lang w:val="en-US"/>
        </w:rPr>
        <w:t> </w:t>
      </w:r>
      <w:r>
        <w:rPr>
          <w:sz w:val="23"/>
        </w:rPr>
        <w:t>ноября 2000 года. Оба исследования были проведены вскоре после вступления Закона об интеграции в силу и поэтому отражают первые результаты его осуществления на практике.</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223.</w:t>
      </w:r>
      <w:r>
        <w:rPr>
          <w:sz w:val="23"/>
        </w:rPr>
        <w:tab/>
        <w:t>17 января 2002 года правительство выступило с инициативой "Новая политика в отношении иностранцев", которая построена на трех основных принципах:</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ind w:left="1134" w:hanging="1134"/>
        <w:rPr>
          <w:sz w:val="23"/>
        </w:rPr>
      </w:pPr>
      <w:r>
        <w:rPr>
          <w:sz w:val="23"/>
        </w:rPr>
        <w:tab/>
        <w:t xml:space="preserve">– </w:t>
      </w:r>
      <w:r>
        <w:rPr>
          <w:sz w:val="23"/>
        </w:rPr>
        <w:tab/>
        <w:t>обязательства Дании в соответствии с международными конвенциями должны выполняться;</w:t>
      </w:r>
    </w:p>
    <w:p w:rsidR="00000000" w:rsidRDefault="00000000">
      <w:pPr>
        <w:tabs>
          <w:tab w:val="clear" w:pos="567"/>
          <w:tab w:val="clear" w:pos="1701"/>
          <w:tab w:val="clear" w:pos="2268"/>
          <w:tab w:val="clear" w:pos="6237"/>
          <w:tab w:val="left" w:pos="680"/>
          <w:tab w:val="left" w:pos="1134"/>
        </w:tabs>
        <w:spacing w:line="240" w:lineRule="auto"/>
        <w:ind w:left="1134" w:hanging="1134"/>
        <w:rPr>
          <w:sz w:val="23"/>
        </w:rPr>
      </w:pPr>
    </w:p>
    <w:p w:rsidR="00000000" w:rsidRDefault="00000000">
      <w:pPr>
        <w:tabs>
          <w:tab w:val="clear" w:pos="567"/>
          <w:tab w:val="clear" w:pos="1701"/>
          <w:tab w:val="clear" w:pos="2268"/>
          <w:tab w:val="clear" w:pos="6237"/>
          <w:tab w:val="left" w:pos="680"/>
          <w:tab w:val="left" w:pos="1134"/>
        </w:tabs>
        <w:spacing w:line="240" w:lineRule="auto"/>
        <w:ind w:left="1134" w:hanging="1134"/>
        <w:rPr>
          <w:sz w:val="23"/>
        </w:rPr>
      </w:pPr>
      <w:r>
        <w:rPr>
          <w:sz w:val="23"/>
        </w:rPr>
        <w:tab/>
        <w:t>–</w:t>
      </w:r>
      <w:r>
        <w:rPr>
          <w:sz w:val="23"/>
        </w:rPr>
        <w:tab/>
        <w:t>следует ограничить количество иностранцев, прибывающих в Данию, установить более строгие требования, касающиеся их обязанности в отношении обеспечения собственных средств к существованию;</w:t>
      </w:r>
    </w:p>
    <w:p w:rsidR="00000000" w:rsidRDefault="00000000">
      <w:pPr>
        <w:tabs>
          <w:tab w:val="clear" w:pos="567"/>
          <w:tab w:val="clear" w:pos="1701"/>
          <w:tab w:val="clear" w:pos="2268"/>
          <w:tab w:val="clear" w:pos="6237"/>
          <w:tab w:val="left" w:pos="680"/>
          <w:tab w:val="left" w:pos="1134"/>
        </w:tabs>
        <w:spacing w:line="240" w:lineRule="auto"/>
        <w:ind w:left="1134" w:hanging="1134"/>
        <w:rPr>
          <w:sz w:val="23"/>
        </w:rPr>
      </w:pPr>
    </w:p>
    <w:p w:rsidR="00000000" w:rsidRDefault="00000000">
      <w:pPr>
        <w:tabs>
          <w:tab w:val="clear" w:pos="567"/>
          <w:tab w:val="clear" w:pos="1701"/>
          <w:tab w:val="clear" w:pos="2268"/>
          <w:tab w:val="clear" w:pos="6237"/>
          <w:tab w:val="left" w:pos="680"/>
          <w:tab w:val="left" w:pos="1134"/>
        </w:tabs>
        <w:spacing w:line="240" w:lineRule="auto"/>
        <w:ind w:left="1134" w:hanging="1134"/>
        <w:rPr>
          <w:sz w:val="23"/>
        </w:rPr>
      </w:pPr>
      <w:r>
        <w:rPr>
          <w:sz w:val="23"/>
        </w:rPr>
        <w:tab/>
        <w:t xml:space="preserve">– </w:t>
      </w:r>
      <w:r>
        <w:rPr>
          <w:sz w:val="23"/>
        </w:rPr>
        <w:tab/>
        <w:t>беженцы и иммигранты, уже проживающие в Дании, должны быть лучше интегрированы и должны быстрее находить работу. Таким образом, необходимо укрепить стимулы к поиску работы.</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224.</w:t>
      </w:r>
      <w:r>
        <w:rPr>
          <w:sz w:val="23"/>
        </w:rPr>
        <w:tab/>
        <w:t>В качестве последующей меры во исполнение положений этого программного документа правительство предложило внести поправки в Закон об активной социальной политике и Закон об интеграции иностранцев в Дании. Так, правительство предложило ввести новый порядок выплаты денежных пособий, в соответствии с которым право на получение денежных пособий в полном объеме имеют только те лица, которые на законных основаниях проживали в Дании в течение по меньшей мере семи из восьми предыдущих лет. Лица, не отвечающие требованиям ценза оседлости, но удовлетворяющие другим условиям, установленным в Законе, будут иметь право на получение начального пособия. На тех, кто приедет в Данию в будущем, будут распространяться новые правила. Это применяется как к иностранцам, так и датчанам. Закрепленные в Законе об интеграции правила, касающиеся пособия на адаптацию, согласуются с правилами о денежных пособиях, изложенных в Законе об активной социальной политике.</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225.</w:t>
      </w:r>
      <w:r>
        <w:rPr>
          <w:sz w:val="23"/>
        </w:rPr>
        <w:tab/>
        <w:t>Правительство считает, что эти правила гарантируют каждому человеку право на социальное обеспечение и право на надлежащий уровень жизни, которые вытекают из Пакта. Правила гарантируют каждому, кто имеет право на получение пособия по новым ставкам, выплату в течение семилетнего периода определенной суммы, которая как минимум соответствует размеру государственного пособия на образование (ГПО), составляющего основу вспомоществования лицам, проходящим учебу/подготовку. Кроме того, по-прежнему действуют положения, установленные в статье 81 Закона об активной социальной политике и статье 35 Закона об интеграции. Это означает, что все лица, включая иностранцев, на которых распространяются новые ставки, смогут претендовать на возмещение конкретных обоснованных расходов в том случае, если их покрытие заинтересованным лицом приведет к серьезному ухудшению будущего материального положения этого лица и его/ее семьи. Более того, иностранцы, охватываемые сферой действия Закона об интеграции, в соответствии со статьей 34 этого Закона в определенной мере будут иметь право на покрытие некоторых конкретных расходов в связи с их участием в программе адаптации.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226.</w:t>
      </w:r>
      <w:r>
        <w:rPr>
          <w:sz w:val="23"/>
        </w:rPr>
        <w:tab/>
        <w:t>Следует отметить, что правила применяются ко всем иностранцам и датским гражданам независимо от их расы, цвета кожи, национального или этнического происхождения. Кроме того, правила служат цели расширения занятости соответствующей категории лиц, находящихся на государственных пособиях, поскольку в случае трудоустройства они будут получать более значительный доход. Таким образом, правила будут способствовать интеграции иностранцев на рынке труда и их общей интеграции в датское общество.</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227.</w:t>
      </w:r>
      <w:r>
        <w:rPr>
          <w:sz w:val="23"/>
        </w:rPr>
        <w:tab/>
        <w:t>Измененные правила возмещения расходов и предоставления субсидий были приняты датским парламентом в качестве Закона № 361 от 6 июня 2002 года и стали применяться с 1 июля 2002 года.</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186" w:name="_Toc51496900"/>
      <w:bookmarkStart w:id="187" w:name="_Toc51497067"/>
      <w:bookmarkStart w:id="188" w:name="_Toc51497592"/>
      <w:r>
        <w:t>Пункт 33 руководящих принципов: Международная помощь</w:t>
      </w:r>
      <w:bookmarkEnd w:id="186"/>
      <w:bookmarkEnd w:id="187"/>
      <w:bookmarkEnd w:id="188"/>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228.</w:t>
      </w:r>
      <w:r>
        <w:rPr>
          <w:sz w:val="23"/>
        </w:rPr>
        <w:tab/>
        <w:t>Дания не получает международную помощь.</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
      </w:pPr>
      <w:bookmarkStart w:id="189" w:name="_Toc51496901"/>
      <w:bookmarkStart w:id="190" w:name="_Toc51497068"/>
      <w:bookmarkStart w:id="191" w:name="_Toc51497593"/>
      <w:r>
        <w:t>Статья 10</w:t>
      </w:r>
      <w:bookmarkEnd w:id="189"/>
      <w:bookmarkEnd w:id="190"/>
      <w:bookmarkEnd w:id="191"/>
    </w:p>
    <w:p w:rsidR="00000000" w:rsidRDefault="00000000">
      <w:pPr>
        <w:pStyle w:val="a"/>
      </w:pPr>
    </w:p>
    <w:p w:rsidR="00000000" w:rsidRDefault="00000000">
      <w:pPr>
        <w:pStyle w:val="a"/>
      </w:pPr>
      <w:bookmarkStart w:id="192" w:name="_Toc51496902"/>
      <w:bookmarkStart w:id="193" w:name="_Toc51497069"/>
      <w:bookmarkStart w:id="194" w:name="_Toc51497594"/>
      <w:r>
        <w:t>Семья, матери и дети</w:t>
      </w:r>
      <w:bookmarkEnd w:id="192"/>
      <w:bookmarkEnd w:id="193"/>
      <w:bookmarkEnd w:id="194"/>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pStyle w:val="a0"/>
      </w:pPr>
      <w:bookmarkStart w:id="195" w:name="_Toc51496903"/>
      <w:bookmarkStart w:id="196" w:name="_Toc51497070"/>
      <w:bookmarkStart w:id="197" w:name="_Toc51497595"/>
      <w:r>
        <w:t>Пункт 34 руководящих принципов: Участие в других соответствующих конвенциях</w:t>
      </w:r>
      <w:bookmarkEnd w:id="195"/>
      <w:bookmarkEnd w:id="196"/>
      <w:bookmarkEnd w:id="197"/>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229.</w:t>
      </w:r>
      <w:r>
        <w:rPr>
          <w:sz w:val="23"/>
        </w:rPr>
        <w:tab/>
        <w:t>Дания является участницей Международного пакта о гражданских и политических правах, Конвенции о правах ребенка, Конвенции о ликвидации всех форм дискриминации в отношении женщин и Конвенции МОТ (№ 138) о минимальном возрасте.</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198" w:name="_Toc51496904"/>
      <w:bookmarkStart w:id="199" w:name="_Toc51497071"/>
      <w:bookmarkStart w:id="200" w:name="_Toc51497596"/>
      <w:r>
        <w:t>Пункт 35 руководящих принципов: Семья, матери и дети</w:t>
      </w:r>
      <w:bookmarkEnd w:id="198"/>
      <w:bookmarkEnd w:id="199"/>
      <w:bookmarkEnd w:id="200"/>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230.</w:t>
      </w:r>
      <w:r>
        <w:rPr>
          <w:sz w:val="23"/>
        </w:rPr>
        <w:tab/>
        <w:t>Юридическое определение понятия "семья" отсутствует. Этот термин используется в датском законодательстве наряду с понятиями "лицо" и "родители".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231.</w:t>
      </w:r>
      <w:r>
        <w:rPr>
          <w:sz w:val="23"/>
        </w:rPr>
        <w:tab/>
        <w:t>В датском законодательстве по социальным вопросам понятие "семья", как правило, трактуется очень широко: под семьей понимается любая связь между представителями двух поколений, которые зарегистрированы в Национальном регистре как проживающие по одному адресу и которые имеют финансовые и эмоциональные связи друг с другом. Это означает, что к семьям относятся пары, состоящие в браке, зарегистрированные партнерства, пары, проживающие вместе, а также матери или отцы-одиночки с детьми.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232.</w:t>
      </w:r>
      <w:r>
        <w:rPr>
          <w:sz w:val="23"/>
        </w:rPr>
        <w:tab/>
        <w:t>Закон от 2 июня 1999 года о поправках к Закону о зарегистрированных партнерствах между однополыми лицами предусматривает, что теперь однополый зарегистрированный партнер может усыновить ребенка другого партнера, если такой ребенок не является ребенком, усыновленным из другой страны. Закон о поправках вступил в силу 1 июля 1999 года.</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233.</w:t>
      </w:r>
      <w:r>
        <w:rPr>
          <w:sz w:val="23"/>
        </w:rPr>
        <w:tab/>
        <w:t>Для целей статистики принадлежность двух или большего числа людей к семье определяется на основании двух ключевых факторов: члены семьи должны проживать по одному адресу, зарегистрированному в Национальном регистре, и члены одной семьи могут относиться не более чем к двум поколениям. В статистике проводятся различия между следующими типами семей: одинокие мужчины и женщины и четыре различных вида семейных пар, т. е. пары, состоящие в браке, зарегистрированные партнерства, сожительствующие лица, зарегистрированные по двум различным адресам и сожительствующие лица, зарегистрированные по одному адресу. Семьи всех этих типов могут иметь или не иметь детей, проживающих вместе с ними. Существует еще один последний тип семьи: дети в возрасте до 18 лет, не проживающие дома.</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201" w:name="_Toc51496905"/>
      <w:bookmarkStart w:id="202" w:name="_Toc51497072"/>
      <w:bookmarkStart w:id="203" w:name="_Toc51497597"/>
      <w:r>
        <w:t>Пункт 36 руководящих принципов: Возраст совершеннолетия</w:t>
      </w:r>
      <w:bookmarkEnd w:id="201"/>
      <w:bookmarkEnd w:id="202"/>
      <w:bookmarkEnd w:id="203"/>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234.</w:t>
      </w:r>
      <w:r>
        <w:rPr>
          <w:sz w:val="23"/>
        </w:rPr>
        <w:tab/>
        <w:t>В Дании лица в возрасте до 18 лет относятся к несовершеннолетним, поскольку они не имеют права голоса и полной дееспособности решать личные и имущественные вопросы.</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235.</w:t>
      </w:r>
      <w:r>
        <w:rPr>
          <w:sz w:val="23"/>
        </w:rPr>
        <w:tab/>
        <w:t>Дети и молодые люди в возрасте до 18 лет должны находиться под опекой своих родителей, если они не состоят в браке. Опекун обязан заботиться о несовершеннолетнем и принимать касающиеся несовершеннолетнего решения, исходя из интересов и потребностей ребенка. Несовершеннолетний не может вступить в брак без согласия родителей и властей.</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236.</w:t>
      </w:r>
      <w:r>
        <w:rPr>
          <w:sz w:val="23"/>
        </w:rPr>
        <w:tab/>
        <w:t>Каждый гражданин обязан содержать себя, своего супруга/супругу и детей в возрасте до 18 лет. Лица, достигшие 17-летнего возраста, имеют право на получение социальной помощи. Получателям наличной помощи в возрасте до 25 лет могут предлагаться вводные и консультативные программы продолжительностью до шести недель. Получатели помощи, достигшие 25 лет, имеют право на индивидуальный план действий.</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204" w:name="_Toc51496906"/>
      <w:bookmarkStart w:id="205" w:name="_Toc51497073"/>
      <w:bookmarkStart w:id="206" w:name="_Toc51497598"/>
      <w:r>
        <w:t>Пункт 37 а) и b) руководящих принципов: Вступление в брак и защита семьи</w:t>
      </w:r>
      <w:bookmarkEnd w:id="204"/>
      <w:bookmarkEnd w:id="205"/>
      <w:bookmarkEnd w:id="206"/>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237.</w:t>
      </w:r>
      <w:r>
        <w:rPr>
          <w:sz w:val="23"/>
        </w:rPr>
        <w:tab/>
        <w:t>Семья продолжает оставаться тем фундаментом, который лежит в основе сохранения и развития общества. В Дании отсутствуют централизованные программы прямого поощрения браков и т. д. Однако если формируется супружеская пара или двое лиц вступают в какой-либо иной тип взаимоотношений друг с другом и если у них есть дети, то у родителей и их детей появляются определенные права, например:</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ind w:left="1134" w:hanging="1134"/>
        <w:rPr>
          <w:sz w:val="23"/>
        </w:rPr>
      </w:pPr>
      <w:r>
        <w:rPr>
          <w:sz w:val="23"/>
        </w:rPr>
        <w:tab/>
        <w:t>–</w:t>
      </w:r>
      <w:r>
        <w:rPr>
          <w:sz w:val="23"/>
        </w:rPr>
        <w:tab/>
        <w:t>право на материнский отпуск, отцовский отпуск и родительский отпуск, которые гарантируют матери, а в некоторой степени и отцу возможность совместного времяпровождения с ребенком (детьми);</w:t>
      </w:r>
    </w:p>
    <w:p w:rsidR="00000000" w:rsidRDefault="00000000">
      <w:pPr>
        <w:tabs>
          <w:tab w:val="clear" w:pos="567"/>
          <w:tab w:val="clear" w:pos="1701"/>
          <w:tab w:val="clear" w:pos="2268"/>
          <w:tab w:val="clear" w:pos="6237"/>
          <w:tab w:val="left" w:pos="680"/>
          <w:tab w:val="left" w:pos="1134"/>
        </w:tabs>
        <w:spacing w:line="240" w:lineRule="auto"/>
        <w:ind w:left="1134" w:hanging="1134"/>
        <w:rPr>
          <w:sz w:val="23"/>
        </w:rPr>
      </w:pPr>
    </w:p>
    <w:p w:rsidR="00000000" w:rsidRDefault="00000000">
      <w:pPr>
        <w:tabs>
          <w:tab w:val="clear" w:pos="567"/>
          <w:tab w:val="clear" w:pos="1701"/>
          <w:tab w:val="clear" w:pos="2268"/>
          <w:tab w:val="clear" w:pos="6237"/>
          <w:tab w:val="left" w:pos="680"/>
          <w:tab w:val="left" w:pos="1134"/>
        </w:tabs>
        <w:spacing w:line="240" w:lineRule="auto"/>
        <w:ind w:left="1134" w:hanging="1134"/>
        <w:rPr>
          <w:sz w:val="23"/>
        </w:rPr>
      </w:pPr>
      <w:r>
        <w:rPr>
          <w:sz w:val="23"/>
        </w:rPr>
        <w:tab/>
        <w:t>–</w:t>
      </w:r>
      <w:r>
        <w:rPr>
          <w:sz w:val="23"/>
        </w:rPr>
        <w:tab/>
        <w:t>право на отпуск по уходу за ребенком (и годовой отпуск), позволяющий родителям взять оплачиваемый отпуск, с тем чтобы провести больше времени с ребенком (детьми).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238.</w:t>
      </w:r>
      <w:r>
        <w:rPr>
          <w:sz w:val="23"/>
        </w:rPr>
        <w:tab/>
        <w:t>Кроме того, существуют программы консультаций по брачным вопросам, а в области социальных услуг многие местные органы власти организовывают для переживающих кризис семей семейные дома, семейные семинары и т. д., где такие семьи могут получить консультации, советы и т.п.</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239.</w:t>
      </w:r>
      <w:r>
        <w:rPr>
          <w:sz w:val="23"/>
        </w:rPr>
        <w:tab/>
        <w:t>Работающим родителям предоставляются следующие возможности: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ind w:left="1134" w:hanging="1134"/>
        <w:rPr>
          <w:sz w:val="23"/>
        </w:rPr>
      </w:pPr>
      <w:r>
        <w:rPr>
          <w:sz w:val="23"/>
        </w:rPr>
        <w:tab/>
        <w:t>–</w:t>
      </w:r>
      <w:r>
        <w:rPr>
          <w:sz w:val="23"/>
        </w:rPr>
        <w:tab/>
        <w:t>дневные учреждения по уходу за всеми детьми. Такие учреждения не только обеспечивают уход за детьми, но и одновременно являются составной частью общих профилактических программ для детей и взрослых, предлагаемых местными органами власти. Их цель заключается в том, чтобы помочь детям развиваться в социальном, демократическом и творческом смысле;</w:t>
      </w:r>
    </w:p>
    <w:p w:rsidR="00000000" w:rsidRDefault="00000000">
      <w:pPr>
        <w:tabs>
          <w:tab w:val="clear" w:pos="567"/>
          <w:tab w:val="clear" w:pos="1701"/>
          <w:tab w:val="clear" w:pos="2268"/>
          <w:tab w:val="clear" w:pos="6237"/>
          <w:tab w:val="left" w:pos="680"/>
          <w:tab w:val="left" w:pos="1134"/>
        </w:tabs>
        <w:spacing w:line="240" w:lineRule="auto"/>
        <w:ind w:left="1134" w:hanging="1134"/>
        <w:rPr>
          <w:sz w:val="23"/>
        </w:rPr>
      </w:pPr>
    </w:p>
    <w:p w:rsidR="00000000" w:rsidRDefault="00000000">
      <w:pPr>
        <w:tabs>
          <w:tab w:val="clear" w:pos="567"/>
          <w:tab w:val="clear" w:pos="1701"/>
          <w:tab w:val="clear" w:pos="2268"/>
          <w:tab w:val="clear" w:pos="6237"/>
          <w:tab w:val="left" w:pos="680"/>
          <w:tab w:val="left" w:pos="1134"/>
        </w:tabs>
        <w:spacing w:line="240" w:lineRule="auto"/>
        <w:ind w:left="1134" w:hanging="1134"/>
        <w:rPr>
          <w:sz w:val="23"/>
        </w:rPr>
      </w:pPr>
      <w:r>
        <w:rPr>
          <w:sz w:val="23"/>
        </w:rPr>
        <w:tab/>
        <w:t>–</w:t>
      </w:r>
      <w:r>
        <w:rPr>
          <w:sz w:val="23"/>
        </w:rPr>
        <w:tab/>
        <w:t>центры и клубы для детей в возрасте примерно от 10 до 16 (18) лет, функционирующие в свободное от учебных занятий время.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Heading1"/>
        <w:tabs>
          <w:tab w:val="clear" w:pos="567"/>
          <w:tab w:val="clear" w:pos="1701"/>
          <w:tab w:val="clear" w:pos="2268"/>
          <w:tab w:val="clear" w:pos="6237"/>
          <w:tab w:val="left" w:pos="680"/>
          <w:tab w:val="left" w:pos="1134"/>
        </w:tabs>
        <w:spacing w:line="240" w:lineRule="auto"/>
        <w:rPr>
          <w:bCs/>
          <w:sz w:val="23"/>
        </w:rPr>
      </w:pPr>
      <w:r>
        <w:rPr>
          <w:bCs/>
          <w:sz w:val="23"/>
        </w:rPr>
        <w:t>Общие семейные пособия</w:t>
      </w:r>
    </w:p>
    <w:p w:rsidR="00000000" w:rsidRDefault="00000000">
      <w:pPr>
        <w:pStyle w:val="Heading1"/>
        <w:tabs>
          <w:tab w:val="clear" w:pos="567"/>
          <w:tab w:val="clear" w:pos="1701"/>
          <w:tab w:val="clear" w:pos="2268"/>
          <w:tab w:val="clear" w:pos="6237"/>
          <w:tab w:val="left" w:pos="680"/>
          <w:tab w:val="left" w:pos="1134"/>
        </w:tabs>
        <w:spacing w:line="240" w:lineRule="auto"/>
        <w:rPr>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240.</w:t>
      </w:r>
      <w:r>
        <w:rPr>
          <w:sz w:val="23"/>
        </w:rPr>
        <w:tab/>
        <w:t>Пособия семьям, имеющим детей, выплачиваются в расчете на каждого ребенка до достижения им 18 лет. Они не зависят от уровня дохода, и их размер изменяется с возрастом ребенка. В 2001 году ставки этого пособия в расчете на ребенка были следующими: до двух лет – 12 010 датских крон ежегодно, с трех до шести лет – 11 000 датских крон ежегодно и с семи до 17 лет – 8600 датских крон ежегодно.</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b/>
          <w:bCs/>
          <w:sz w:val="23"/>
        </w:rPr>
      </w:pPr>
      <w:r>
        <w:rPr>
          <w:b/>
          <w:bCs/>
          <w:sz w:val="23"/>
        </w:rPr>
        <w:t>Родительский отпуск</w:t>
      </w:r>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241.</w:t>
      </w:r>
      <w:r>
        <w:rPr>
          <w:sz w:val="23"/>
        </w:rPr>
        <w:tab/>
        <w:t xml:space="preserve">Мать имеет право на четырехнедельный дородовой отпуск по беременности и на </w:t>
      </w:r>
      <w:r>
        <w:rPr>
          <w:sz w:val="23"/>
        </w:rPr>
        <w:br/>
        <w:t>14-недельный материнский отпуск после рождения ребенка, причем первые две недели такого отпуска являются обязательными. Отец имеет право на отпуск, предоставляемый отцу, продолжительностью до двух недель. Этот отпуск должен быть взят в течение первых 14 недель после рождения ребенка или даты доставки ребенка в дом родителей. Либо мать, либо отец имеют право на родительский отпуск продолжительностью до 32 недель после 14-недельного материнского отпуска (родителям разрешается самостоятельно принимать решение в отношении продолжительности отпуска каждого из них).</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134"/>
          <w:tab w:val="clear" w:pos="1701"/>
          <w:tab w:val="clear" w:pos="2268"/>
          <w:tab w:val="clear" w:pos="6237"/>
          <w:tab w:val="left" w:pos="680"/>
        </w:tabs>
        <w:spacing w:line="240" w:lineRule="auto"/>
        <w:rPr>
          <w:rFonts w:eastAsia="MS Mincho"/>
          <w:sz w:val="23"/>
        </w:rPr>
      </w:pPr>
      <w:r>
        <w:rPr>
          <w:rFonts w:eastAsia="MS Mincho"/>
          <w:sz w:val="23"/>
        </w:rPr>
        <w:t>242.</w:t>
      </w:r>
      <w:r>
        <w:rPr>
          <w:rFonts w:eastAsia="MS Mincho"/>
          <w:sz w:val="23"/>
        </w:rPr>
        <w:tab/>
        <w:t>В случае усыновления предоставляется отпуск продолжительностью до 48 недель после доставки ребенка в дом родителей. Родители имеют право самостоятельно решить, как они поделят этот отпуск между собой. Они могут использовать две недели отпуска одновременно в первые 14 недель после доставки ребенка (отпуск по уходу за ребенком, предоставляемый отцу).</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243.</w:t>
      </w:r>
      <w:r>
        <w:rPr>
          <w:sz w:val="23"/>
        </w:rPr>
        <w:tab/>
        <w:t>Лица, работающие по найму, отсутствующие на рабочем месте по причине беременности или отпуска по материнству или усыновлению, имеют право на получение пособия от муниципалитета района их проживания с первого дня отсутствия.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b/>
          <w:bCs/>
          <w:sz w:val="23"/>
        </w:rPr>
      </w:pPr>
      <w:r>
        <w:rPr>
          <w:b/>
          <w:bCs/>
          <w:sz w:val="23"/>
        </w:rPr>
        <w:t>Материнские пособия</w:t>
      </w:r>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244.</w:t>
      </w:r>
      <w:r>
        <w:rPr>
          <w:sz w:val="23"/>
        </w:rPr>
        <w:tab/>
        <w:t xml:space="preserve">Беременная женщина, на которую не распространяется полная оплата в течение ее материнского отпуска, имеет право на пособия с той даты, когда врач установит, что до момента рождения ребенка остается четыре недели. Кроме того, мать имеет право на отпуск и пособие </w:t>
      </w:r>
      <w:r>
        <w:rPr>
          <w:sz w:val="23"/>
        </w:rPr>
        <w:br/>
        <w:t>(в размере пособия по болезни) за четыре недели до предполагаемой даты рождения ребенка в следующих случаях:</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ind w:left="1134" w:hanging="1134"/>
        <w:rPr>
          <w:sz w:val="23"/>
        </w:rPr>
      </w:pPr>
      <w:r>
        <w:rPr>
          <w:sz w:val="23"/>
        </w:rPr>
        <w:tab/>
        <w:t>–</w:t>
      </w:r>
      <w:r>
        <w:rPr>
          <w:sz w:val="23"/>
        </w:rPr>
        <w:tab/>
        <w:t>ход беременности требует прекращения трудовой деятельности в течение срока беременности;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ab/>
        <w:t>–</w:t>
      </w:r>
      <w:r>
        <w:rPr>
          <w:sz w:val="23"/>
        </w:rPr>
        <w:tab/>
        <w:t>характер выполняемой работы опасен для нерожденного ребенка;</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ab/>
        <w:t>–</w:t>
      </w:r>
      <w:r>
        <w:rPr>
          <w:sz w:val="23"/>
        </w:rPr>
        <w:tab/>
        <w:t>работа матери не позволяет ей работать на протяжении всего срока беременности.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245.</w:t>
      </w:r>
      <w:r>
        <w:rPr>
          <w:sz w:val="23"/>
        </w:rPr>
        <w:tab/>
        <w:t>Беременные женщины, отсутствующие на работе по причине прохождения медицинского осмотра, имеют право на получение пособия за все время своего отсутствия. Это пособие выплачивается работодателем.</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246.</w:t>
      </w:r>
      <w:r>
        <w:rPr>
          <w:sz w:val="23"/>
        </w:rPr>
        <w:tab/>
        <w:t>Родители имеют право на получение пособий в связи с рождением ребенка в общей сложности в течение 48 недель, которые они могут разделить между собой после рождения ребенка. На протяжении первых 14 недель пособие, как правило, может получать только мать. Родители могут сами решать вопрос о том, как разделить между собой остальные 32 недели, в течение которых они будут получать пособие в связи с рождением ребенка (родительский отпуск). Оба родителя не могут получать пособие одновременно. В течение первых 14 недель отец имеет право на двухнедельный отцовский отпуск.</w:t>
      </w:r>
    </w:p>
    <w:p w:rsidR="00000000" w:rsidRDefault="00000000">
      <w:pPr>
        <w:tabs>
          <w:tab w:val="clear" w:pos="567"/>
          <w:tab w:val="clear" w:pos="1701"/>
          <w:tab w:val="clear" w:pos="2268"/>
          <w:tab w:val="clear" w:pos="6237"/>
          <w:tab w:val="left" w:pos="680"/>
          <w:tab w:val="left" w:pos="1134"/>
        </w:tabs>
        <w:spacing w:line="230" w:lineRule="auto"/>
        <w:rPr>
          <w:b/>
          <w:bCs/>
          <w:sz w:val="23"/>
        </w:rPr>
      </w:pPr>
      <w:r>
        <w:rPr>
          <w:b/>
          <w:bCs/>
          <w:sz w:val="23"/>
        </w:rPr>
        <w:t>Пособия на детей</w:t>
      </w:r>
    </w:p>
    <w:p w:rsidR="00000000" w:rsidRDefault="00000000">
      <w:pPr>
        <w:tabs>
          <w:tab w:val="clear" w:pos="567"/>
          <w:tab w:val="clear" w:pos="1701"/>
          <w:tab w:val="clear" w:pos="2268"/>
          <w:tab w:val="clear" w:pos="6237"/>
          <w:tab w:val="left" w:pos="680"/>
          <w:tab w:val="left" w:pos="1134"/>
        </w:tabs>
        <w:spacing w:line="230" w:lineRule="auto"/>
        <w:rPr>
          <w:b/>
          <w:bCs/>
          <w:sz w:val="23"/>
        </w:rPr>
      </w:pPr>
    </w:p>
    <w:p w:rsidR="00000000" w:rsidRDefault="00000000">
      <w:pPr>
        <w:tabs>
          <w:tab w:val="clear" w:pos="567"/>
          <w:tab w:val="clear" w:pos="1701"/>
          <w:tab w:val="clear" w:pos="2268"/>
          <w:tab w:val="clear" w:pos="6237"/>
          <w:tab w:val="left" w:pos="680"/>
          <w:tab w:val="left" w:pos="1134"/>
        </w:tabs>
        <w:spacing w:line="230" w:lineRule="auto"/>
        <w:rPr>
          <w:sz w:val="23"/>
        </w:rPr>
      </w:pPr>
      <w:r>
        <w:rPr>
          <w:sz w:val="23"/>
        </w:rPr>
        <w:t>247.</w:t>
      </w:r>
      <w:r>
        <w:rPr>
          <w:sz w:val="23"/>
        </w:rPr>
        <w:tab/>
        <w:t>Существуют различные виды пособий на детей, выплачиваемые определенным группам детей в возрасте до 18 лет. Любое пособие на ребенка может быть получено лишь в том случае, если ребенок не вступил в брак и не содержится за счет государственных средств. Кроме того, ребенок или один из его родителей должны иметь датское гражданство, или, в противном случае, они должны проживать в стране в течение последнего года (в случае специального пособия на детей – в течение последних трех лет). Такие пособия включают:</w:t>
      </w:r>
    </w:p>
    <w:p w:rsidR="00000000" w:rsidRDefault="00000000">
      <w:pPr>
        <w:tabs>
          <w:tab w:val="clear" w:pos="567"/>
          <w:tab w:val="clear" w:pos="1701"/>
          <w:tab w:val="clear" w:pos="2268"/>
          <w:tab w:val="clear" w:pos="6237"/>
          <w:tab w:val="left" w:pos="680"/>
          <w:tab w:val="left" w:pos="1134"/>
        </w:tabs>
        <w:spacing w:line="230" w:lineRule="auto"/>
        <w:rPr>
          <w:sz w:val="23"/>
        </w:rPr>
      </w:pPr>
    </w:p>
    <w:p w:rsidR="00000000" w:rsidRDefault="00000000">
      <w:pPr>
        <w:tabs>
          <w:tab w:val="clear" w:pos="567"/>
          <w:tab w:val="clear" w:pos="1701"/>
          <w:tab w:val="clear" w:pos="2268"/>
          <w:tab w:val="clear" w:pos="6237"/>
          <w:tab w:val="left" w:pos="680"/>
          <w:tab w:val="left" w:pos="1134"/>
        </w:tabs>
        <w:spacing w:line="230" w:lineRule="auto"/>
        <w:ind w:left="1134" w:hanging="1134"/>
        <w:rPr>
          <w:sz w:val="23"/>
        </w:rPr>
      </w:pPr>
      <w:r>
        <w:rPr>
          <w:sz w:val="23"/>
        </w:rPr>
        <w:tab/>
        <w:t>–</w:t>
      </w:r>
      <w:r>
        <w:rPr>
          <w:sz w:val="23"/>
        </w:rPr>
        <w:tab/>
        <w:t>обычное пособие на ребенка выплачивается родителям-одиночкам и родителям, оба из которых получают пенсии в соответствии с Законом о социальных пенсиях. Величина пособия на 1 января 2001 года составляла 3812 датских крон на ребенка ежегодно;</w:t>
      </w:r>
    </w:p>
    <w:p w:rsidR="00000000" w:rsidRDefault="00000000">
      <w:pPr>
        <w:tabs>
          <w:tab w:val="clear" w:pos="567"/>
          <w:tab w:val="clear" w:pos="1701"/>
          <w:tab w:val="clear" w:pos="2268"/>
          <w:tab w:val="clear" w:pos="6237"/>
          <w:tab w:val="left" w:pos="680"/>
          <w:tab w:val="left" w:pos="1134"/>
        </w:tabs>
        <w:spacing w:line="230" w:lineRule="auto"/>
        <w:ind w:left="1134" w:hanging="1134"/>
        <w:rPr>
          <w:sz w:val="23"/>
        </w:rPr>
      </w:pPr>
    </w:p>
    <w:p w:rsidR="00000000" w:rsidRDefault="00000000">
      <w:pPr>
        <w:tabs>
          <w:tab w:val="clear" w:pos="567"/>
          <w:tab w:val="clear" w:pos="1701"/>
          <w:tab w:val="clear" w:pos="2268"/>
          <w:tab w:val="clear" w:pos="6237"/>
          <w:tab w:val="left" w:pos="680"/>
          <w:tab w:val="left" w:pos="1134"/>
        </w:tabs>
        <w:spacing w:line="230" w:lineRule="auto"/>
        <w:ind w:left="1134" w:hanging="1134"/>
        <w:rPr>
          <w:sz w:val="23"/>
        </w:rPr>
      </w:pPr>
      <w:r>
        <w:rPr>
          <w:sz w:val="23"/>
        </w:rPr>
        <w:tab/>
        <w:t>–</w:t>
      </w:r>
      <w:r>
        <w:rPr>
          <w:sz w:val="23"/>
        </w:rPr>
        <w:tab/>
        <w:t>дополнительные пособия на детей выплачиваются в качестве дополнения к обычному пособию на детей родителям-одиночкам, с которыми проживают дети. Величина пособия на 1 января 2001 года составляла 3876 датских крон ежегодно, независимо от количества детей;</w:t>
      </w:r>
    </w:p>
    <w:p w:rsidR="00000000" w:rsidRDefault="00000000">
      <w:pPr>
        <w:tabs>
          <w:tab w:val="clear" w:pos="567"/>
          <w:tab w:val="clear" w:pos="1701"/>
          <w:tab w:val="clear" w:pos="2268"/>
          <w:tab w:val="clear" w:pos="6237"/>
          <w:tab w:val="left" w:pos="680"/>
          <w:tab w:val="left" w:pos="1134"/>
        </w:tabs>
        <w:spacing w:line="230" w:lineRule="auto"/>
        <w:ind w:left="1134" w:hanging="1134"/>
        <w:rPr>
          <w:sz w:val="23"/>
        </w:rPr>
      </w:pPr>
    </w:p>
    <w:p w:rsidR="00000000" w:rsidRDefault="00000000">
      <w:pPr>
        <w:tabs>
          <w:tab w:val="clear" w:pos="567"/>
          <w:tab w:val="clear" w:pos="1701"/>
          <w:tab w:val="clear" w:pos="2268"/>
          <w:tab w:val="clear" w:pos="6237"/>
          <w:tab w:val="left" w:pos="680"/>
          <w:tab w:val="left" w:pos="1134"/>
        </w:tabs>
        <w:spacing w:line="230" w:lineRule="auto"/>
        <w:ind w:left="1134" w:hanging="1134"/>
        <w:rPr>
          <w:sz w:val="23"/>
        </w:rPr>
      </w:pPr>
      <w:r>
        <w:rPr>
          <w:sz w:val="23"/>
        </w:rPr>
        <w:tab/>
        <w:t>–</w:t>
      </w:r>
      <w:r>
        <w:rPr>
          <w:sz w:val="23"/>
        </w:rPr>
        <w:tab/>
        <w:t>специальное пособие на детей выплачивается детям, которые потеряли одного или обоих родителей или если личность их родителей не установлена. Кроме того, ребенок может иметь право на получение специального пособия в том случае, если один или оба родителя получают пенсию в соответствии с Законом о социальных пенсиях, а также в некоторых других случаях. С 1 января 2001 года величина специального пособия на детей составила 9720 датских крон на ребенка ежегодно. Сироты получают такое пособие в двойном размере;</w:t>
      </w:r>
    </w:p>
    <w:p w:rsidR="00000000" w:rsidRDefault="00000000">
      <w:pPr>
        <w:tabs>
          <w:tab w:val="clear" w:pos="567"/>
          <w:tab w:val="clear" w:pos="1701"/>
          <w:tab w:val="clear" w:pos="2268"/>
          <w:tab w:val="clear" w:pos="6237"/>
          <w:tab w:val="left" w:pos="680"/>
          <w:tab w:val="left" w:pos="1134"/>
        </w:tabs>
        <w:spacing w:line="230" w:lineRule="auto"/>
        <w:ind w:left="1134" w:hanging="1134"/>
        <w:rPr>
          <w:sz w:val="23"/>
        </w:rPr>
      </w:pPr>
    </w:p>
    <w:p w:rsidR="00000000" w:rsidRDefault="00000000">
      <w:pPr>
        <w:tabs>
          <w:tab w:val="clear" w:pos="567"/>
          <w:tab w:val="clear" w:pos="1701"/>
          <w:tab w:val="clear" w:pos="2268"/>
          <w:tab w:val="clear" w:pos="6237"/>
          <w:tab w:val="left" w:pos="680"/>
          <w:tab w:val="left" w:pos="1134"/>
        </w:tabs>
        <w:spacing w:line="230" w:lineRule="auto"/>
        <w:ind w:left="1134" w:hanging="1134"/>
        <w:rPr>
          <w:sz w:val="23"/>
        </w:rPr>
      </w:pPr>
      <w:r>
        <w:rPr>
          <w:sz w:val="23"/>
        </w:rPr>
        <w:tab/>
        <w:t>–</w:t>
      </w:r>
      <w:r>
        <w:rPr>
          <w:sz w:val="23"/>
        </w:rPr>
        <w:tab/>
        <w:t>пособие в случае рождения нескольких детей предоставляется при рождении более одного ребенка и выплачивается до достижения детьми семилетнего возраста. С 1 января 2001 года величина этого пособия составляет 6272 датские кроны на ребенка ежегодно;</w:t>
      </w:r>
    </w:p>
    <w:p w:rsidR="00000000" w:rsidRDefault="00000000">
      <w:pPr>
        <w:tabs>
          <w:tab w:val="clear" w:pos="567"/>
          <w:tab w:val="clear" w:pos="1701"/>
          <w:tab w:val="clear" w:pos="2268"/>
          <w:tab w:val="clear" w:pos="6237"/>
          <w:tab w:val="left" w:pos="680"/>
          <w:tab w:val="left" w:pos="1134"/>
        </w:tabs>
        <w:spacing w:line="230" w:lineRule="auto"/>
        <w:ind w:left="1134" w:hanging="1134"/>
        <w:rPr>
          <w:sz w:val="23"/>
        </w:rPr>
      </w:pPr>
    </w:p>
    <w:p w:rsidR="00000000" w:rsidRDefault="00000000">
      <w:pPr>
        <w:tabs>
          <w:tab w:val="clear" w:pos="567"/>
          <w:tab w:val="clear" w:pos="1701"/>
          <w:tab w:val="clear" w:pos="2268"/>
          <w:tab w:val="clear" w:pos="6237"/>
          <w:tab w:val="left" w:pos="680"/>
          <w:tab w:val="left" w:pos="1134"/>
        </w:tabs>
        <w:spacing w:line="230" w:lineRule="auto"/>
        <w:ind w:left="1134" w:hanging="1134"/>
        <w:rPr>
          <w:sz w:val="23"/>
        </w:rPr>
      </w:pPr>
      <w:r>
        <w:rPr>
          <w:sz w:val="23"/>
        </w:rPr>
        <w:tab/>
        <w:t>–</w:t>
      </w:r>
      <w:r>
        <w:rPr>
          <w:sz w:val="23"/>
        </w:rPr>
        <w:tab/>
        <w:t xml:space="preserve">пособие по усыновлению или удочерению предоставляется лицу, усыновившему или удочерившему ребенка-иностранца, в том случае, если ребенок усыновлен или удочерен через признанные организации, занимающиеся оформлением усыновления или удочерения. С 1 января 2001 года величина пособия составила 36 154 датские кроны, и оно выплачивается в качестве единовременного пособия для покрытия части расходов, связанных с усыновлением или удочерением. </w:t>
      </w:r>
    </w:p>
    <w:p w:rsidR="00000000" w:rsidRDefault="00000000">
      <w:pPr>
        <w:tabs>
          <w:tab w:val="clear" w:pos="567"/>
          <w:tab w:val="clear" w:pos="1701"/>
          <w:tab w:val="clear" w:pos="2268"/>
          <w:tab w:val="clear" w:pos="6237"/>
          <w:tab w:val="left" w:pos="680"/>
          <w:tab w:val="left" w:pos="1134"/>
        </w:tabs>
        <w:spacing w:line="230" w:lineRule="auto"/>
        <w:rPr>
          <w:sz w:val="23"/>
        </w:rPr>
      </w:pPr>
    </w:p>
    <w:p w:rsidR="00000000" w:rsidRDefault="00000000">
      <w:pPr>
        <w:tabs>
          <w:tab w:val="clear" w:pos="567"/>
          <w:tab w:val="clear" w:pos="1701"/>
          <w:tab w:val="clear" w:pos="2268"/>
          <w:tab w:val="clear" w:pos="6237"/>
          <w:tab w:val="left" w:pos="680"/>
          <w:tab w:val="left" w:pos="1134"/>
        </w:tabs>
        <w:spacing w:line="230" w:lineRule="auto"/>
        <w:rPr>
          <w:b/>
          <w:bCs/>
          <w:sz w:val="23"/>
        </w:rPr>
      </w:pPr>
      <w:r>
        <w:rPr>
          <w:b/>
          <w:bCs/>
          <w:sz w:val="23"/>
        </w:rPr>
        <w:t>Общие условия</w:t>
      </w:r>
    </w:p>
    <w:p w:rsidR="00000000" w:rsidRDefault="00000000">
      <w:pPr>
        <w:tabs>
          <w:tab w:val="clear" w:pos="567"/>
          <w:tab w:val="clear" w:pos="1701"/>
          <w:tab w:val="clear" w:pos="2268"/>
          <w:tab w:val="clear" w:pos="6237"/>
          <w:tab w:val="left" w:pos="680"/>
          <w:tab w:val="left" w:pos="1134"/>
        </w:tabs>
        <w:spacing w:line="230" w:lineRule="auto"/>
        <w:rPr>
          <w:b/>
          <w:bCs/>
          <w:sz w:val="23"/>
        </w:rPr>
      </w:pPr>
    </w:p>
    <w:p w:rsidR="00000000" w:rsidRDefault="00000000">
      <w:pPr>
        <w:tabs>
          <w:tab w:val="clear" w:pos="567"/>
          <w:tab w:val="clear" w:pos="1701"/>
          <w:tab w:val="clear" w:pos="2268"/>
          <w:tab w:val="clear" w:pos="6237"/>
          <w:tab w:val="left" w:pos="680"/>
          <w:tab w:val="left" w:pos="1134"/>
        </w:tabs>
        <w:spacing w:line="230" w:lineRule="auto"/>
        <w:rPr>
          <w:sz w:val="23"/>
        </w:rPr>
      </w:pPr>
      <w:r>
        <w:rPr>
          <w:sz w:val="23"/>
        </w:rPr>
        <w:t>248.</w:t>
      </w:r>
      <w:r>
        <w:rPr>
          <w:sz w:val="23"/>
        </w:rPr>
        <w:tab/>
        <w:t xml:space="preserve">Общее пособие на семью, специальное пособие на детей и пособие в случае рождения нескольких детей выплачиваются автоматически без подачи заявления. Однако для получения обычного и дополнительного пособия на детей, а также пособия в случае усыновления или удочерения предусмотрено оформление соответствующего заявления. Как правило, пособие получает мать ребенка или лицо, на попечении которого находится ребенок. Пособие может выплачиваться непосредственно ребенку, если считается, что это в большей степени отвечает интересам ребенка. </w:t>
      </w:r>
    </w:p>
    <w:p w:rsidR="00000000" w:rsidRDefault="00000000">
      <w:pPr>
        <w:tabs>
          <w:tab w:val="clear" w:pos="567"/>
          <w:tab w:val="clear" w:pos="1701"/>
          <w:tab w:val="clear" w:pos="2268"/>
          <w:tab w:val="clear" w:pos="6237"/>
          <w:tab w:val="left" w:pos="680"/>
          <w:tab w:val="left" w:pos="1134"/>
        </w:tabs>
        <w:spacing w:line="230" w:lineRule="auto"/>
        <w:rPr>
          <w:sz w:val="23"/>
        </w:rPr>
      </w:pPr>
    </w:p>
    <w:p w:rsidR="00000000" w:rsidRDefault="00000000">
      <w:pPr>
        <w:tabs>
          <w:tab w:val="clear" w:pos="567"/>
          <w:tab w:val="clear" w:pos="1701"/>
          <w:tab w:val="clear" w:pos="2268"/>
          <w:tab w:val="clear" w:pos="6237"/>
          <w:tab w:val="left" w:pos="680"/>
          <w:tab w:val="left" w:pos="1134"/>
        </w:tabs>
        <w:spacing w:line="230" w:lineRule="auto"/>
        <w:rPr>
          <w:sz w:val="23"/>
        </w:rPr>
      </w:pPr>
      <w:r>
        <w:rPr>
          <w:sz w:val="23"/>
        </w:rPr>
        <w:t>249.</w:t>
      </w:r>
      <w:r>
        <w:rPr>
          <w:sz w:val="23"/>
        </w:rPr>
        <w:tab/>
        <w:t xml:space="preserve">Общие пособия на семью и на детей выплачиваются, как правило, только в Дании, однако условия, касающиеся датского гражданства, постоянного местожительства и налогообложения, допускают определенные отступления в соответствии с положениями ЕС в области социального обеспечения и двусторонними соглашениями в области социального обеспечения. </w:t>
      </w:r>
    </w:p>
    <w:p w:rsidR="00000000" w:rsidRDefault="00000000">
      <w:pPr>
        <w:tabs>
          <w:tab w:val="clear" w:pos="567"/>
          <w:tab w:val="clear" w:pos="1701"/>
          <w:tab w:val="clear" w:pos="2268"/>
          <w:tab w:val="clear" w:pos="6237"/>
          <w:tab w:val="left" w:pos="680"/>
          <w:tab w:val="left" w:pos="1134"/>
        </w:tabs>
        <w:spacing w:line="230" w:lineRule="auto"/>
        <w:rPr>
          <w:sz w:val="23"/>
        </w:rPr>
      </w:pPr>
    </w:p>
    <w:p w:rsidR="00000000" w:rsidRDefault="00000000">
      <w:pPr>
        <w:pStyle w:val="a0"/>
        <w:spacing w:line="230" w:lineRule="auto"/>
      </w:pPr>
      <w:bookmarkStart w:id="207" w:name="_Toc51496907"/>
      <w:bookmarkStart w:id="208" w:name="_Toc51497074"/>
      <w:bookmarkStart w:id="209" w:name="_Toc51497599"/>
      <w:r>
        <w:t>Пункт 37 руководящих принципов: Меры по устранению недостатков в области защиты семьи</w:t>
      </w:r>
      <w:bookmarkEnd w:id="207"/>
      <w:bookmarkEnd w:id="208"/>
      <w:bookmarkEnd w:id="209"/>
    </w:p>
    <w:p w:rsidR="00000000" w:rsidRDefault="00000000">
      <w:pPr>
        <w:tabs>
          <w:tab w:val="clear" w:pos="567"/>
          <w:tab w:val="clear" w:pos="1701"/>
          <w:tab w:val="clear" w:pos="2268"/>
          <w:tab w:val="clear" w:pos="6237"/>
          <w:tab w:val="left" w:pos="680"/>
          <w:tab w:val="left" w:pos="1134"/>
        </w:tabs>
        <w:spacing w:line="230" w:lineRule="auto"/>
        <w:rPr>
          <w:b/>
          <w:bCs/>
          <w:sz w:val="23"/>
        </w:rPr>
      </w:pPr>
    </w:p>
    <w:p w:rsidR="00000000" w:rsidRDefault="00000000">
      <w:pPr>
        <w:tabs>
          <w:tab w:val="clear" w:pos="567"/>
          <w:tab w:val="clear" w:pos="1701"/>
          <w:tab w:val="clear" w:pos="2268"/>
          <w:tab w:val="clear" w:pos="6237"/>
          <w:tab w:val="left" w:pos="680"/>
          <w:tab w:val="left" w:pos="1134"/>
        </w:tabs>
        <w:spacing w:line="230" w:lineRule="auto"/>
        <w:rPr>
          <w:sz w:val="23"/>
        </w:rPr>
      </w:pPr>
      <w:r>
        <w:rPr>
          <w:sz w:val="23"/>
        </w:rPr>
        <w:t>250.</w:t>
      </w:r>
      <w:r>
        <w:rPr>
          <w:sz w:val="23"/>
        </w:rPr>
        <w:tab/>
        <w:t>В своих заключительных замечаниях по третьему периодическому докладу, представленному правительством Дании, Комитет с обеспокоенностью отметил полученную информацию в отношении сравнительно высокого уровня самоубийств среди молодежи в Дании. В ответ можно представить следующую дополнительную информацию. Уровень самоубийств среди датчан в возрасте 15–24 лет обычно колеблется в пределах от 12 до 16 на 100 000 мужчин и от 2 до 6 на 100 000 женщин. Общая тенденция свидетельствует о том, что уровень самоубийств достиг своего пика к началу 80</w:t>
      </w:r>
      <w:r>
        <w:rPr>
          <w:sz w:val="23"/>
        </w:rPr>
        <w:noBreakHyphen/>
        <w:t>х годов и затем сокращался в течение 80</w:t>
      </w:r>
      <w:r>
        <w:rPr>
          <w:sz w:val="23"/>
        </w:rPr>
        <w:noBreakHyphen/>
        <w:t>х и 90</w:t>
      </w:r>
      <w:r>
        <w:rPr>
          <w:sz w:val="23"/>
        </w:rPr>
        <w:noBreakHyphen/>
        <w:t xml:space="preserve">х годов. Статистические данные за год имеются до 1997 года.  </w:t>
      </w:r>
    </w:p>
    <w:p w:rsidR="00000000" w:rsidRDefault="00000000">
      <w:pPr>
        <w:tabs>
          <w:tab w:val="clear" w:pos="567"/>
          <w:tab w:val="clear" w:pos="1701"/>
          <w:tab w:val="clear" w:pos="2268"/>
          <w:tab w:val="clear" w:pos="6237"/>
          <w:tab w:val="left" w:pos="680"/>
          <w:tab w:val="left" w:pos="1134"/>
        </w:tabs>
        <w:spacing w:line="230" w:lineRule="auto"/>
        <w:rPr>
          <w:sz w:val="23"/>
        </w:rPr>
      </w:pPr>
    </w:p>
    <w:p w:rsidR="00000000" w:rsidRDefault="00000000">
      <w:pPr>
        <w:tabs>
          <w:tab w:val="clear" w:pos="567"/>
          <w:tab w:val="clear" w:pos="1701"/>
          <w:tab w:val="clear" w:pos="2268"/>
          <w:tab w:val="clear" w:pos="6237"/>
          <w:tab w:val="left" w:pos="680"/>
          <w:tab w:val="left" w:pos="1134"/>
        </w:tabs>
        <w:spacing w:line="230" w:lineRule="auto"/>
        <w:rPr>
          <w:sz w:val="23"/>
        </w:rPr>
      </w:pPr>
      <w:r>
        <w:rPr>
          <w:sz w:val="23"/>
        </w:rPr>
        <w:t>251.</w:t>
      </w:r>
      <w:r>
        <w:rPr>
          <w:sz w:val="23"/>
        </w:rPr>
        <w:tab/>
        <w:t>Что касается мужчин в возрасте 15–24 лет, то пик уровня самоубийств пришелся на начало 80</w:t>
      </w:r>
      <w:r>
        <w:rPr>
          <w:sz w:val="23"/>
        </w:rPr>
        <w:noBreakHyphen/>
        <w:t>х годов: в 1981 и 1982 году количество самоубийств составило 17,1 и 21,1 на 100 000. Начиная с 1981 года уровень самоубийств сократился до 12–13 на 100 000 в 90</w:t>
      </w:r>
      <w:r>
        <w:rPr>
          <w:sz w:val="23"/>
        </w:rPr>
        <w:noBreakHyphen/>
        <w:t xml:space="preserve">е годы (в возрастной группе 15–24 лет). </w:t>
      </w:r>
    </w:p>
    <w:p w:rsidR="00000000" w:rsidRDefault="00000000">
      <w:pPr>
        <w:tabs>
          <w:tab w:val="clear" w:pos="567"/>
          <w:tab w:val="clear" w:pos="1701"/>
          <w:tab w:val="clear" w:pos="2268"/>
          <w:tab w:val="clear" w:pos="6237"/>
          <w:tab w:val="left" w:pos="680"/>
          <w:tab w:val="left" w:pos="1134"/>
        </w:tabs>
        <w:spacing w:line="230" w:lineRule="auto"/>
        <w:rPr>
          <w:sz w:val="23"/>
        </w:rPr>
      </w:pPr>
    </w:p>
    <w:p w:rsidR="00000000" w:rsidRDefault="00000000">
      <w:pPr>
        <w:tabs>
          <w:tab w:val="clear" w:pos="567"/>
          <w:tab w:val="clear" w:pos="1701"/>
          <w:tab w:val="clear" w:pos="2268"/>
          <w:tab w:val="clear" w:pos="6237"/>
          <w:tab w:val="left" w:pos="680"/>
          <w:tab w:val="left" w:pos="1134"/>
        </w:tabs>
        <w:spacing w:line="230" w:lineRule="auto"/>
        <w:rPr>
          <w:sz w:val="23"/>
        </w:rPr>
      </w:pPr>
      <w:r>
        <w:rPr>
          <w:sz w:val="23"/>
        </w:rPr>
        <w:t>252.</w:t>
      </w:r>
      <w:r>
        <w:rPr>
          <w:sz w:val="23"/>
        </w:rPr>
        <w:tab/>
        <w:t xml:space="preserve">В отношении самоубийств среди женщин в возрасте 15–24 лет наблюдается аналогичная тенденция. Количество самоубийств на 100 000 женщин в этой возрастной группе достигло своего пика в 1980 году и составило 7,7. Начиная с 1980 года эта тенденция пошла на спад, хотя в тенденции уровня самоубийств в отдельные годы наблюдался неожиданный случайный рост, например, в 1985 и в 1987 году уровень самоубийств среди женщин в возрасте 15–24 лет возрос соответственно до 8,1 и 8,3. С 1987 по 1996 год наблюдался постоянный спад, и самый низкий зарегистрированный уровень в данной возрастной группе составил "всего" 1,2 на 100 000 женщин. В 1997 году было зарегистрировано аномальное увеличение до 5,8 на 100 000 женщин, которое следует оценивать в совокупности с общим увеличением абсолютного числа самоубийств с 8 до 17 в период 1996–1997 годов. Вместе с тем это годовое колебание не представляет собой устоявшейся тенденции. </w:t>
      </w:r>
    </w:p>
    <w:p w:rsidR="00000000" w:rsidRDefault="00000000">
      <w:pPr>
        <w:tabs>
          <w:tab w:val="clear" w:pos="567"/>
          <w:tab w:val="clear" w:pos="1701"/>
          <w:tab w:val="clear" w:pos="2268"/>
          <w:tab w:val="clear" w:pos="6237"/>
          <w:tab w:val="left" w:pos="680"/>
          <w:tab w:val="left" w:pos="1134"/>
        </w:tabs>
        <w:spacing w:line="230" w:lineRule="auto"/>
        <w:rPr>
          <w:sz w:val="23"/>
        </w:rPr>
      </w:pPr>
    </w:p>
    <w:p w:rsidR="00000000" w:rsidRDefault="00000000">
      <w:pPr>
        <w:tabs>
          <w:tab w:val="clear" w:pos="567"/>
          <w:tab w:val="clear" w:pos="1701"/>
          <w:tab w:val="clear" w:pos="2268"/>
          <w:tab w:val="clear" w:pos="6237"/>
          <w:tab w:val="left" w:pos="680"/>
          <w:tab w:val="left" w:pos="1134"/>
        </w:tabs>
        <w:spacing w:line="230" w:lineRule="auto"/>
        <w:rPr>
          <w:sz w:val="23"/>
        </w:rPr>
      </w:pPr>
      <w:r>
        <w:rPr>
          <w:sz w:val="23"/>
        </w:rPr>
        <w:t>253.</w:t>
      </w:r>
      <w:r>
        <w:rPr>
          <w:sz w:val="23"/>
        </w:rPr>
        <w:tab/>
        <w:t>В 1998 году правительство предложило план действий по предупреждению попыток самоубийства и самоубийств в Дании, в котором был перечислен ряд целевых областей. Для осуществления последующей деятельности по содержащимся в плане действий предложениям была создана справочная группа. В этих целях с 1999 по 2003 год предусмотрено финансирование в размере 10 млн. датских крон ежегодно.</w:t>
      </w:r>
    </w:p>
    <w:p w:rsidR="00000000" w:rsidRDefault="00000000">
      <w:pPr>
        <w:tabs>
          <w:tab w:val="clear" w:pos="567"/>
          <w:tab w:val="clear" w:pos="1701"/>
          <w:tab w:val="clear" w:pos="2268"/>
          <w:tab w:val="clear" w:pos="6237"/>
          <w:tab w:val="left" w:pos="680"/>
          <w:tab w:val="left" w:pos="1134"/>
        </w:tabs>
        <w:spacing w:line="230" w:lineRule="auto"/>
        <w:rPr>
          <w:sz w:val="23"/>
        </w:rPr>
      </w:pPr>
    </w:p>
    <w:p w:rsidR="00000000" w:rsidRDefault="00000000">
      <w:pPr>
        <w:tabs>
          <w:tab w:val="clear" w:pos="567"/>
          <w:tab w:val="clear" w:pos="1701"/>
          <w:tab w:val="clear" w:pos="2268"/>
          <w:tab w:val="clear" w:pos="6237"/>
          <w:tab w:val="left" w:pos="680"/>
          <w:tab w:val="left" w:pos="1134"/>
        </w:tabs>
        <w:spacing w:line="230" w:lineRule="auto"/>
        <w:rPr>
          <w:sz w:val="23"/>
        </w:rPr>
      </w:pPr>
      <w:r>
        <w:rPr>
          <w:sz w:val="23"/>
        </w:rPr>
        <w:t>254.</w:t>
      </w:r>
      <w:r>
        <w:rPr>
          <w:sz w:val="23"/>
        </w:rPr>
        <w:tab/>
        <w:t xml:space="preserve">Среди инициатив, прямо или косвенно направленных на молодежь, можно упомянуть следующие: </w:t>
      </w:r>
    </w:p>
    <w:p w:rsidR="00000000" w:rsidRDefault="00000000">
      <w:pPr>
        <w:tabs>
          <w:tab w:val="clear" w:pos="567"/>
          <w:tab w:val="clear" w:pos="1701"/>
          <w:tab w:val="clear" w:pos="2268"/>
          <w:tab w:val="clear" w:pos="6237"/>
          <w:tab w:val="left" w:pos="680"/>
          <w:tab w:val="left" w:pos="1134"/>
        </w:tabs>
        <w:spacing w:line="230" w:lineRule="auto"/>
        <w:rPr>
          <w:sz w:val="23"/>
        </w:rPr>
      </w:pPr>
    </w:p>
    <w:p w:rsidR="00000000" w:rsidRDefault="00000000">
      <w:pPr>
        <w:tabs>
          <w:tab w:val="clear" w:pos="567"/>
          <w:tab w:val="clear" w:pos="1701"/>
          <w:tab w:val="clear" w:pos="2268"/>
          <w:tab w:val="clear" w:pos="6237"/>
          <w:tab w:val="left" w:pos="680"/>
          <w:tab w:val="left" w:pos="1134"/>
        </w:tabs>
        <w:spacing w:after="140" w:line="230" w:lineRule="auto"/>
        <w:ind w:left="1134" w:hanging="454"/>
        <w:rPr>
          <w:sz w:val="23"/>
        </w:rPr>
      </w:pPr>
      <w:r>
        <w:rPr>
          <w:sz w:val="23"/>
        </w:rPr>
        <w:t>–</w:t>
      </w:r>
      <w:r>
        <w:rPr>
          <w:sz w:val="23"/>
        </w:rPr>
        <w:tab/>
        <w:t>создание "образцовой модели" для планирования возможных мероприятий в рамках инициатив по предупреждению самоубийств и контроля за организацией их использования местными органами управления и областями;</w:t>
      </w:r>
    </w:p>
    <w:p w:rsidR="00000000" w:rsidRDefault="00000000">
      <w:pPr>
        <w:tabs>
          <w:tab w:val="clear" w:pos="567"/>
          <w:tab w:val="clear" w:pos="1701"/>
          <w:tab w:val="clear" w:pos="2268"/>
          <w:tab w:val="clear" w:pos="6237"/>
          <w:tab w:val="left" w:pos="680"/>
          <w:tab w:val="left" w:pos="1134"/>
        </w:tabs>
        <w:spacing w:after="140" w:line="230" w:lineRule="auto"/>
        <w:ind w:left="1134" w:hanging="454"/>
        <w:rPr>
          <w:sz w:val="23"/>
        </w:rPr>
      </w:pPr>
      <w:r>
        <w:rPr>
          <w:sz w:val="23"/>
        </w:rPr>
        <w:t>–</w:t>
      </w:r>
      <w:r>
        <w:rPr>
          <w:sz w:val="23"/>
        </w:rPr>
        <w:tab/>
        <w:t>создание домашней страницы со ссылками на соответствующие предложения помощи;</w:t>
      </w:r>
    </w:p>
    <w:p w:rsidR="00000000" w:rsidRDefault="00000000">
      <w:pPr>
        <w:tabs>
          <w:tab w:val="clear" w:pos="567"/>
          <w:tab w:val="clear" w:pos="1701"/>
          <w:tab w:val="clear" w:pos="2268"/>
          <w:tab w:val="clear" w:pos="6237"/>
          <w:tab w:val="left" w:pos="680"/>
          <w:tab w:val="left" w:pos="1134"/>
        </w:tabs>
        <w:spacing w:after="140" w:line="230" w:lineRule="auto"/>
        <w:ind w:left="1134" w:hanging="454"/>
        <w:rPr>
          <w:sz w:val="23"/>
        </w:rPr>
      </w:pPr>
      <w:r>
        <w:rPr>
          <w:sz w:val="23"/>
        </w:rPr>
        <w:t>–</w:t>
      </w:r>
      <w:r>
        <w:rPr>
          <w:sz w:val="23"/>
        </w:rPr>
        <w:tab/>
        <w:t>проведение научно-исследовательских семинаров в целях налаживания связей между учеными и специалистами, работающими в этой области;</w:t>
      </w:r>
    </w:p>
    <w:p w:rsidR="00000000" w:rsidRDefault="00000000">
      <w:pPr>
        <w:tabs>
          <w:tab w:val="clear" w:pos="567"/>
          <w:tab w:val="clear" w:pos="1701"/>
          <w:tab w:val="clear" w:pos="2268"/>
          <w:tab w:val="clear" w:pos="6237"/>
          <w:tab w:val="left" w:pos="680"/>
          <w:tab w:val="left" w:pos="1134"/>
        </w:tabs>
        <w:spacing w:after="140" w:line="230" w:lineRule="auto"/>
        <w:ind w:left="1134" w:hanging="454"/>
        <w:rPr>
          <w:sz w:val="23"/>
        </w:rPr>
      </w:pPr>
      <w:r>
        <w:rPr>
          <w:sz w:val="23"/>
        </w:rPr>
        <w:t>–</w:t>
      </w:r>
      <w:r>
        <w:rPr>
          <w:sz w:val="23"/>
        </w:rPr>
        <w:tab/>
        <w:t>оказание поддержки экспериментальным проектам;</w:t>
      </w:r>
    </w:p>
    <w:p w:rsidR="00000000" w:rsidRDefault="00000000">
      <w:pPr>
        <w:tabs>
          <w:tab w:val="clear" w:pos="567"/>
          <w:tab w:val="clear" w:pos="1701"/>
          <w:tab w:val="clear" w:pos="2268"/>
          <w:tab w:val="clear" w:pos="6237"/>
          <w:tab w:val="left" w:pos="680"/>
          <w:tab w:val="left" w:pos="1134"/>
        </w:tabs>
        <w:spacing w:line="230" w:lineRule="auto"/>
        <w:ind w:left="1134" w:hanging="454"/>
        <w:rPr>
          <w:sz w:val="23"/>
        </w:rPr>
      </w:pPr>
      <w:r>
        <w:rPr>
          <w:sz w:val="23"/>
        </w:rPr>
        <w:t>–</w:t>
      </w:r>
      <w:r>
        <w:rPr>
          <w:sz w:val="23"/>
        </w:rPr>
        <w:tab/>
        <w:t>предоставление оперативных субсидий для содействия видам деятельности, осуществляемым НПО.</w:t>
      </w:r>
    </w:p>
    <w:p w:rsidR="00000000" w:rsidRDefault="00000000">
      <w:pPr>
        <w:tabs>
          <w:tab w:val="clear" w:pos="567"/>
          <w:tab w:val="clear" w:pos="1701"/>
          <w:tab w:val="clear" w:pos="2268"/>
          <w:tab w:val="clear" w:pos="6237"/>
          <w:tab w:val="left" w:pos="680"/>
          <w:tab w:val="left" w:pos="1134"/>
        </w:tabs>
        <w:spacing w:line="230" w:lineRule="auto"/>
        <w:ind w:left="1134" w:hanging="454"/>
        <w:rPr>
          <w:sz w:val="23"/>
        </w:rPr>
      </w:pPr>
    </w:p>
    <w:p w:rsidR="00000000" w:rsidRDefault="00000000">
      <w:pPr>
        <w:pStyle w:val="a0"/>
        <w:spacing w:line="230" w:lineRule="auto"/>
      </w:pPr>
      <w:bookmarkStart w:id="210" w:name="_Toc51496908"/>
      <w:bookmarkStart w:id="211" w:name="_Toc51497075"/>
      <w:bookmarkStart w:id="212" w:name="_Toc51497600"/>
      <w:r>
        <w:t>Пункт 38 руководящих принципов: Защита материнства</w:t>
      </w:r>
      <w:bookmarkEnd w:id="210"/>
      <w:bookmarkEnd w:id="211"/>
      <w:bookmarkEnd w:id="212"/>
    </w:p>
    <w:p w:rsidR="00000000" w:rsidRDefault="00000000">
      <w:pPr>
        <w:pStyle w:val="Heading1"/>
        <w:tabs>
          <w:tab w:val="clear" w:pos="567"/>
          <w:tab w:val="clear" w:pos="1701"/>
          <w:tab w:val="clear" w:pos="2268"/>
          <w:tab w:val="clear" w:pos="6237"/>
          <w:tab w:val="left" w:pos="680"/>
          <w:tab w:val="left" w:pos="1134"/>
        </w:tabs>
        <w:spacing w:line="230" w:lineRule="auto"/>
        <w:rPr>
          <w:bCs/>
          <w:sz w:val="23"/>
        </w:rPr>
      </w:pPr>
    </w:p>
    <w:p w:rsidR="00000000" w:rsidRDefault="00000000">
      <w:pPr>
        <w:tabs>
          <w:tab w:val="clear" w:pos="567"/>
          <w:tab w:val="clear" w:pos="1701"/>
          <w:tab w:val="clear" w:pos="2268"/>
          <w:tab w:val="clear" w:pos="6237"/>
          <w:tab w:val="left" w:pos="680"/>
          <w:tab w:val="left" w:pos="1134"/>
        </w:tabs>
        <w:spacing w:line="230" w:lineRule="auto"/>
        <w:rPr>
          <w:sz w:val="23"/>
        </w:rPr>
      </w:pPr>
      <w:r>
        <w:rPr>
          <w:sz w:val="23"/>
        </w:rPr>
        <w:t>255.</w:t>
      </w:r>
      <w:r>
        <w:rPr>
          <w:sz w:val="23"/>
        </w:rPr>
        <w:tab/>
        <w:t>Дополнительная информация по вопросу об осуществлении Конвенции о ликвидации всех форм дискриминации в отношении женщин содержится в пятнадцатом периодическом докладе, представленном правительством Дании Комитету по ликвидации расовой дискриминации (</w:t>
      </w:r>
      <w:r>
        <w:rPr>
          <w:sz w:val="23"/>
          <w:lang w:val="en-US"/>
        </w:rPr>
        <w:t>CERD</w:t>
      </w:r>
      <w:r>
        <w:rPr>
          <w:sz w:val="23"/>
        </w:rPr>
        <w:t>/</w:t>
      </w:r>
      <w:r>
        <w:rPr>
          <w:sz w:val="23"/>
          <w:lang w:val="en-US"/>
        </w:rPr>
        <w:t>C</w:t>
      </w:r>
      <w:r>
        <w:rPr>
          <w:sz w:val="23"/>
        </w:rPr>
        <w:t>/408/</w:t>
      </w:r>
      <w:r>
        <w:rPr>
          <w:sz w:val="23"/>
          <w:lang w:val="en-US"/>
        </w:rPr>
        <w:t>Add</w:t>
      </w:r>
      <w:r>
        <w:rPr>
          <w:sz w:val="23"/>
        </w:rPr>
        <w:t>.1).</w:t>
      </w:r>
    </w:p>
    <w:p w:rsidR="00000000" w:rsidRDefault="00000000">
      <w:pPr>
        <w:tabs>
          <w:tab w:val="clear" w:pos="567"/>
          <w:tab w:val="clear" w:pos="1701"/>
          <w:tab w:val="clear" w:pos="2268"/>
          <w:tab w:val="clear" w:pos="6237"/>
          <w:tab w:val="left" w:pos="680"/>
          <w:tab w:val="left" w:pos="1134"/>
        </w:tabs>
        <w:spacing w:line="230" w:lineRule="auto"/>
        <w:rPr>
          <w:sz w:val="23"/>
        </w:rPr>
      </w:pPr>
    </w:p>
    <w:p w:rsidR="00000000" w:rsidRDefault="00000000">
      <w:pPr>
        <w:tabs>
          <w:tab w:val="clear" w:pos="567"/>
          <w:tab w:val="clear" w:pos="1701"/>
          <w:tab w:val="clear" w:pos="2268"/>
          <w:tab w:val="clear" w:pos="6237"/>
          <w:tab w:val="left" w:pos="680"/>
          <w:tab w:val="left" w:pos="1134"/>
        </w:tabs>
        <w:spacing w:line="230" w:lineRule="auto"/>
        <w:rPr>
          <w:sz w:val="23"/>
        </w:rPr>
      </w:pPr>
      <w:r>
        <w:rPr>
          <w:sz w:val="23"/>
        </w:rPr>
        <w:t>256.</w:t>
      </w:r>
      <w:r>
        <w:rPr>
          <w:sz w:val="23"/>
        </w:rPr>
        <w:tab/>
        <w:t>Дополнительная информация также содержится в пятом периодическом докладе правительства Дании об осуществлении Конвенции о ликвидации всех форм дискриминации в отношении женщин (</w:t>
      </w:r>
      <w:r>
        <w:rPr>
          <w:sz w:val="23"/>
          <w:lang w:val="en-US"/>
        </w:rPr>
        <w:t>CEDAW</w:t>
      </w:r>
      <w:r>
        <w:rPr>
          <w:sz w:val="23"/>
        </w:rPr>
        <w:t>/</w:t>
      </w:r>
      <w:r>
        <w:rPr>
          <w:sz w:val="23"/>
          <w:lang w:val="en-US"/>
        </w:rPr>
        <w:t>C</w:t>
      </w:r>
      <w:r>
        <w:rPr>
          <w:sz w:val="23"/>
        </w:rPr>
        <w:t>/</w:t>
      </w:r>
      <w:r>
        <w:rPr>
          <w:sz w:val="23"/>
          <w:lang w:val="en-US"/>
        </w:rPr>
        <w:t>DEN</w:t>
      </w:r>
      <w:r>
        <w:rPr>
          <w:sz w:val="23"/>
        </w:rPr>
        <w:t>/5/</w:t>
      </w:r>
      <w:r>
        <w:rPr>
          <w:sz w:val="23"/>
          <w:lang w:val="en-US"/>
        </w:rPr>
        <w:t>Add</w:t>
      </w:r>
      <w:r>
        <w:rPr>
          <w:sz w:val="23"/>
        </w:rPr>
        <w:t>.1).</w:t>
      </w:r>
    </w:p>
    <w:p w:rsidR="00000000" w:rsidRDefault="00000000">
      <w:pPr>
        <w:tabs>
          <w:tab w:val="clear" w:pos="567"/>
          <w:tab w:val="clear" w:pos="1701"/>
          <w:tab w:val="clear" w:pos="2268"/>
          <w:tab w:val="clear" w:pos="6237"/>
          <w:tab w:val="left" w:pos="680"/>
          <w:tab w:val="left" w:pos="1134"/>
        </w:tabs>
        <w:spacing w:line="230" w:lineRule="auto"/>
        <w:rPr>
          <w:sz w:val="23"/>
        </w:rPr>
      </w:pPr>
    </w:p>
    <w:p w:rsidR="00000000" w:rsidRDefault="00000000">
      <w:pPr>
        <w:pStyle w:val="a0"/>
        <w:spacing w:line="230" w:lineRule="auto"/>
      </w:pPr>
      <w:bookmarkStart w:id="213" w:name="_Toc51496909"/>
      <w:bookmarkStart w:id="214" w:name="_Toc51497076"/>
      <w:bookmarkStart w:id="215" w:name="_Toc51497601"/>
      <w:r>
        <w:t>Пункт 39 а) руководящих принципов: Возрастной предел для устройства на оплачиваемую работу</w:t>
      </w:r>
      <w:bookmarkEnd w:id="213"/>
      <w:bookmarkEnd w:id="214"/>
      <w:bookmarkEnd w:id="215"/>
    </w:p>
    <w:p w:rsidR="00000000" w:rsidRDefault="00000000">
      <w:pPr>
        <w:tabs>
          <w:tab w:val="clear" w:pos="567"/>
          <w:tab w:val="clear" w:pos="1701"/>
          <w:tab w:val="clear" w:pos="2268"/>
          <w:tab w:val="clear" w:pos="6237"/>
          <w:tab w:val="left" w:pos="680"/>
          <w:tab w:val="left" w:pos="1134"/>
        </w:tabs>
        <w:spacing w:line="230" w:lineRule="auto"/>
        <w:rPr>
          <w:sz w:val="23"/>
        </w:rPr>
      </w:pPr>
    </w:p>
    <w:p w:rsidR="00000000" w:rsidRDefault="00000000">
      <w:pPr>
        <w:tabs>
          <w:tab w:val="clear" w:pos="567"/>
          <w:tab w:val="clear" w:pos="1701"/>
          <w:tab w:val="clear" w:pos="2268"/>
          <w:tab w:val="clear" w:pos="6237"/>
          <w:tab w:val="left" w:pos="680"/>
          <w:tab w:val="left" w:pos="1134"/>
        </w:tabs>
        <w:spacing w:line="230" w:lineRule="auto"/>
        <w:rPr>
          <w:sz w:val="23"/>
        </w:rPr>
      </w:pPr>
      <w:r>
        <w:rPr>
          <w:sz w:val="23"/>
        </w:rPr>
        <w:t>257.</w:t>
      </w:r>
      <w:r>
        <w:rPr>
          <w:sz w:val="23"/>
        </w:rPr>
        <w:tab/>
        <w:t>Дети могут выполнять оплачиваемую работу только в том случае, если им исполнилось 15 лет и если они не охвачены системой обязательного школьного образования, однако Закон об условиях труда разрешает детям в возрасте старше 13 лет выполнять легкую работу при соблюдении определенных ограничительных условий.</w:t>
      </w:r>
    </w:p>
    <w:p w:rsidR="00000000" w:rsidRDefault="00000000">
      <w:pPr>
        <w:tabs>
          <w:tab w:val="clear" w:pos="567"/>
          <w:tab w:val="clear" w:pos="1701"/>
          <w:tab w:val="clear" w:pos="2268"/>
          <w:tab w:val="clear" w:pos="6237"/>
          <w:tab w:val="left" w:pos="680"/>
          <w:tab w:val="left" w:pos="1134"/>
        </w:tabs>
        <w:spacing w:line="230" w:lineRule="auto"/>
        <w:rPr>
          <w:sz w:val="23"/>
        </w:rPr>
      </w:pPr>
    </w:p>
    <w:p w:rsidR="00000000" w:rsidRDefault="00000000">
      <w:pPr>
        <w:pStyle w:val="a0"/>
        <w:spacing w:line="230" w:lineRule="auto"/>
      </w:pPr>
      <w:bookmarkStart w:id="216" w:name="_Toc51496910"/>
      <w:bookmarkStart w:id="217" w:name="_Toc51497077"/>
      <w:bookmarkStart w:id="218" w:name="_Toc51497602"/>
      <w:r>
        <w:t>Пункт 39 </w:t>
      </w:r>
      <w:r>
        <w:rPr>
          <w:lang w:val="en-US"/>
        </w:rPr>
        <w:t>b</w:t>
      </w:r>
      <w:r>
        <w:t>) руководящих принципов: Дети, работающие по найму</w:t>
      </w:r>
      <w:bookmarkEnd w:id="216"/>
      <w:bookmarkEnd w:id="217"/>
      <w:bookmarkEnd w:id="218"/>
    </w:p>
    <w:p w:rsidR="00000000" w:rsidRDefault="00000000">
      <w:pPr>
        <w:tabs>
          <w:tab w:val="clear" w:pos="567"/>
          <w:tab w:val="clear" w:pos="1701"/>
          <w:tab w:val="clear" w:pos="2268"/>
          <w:tab w:val="clear" w:pos="6237"/>
          <w:tab w:val="left" w:pos="680"/>
          <w:tab w:val="left" w:pos="1134"/>
        </w:tabs>
        <w:spacing w:line="230" w:lineRule="auto"/>
        <w:rPr>
          <w:sz w:val="23"/>
        </w:rPr>
      </w:pPr>
    </w:p>
    <w:p w:rsidR="00000000" w:rsidRDefault="00000000">
      <w:pPr>
        <w:tabs>
          <w:tab w:val="clear" w:pos="567"/>
          <w:tab w:val="clear" w:pos="1701"/>
          <w:tab w:val="clear" w:pos="2268"/>
          <w:tab w:val="clear" w:pos="6237"/>
          <w:tab w:val="left" w:pos="680"/>
          <w:tab w:val="left" w:pos="1134"/>
        </w:tabs>
        <w:spacing w:line="230" w:lineRule="auto"/>
        <w:rPr>
          <w:sz w:val="23"/>
        </w:rPr>
      </w:pPr>
      <w:r>
        <w:rPr>
          <w:sz w:val="23"/>
        </w:rPr>
        <w:t>258.</w:t>
      </w:r>
      <w:r>
        <w:rPr>
          <w:sz w:val="23"/>
        </w:rPr>
        <w:tab/>
        <w:t>В Дании по меньшей мере 90% всех работающих по найму детей посещают школы и выполняют различные работы в свободное время. Лишь очень небольшая доля молодежи занята на обычных рабочих местах в рамках профессионального обучения ремеслу. Подробная информация о распределении и доле детского труда содержится в разделах 6 и 6 с) третьего периодического доклада, представленного правительством Дании Комитету по экономическим, социальным и культурным правам (</w:t>
      </w:r>
      <w:r>
        <w:rPr>
          <w:sz w:val="23"/>
          <w:lang w:val="en-US"/>
        </w:rPr>
        <w:t>E</w:t>
      </w:r>
      <w:r>
        <w:rPr>
          <w:sz w:val="23"/>
        </w:rPr>
        <w:t>/1994/104/</w:t>
      </w:r>
      <w:r>
        <w:rPr>
          <w:sz w:val="23"/>
          <w:lang w:val="en-US"/>
        </w:rPr>
        <w:t>Add</w:t>
      </w:r>
      <w:r>
        <w:rPr>
          <w:sz w:val="23"/>
        </w:rPr>
        <w:t>.15).</w:t>
      </w:r>
    </w:p>
    <w:p w:rsidR="00000000" w:rsidRDefault="00000000">
      <w:pPr>
        <w:tabs>
          <w:tab w:val="clear" w:pos="567"/>
          <w:tab w:val="clear" w:pos="1701"/>
          <w:tab w:val="clear" w:pos="2268"/>
          <w:tab w:val="clear" w:pos="6237"/>
          <w:tab w:val="left" w:pos="680"/>
          <w:tab w:val="left" w:pos="1134"/>
        </w:tabs>
        <w:spacing w:line="230" w:lineRule="auto"/>
        <w:rPr>
          <w:sz w:val="23"/>
        </w:rPr>
      </w:pPr>
    </w:p>
    <w:p w:rsidR="00000000" w:rsidRDefault="00000000">
      <w:pPr>
        <w:pStyle w:val="a0"/>
        <w:spacing w:line="230" w:lineRule="auto"/>
      </w:pPr>
      <w:bookmarkStart w:id="219" w:name="_Toc51496911"/>
      <w:bookmarkStart w:id="220" w:name="_Toc51497078"/>
      <w:bookmarkStart w:id="221" w:name="_Toc51497603"/>
      <w:r>
        <w:t>Пункт 39 с) руководящих принципов: Дети, работающие в своих семейных домашних хозяйства</w:t>
      </w:r>
      <w:bookmarkEnd w:id="219"/>
      <w:bookmarkEnd w:id="220"/>
      <w:bookmarkEnd w:id="221"/>
      <w:r>
        <w:t>х</w:t>
      </w:r>
    </w:p>
    <w:p w:rsidR="00000000" w:rsidRDefault="00000000">
      <w:pPr>
        <w:tabs>
          <w:tab w:val="clear" w:pos="567"/>
          <w:tab w:val="clear" w:pos="1701"/>
          <w:tab w:val="clear" w:pos="2268"/>
          <w:tab w:val="clear" w:pos="6237"/>
          <w:tab w:val="left" w:pos="680"/>
          <w:tab w:val="left" w:pos="1134"/>
        </w:tabs>
        <w:spacing w:line="230" w:lineRule="auto"/>
        <w:rPr>
          <w:sz w:val="23"/>
        </w:rPr>
      </w:pPr>
    </w:p>
    <w:p w:rsidR="00000000" w:rsidRDefault="00000000">
      <w:pPr>
        <w:tabs>
          <w:tab w:val="clear" w:pos="567"/>
          <w:tab w:val="clear" w:pos="1701"/>
          <w:tab w:val="clear" w:pos="2268"/>
          <w:tab w:val="clear" w:pos="6237"/>
          <w:tab w:val="left" w:pos="680"/>
          <w:tab w:val="left" w:pos="1134"/>
        </w:tabs>
        <w:spacing w:line="230" w:lineRule="auto"/>
        <w:rPr>
          <w:sz w:val="23"/>
        </w:rPr>
      </w:pPr>
      <w:r>
        <w:rPr>
          <w:sz w:val="23"/>
        </w:rPr>
        <w:t>259.</w:t>
      </w:r>
      <w:r>
        <w:rPr>
          <w:sz w:val="23"/>
        </w:rPr>
        <w:tab/>
        <w:t>Статистические данные в отношении детей, работающих в своих семейных домашних хозяйствах, отсутствуют.</w:t>
      </w:r>
    </w:p>
    <w:p w:rsidR="00000000" w:rsidRDefault="00000000">
      <w:pPr>
        <w:tabs>
          <w:tab w:val="clear" w:pos="567"/>
          <w:tab w:val="clear" w:pos="1701"/>
          <w:tab w:val="clear" w:pos="2268"/>
          <w:tab w:val="clear" w:pos="6237"/>
          <w:tab w:val="left" w:pos="680"/>
          <w:tab w:val="left" w:pos="1134"/>
        </w:tabs>
        <w:spacing w:line="230" w:lineRule="auto"/>
        <w:rPr>
          <w:sz w:val="23"/>
        </w:rPr>
      </w:pPr>
    </w:p>
    <w:p w:rsidR="00000000" w:rsidRDefault="00000000">
      <w:pPr>
        <w:pStyle w:val="a0"/>
        <w:spacing w:line="230" w:lineRule="auto"/>
      </w:pPr>
      <w:bookmarkStart w:id="222" w:name="_Toc51496912"/>
      <w:bookmarkStart w:id="223" w:name="_Toc51497079"/>
      <w:bookmarkStart w:id="224" w:name="_Toc51497604"/>
      <w:r>
        <w:t xml:space="preserve">Пункт 39 </w:t>
      </w:r>
      <w:r>
        <w:rPr>
          <w:lang w:val="en-US"/>
        </w:rPr>
        <w:t>d</w:t>
      </w:r>
      <w:r>
        <w:t>) руководящих принципов: Защита прав ребенка на рабочем месте</w:t>
      </w:r>
      <w:bookmarkEnd w:id="222"/>
      <w:bookmarkEnd w:id="223"/>
      <w:bookmarkEnd w:id="224"/>
    </w:p>
    <w:p w:rsidR="00000000" w:rsidRDefault="00000000">
      <w:pPr>
        <w:tabs>
          <w:tab w:val="clear" w:pos="567"/>
          <w:tab w:val="clear" w:pos="1701"/>
          <w:tab w:val="clear" w:pos="2268"/>
          <w:tab w:val="clear" w:pos="6237"/>
          <w:tab w:val="left" w:pos="680"/>
          <w:tab w:val="left" w:pos="1134"/>
        </w:tabs>
        <w:spacing w:line="230" w:lineRule="auto"/>
        <w:rPr>
          <w:b/>
          <w:bCs/>
          <w:sz w:val="23"/>
        </w:rPr>
      </w:pPr>
    </w:p>
    <w:p w:rsidR="00000000" w:rsidRDefault="00000000">
      <w:pPr>
        <w:tabs>
          <w:tab w:val="clear" w:pos="567"/>
          <w:tab w:val="clear" w:pos="1701"/>
          <w:tab w:val="clear" w:pos="2268"/>
          <w:tab w:val="clear" w:pos="6237"/>
          <w:tab w:val="left" w:pos="680"/>
          <w:tab w:val="left" w:pos="1134"/>
        </w:tabs>
        <w:spacing w:line="230" w:lineRule="auto"/>
        <w:rPr>
          <w:sz w:val="23"/>
        </w:rPr>
      </w:pPr>
      <w:r>
        <w:rPr>
          <w:sz w:val="23"/>
        </w:rPr>
        <w:t>260.</w:t>
      </w:r>
      <w:r>
        <w:rPr>
          <w:sz w:val="23"/>
        </w:rPr>
        <w:tab/>
        <w:t>Законодательство об условиях труда, касающееся детского труда, распространяется на всех лиц, независимо от их социально-экономического статуса или принадлежности к какой-либо культуре. Общая картина условий, созданных для детей, работающих на датских предприятиях, свидетельствует о соблюдении установленных норм.</w:t>
      </w:r>
    </w:p>
    <w:p w:rsidR="00000000" w:rsidRDefault="00000000">
      <w:pPr>
        <w:tabs>
          <w:tab w:val="clear" w:pos="567"/>
          <w:tab w:val="clear" w:pos="1701"/>
          <w:tab w:val="clear" w:pos="2268"/>
          <w:tab w:val="clear" w:pos="6237"/>
          <w:tab w:val="left" w:pos="680"/>
          <w:tab w:val="left" w:pos="1134"/>
        </w:tabs>
        <w:spacing w:line="230" w:lineRule="auto"/>
        <w:rPr>
          <w:sz w:val="23"/>
        </w:rPr>
      </w:pPr>
    </w:p>
    <w:p w:rsidR="00000000" w:rsidRDefault="00000000">
      <w:pPr>
        <w:pStyle w:val="a0"/>
        <w:spacing w:line="230" w:lineRule="auto"/>
      </w:pPr>
      <w:bookmarkStart w:id="225" w:name="_Toc51496913"/>
      <w:bookmarkStart w:id="226" w:name="_Toc51497080"/>
      <w:bookmarkStart w:id="227" w:name="_Toc51497605"/>
      <w:r>
        <w:t>Пункт 39 е) руководящих принципов: Информация, предоставляемая детям в отношении их трудовых прав</w:t>
      </w:r>
      <w:bookmarkEnd w:id="225"/>
      <w:bookmarkEnd w:id="226"/>
      <w:bookmarkEnd w:id="227"/>
    </w:p>
    <w:p w:rsidR="00000000" w:rsidRDefault="00000000">
      <w:pPr>
        <w:tabs>
          <w:tab w:val="clear" w:pos="567"/>
          <w:tab w:val="clear" w:pos="1701"/>
          <w:tab w:val="clear" w:pos="2268"/>
          <w:tab w:val="clear" w:pos="6237"/>
          <w:tab w:val="left" w:pos="680"/>
          <w:tab w:val="left" w:pos="1134"/>
        </w:tabs>
        <w:spacing w:line="230" w:lineRule="auto"/>
        <w:rPr>
          <w:sz w:val="23"/>
        </w:rPr>
      </w:pPr>
    </w:p>
    <w:p w:rsidR="00000000" w:rsidRDefault="00000000">
      <w:pPr>
        <w:tabs>
          <w:tab w:val="clear" w:pos="567"/>
          <w:tab w:val="clear" w:pos="1701"/>
          <w:tab w:val="clear" w:pos="2268"/>
          <w:tab w:val="clear" w:pos="6237"/>
          <w:tab w:val="left" w:pos="680"/>
          <w:tab w:val="left" w:pos="1134"/>
        </w:tabs>
        <w:spacing w:line="230" w:lineRule="auto"/>
        <w:rPr>
          <w:sz w:val="23"/>
        </w:rPr>
      </w:pPr>
      <w:r>
        <w:rPr>
          <w:sz w:val="23"/>
        </w:rPr>
        <w:t>261.</w:t>
      </w:r>
      <w:r>
        <w:rPr>
          <w:sz w:val="23"/>
        </w:rPr>
        <w:tab/>
        <w:t>Законодательство об условиях труда не содержит каких-либо конкретных положений, касающихся предоставления информации особо уязвимым работникам или работающим инвалидам в отношении их прав. Вместе с тем порядок выполнения работы включает в себя определенные положения, согласно которым работодатель должен учитывать возраст работника, уровень его подготовки, его трудовые навыки и другие факторы в связи с выполняемой им работой. Кроме того, работодатель обязан обеспечить, чтобы каждый отдельный работник получил достаточную и надлежащую подготовку, а также инструктаж относительно безопасного выполнения работы. Помимо этого, работодатель должен обеспечить работников информацией о производственном травматизме и опасности профессиональных заболеваний.</w:t>
      </w:r>
    </w:p>
    <w:p w:rsidR="00000000" w:rsidRDefault="00000000">
      <w:pPr>
        <w:tabs>
          <w:tab w:val="clear" w:pos="567"/>
          <w:tab w:val="clear" w:pos="1701"/>
          <w:tab w:val="clear" w:pos="2268"/>
          <w:tab w:val="clear" w:pos="6237"/>
          <w:tab w:val="left" w:pos="680"/>
          <w:tab w:val="left" w:pos="1134"/>
        </w:tabs>
        <w:spacing w:line="230" w:lineRule="auto"/>
        <w:rPr>
          <w:sz w:val="23"/>
        </w:rPr>
      </w:pPr>
    </w:p>
    <w:p w:rsidR="00000000" w:rsidRDefault="00000000">
      <w:pPr>
        <w:pStyle w:val="a0"/>
        <w:spacing w:line="230" w:lineRule="auto"/>
      </w:pPr>
      <w:bookmarkStart w:id="228" w:name="_Toc51496914"/>
      <w:bookmarkStart w:id="229" w:name="_Toc51497081"/>
      <w:bookmarkStart w:id="230" w:name="_Toc51497606"/>
      <w:r>
        <w:t xml:space="preserve">Пункт 39 </w:t>
      </w:r>
      <w:r>
        <w:rPr>
          <w:lang w:val="en-US"/>
        </w:rPr>
        <w:t>f</w:t>
      </w:r>
      <w:r>
        <w:t>) руководящих принципов: Потенциальные трудности или недостатки</w:t>
      </w:r>
      <w:bookmarkEnd w:id="228"/>
      <w:bookmarkEnd w:id="229"/>
      <w:bookmarkEnd w:id="230"/>
    </w:p>
    <w:p w:rsidR="00000000" w:rsidRDefault="00000000">
      <w:pPr>
        <w:tabs>
          <w:tab w:val="clear" w:pos="567"/>
          <w:tab w:val="clear" w:pos="1701"/>
          <w:tab w:val="clear" w:pos="2268"/>
          <w:tab w:val="clear" w:pos="6237"/>
          <w:tab w:val="left" w:pos="680"/>
          <w:tab w:val="left" w:pos="1134"/>
        </w:tabs>
        <w:spacing w:line="230" w:lineRule="auto"/>
        <w:rPr>
          <w:b/>
          <w:bCs/>
          <w:sz w:val="23"/>
        </w:rPr>
      </w:pPr>
    </w:p>
    <w:p w:rsidR="00000000" w:rsidRDefault="00000000">
      <w:pPr>
        <w:tabs>
          <w:tab w:val="clear" w:pos="567"/>
          <w:tab w:val="clear" w:pos="1701"/>
          <w:tab w:val="clear" w:pos="2268"/>
          <w:tab w:val="clear" w:pos="6237"/>
          <w:tab w:val="left" w:pos="680"/>
          <w:tab w:val="left" w:pos="1134"/>
        </w:tabs>
        <w:spacing w:line="230" w:lineRule="auto"/>
        <w:rPr>
          <w:sz w:val="23"/>
        </w:rPr>
      </w:pPr>
      <w:r>
        <w:rPr>
          <w:sz w:val="23"/>
        </w:rPr>
        <w:t>262.</w:t>
      </w:r>
      <w:r>
        <w:rPr>
          <w:sz w:val="23"/>
        </w:rPr>
        <w:tab/>
        <w:t>В целом условия труда датских детей можно охарактеризовать как удовлетворительные, что, среди прочего, подтверждается невысоким уровнем зарегистрированных случаев производственного травматизма и тем, что серьезные несчастные случаи и отравления происходят редко.</w:t>
      </w:r>
    </w:p>
    <w:p w:rsidR="00000000" w:rsidRDefault="00000000">
      <w:pPr>
        <w:tabs>
          <w:tab w:val="clear" w:pos="567"/>
          <w:tab w:val="clear" w:pos="1701"/>
          <w:tab w:val="clear" w:pos="2268"/>
          <w:tab w:val="clear" w:pos="6237"/>
          <w:tab w:val="left" w:pos="680"/>
          <w:tab w:val="left" w:pos="1134"/>
        </w:tabs>
        <w:spacing w:line="230" w:lineRule="auto"/>
        <w:rPr>
          <w:sz w:val="23"/>
        </w:rPr>
      </w:pPr>
    </w:p>
    <w:p w:rsidR="00000000" w:rsidRDefault="00000000">
      <w:pPr>
        <w:pStyle w:val="a0"/>
        <w:spacing w:line="230" w:lineRule="auto"/>
      </w:pPr>
      <w:bookmarkStart w:id="231" w:name="_Toc51496915"/>
      <w:bookmarkStart w:id="232" w:name="_Toc51497082"/>
      <w:bookmarkStart w:id="233" w:name="_Toc51497607"/>
      <w:r>
        <w:t>Пункт 40 руководящих принципов: Значительные изменения в национальном законодательстве и вынесенные судебные решения в данной области</w:t>
      </w:r>
      <w:bookmarkEnd w:id="231"/>
      <w:bookmarkEnd w:id="232"/>
      <w:bookmarkEnd w:id="233"/>
    </w:p>
    <w:p w:rsidR="00000000" w:rsidRDefault="00000000">
      <w:pPr>
        <w:tabs>
          <w:tab w:val="clear" w:pos="567"/>
          <w:tab w:val="clear" w:pos="1701"/>
          <w:tab w:val="clear" w:pos="2268"/>
          <w:tab w:val="clear" w:pos="6237"/>
          <w:tab w:val="left" w:pos="680"/>
          <w:tab w:val="left" w:pos="1134"/>
        </w:tabs>
        <w:spacing w:line="230" w:lineRule="auto"/>
        <w:rPr>
          <w:b/>
          <w:bCs/>
          <w:sz w:val="23"/>
        </w:rPr>
      </w:pPr>
    </w:p>
    <w:p w:rsidR="00000000" w:rsidRDefault="00000000">
      <w:pPr>
        <w:tabs>
          <w:tab w:val="clear" w:pos="567"/>
          <w:tab w:val="clear" w:pos="1701"/>
          <w:tab w:val="clear" w:pos="2268"/>
          <w:tab w:val="clear" w:pos="6237"/>
          <w:tab w:val="left" w:pos="680"/>
          <w:tab w:val="left" w:pos="1134"/>
        </w:tabs>
        <w:spacing w:line="230" w:lineRule="auto"/>
        <w:rPr>
          <w:sz w:val="23"/>
        </w:rPr>
      </w:pPr>
      <w:r>
        <w:rPr>
          <w:sz w:val="23"/>
        </w:rPr>
        <w:t>263.</w:t>
      </w:r>
      <w:r>
        <w:rPr>
          <w:sz w:val="23"/>
        </w:rPr>
        <w:tab/>
        <w:t>С 1999 года не принималось каких-либо значительных поправок к датскому трудовому законодательству, касающемуся детей. В административном плане национальный орган, ответственный за соблюдение условий труда, осуществляет меры по контролю за деятельностью магазинов, киосков, станций обслуживания и т.п. с целью ограничения работы детей в вечернее и ночное время.</w:t>
      </w:r>
    </w:p>
    <w:p w:rsidR="00000000" w:rsidRDefault="00000000">
      <w:pPr>
        <w:tabs>
          <w:tab w:val="clear" w:pos="567"/>
          <w:tab w:val="clear" w:pos="1701"/>
          <w:tab w:val="clear" w:pos="2268"/>
          <w:tab w:val="clear" w:pos="6237"/>
          <w:tab w:val="left" w:pos="680"/>
          <w:tab w:val="left" w:pos="1134"/>
        </w:tabs>
        <w:spacing w:line="230" w:lineRule="auto"/>
        <w:rPr>
          <w:sz w:val="23"/>
        </w:rPr>
      </w:pPr>
    </w:p>
    <w:p w:rsidR="00000000" w:rsidRDefault="00000000">
      <w:pPr>
        <w:tabs>
          <w:tab w:val="clear" w:pos="567"/>
          <w:tab w:val="clear" w:pos="1701"/>
          <w:tab w:val="clear" w:pos="2268"/>
          <w:tab w:val="clear" w:pos="6237"/>
          <w:tab w:val="left" w:pos="680"/>
          <w:tab w:val="left" w:pos="1134"/>
        </w:tabs>
        <w:spacing w:line="230" w:lineRule="auto"/>
        <w:rPr>
          <w:sz w:val="23"/>
        </w:rPr>
      </w:pPr>
      <w:r>
        <w:rPr>
          <w:sz w:val="23"/>
        </w:rPr>
        <w:t>264.</w:t>
      </w:r>
      <w:r>
        <w:rPr>
          <w:sz w:val="23"/>
        </w:rPr>
        <w:tab/>
        <w:t>Дополнительная информация содержится в ответах на вышеуказанные вопросы.</w:t>
      </w:r>
    </w:p>
    <w:p w:rsidR="00000000" w:rsidRDefault="00000000">
      <w:pPr>
        <w:tabs>
          <w:tab w:val="clear" w:pos="567"/>
          <w:tab w:val="clear" w:pos="1701"/>
          <w:tab w:val="clear" w:pos="2268"/>
          <w:tab w:val="clear" w:pos="6237"/>
          <w:tab w:val="left" w:pos="680"/>
          <w:tab w:val="left" w:pos="1134"/>
        </w:tabs>
        <w:spacing w:line="230" w:lineRule="auto"/>
        <w:rPr>
          <w:sz w:val="23"/>
        </w:rPr>
      </w:pPr>
    </w:p>
    <w:p w:rsidR="00000000" w:rsidRDefault="00000000">
      <w:pPr>
        <w:tabs>
          <w:tab w:val="clear" w:pos="567"/>
          <w:tab w:val="clear" w:pos="1701"/>
          <w:tab w:val="clear" w:pos="2268"/>
          <w:tab w:val="clear" w:pos="6237"/>
          <w:tab w:val="left" w:pos="680"/>
          <w:tab w:val="left" w:pos="1134"/>
        </w:tabs>
        <w:spacing w:line="230" w:lineRule="auto"/>
        <w:rPr>
          <w:b/>
          <w:bCs/>
          <w:sz w:val="23"/>
        </w:rPr>
      </w:pPr>
      <w:r>
        <w:rPr>
          <w:b/>
          <w:bCs/>
          <w:sz w:val="23"/>
        </w:rPr>
        <w:t>Несчастные случаи на производстве</w:t>
      </w:r>
    </w:p>
    <w:p w:rsidR="00000000" w:rsidRDefault="00000000">
      <w:pPr>
        <w:tabs>
          <w:tab w:val="clear" w:pos="567"/>
          <w:tab w:val="clear" w:pos="1701"/>
          <w:tab w:val="clear" w:pos="2268"/>
          <w:tab w:val="clear" w:pos="6237"/>
          <w:tab w:val="left" w:pos="680"/>
          <w:tab w:val="left" w:pos="1134"/>
        </w:tabs>
        <w:spacing w:line="230" w:lineRule="auto"/>
        <w:rPr>
          <w:b/>
          <w:bCs/>
          <w:sz w:val="23"/>
        </w:rPr>
      </w:pPr>
    </w:p>
    <w:p w:rsidR="00000000" w:rsidRDefault="00000000">
      <w:pPr>
        <w:tabs>
          <w:tab w:val="clear" w:pos="567"/>
          <w:tab w:val="clear" w:pos="1701"/>
          <w:tab w:val="clear" w:pos="2268"/>
          <w:tab w:val="clear" w:pos="6237"/>
          <w:tab w:val="left" w:pos="680"/>
          <w:tab w:val="left" w:pos="1134"/>
        </w:tabs>
        <w:spacing w:line="230" w:lineRule="auto"/>
        <w:rPr>
          <w:sz w:val="23"/>
        </w:rPr>
      </w:pPr>
      <w:r>
        <w:rPr>
          <w:sz w:val="23"/>
        </w:rPr>
        <w:t>265.</w:t>
      </w:r>
      <w:r>
        <w:rPr>
          <w:sz w:val="23"/>
        </w:rPr>
        <w:tab/>
        <w:t>В трех нижеприведенных таблицах содержатся данные, касающиеся несчастных случаев на производстве в период с 1993 по 2000 год. Эти таблицы соответственно включают в себя статистические данные о зарегистрированных в Дании несчастных случаях на производстве с разбивкой по степени серьезности травм в реальном исчислении и из расчета на 10 000 работников, а также данные о количестве зарегистрированных профессиональных заболеваний с разбивкой по основным видам диагнозов (рак, психические расстройства, кожные заболевания и т.п.). Кроме того, для сравнения приводится таблица, содержащая данные о количестве лиц, работавших по найму в указанные годы.</w:t>
      </w:r>
    </w:p>
    <w:p w:rsidR="00000000" w:rsidRDefault="00000000">
      <w:pPr>
        <w:tabs>
          <w:tab w:val="clear" w:pos="567"/>
          <w:tab w:val="clear" w:pos="1701"/>
          <w:tab w:val="clear" w:pos="2268"/>
          <w:tab w:val="clear" w:pos="6237"/>
          <w:tab w:val="left" w:pos="680"/>
          <w:tab w:val="left" w:pos="1134"/>
        </w:tabs>
        <w:spacing w:line="235" w:lineRule="auto"/>
        <w:rPr>
          <w:sz w:val="23"/>
        </w:rPr>
      </w:pPr>
    </w:p>
    <w:p w:rsidR="00000000" w:rsidRDefault="00000000">
      <w:pPr>
        <w:pStyle w:val="10"/>
        <w:tabs>
          <w:tab w:val="clear" w:pos="567"/>
          <w:tab w:val="clear" w:pos="1701"/>
          <w:tab w:val="clear" w:pos="2268"/>
          <w:tab w:val="clear" w:pos="6237"/>
          <w:tab w:val="left" w:pos="680"/>
          <w:tab w:val="left" w:pos="1134"/>
        </w:tabs>
        <w:spacing w:line="235" w:lineRule="auto"/>
        <w:rPr>
          <w:bCs/>
          <w:sz w:val="23"/>
        </w:rPr>
      </w:pPr>
      <w:r>
        <w:rPr>
          <w:bCs/>
          <w:sz w:val="23"/>
        </w:rPr>
        <w:t>Таблица 7</w:t>
      </w:r>
    </w:p>
    <w:p w:rsidR="00000000" w:rsidRDefault="00000000">
      <w:pPr>
        <w:pStyle w:val="10"/>
        <w:tabs>
          <w:tab w:val="clear" w:pos="567"/>
          <w:tab w:val="clear" w:pos="1701"/>
          <w:tab w:val="clear" w:pos="2268"/>
          <w:tab w:val="clear" w:pos="6237"/>
          <w:tab w:val="left" w:pos="680"/>
          <w:tab w:val="left" w:pos="1134"/>
        </w:tabs>
        <w:spacing w:line="235" w:lineRule="auto"/>
        <w:rPr>
          <w:bCs/>
          <w:sz w:val="23"/>
        </w:rPr>
      </w:pPr>
    </w:p>
    <w:p w:rsidR="00000000" w:rsidRDefault="00000000">
      <w:pPr>
        <w:tabs>
          <w:tab w:val="clear" w:pos="567"/>
          <w:tab w:val="clear" w:pos="1701"/>
          <w:tab w:val="clear" w:pos="2268"/>
          <w:tab w:val="clear" w:pos="6237"/>
          <w:tab w:val="left" w:pos="680"/>
          <w:tab w:val="left" w:pos="1134"/>
        </w:tabs>
        <w:spacing w:line="235" w:lineRule="auto"/>
        <w:jc w:val="center"/>
        <w:rPr>
          <w:b/>
          <w:bCs/>
          <w:sz w:val="23"/>
        </w:rPr>
      </w:pPr>
      <w:r>
        <w:rPr>
          <w:b/>
          <w:bCs/>
          <w:sz w:val="23"/>
        </w:rPr>
        <w:t xml:space="preserve">Количество несчастных случаев на производстве, зарегистрированных </w:t>
      </w:r>
      <w:r>
        <w:rPr>
          <w:b/>
          <w:bCs/>
          <w:sz w:val="23"/>
        </w:rPr>
        <w:br/>
        <w:t xml:space="preserve">в 1993–2000 годах, с разбивкой по виду травмы (три группы) </w:t>
      </w:r>
      <w:r>
        <w:rPr>
          <w:b/>
          <w:bCs/>
          <w:sz w:val="23"/>
        </w:rPr>
        <w:br/>
        <w:t>и году регистрации несчастного случая</w:t>
      </w:r>
    </w:p>
    <w:p w:rsidR="00000000" w:rsidRDefault="00000000">
      <w:pPr>
        <w:tabs>
          <w:tab w:val="clear" w:pos="567"/>
          <w:tab w:val="clear" w:pos="1701"/>
          <w:tab w:val="clear" w:pos="2268"/>
          <w:tab w:val="clear" w:pos="6237"/>
          <w:tab w:val="left" w:pos="680"/>
          <w:tab w:val="left" w:pos="1134"/>
        </w:tabs>
        <w:spacing w:line="235" w:lineRule="auto"/>
        <w:jc w:val="center"/>
        <w:rPr>
          <w:b/>
          <w:bCs/>
          <w:sz w:val="23"/>
        </w:rPr>
      </w:pPr>
    </w:p>
    <w:tbl>
      <w:tblPr>
        <w:tblW w:w="964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928"/>
        <w:gridCol w:w="964"/>
        <w:gridCol w:w="964"/>
        <w:gridCol w:w="964"/>
        <w:gridCol w:w="964"/>
        <w:gridCol w:w="964"/>
        <w:gridCol w:w="964"/>
        <w:gridCol w:w="964"/>
        <w:gridCol w:w="964"/>
      </w:tblGrid>
      <w:tr w:rsidR="00000000">
        <w:tblPrEx>
          <w:tblCellMar>
            <w:top w:w="0" w:type="dxa"/>
            <w:bottom w:w="0" w:type="dxa"/>
          </w:tblCellMar>
        </w:tblPrEx>
        <w:trPr>
          <w:cantSplit/>
        </w:trPr>
        <w:tc>
          <w:tcPr>
            <w:tcW w:w="1928" w:type="dxa"/>
            <w:vMerge w:val="restart"/>
            <w:vAlign w:val="center"/>
          </w:tcPr>
          <w:p w:rsidR="00000000" w:rsidRDefault="00000000">
            <w:pPr>
              <w:tabs>
                <w:tab w:val="clear" w:pos="567"/>
                <w:tab w:val="clear" w:pos="1701"/>
                <w:tab w:val="clear" w:pos="2268"/>
                <w:tab w:val="clear" w:pos="6237"/>
                <w:tab w:val="left" w:pos="680"/>
                <w:tab w:val="left" w:pos="1134"/>
              </w:tabs>
              <w:spacing w:before="40" w:after="40" w:line="235" w:lineRule="auto"/>
              <w:jc w:val="center"/>
              <w:rPr>
                <w:b/>
                <w:bCs/>
                <w:sz w:val="20"/>
              </w:rPr>
            </w:pPr>
            <w:r>
              <w:rPr>
                <w:b/>
                <w:bCs/>
                <w:sz w:val="20"/>
              </w:rPr>
              <w:t>Вид травмы</w:t>
            </w:r>
          </w:p>
        </w:tc>
        <w:tc>
          <w:tcPr>
            <w:tcW w:w="7712" w:type="dxa"/>
            <w:gridSpan w:val="8"/>
          </w:tcPr>
          <w:p w:rsidR="00000000" w:rsidRDefault="00000000">
            <w:pPr>
              <w:tabs>
                <w:tab w:val="clear" w:pos="567"/>
                <w:tab w:val="clear" w:pos="1701"/>
                <w:tab w:val="clear" w:pos="2268"/>
                <w:tab w:val="clear" w:pos="6237"/>
                <w:tab w:val="left" w:pos="680"/>
                <w:tab w:val="left" w:pos="1134"/>
              </w:tabs>
              <w:spacing w:before="40" w:after="40" w:line="235" w:lineRule="auto"/>
              <w:jc w:val="center"/>
              <w:rPr>
                <w:b/>
                <w:bCs/>
                <w:sz w:val="20"/>
              </w:rPr>
            </w:pPr>
            <w:r>
              <w:rPr>
                <w:b/>
                <w:bCs/>
                <w:sz w:val="20"/>
              </w:rPr>
              <w:t>Год регистрации</w:t>
            </w:r>
          </w:p>
        </w:tc>
      </w:tr>
      <w:tr w:rsidR="00000000">
        <w:tblPrEx>
          <w:tblCellMar>
            <w:top w:w="0" w:type="dxa"/>
            <w:bottom w:w="0" w:type="dxa"/>
          </w:tblCellMar>
        </w:tblPrEx>
        <w:trPr>
          <w:cantSplit/>
        </w:trPr>
        <w:tc>
          <w:tcPr>
            <w:tcW w:w="1928" w:type="dxa"/>
            <w:vMerge/>
            <w:tcBorders>
              <w:bottom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35" w:lineRule="auto"/>
              <w:rPr>
                <w:b/>
                <w:bCs/>
                <w:sz w:val="20"/>
              </w:rPr>
            </w:pPr>
          </w:p>
        </w:tc>
        <w:tc>
          <w:tcPr>
            <w:tcW w:w="964" w:type="dxa"/>
            <w:tcBorders>
              <w:bottom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0"/>
              </w:rPr>
            </w:pPr>
            <w:r>
              <w:rPr>
                <w:sz w:val="20"/>
              </w:rPr>
              <w:t>1993</w:t>
            </w:r>
          </w:p>
        </w:tc>
        <w:tc>
          <w:tcPr>
            <w:tcW w:w="964" w:type="dxa"/>
            <w:tcBorders>
              <w:bottom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0"/>
              </w:rPr>
            </w:pPr>
            <w:r>
              <w:rPr>
                <w:sz w:val="20"/>
              </w:rPr>
              <w:t>1994</w:t>
            </w:r>
          </w:p>
        </w:tc>
        <w:tc>
          <w:tcPr>
            <w:tcW w:w="964" w:type="dxa"/>
            <w:tcBorders>
              <w:bottom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0"/>
              </w:rPr>
            </w:pPr>
            <w:r>
              <w:rPr>
                <w:sz w:val="20"/>
              </w:rPr>
              <w:t>1995</w:t>
            </w:r>
          </w:p>
        </w:tc>
        <w:tc>
          <w:tcPr>
            <w:tcW w:w="964" w:type="dxa"/>
            <w:tcBorders>
              <w:bottom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0"/>
              </w:rPr>
            </w:pPr>
            <w:r>
              <w:rPr>
                <w:sz w:val="20"/>
              </w:rPr>
              <w:t>1996</w:t>
            </w:r>
          </w:p>
        </w:tc>
        <w:tc>
          <w:tcPr>
            <w:tcW w:w="964" w:type="dxa"/>
            <w:tcBorders>
              <w:bottom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0"/>
              </w:rPr>
            </w:pPr>
            <w:r>
              <w:rPr>
                <w:sz w:val="20"/>
              </w:rPr>
              <w:t>1997</w:t>
            </w:r>
          </w:p>
        </w:tc>
        <w:tc>
          <w:tcPr>
            <w:tcW w:w="964" w:type="dxa"/>
            <w:tcBorders>
              <w:bottom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0"/>
              </w:rPr>
            </w:pPr>
            <w:r>
              <w:rPr>
                <w:sz w:val="20"/>
              </w:rPr>
              <w:t>1998</w:t>
            </w:r>
          </w:p>
        </w:tc>
        <w:tc>
          <w:tcPr>
            <w:tcW w:w="964" w:type="dxa"/>
            <w:tcBorders>
              <w:bottom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0"/>
              </w:rPr>
            </w:pPr>
            <w:r>
              <w:rPr>
                <w:sz w:val="20"/>
              </w:rPr>
              <w:t>1999</w:t>
            </w:r>
          </w:p>
        </w:tc>
        <w:tc>
          <w:tcPr>
            <w:tcW w:w="964" w:type="dxa"/>
            <w:tcBorders>
              <w:bottom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35" w:lineRule="auto"/>
              <w:jc w:val="center"/>
              <w:rPr>
                <w:sz w:val="20"/>
              </w:rPr>
            </w:pPr>
            <w:r>
              <w:rPr>
                <w:sz w:val="20"/>
              </w:rPr>
              <w:t>2000</w:t>
            </w:r>
          </w:p>
        </w:tc>
      </w:tr>
      <w:tr w:rsidR="00000000">
        <w:tblPrEx>
          <w:tblCellMar>
            <w:top w:w="0" w:type="dxa"/>
            <w:bottom w:w="0" w:type="dxa"/>
          </w:tblCellMar>
        </w:tblPrEx>
        <w:tc>
          <w:tcPr>
            <w:tcW w:w="1928" w:type="dxa"/>
            <w:tcBorders>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rPr>
                <w:sz w:val="20"/>
              </w:rPr>
            </w:pPr>
            <w:r>
              <w:rPr>
                <w:sz w:val="20"/>
              </w:rPr>
              <w:t>Смертельные травмы</w:t>
            </w:r>
          </w:p>
        </w:tc>
        <w:tc>
          <w:tcPr>
            <w:tcW w:w="964" w:type="dxa"/>
            <w:tcBorders>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ind w:right="113"/>
              <w:jc w:val="right"/>
              <w:rPr>
                <w:sz w:val="20"/>
              </w:rPr>
            </w:pPr>
            <w:r>
              <w:rPr>
                <w:sz w:val="20"/>
              </w:rPr>
              <w:t>63</w:t>
            </w:r>
          </w:p>
        </w:tc>
        <w:tc>
          <w:tcPr>
            <w:tcW w:w="964" w:type="dxa"/>
            <w:tcBorders>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ind w:right="113"/>
              <w:jc w:val="right"/>
              <w:rPr>
                <w:sz w:val="20"/>
              </w:rPr>
            </w:pPr>
            <w:r>
              <w:rPr>
                <w:sz w:val="20"/>
              </w:rPr>
              <w:t>76</w:t>
            </w:r>
          </w:p>
        </w:tc>
        <w:tc>
          <w:tcPr>
            <w:tcW w:w="964" w:type="dxa"/>
            <w:tcBorders>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ind w:right="113"/>
              <w:jc w:val="right"/>
              <w:rPr>
                <w:sz w:val="20"/>
              </w:rPr>
            </w:pPr>
            <w:r>
              <w:rPr>
                <w:sz w:val="20"/>
              </w:rPr>
              <w:t>86</w:t>
            </w:r>
          </w:p>
        </w:tc>
        <w:tc>
          <w:tcPr>
            <w:tcW w:w="964" w:type="dxa"/>
            <w:tcBorders>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ind w:right="113"/>
              <w:jc w:val="right"/>
              <w:rPr>
                <w:sz w:val="20"/>
              </w:rPr>
            </w:pPr>
            <w:r>
              <w:rPr>
                <w:sz w:val="20"/>
              </w:rPr>
              <w:t>75</w:t>
            </w:r>
          </w:p>
        </w:tc>
        <w:tc>
          <w:tcPr>
            <w:tcW w:w="964" w:type="dxa"/>
            <w:tcBorders>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ind w:right="113"/>
              <w:jc w:val="right"/>
              <w:rPr>
                <w:sz w:val="20"/>
              </w:rPr>
            </w:pPr>
            <w:r>
              <w:rPr>
                <w:sz w:val="20"/>
              </w:rPr>
              <w:t>82</w:t>
            </w:r>
          </w:p>
        </w:tc>
        <w:tc>
          <w:tcPr>
            <w:tcW w:w="964" w:type="dxa"/>
            <w:tcBorders>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ind w:right="113"/>
              <w:jc w:val="right"/>
              <w:rPr>
                <w:sz w:val="20"/>
              </w:rPr>
            </w:pPr>
            <w:r>
              <w:rPr>
                <w:sz w:val="20"/>
              </w:rPr>
              <w:t>80</w:t>
            </w:r>
          </w:p>
        </w:tc>
        <w:tc>
          <w:tcPr>
            <w:tcW w:w="964" w:type="dxa"/>
            <w:tcBorders>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ind w:right="113"/>
              <w:jc w:val="right"/>
              <w:rPr>
                <w:sz w:val="20"/>
              </w:rPr>
            </w:pPr>
            <w:r>
              <w:rPr>
                <w:sz w:val="20"/>
              </w:rPr>
              <w:t>69</w:t>
            </w:r>
          </w:p>
        </w:tc>
        <w:tc>
          <w:tcPr>
            <w:tcW w:w="964" w:type="dxa"/>
            <w:tcBorders>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ind w:right="113"/>
              <w:jc w:val="right"/>
              <w:rPr>
                <w:sz w:val="20"/>
              </w:rPr>
            </w:pPr>
            <w:r>
              <w:rPr>
                <w:sz w:val="20"/>
              </w:rPr>
              <w:t>64</w:t>
            </w:r>
          </w:p>
        </w:tc>
      </w:tr>
      <w:tr w:rsidR="00000000">
        <w:tblPrEx>
          <w:tblCellMar>
            <w:top w:w="0" w:type="dxa"/>
            <w:bottom w:w="0" w:type="dxa"/>
          </w:tblCellMar>
        </w:tblPrEx>
        <w:tc>
          <w:tcPr>
            <w:tcW w:w="1928"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rPr>
                <w:sz w:val="20"/>
              </w:rPr>
            </w:pPr>
            <w:r>
              <w:rPr>
                <w:sz w:val="20"/>
              </w:rPr>
              <w:t>Прочие серьезные травмы</w:t>
            </w:r>
          </w:p>
        </w:tc>
        <w:tc>
          <w:tcPr>
            <w:tcW w:w="964"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ind w:right="113"/>
              <w:jc w:val="right"/>
              <w:rPr>
                <w:sz w:val="20"/>
              </w:rPr>
            </w:pPr>
            <w:r>
              <w:rPr>
                <w:sz w:val="20"/>
              </w:rPr>
              <w:t>4 877</w:t>
            </w:r>
          </w:p>
        </w:tc>
        <w:tc>
          <w:tcPr>
            <w:tcW w:w="964"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ind w:right="113"/>
              <w:jc w:val="right"/>
              <w:rPr>
                <w:sz w:val="20"/>
              </w:rPr>
            </w:pPr>
            <w:r>
              <w:rPr>
                <w:sz w:val="20"/>
              </w:rPr>
              <w:t>5 174</w:t>
            </w:r>
          </w:p>
        </w:tc>
        <w:tc>
          <w:tcPr>
            <w:tcW w:w="964"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ind w:right="113"/>
              <w:jc w:val="right"/>
              <w:rPr>
                <w:sz w:val="20"/>
              </w:rPr>
            </w:pPr>
            <w:r>
              <w:rPr>
                <w:sz w:val="20"/>
              </w:rPr>
              <w:t>5 362</w:t>
            </w:r>
          </w:p>
        </w:tc>
        <w:tc>
          <w:tcPr>
            <w:tcW w:w="964"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ind w:right="113"/>
              <w:jc w:val="right"/>
              <w:rPr>
                <w:sz w:val="20"/>
              </w:rPr>
            </w:pPr>
            <w:r>
              <w:rPr>
                <w:sz w:val="20"/>
              </w:rPr>
              <w:t>5 537</w:t>
            </w:r>
          </w:p>
        </w:tc>
        <w:tc>
          <w:tcPr>
            <w:tcW w:w="964"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ind w:right="113"/>
              <w:jc w:val="right"/>
              <w:rPr>
                <w:sz w:val="20"/>
              </w:rPr>
            </w:pPr>
            <w:r>
              <w:rPr>
                <w:sz w:val="20"/>
              </w:rPr>
              <w:t>5 485</w:t>
            </w:r>
          </w:p>
        </w:tc>
        <w:tc>
          <w:tcPr>
            <w:tcW w:w="964"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ind w:right="113"/>
              <w:jc w:val="right"/>
              <w:rPr>
                <w:sz w:val="20"/>
              </w:rPr>
            </w:pPr>
            <w:r>
              <w:rPr>
                <w:sz w:val="20"/>
              </w:rPr>
              <w:t>5 553</w:t>
            </w:r>
          </w:p>
        </w:tc>
        <w:tc>
          <w:tcPr>
            <w:tcW w:w="964"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ind w:right="113"/>
              <w:jc w:val="right"/>
              <w:rPr>
                <w:sz w:val="20"/>
              </w:rPr>
            </w:pPr>
            <w:r>
              <w:rPr>
                <w:sz w:val="20"/>
              </w:rPr>
              <w:t>5 539</w:t>
            </w:r>
          </w:p>
        </w:tc>
        <w:tc>
          <w:tcPr>
            <w:tcW w:w="964"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ind w:right="113"/>
              <w:jc w:val="right"/>
              <w:rPr>
                <w:sz w:val="20"/>
              </w:rPr>
            </w:pPr>
            <w:r>
              <w:rPr>
                <w:sz w:val="20"/>
              </w:rPr>
              <w:t>4 991</w:t>
            </w:r>
          </w:p>
        </w:tc>
      </w:tr>
      <w:tr w:rsidR="00000000">
        <w:tblPrEx>
          <w:tblCellMar>
            <w:top w:w="0" w:type="dxa"/>
            <w:bottom w:w="0" w:type="dxa"/>
          </w:tblCellMar>
        </w:tblPrEx>
        <w:tc>
          <w:tcPr>
            <w:tcW w:w="1928"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rPr>
                <w:sz w:val="20"/>
              </w:rPr>
            </w:pPr>
            <w:r>
              <w:rPr>
                <w:sz w:val="20"/>
              </w:rPr>
              <w:t>Прочие травмы</w:t>
            </w:r>
          </w:p>
        </w:tc>
        <w:tc>
          <w:tcPr>
            <w:tcW w:w="964"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ind w:right="113"/>
              <w:jc w:val="right"/>
              <w:rPr>
                <w:sz w:val="20"/>
              </w:rPr>
            </w:pPr>
            <w:r>
              <w:rPr>
                <w:sz w:val="20"/>
              </w:rPr>
              <w:t>39 990</w:t>
            </w:r>
          </w:p>
        </w:tc>
        <w:tc>
          <w:tcPr>
            <w:tcW w:w="964"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ind w:right="113"/>
              <w:jc w:val="right"/>
              <w:rPr>
                <w:sz w:val="20"/>
              </w:rPr>
            </w:pPr>
            <w:r>
              <w:rPr>
                <w:sz w:val="20"/>
              </w:rPr>
              <w:t>43 144</w:t>
            </w:r>
          </w:p>
        </w:tc>
        <w:tc>
          <w:tcPr>
            <w:tcW w:w="964"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ind w:right="113"/>
              <w:jc w:val="right"/>
              <w:rPr>
                <w:sz w:val="20"/>
              </w:rPr>
            </w:pPr>
            <w:r>
              <w:rPr>
                <w:sz w:val="20"/>
              </w:rPr>
              <w:t>45 014</w:t>
            </w:r>
          </w:p>
        </w:tc>
        <w:tc>
          <w:tcPr>
            <w:tcW w:w="964"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ind w:right="113"/>
              <w:jc w:val="right"/>
              <w:rPr>
                <w:sz w:val="20"/>
              </w:rPr>
            </w:pPr>
            <w:r>
              <w:rPr>
                <w:sz w:val="20"/>
              </w:rPr>
              <w:t>45 804</w:t>
            </w:r>
          </w:p>
        </w:tc>
        <w:tc>
          <w:tcPr>
            <w:tcW w:w="964"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ind w:right="113"/>
              <w:jc w:val="right"/>
              <w:rPr>
                <w:sz w:val="20"/>
              </w:rPr>
            </w:pPr>
            <w:r>
              <w:rPr>
                <w:sz w:val="20"/>
              </w:rPr>
              <w:t>45 571</w:t>
            </w:r>
          </w:p>
        </w:tc>
        <w:tc>
          <w:tcPr>
            <w:tcW w:w="964"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ind w:right="113"/>
              <w:jc w:val="right"/>
              <w:rPr>
                <w:sz w:val="20"/>
              </w:rPr>
            </w:pPr>
            <w:r>
              <w:rPr>
                <w:sz w:val="20"/>
              </w:rPr>
              <w:t>44 414</w:t>
            </w:r>
          </w:p>
        </w:tc>
        <w:tc>
          <w:tcPr>
            <w:tcW w:w="964"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ind w:right="113"/>
              <w:jc w:val="right"/>
              <w:rPr>
                <w:sz w:val="20"/>
              </w:rPr>
            </w:pPr>
            <w:r>
              <w:rPr>
                <w:sz w:val="20"/>
              </w:rPr>
              <w:t>44 077</w:t>
            </w:r>
          </w:p>
        </w:tc>
        <w:tc>
          <w:tcPr>
            <w:tcW w:w="964"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35" w:lineRule="auto"/>
              <w:ind w:right="113"/>
              <w:jc w:val="right"/>
              <w:rPr>
                <w:sz w:val="20"/>
              </w:rPr>
            </w:pPr>
            <w:r>
              <w:rPr>
                <w:sz w:val="20"/>
              </w:rPr>
              <w:t>39 791</w:t>
            </w:r>
          </w:p>
        </w:tc>
      </w:tr>
      <w:tr w:rsidR="00000000">
        <w:tblPrEx>
          <w:tblCellMar>
            <w:top w:w="0" w:type="dxa"/>
            <w:bottom w:w="0" w:type="dxa"/>
          </w:tblCellMar>
        </w:tblPrEx>
        <w:tc>
          <w:tcPr>
            <w:tcW w:w="1928" w:type="dxa"/>
            <w:tcBorders>
              <w:top w:val="nil"/>
            </w:tcBorders>
          </w:tcPr>
          <w:p w:rsidR="00000000" w:rsidRDefault="00000000">
            <w:pPr>
              <w:tabs>
                <w:tab w:val="clear" w:pos="567"/>
                <w:tab w:val="clear" w:pos="1701"/>
                <w:tab w:val="clear" w:pos="2268"/>
                <w:tab w:val="clear" w:pos="6237"/>
                <w:tab w:val="left" w:pos="680"/>
                <w:tab w:val="left" w:pos="1134"/>
              </w:tabs>
              <w:spacing w:before="40" w:after="40" w:line="235" w:lineRule="auto"/>
              <w:rPr>
                <w:sz w:val="20"/>
              </w:rPr>
            </w:pPr>
            <w:r>
              <w:rPr>
                <w:sz w:val="20"/>
              </w:rPr>
              <w:t>Всего</w:t>
            </w:r>
          </w:p>
        </w:tc>
        <w:tc>
          <w:tcPr>
            <w:tcW w:w="964" w:type="dxa"/>
            <w:tcBorders>
              <w:top w:val="nil"/>
            </w:tcBorders>
          </w:tcPr>
          <w:p w:rsidR="00000000" w:rsidRDefault="00000000">
            <w:pPr>
              <w:tabs>
                <w:tab w:val="clear" w:pos="567"/>
                <w:tab w:val="clear" w:pos="1701"/>
                <w:tab w:val="clear" w:pos="2268"/>
                <w:tab w:val="clear" w:pos="6237"/>
                <w:tab w:val="left" w:pos="680"/>
                <w:tab w:val="left" w:pos="1134"/>
              </w:tabs>
              <w:spacing w:before="40" w:after="40" w:line="235" w:lineRule="auto"/>
              <w:ind w:right="113"/>
              <w:jc w:val="right"/>
              <w:rPr>
                <w:sz w:val="20"/>
              </w:rPr>
            </w:pPr>
            <w:r>
              <w:rPr>
                <w:sz w:val="20"/>
              </w:rPr>
              <w:t>44 930</w:t>
            </w:r>
          </w:p>
        </w:tc>
        <w:tc>
          <w:tcPr>
            <w:tcW w:w="964" w:type="dxa"/>
            <w:tcBorders>
              <w:top w:val="nil"/>
            </w:tcBorders>
          </w:tcPr>
          <w:p w:rsidR="00000000" w:rsidRDefault="00000000">
            <w:pPr>
              <w:tabs>
                <w:tab w:val="clear" w:pos="567"/>
                <w:tab w:val="clear" w:pos="1701"/>
                <w:tab w:val="clear" w:pos="2268"/>
                <w:tab w:val="clear" w:pos="6237"/>
                <w:tab w:val="left" w:pos="680"/>
                <w:tab w:val="left" w:pos="1134"/>
              </w:tabs>
              <w:spacing w:before="40" w:after="40" w:line="235" w:lineRule="auto"/>
              <w:ind w:right="113"/>
              <w:jc w:val="right"/>
              <w:rPr>
                <w:sz w:val="20"/>
              </w:rPr>
            </w:pPr>
            <w:r>
              <w:rPr>
                <w:sz w:val="20"/>
              </w:rPr>
              <w:t>48 394</w:t>
            </w:r>
          </w:p>
        </w:tc>
        <w:tc>
          <w:tcPr>
            <w:tcW w:w="964" w:type="dxa"/>
            <w:tcBorders>
              <w:top w:val="nil"/>
            </w:tcBorders>
          </w:tcPr>
          <w:p w:rsidR="00000000" w:rsidRDefault="00000000">
            <w:pPr>
              <w:tabs>
                <w:tab w:val="clear" w:pos="567"/>
                <w:tab w:val="clear" w:pos="1701"/>
                <w:tab w:val="clear" w:pos="2268"/>
                <w:tab w:val="clear" w:pos="6237"/>
                <w:tab w:val="left" w:pos="680"/>
                <w:tab w:val="left" w:pos="1134"/>
              </w:tabs>
              <w:spacing w:before="40" w:after="40" w:line="235" w:lineRule="auto"/>
              <w:ind w:right="113"/>
              <w:jc w:val="right"/>
              <w:rPr>
                <w:sz w:val="20"/>
              </w:rPr>
            </w:pPr>
            <w:r>
              <w:rPr>
                <w:sz w:val="20"/>
              </w:rPr>
              <w:t>50 462</w:t>
            </w:r>
          </w:p>
        </w:tc>
        <w:tc>
          <w:tcPr>
            <w:tcW w:w="964" w:type="dxa"/>
            <w:tcBorders>
              <w:top w:val="nil"/>
            </w:tcBorders>
          </w:tcPr>
          <w:p w:rsidR="00000000" w:rsidRDefault="00000000">
            <w:pPr>
              <w:tabs>
                <w:tab w:val="clear" w:pos="567"/>
                <w:tab w:val="clear" w:pos="1701"/>
                <w:tab w:val="clear" w:pos="2268"/>
                <w:tab w:val="clear" w:pos="6237"/>
                <w:tab w:val="left" w:pos="680"/>
                <w:tab w:val="left" w:pos="1134"/>
              </w:tabs>
              <w:spacing w:before="40" w:after="40" w:line="235" w:lineRule="auto"/>
              <w:ind w:right="113"/>
              <w:jc w:val="right"/>
              <w:rPr>
                <w:sz w:val="20"/>
              </w:rPr>
            </w:pPr>
            <w:r>
              <w:rPr>
                <w:sz w:val="20"/>
              </w:rPr>
              <w:t>51 416</w:t>
            </w:r>
          </w:p>
        </w:tc>
        <w:tc>
          <w:tcPr>
            <w:tcW w:w="964" w:type="dxa"/>
            <w:tcBorders>
              <w:top w:val="nil"/>
            </w:tcBorders>
          </w:tcPr>
          <w:p w:rsidR="00000000" w:rsidRDefault="00000000">
            <w:pPr>
              <w:tabs>
                <w:tab w:val="clear" w:pos="567"/>
                <w:tab w:val="clear" w:pos="1701"/>
                <w:tab w:val="clear" w:pos="2268"/>
                <w:tab w:val="clear" w:pos="6237"/>
                <w:tab w:val="left" w:pos="680"/>
                <w:tab w:val="left" w:pos="1134"/>
              </w:tabs>
              <w:spacing w:before="40" w:after="40" w:line="235" w:lineRule="auto"/>
              <w:ind w:right="113"/>
              <w:jc w:val="right"/>
              <w:rPr>
                <w:sz w:val="20"/>
              </w:rPr>
            </w:pPr>
            <w:r>
              <w:rPr>
                <w:sz w:val="20"/>
              </w:rPr>
              <w:t>51 138</w:t>
            </w:r>
          </w:p>
        </w:tc>
        <w:tc>
          <w:tcPr>
            <w:tcW w:w="964" w:type="dxa"/>
            <w:tcBorders>
              <w:top w:val="nil"/>
            </w:tcBorders>
          </w:tcPr>
          <w:p w:rsidR="00000000" w:rsidRDefault="00000000">
            <w:pPr>
              <w:tabs>
                <w:tab w:val="clear" w:pos="567"/>
                <w:tab w:val="clear" w:pos="1701"/>
                <w:tab w:val="clear" w:pos="2268"/>
                <w:tab w:val="clear" w:pos="6237"/>
                <w:tab w:val="left" w:pos="680"/>
                <w:tab w:val="left" w:pos="1134"/>
              </w:tabs>
              <w:spacing w:before="40" w:after="40" w:line="235" w:lineRule="auto"/>
              <w:ind w:right="113"/>
              <w:jc w:val="right"/>
              <w:rPr>
                <w:sz w:val="20"/>
              </w:rPr>
            </w:pPr>
            <w:r>
              <w:rPr>
                <w:sz w:val="20"/>
              </w:rPr>
              <w:t>50 047</w:t>
            </w:r>
          </w:p>
        </w:tc>
        <w:tc>
          <w:tcPr>
            <w:tcW w:w="964" w:type="dxa"/>
            <w:tcBorders>
              <w:top w:val="nil"/>
            </w:tcBorders>
          </w:tcPr>
          <w:p w:rsidR="00000000" w:rsidRDefault="00000000">
            <w:pPr>
              <w:tabs>
                <w:tab w:val="clear" w:pos="567"/>
                <w:tab w:val="clear" w:pos="1701"/>
                <w:tab w:val="clear" w:pos="2268"/>
                <w:tab w:val="clear" w:pos="6237"/>
                <w:tab w:val="left" w:pos="680"/>
                <w:tab w:val="left" w:pos="1134"/>
              </w:tabs>
              <w:spacing w:before="40" w:after="40" w:line="235" w:lineRule="auto"/>
              <w:ind w:right="113"/>
              <w:jc w:val="right"/>
              <w:rPr>
                <w:sz w:val="20"/>
              </w:rPr>
            </w:pPr>
            <w:r>
              <w:rPr>
                <w:sz w:val="20"/>
              </w:rPr>
              <w:t>49 685</w:t>
            </w:r>
          </w:p>
        </w:tc>
        <w:tc>
          <w:tcPr>
            <w:tcW w:w="964" w:type="dxa"/>
            <w:tcBorders>
              <w:top w:val="nil"/>
            </w:tcBorders>
          </w:tcPr>
          <w:p w:rsidR="00000000" w:rsidRDefault="00000000">
            <w:pPr>
              <w:tabs>
                <w:tab w:val="clear" w:pos="567"/>
                <w:tab w:val="clear" w:pos="1701"/>
                <w:tab w:val="clear" w:pos="2268"/>
                <w:tab w:val="clear" w:pos="6237"/>
                <w:tab w:val="left" w:pos="680"/>
                <w:tab w:val="left" w:pos="1134"/>
              </w:tabs>
              <w:spacing w:before="40" w:after="40" w:line="235" w:lineRule="auto"/>
              <w:ind w:right="113"/>
              <w:jc w:val="right"/>
              <w:rPr>
                <w:sz w:val="20"/>
              </w:rPr>
            </w:pPr>
            <w:r>
              <w:rPr>
                <w:sz w:val="20"/>
              </w:rPr>
              <w:t>44 846</w:t>
            </w:r>
          </w:p>
        </w:tc>
      </w:tr>
    </w:tbl>
    <w:p w:rsidR="00000000" w:rsidRDefault="00000000">
      <w:pPr>
        <w:tabs>
          <w:tab w:val="clear" w:pos="567"/>
          <w:tab w:val="clear" w:pos="1701"/>
          <w:tab w:val="clear" w:pos="2268"/>
          <w:tab w:val="clear" w:pos="6237"/>
          <w:tab w:val="left" w:pos="680"/>
          <w:tab w:val="left" w:pos="1134"/>
        </w:tabs>
        <w:spacing w:before="120" w:line="235" w:lineRule="auto"/>
        <w:rPr>
          <w:sz w:val="23"/>
        </w:rPr>
      </w:pPr>
      <w:r>
        <w:rPr>
          <w:sz w:val="23"/>
          <w:u w:val="single"/>
        </w:rPr>
        <w:t>Источник</w:t>
      </w:r>
      <w:r>
        <w:rPr>
          <w:sz w:val="23"/>
        </w:rPr>
        <w:t>: Национальное управление по соблюдению условий труда.</w:t>
      </w:r>
    </w:p>
    <w:p w:rsidR="00000000" w:rsidRDefault="00000000">
      <w:pPr>
        <w:tabs>
          <w:tab w:val="clear" w:pos="567"/>
          <w:tab w:val="clear" w:pos="1701"/>
          <w:tab w:val="clear" w:pos="2268"/>
          <w:tab w:val="clear" w:pos="6237"/>
          <w:tab w:val="left" w:pos="680"/>
          <w:tab w:val="left" w:pos="1134"/>
        </w:tabs>
        <w:spacing w:line="221" w:lineRule="auto"/>
        <w:jc w:val="center"/>
        <w:rPr>
          <w:b/>
          <w:bCs/>
          <w:sz w:val="23"/>
        </w:rPr>
      </w:pPr>
      <w:r>
        <w:rPr>
          <w:b/>
          <w:bCs/>
          <w:sz w:val="23"/>
        </w:rPr>
        <w:t>Таблица 8</w:t>
      </w:r>
    </w:p>
    <w:p w:rsidR="00000000" w:rsidRDefault="00000000">
      <w:pPr>
        <w:tabs>
          <w:tab w:val="clear" w:pos="567"/>
          <w:tab w:val="clear" w:pos="1701"/>
          <w:tab w:val="clear" w:pos="2268"/>
          <w:tab w:val="clear" w:pos="6237"/>
          <w:tab w:val="left" w:pos="680"/>
          <w:tab w:val="left" w:pos="1134"/>
        </w:tabs>
        <w:spacing w:line="221" w:lineRule="auto"/>
        <w:jc w:val="center"/>
        <w:rPr>
          <w:b/>
          <w:bCs/>
          <w:sz w:val="23"/>
        </w:rPr>
      </w:pPr>
    </w:p>
    <w:p w:rsidR="00000000" w:rsidRDefault="00000000">
      <w:pPr>
        <w:tabs>
          <w:tab w:val="clear" w:pos="567"/>
          <w:tab w:val="clear" w:pos="1701"/>
          <w:tab w:val="clear" w:pos="2268"/>
          <w:tab w:val="clear" w:pos="6237"/>
          <w:tab w:val="left" w:pos="680"/>
          <w:tab w:val="left" w:pos="1134"/>
        </w:tabs>
        <w:spacing w:line="221" w:lineRule="auto"/>
        <w:jc w:val="center"/>
        <w:rPr>
          <w:b/>
          <w:bCs/>
          <w:sz w:val="23"/>
        </w:rPr>
      </w:pPr>
      <w:r>
        <w:rPr>
          <w:b/>
          <w:bCs/>
          <w:sz w:val="23"/>
        </w:rPr>
        <w:t xml:space="preserve">Общегодовое количество зарегистрированных несчастных случаев на производстве </w:t>
      </w:r>
      <w:r>
        <w:rPr>
          <w:b/>
          <w:bCs/>
          <w:sz w:val="23"/>
        </w:rPr>
        <w:br/>
        <w:t xml:space="preserve">из расчета на 10 000 работников с разбивкой по виду травмы (степень серьезности) </w:t>
      </w:r>
      <w:r>
        <w:rPr>
          <w:b/>
          <w:bCs/>
          <w:sz w:val="23"/>
        </w:rPr>
        <w:br/>
        <w:t>и году регистрации несчастного случая</w:t>
      </w:r>
    </w:p>
    <w:p w:rsidR="00000000" w:rsidRDefault="00000000">
      <w:pPr>
        <w:tabs>
          <w:tab w:val="clear" w:pos="567"/>
          <w:tab w:val="clear" w:pos="1701"/>
          <w:tab w:val="clear" w:pos="2268"/>
          <w:tab w:val="clear" w:pos="6237"/>
          <w:tab w:val="left" w:pos="680"/>
          <w:tab w:val="left" w:pos="1134"/>
        </w:tabs>
        <w:spacing w:line="221" w:lineRule="auto"/>
        <w:jc w:val="center"/>
        <w:rPr>
          <w:b/>
          <w:bCs/>
          <w:sz w:val="23"/>
        </w:rPr>
      </w:pPr>
    </w:p>
    <w:tbl>
      <w:tblPr>
        <w:tblW w:w="964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928"/>
        <w:gridCol w:w="964"/>
        <w:gridCol w:w="964"/>
        <w:gridCol w:w="964"/>
        <w:gridCol w:w="964"/>
        <w:gridCol w:w="964"/>
        <w:gridCol w:w="964"/>
        <w:gridCol w:w="964"/>
        <w:gridCol w:w="964"/>
      </w:tblGrid>
      <w:tr w:rsidR="00000000">
        <w:tblPrEx>
          <w:tblCellMar>
            <w:top w:w="0" w:type="dxa"/>
            <w:bottom w:w="0" w:type="dxa"/>
          </w:tblCellMar>
        </w:tblPrEx>
        <w:trPr>
          <w:cantSplit/>
        </w:trPr>
        <w:tc>
          <w:tcPr>
            <w:tcW w:w="1928" w:type="dxa"/>
            <w:vMerge w:val="restart"/>
            <w:vAlign w:val="center"/>
          </w:tcPr>
          <w:p w:rsidR="00000000" w:rsidRDefault="00000000">
            <w:pPr>
              <w:pStyle w:val="Heading9"/>
              <w:tabs>
                <w:tab w:val="clear" w:pos="567"/>
                <w:tab w:val="clear" w:pos="1701"/>
                <w:tab w:val="clear" w:pos="2268"/>
                <w:tab w:val="clear" w:pos="6237"/>
                <w:tab w:val="left" w:pos="680"/>
                <w:tab w:val="left" w:pos="1134"/>
              </w:tabs>
              <w:spacing w:before="20" w:after="20" w:line="221" w:lineRule="auto"/>
              <w:jc w:val="center"/>
              <w:rPr>
                <w:b w:val="0"/>
                <w:bCs w:val="0"/>
              </w:rPr>
            </w:pPr>
            <w:r>
              <w:t>Вид травмы</w:t>
            </w:r>
          </w:p>
        </w:tc>
        <w:tc>
          <w:tcPr>
            <w:tcW w:w="7712" w:type="dxa"/>
            <w:gridSpan w:val="8"/>
          </w:tcPr>
          <w:p w:rsidR="00000000" w:rsidRDefault="00000000">
            <w:pPr>
              <w:pStyle w:val="Heading8"/>
              <w:tabs>
                <w:tab w:val="clear" w:pos="567"/>
                <w:tab w:val="clear" w:pos="1701"/>
                <w:tab w:val="clear" w:pos="2268"/>
                <w:tab w:val="clear" w:pos="6237"/>
                <w:tab w:val="left" w:pos="680"/>
                <w:tab w:val="left" w:pos="1134"/>
              </w:tabs>
              <w:spacing w:before="20" w:after="20" w:line="221" w:lineRule="auto"/>
            </w:pPr>
            <w:r>
              <w:t>Год регистрации</w:t>
            </w:r>
          </w:p>
        </w:tc>
      </w:tr>
      <w:tr w:rsidR="00000000">
        <w:tblPrEx>
          <w:tblCellMar>
            <w:top w:w="0" w:type="dxa"/>
            <w:bottom w:w="0" w:type="dxa"/>
          </w:tblCellMar>
        </w:tblPrEx>
        <w:trPr>
          <w:cantSplit/>
        </w:trPr>
        <w:tc>
          <w:tcPr>
            <w:tcW w:w="1928" w:type="dxa"/>
            <w:vMerge/>
            <w:tcBorders>
              <w:bottom w:val="single" w:sz="4" w:space="0" w:color="auto"/>
            </w:tcBorders>
          </w:tcPr>
          <w:p w:rsidR="00000000" w:rsidRDefault="00000000">
            <w:pPr>
              <w:tabs>
                <w:tab w:val="clear" w:pos="567"/>
                <w:tab w:val="clear" w:pos="1701"/>
                <w:tab w:val="clear" w:pos="2268"/>
                <w:tab w:val="clear" w:pos="6237"/>
                <w:tab w:val="left" w:pos="680"/>
                <w:tab w:val="left" w:pos="1134"/>
              </w:tabs>
              <w:spacing w:before="20" w:after="20" w:line="221" w:lineRule="auto"/>
              <w:rPr>
                <w:b/>
                <w:bCs/>
                <w:sz w:val="20"/>
              </w:rPr>
            </w:pPr>
          </w:p>
        </w:tc>
        <w:tc>
          <w:tcPr>
            <w:tcW w:w="964" w:type="dxa"/>
            <w:tcBorders>
              <w:bottom w:val="single" w:sz="4" w:space="0" w:color="auto"/>
            </w:tcBorders>
          </w:tcPr>
          <w:p w:rsidR="00000000" w:rsidRDefault="00000000">
            <w:pPr>
              <w:tabs>
                <w:tab w:val="clear" w:pos="567"/>
                <w:tab w:val="clear" w:pos="1701"/>
                <w:tab w:val="clear" w:pos="2268"/>
                <w:tab w:val="clear" w:pos="6237"/>
                <w:tab w:val="left" w:pos="680"/>
                <w:tab w:val="left" w:pos="1134"/>
              </w:tabs>
              <w:spacing w:before="20" w:after="20" w:line="221" w:lineRule="auto"/>
              <w:jc w:val="center"/>
              <w:rPr>
                <w:sz w:val="20"/>
              </w:rPr>
            </w:pPr>
            <w:r>
              <w:rPr>
                <w:sz w:val="20"/>
              </w:rPr>
              <w:t>1993</w:t>
            </w:r>
          </w:p>
        </w:tc>
        <w:tc>
          <w:tcPr>
            <w:tcW w:w="964" w:type="dxa"/>
            <w:tcBorders>
              <w:bottom w:val="single" w:sz="4" w:space="0" w:color="auto"/>
            </w:tcBorders>
          </w:tcPr>
          <w:p w:rsidR="00000000" w:rsidRDefault="00000000">
            <w:pPr>
              <w:tabs>
                <w:tab w:val="clear" w:pos="567"/>
                <w:tab w:val="clear" w:pos="1701"/>
                <w:tab w:val="clear" w:pos="2268"/>
                <w:tab w:val="clear" w:pos="6237"/>
                <w:tab w:val="left" w:pos="680"/>
                <w:tab w:val="left" w:pos="1134"/>
              </w:tabs>
              <w:spacing w:before="20" w:after="20" w:line="221" w:lineRule="auto"/>
              <w:jc w:val="center"/>
              <w:rPr>
                <w:sz w:val="20"/>
              </w:rPr>
            </w:pPr>
            <w:r>
              <w:rPr>
                <w:sz w:val="20"/>
              </w:rPr>
              <w:t>1994</w:t>
            </w:r>
          </w:p>
        </w:tc>
        <w:tc>
          <w:tcPr>
            <w:tcW w:w="964" w:type="dxa"/>
            <w:tcBorders>
              <w:bottom w:val="single" w:sz="4" w:space="0" w:color="auto"/>
            </w:tcBorders>
          </w:tcPr>
          <w:p w:rsidR="00000000" w:rsidRDefault="00000000">
            <w:pPr>
              <w:tabs>
                <w:tab w:val="clear" w:pos="567"/>
                <w:tab w:val="clear" w:pos="1701"/>
                <w:tab w:val="clear" w:pos="2268"/>
                <w:tab w:val="clear" w:pos="6237"/>
                <w:tab w:val="left" w:pos="680"/>
                <w:tab w:val="left" w:pos="1134"/>
              </w:tabs>
              <w:spacing w:before="20" w:after="20" w:line="221" w:lineRule="auto"/>
              <w:jc w:val="center"/>
              <w:rPr>
                <w:sz w:val="20"/>
              </w:rPr>
            </w:pPr>
            <w:r>
              <w:rPr>
                <w:sz w:val="20"/>
              </w:rPr>
              <w:t>1995</w:t>
            </w:r>
          </w:p>
        </w:tc>
        <w:tc>
          <w:tcPr>
            <w:tcW w:w="964" w:type="dxa"/>
            <w:tcBorders>
              <w:bottom w:val="single" w:sz="4" w:space="0" w:color="auto"/>
            </w:tcBorders>
          </w:tcPr>
          <w:p w:rsidR="00000000" w:rsidRDefault="00000000">
            <w:pPr>
              <w:tabs>
                <w:tab w:val="clear" w:pos="567"/>
                <w:tab w:val="clear" w:pos="1701"/>
                <w:tab w:val="clear" w:pos="2268"/>
                <w:tab w:val="clear" w:pos="6237"/>
                <w:tab w:val="left" w:pos="680"/>
                <w:tab w:val="left" w:pos="1134"/>
              </w:tabs>
              <w:spacing w:before="20" w:after="20" w:line="221" w:lineRule="auto"/>
              <w:jc w:val="center"/>
              <w:rPr>
                <w:sz w:val="20"/>
              </w:rPr>
            </w:pPr>
            <w:r>
              <w:rPr>
                <w:sz w:val="20"/>
              </w:rPr>
              <w:t>1996</w:t>
            </w:r>
          </w:p>
        </w:tc>
        <w:tc>
          <w:tcPr>
            <w:tcW w:w="964" w:type="dxa"/>
            <w:tcBorders>
              <w:bottom w:val="single" w:sz="4" w:space="0" w:color="auto"/>
            </w:tcBorders>
          </w:tcPr>
          <w:p w:rsidR="00000000" w:rsidRDefault="00000000">
            <w:pPr>
              <w:tabs>
                <w:tab w:val="clear" w:pos="567"/>
                <w:tab w:val="clear" w:pos="1701"/>
                <w:tab w:val="clear" w:pos="2268"/>
                <w:tab w:val="clear" w:pos="6237"/>
                <w:tab w:val="left" w:pos="680"/>
                <w:tab w:val="left" w:pos="1134"/>
              </w:tabs>
              <w:spacing w:before="20" w:after="20" w:line="221" w:lineRule="auto"/>
              <w:jc w:val="center"/>
              <w:rPr>
                <w:sz w:val="20"/>
              </w:rPr>
            </w:pPr>
            <w:r>
              <w:rPr>
                <w:sz w:val="20"/>
              </w:rPr>
              <w:t>1997</w:t>
            </w:r>
          </w:p>
        </w:tc>
        <w:tc>
          <w:tcPr>
            <w:tcW w:w="964" w:type="dxa"/>
            <w:tcBorders>
              <w:bottom w:val="single" w:sz="4" w:space="0" w:color="auto"/>
            </w:tcBorders>
          </w:tcPr>
          <w:p w:rsidR="00000000" w:rsidRDefault="00000000">
            <w:pPr>
              <w:tabs>
                <w:tab w:val="clear" w:pos="567"/>
                <w:tab w:val="clear" w:pos="1701"/>
                <w:tab w:val="clear" w:pos="2268"/>
                <w:tab w:val="clear" w:pos="6237"/>
                <w:tab w:val="left" w:pos="680"/>
                <w:tab w:val="left" w:pos="1134"/>
              </w:tabs>
              <w:spacing w:before="20" w:after="20" w:line="221" w:lineRule="auto"/>
              <w:jc w:val="center"/>
              <w:rPr>
                <w:sz w:val="20"/>
              </w:rPr>
            </w:pPr>
            <w:r>
              <w:rPr>
                <w:sz w:val="20"/>
              </w:rPr>
              <w:t>1998</w:t>
            </w:r>
          </w:p>
        </w:tc>
        <w:tc>
          <w:tcPr>
            <w:tcW w:w="964" w:type="dxa"/>
            <w:tcBorders>
              <w:bottom w:val="single" w:sz="4" w:space="0" w:color="auto"/>
            </w:tcBorders>
          </w:tcPr>
          <w:p w:rsidR="00000000" w:rsidRDefault="00000000">
            <w:pPr>
              <w:tabs>
                <w:tab w:val="clear" w:pos="567"/>
                <w:tab w:val="clear" w:pos="1701"/>
                <w:tab w:val="clear" w:pos="2268"/>
                <w:tab w:val="clear" w:pos="6237"/>
                <w:tab w:val="left" w:pos="680"/>
                <w:tab w:val="left" w:pos="1134"/>
              </w:tabs>
              <w:spacing w:before="20" w:after="20" w:line="221" w:lineRule="auto"/>
              <w:jc w:val="center"/>
              <w:rPr>
                <w:sz w:val="20"/>
              </w:rPr>
            </w:pPr>
            <w:r>
              <w:rPr>
                <w:sz w:val="20"/>
              </w:rPr>
              <w:t>1999</w:t>
            </w:r>
          </w:p>
        </w:tc>
        <w:tc>
          <w:tcPr>
            <w:tcW w:w="964" w:type="dxa"/>
            <w:tcBorders>
              <w:bottom w:val="single" w:sz="4" w:space="0" w:color="auto"/>
            </w:tcBorders>
          </w:tcPr>
          <w:p w:rsidR="00000000" w:rsidRDefault="00000000">
            <w:pPr>
              <w:tabs>
                <w:tab w:val="clear" w:pos="567"/>
                <w:tab w:val="clear" w:pos="1701"/>
                <w:tab w:val="clear" w:pos="2268"/>
                <w:tab w:val="clear" w:pos="6237"/>
                <w:tab w:val="left" w:pos="680"/>
                <w:tab w:val="left" w:pos="1134"/>
              </w:tabs>
              <w:spacing w:before="20" w:after="20" w:line="221" w:lineRule="auto"/>
              <w:jc w:val="center"/>
              <w:rPr>
                <w:sz w:val="20"/>
              </w:rPr>
            </w:pPr>
            <w:r>
              <w:rPr>
                <w:sz w:val="20"/>
              </w:rPr>
              <w:t>2000</w:t>
            </w:r>
          </w:p>
        </w:tc>
      </w:tr>
      <w:tr w:rsidR="00000000">
        <w:tblPrEx>
          <w:tblCellMar>
            <w:top w:w="0" w:type="dxa"/>
            <w:bottom w:w="0" w:type="dxa"/>
          </w:tblCellMar>
        </w:tblPrEx>
        <w:tc>
          <w:tcPr>
            <w:tcW w:w="1928" w:type="dxa"/>
            <w:tcBorders>
              <w:bottom w:val="nil"/>
            </w:tcBorders>
          </w:tcPr>
          <w:p w:rsidR="00000000" w:rsidRDefault="00000000">
            <w:pPr>
              <w:tabs>
                <w:tab w:val="clear" w:pos="567"/>
                <w:tab w:val="clear" w:pos="1701"/>
                <w:tab w:val="clear" w:pos="2268"/>
                <w:tab w:val="clear" w:pos="6237"/>
                <w:tab w:val="left" w:pos="680"/>
                <w:tab w:val="left" w:pos="1134"/>
              </w:tabs>
              <w:spacing w:before="20" w:after="20" w:line="221" w:lineRule="auto"/>
              <w:rPr>
                <w:sz w:val="20"/>
              </w:rPr>
            </w:pPr>
            <w:r>
              <w:rPr>
                <w:sz w:val="20"/>
              </w:rPr>
              <w:t>Смертельные травмы</w:t>
            </w:r>
          </w:p>
        </w:tc>
        <w:tc>
          <w:tcPr>
            <w:tcW w:w="964" w:type="dxa"/>
            <w:tcBorders>
              <w:bottom w:val="nil"/>
            </w:tcBorders>
          </w:tcPr>
          <w:p w:rsidR="00000000" w:rsidRDefault="00000000">
            <w:pPr>
              <w:tabs>
                <w:tab w:val="clear" w:pos="567"/>
                <w:tab w:val="clear" w:pos="1701"/>
                <w:tab w:val="clear" w:pos="2268"/>
                <w:tab w:val="clear" w:pos="6237"/>
                <w:tab w:val="left" w:pos="680"/>
                <w:tab w:val="left" w:pos="1134"/>
              </w:tabs>
              <w:spacing w:before="20" w:after="20" w:line="221" w:lineRule="auto"/>
              <w:ind w:right="113"/>
              <w:jc w:val="right"/>
              <w:rPr>
                <w:sz w:val="20"/>
              </w:rPr>
            </w:pPr>
            <w:r>
              <w:rPr>
                <w:sz w:val="20"/>
              </w:rPr>
              <w:t>0,24</w:t>
            </w:r>
          </w:p>
        </w:tc>
        <w:tc>
          <w:tcPr>
            <w:tcW w:w="964" w:type="dxa"/>
            <w:tcBorders>
              <w:bottom w:val="nil"/>
            </w:tcBorders>
          </w:tcPr>
          <w:p w:rsidR="00000000" w:rsidRDefault="00000000">
            <w:pPr>
              <w:tabs>
                <w:tab w:val="clear" w:pos="567"/>
                <w:tab w:val="clear" w:pos="1701"/>
                <w:tab w:val="clear" w:pos="2268"/>
                <w:tab w:val="clear" w:pos="6237"/>
                <w:tab w:val="left" w:pos="680"/>
                <w:tab w:val="left" w:pos="1134"/>
              </w:tabs>
              <w:spacing w:before="20" w:after="20" w:line="221" w:lineRule="auto"/>
              <w:ind w:right="113"/>
              <w:jc w:val="right"/>
              <w:rPr>
                <w:sz w:val="20"/>
              </w:rPr>
            </w:pPr>
            <w:r>
              <w:rPr>
                <w:sz w:val="20"/>
              </w:rPr>
              <w:t>0,29</w:t>
            </w:r>
          </w:p>
        </w:tc>
        <w:tc>
          <w:tcPr>
            <w:tcW w:w="964" w:type="dxa"/>
            <w:tcBorders>
              <w:bottom w:val="nil"/>
            </w:tcBorders>
          </w:tcPr>
          <w:p w:rsidR="00000000" w:rsidRDefault="00000000">
            <w:pPr>
              <w:tabs>
                <w:tab w:val="clear" w:pos="567"/>
                <w:tab w:val="clear" w:pos="1701"/>
                <w:tab w:val="clear" w:pos="2268"/>
                <w:tab w:val="clear" w:pos="6237"/>
                <w:tab w:val="left" w:pos="680"/>
                <w:tab w:val="left" w:pos="1134"/>
              </w:tabs>
              <w:spacing w:before="20" w:after="20" w:line="221" w:lineRule="auto"/>
              <w:ind w:right="113"/>
              <w:jc w:val="right"/>
              <w:rPr>
                <w:sz w:val="20"/>
              </w:rPr>
            </w:pPr>
            <w:r>
              <w:rPr>
                <w:sz w:val="20"/>
              </w:rPr>
              <w:t>0,33</w:t>
            </w:r>
          </w:p>
        </w:tc>
        <w:tc>
          <w:tcPr>
            <w:tcW w:w="964" w:type="dxa"/>
            <w:tcBorders>
              <w:bottom w:val="nil"/>
            </w:tcBorders>
          </w:tcPr>
          <w:p w:rsidR="00000000" w:rsidRDefault="00000000">
            <w:pPr>
              <w:tabs>
                <w:tab w:val="clear" w:pos="567"/>
                <w:tab w:val="clear" w:pos="1701"/>
                <w:tab w:val="clear" w:pos="2268"/>
                <w:tab w:val="clear" w:pos="6237"/>
                <w:tab w:val="left" w:pos="680"/>
                <w:tab w:val="left" w:pos="1134"/>
              </w:tabs>
              <w:spacing w:before="20" w:after="20" w:line="221" w:lineRule="auto"/>
              <w:ind w:right="113"/>
              <w:jc w:val="right"/>
              <w:rPr>
                <w:sz w:val="20"/>
              </w:rPr>
            </w:pPr>
            <w:r>
              <w:rPr>
                <w:sz w:val="20"/>
              </w:rPr>
              <w:t>0,28</w:t>
            </w:r>
          </w:p>
        </w:tc>
        <w:tc>
          <w:tcPr>
            <w:tcW w:w="964" w:type="dxa"/>
            <w:tcBorders>
              <w:bottom w:val="nil"/>
            </w:tcBorders>
          </w:tcPr>
          <w:p w:rsidR="00000000" w:rsidRDefault="00000000">
            <w:pPr>
              <w:tabs>
                <w:tab w:val="clear" w:pos="567"/>
                <w:tab w:val="clear" w:pos="1701"/>
                <w:tab w:val="clear" w:pos="2268"/>
                <w:tab w:val="clear" w:pos="6237"/>
                <w:tab w:val="left" w:pos="680"/>
                <w:tab w:val="left" w:pos="1134"/>
              </w:tabs>
              <w:spacing w:before="20" w:after="20" w:line="221" w:lineRule="auto"/>
              <w:ind w:right="113"/>
              <w:jc w:val="right"/>
              <w:rPr>
                <w:sz w:val="20"/>
              </w:rPr>
            </w:pPr>
            <w:r>
              <w:rPr>
                <w:sz w:val="20"/>
              </w:rPr>
              <w:t>0,31</w:t>
            </w:r>
          </w:p>
        </w:tc>
        <w:tc>
          <w:tcPr>
            <w:tcW w:w="964" w:type="dxa"/>
            <w:tcBorders>
              <w:bottom w:val="nil"/>
            </w:tcBorders>
          </w:tcPr>
          <w:p w:rsidR="00000000" w:rsidRDefault="00000000">
            <w:pPr>
              <w:tabs>
                <w:tab w:val="clear" w:pos="567"/>
                <w:tab w:val="clear" w:pos="1701"/>
                <w:tab w:val="clear" w:pos="2268"/>
                <w:tab w:val="clear" w:pos="6237"/>
                <w:tab w:val="left" w:pos="680"/>
                <w:tab w:val="left" w:pos="1134"/>
              </w:tabs>
              <w:spacing w:before="20" w:after="20" w:line="221" w:lineRule="auto"/>
              <w:ind w:right="113"/>
              <w:jc w:val="right"/>
              <w:rPr>
                <w:sz w:val="20"/>
              </w:rPr>
            </w:pPr>
            <w:r>
              <w:rPr>
                <w:sz w:val="20"/>
              </w:rPr>
              <w:t>0,30</w:t>
            </w:r>
          </w:p>
        </w:tc>
        <w:tc>
          <w:tcPr>
            <w:tcW w:w="964" w:type="dxa"/>
            <w:tcBorders>
              <w:bottom w:val="nil"/>
            </w:tcBorders>
          </w:tcPr>
          <w:p w:rsidR="00000000" w:rsidRDefault="00000000">
            <w:pPr>
              <w:tabs>
                <w:tab w:val="clear" w:pos="567"/>
                <w:tab w:val="clear" w:pos="1701"/>
                <w:tab w:val="clear" w:pos="2268"/>
                <w:tab w:val="clear" w:pos="6237"/>
                <w:tab w:val="left" w:pos="680"/>
                <w:tab w:val="left" w:pos="1134"/>
              </w:tabs>
              <w:spacing w:before="20" w:after="20" w:line="221" w:lineRule="auto"/>
              <w:ind w:right="113"/>
              <w:jc w:val="right"/>
              <w:rPr>
                <w:sz w:val="20"/>
              </w:rPr>
            </w:pPr>
            <w:r>
              <w:rPr>
                <w:sz w:val="20"/>
              </w:rPr>
              <w:t>0,25</w:t>
            </w:r>
          </w:p>
        </w:tc>
        <w:tc>
          <w:tcPr>
            <w:tcW w:w="964" w:type="dxa"/>
            <w:tcBorders>
              <w:bottom w:val="nil"/>
            </w:tcBorders>
          </w:tcPr>
          <w:p w:rsidR="00000000" w:rsidRDefault="00000000">
            <w:pPr>
              <w:tabs>
                <w:tab w:val="clear" w:pos="567"/>
                <w:tab w:val="clear" w:pos="1701"/>
                <w:tab w:val="clear" w:pos="2268"/>
                <w:tab w:val="clear" w:pos="6237"/>
                <w:tab w:val="left" w:pos="680"/>
                <w:tab w:val="left" w:pos="1134"/>
              </w:tabs>
              <w:spacing w:before="20" w:after="20" w:line="221" w:lineRule="auto"/>
              <w:ind w:right="113"/>
              <w:jc w:val="right"/>
              <w:rPr>
                <w:sz w:val="20"/>
              </w:rPr>
            </w:pPr>
            <w:r>
              <w:rPr>
                <w:sz w:val="20"/>
              </w:rPr>
              <w:t>0,23</w:t>
            </w:r>
          </w:p>
        </w:tc>
      </w:tr>
      <w:tr w:rsidR="00000000">
        <w:tblPrEx>
          <w:tblCellMar>
            <w:top w:w="0" w:type="dxa"/>
            <w:bottom w:w="0" w:type="dxa"/>
          </w:tblCellMar>
        </w:tblPrEx>
        <w:tc>
          <w:tcPr>
            <w:tcW w:w="1928"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20" w:after="20" w:line="221" w:lineRule="auto"/>
              <w:rPr>
                <w:sz w:val="20"/>
              </w:rPr>
            </w:pPr>
            <w:r>
              <w:rPr>
                <w:sz w:val="20"/>
              </w:rPr>
              <w:t>Прочие серьезные травмы</w:t>
            </w:r>
          </w:p>
        </w:tc>
        <w:tc>
          <w:tcPr>
            <w:tcW w:w="964"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20" w:after="20" w:line="221" w:lineRule="auto"/>
              <w:ind w:right="113"/>
              <w:jc w:val="right"/>
              <w:rPr>
                <w:sz w:val="20"/>
              </w:rPr>
            </w:pPr>
            <w:r>
              <w:rPr>
                <w:sz w:val="20"/>
              </w:rPr>
              <w:t>19,00</w:t>
            </w:r>
          </w:p>
        </w:tc>
        <w:tc>
          <w:tcPr>
            <w:tcW w:w="964"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20" w:after="20" w:line="221" w:lineRule="auto"/>
              <w:ind w:right="113"/>
              <w:jc w:val="right"/>
              <w:rPr>
                <w:sz w:val="20"/>
              </w:rPr>
            </w:pPr>
            <w:r>
              <w:rPr>
                <w:sz w:val="20"/>
              </w:rPr>
              <w:t>20,00</w:t>
            </w:r>
          </w:p>
        </w:tc>
        <w:tc>
          <w:tcPr>
            <w:tcW w:w="964"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20" w:after="20" w:line="221" w:lineRule="auto"/>
              <w:ind w:right="113"/>
              <w:jc w:val="right"/>
              <w:rPr>
                <w:sz w:val="20"/>
              </w:rPr>
            </w:pPr>
            <w:r>
              <w:rPr>
                <w:sz w:val="20"/>
              </w:rPr>
              <w:t>20,00</w:t>
            </w:r>
          </w:p>
        </w:tc>
        <w:tc>
          <w:tcPr>
            <w:tcW w:w="964"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20" w:after="20" w:line="221" w:lineRule="auto"/>
              <w:ind w:right="113"/>
              <w:jc w:val="right"/>
              <w:rPr>
                <w:sz w:val="20"/>
              </w:rPr>
            </w:pPr>
            <w:r>
              <w:rPr>
                <w:sz w:val="20"/>
              </w:rPr>
              <w:t>21,00</w:t>
            </w:r>
          </w:p>
        </w:tc>
        <w:tc>
          <w:tcPr>
            <w:tcW w:w="964"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20" w:after="20" w:line="221" w:lineRule="auto"/>
              <w:ind w:right="113"/>
              <w:jc w:val="right"/>
              <w:rPr>
                <w:sz w:val="20"/>
              </w:rPr>
            </w:pPr>
            <w:r>
              <w:rPr>
                <w:sz w:val="20"/>
              </w:rPr>
              <w:t>21,00</w:t>
            </w:r>
          </w:p>
        </w:tc>
        <w:tc>
          <w:tcPr>
            <w:tcW w:w="964"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20" w:after="20" w:line="221" w:lineRule="auto"/>
              <w:ind w:right="113"/>
              <w:jc w:val="right"/>
              <w:rPr>
                <w:sz w:val="20"/>
              </w:rPr>
            </w:pPr>
            <w:r>
              <w:rPr>
                <w:sz w:val="20"/>
              </w:rPr>
              <w:t>21,00</w:t>
            </w:r>
          </w:p>
        </w:tc>
        <w:tc>
          <w:tcPr>
            <w:tcW w:w="964"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20" w:after="20" w:line="221" w:lineRule="auto"/>
              <w:ind w:right="113"/>
              <w:jc w:val="right"/>
              <w:rPr>
                <w:sz w:val="20"/>
              </w:rPr>
            </w:pPr>
            <w:r>
              <w:rPr>
                <w:sz w:val="20"/>
              </w:rPr>
              <w:t>20,00</w:t>
            </w:r>
          </w:p>
        </w:tc>
        <w:tc>
          <w:tcPr>
            <w:tcW w:w="964"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20" w:after="20" w:line="221" w:lineRule="auto"/>
              <w:ind w:right="113"/>
              <w:jc w:val="right"/>
              <w:rPr>
                <w:sz w:val="20"/>
              </w:rPr>
            </w:pPr>
            <w:r>
              <w:rPr>
                <w:sz w:val="20"/>
              </w:rPr>
              <w:t>18,00</w:t>
            </w:r>
          </w:p>
        </w:tc>
      </w:tr>
      <w:tr w:rsidR="00000000">
        <w:tblPrEx>
          <w:tblCellMar>
            <w:top w:w="0" w:type="dxa"/>
            <w:bottom w:w="0" w:type="dxa"/>
          </w:tblCellMar>
        </w:tblPrEx>
        <w:tc>
          <w:tcPr>
            <w:tcW w:w="1928"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20" w:after="20" w:line="221" w:lineRule="auto"/>
              <w:rPr>
                <w:sz w:val="20"/>
              </w:rPr>
            </w:pPr>
            <w:r>
              <w:rPr>
                <w:sz w:val="20"/>
              </w:rPr>
              <w:t>Прочие травмы</w:t>
            </w:r>
          </w:p>
        </w:tc>
        <w:tc>
          <w:tcPr>
            <w:tcW w:w="964"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20" w:after="20" w:line="221" w:lineRule="auto"/>
              <w:ind w:right="113"/>
              <w:jc w:val="right"/>
              <w:rPr>
                <w:sz w:val="20"/>
              </w:rPr>
            </w:pPr>
            <w:r>
              <w:rPr>
                <w:sz w:val="20"/>
              </w:rPr>
              <w:t>153,00</w:t>
            </w:r>
          </w:p>
        </w:tc>
        <w:tc>
          <w:tcPr>
            <w:tcW w:w="964"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20" w:after="20" w:line="221" w:lineRule="auto"/>
              <w:ind w:right="113"/>
              <w:jc w:val="right"/>
              <w:rPr>
                <w:sz w:val="20"/>
              </w:rPr>
            </w:pPr>
            <w:r>
              <w:rPr>
                <w:sz w:val="20"/>
              </w:rPr>
              <w:t>167,00</w:t>
            </w:r>
          </w:p>
        </w:tc>
        <w:tc>
          <w:tcPr>
            <w:tcW w:w="964"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20" w:after="20" w:line="221" w:lineRule="auto"/>
              <w:ind w:right="113"/>
              <w:jc w:val="right"/>
              <w:rPr>
                <w:sz w:val="20"/>
              </w:rPr>
            </w:pPr>
            <w:r>
              <w:rPr>
                <w:sz w:val="20"/>
              </w:rPr>
              <w:t>172,00</w:t>
            </w:r>
          </w:p>
        </w:tc>
        <w:tc>
          <w:tcPr>
            <w:tcW w:w="964"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20" w:after="20" w:line="221" w:lineRule="auto"/>
              <w:ind w:right="113"/>
              <w:jc w:val="right"/>
              <w:rPr>
                <w:sz w:val="20"/>
              </w:rPr>
            </w:pPr>
            <w:r>
              <w:rPr>
                <w:sz w:val="20"/>
              </w:rPr>
              <w:t>173,00</w:t>
            </w:r>
          </w:p>
        </w:tc>
        <w:tc>
          <w:tcPr>
            <w:tcW w:w="964"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20" w:after="20" w:line="221" w:lineRule="auto"/>
              <w:ind w:right="113"/>
              <w:jc w:val="right"/>
              <w:rPr>
                <w:sz w:val="20"/>
              </w:rPr>
            </w:pPr>
            <w:r>
              <w:rPr>
                <w:sz w:val="20"/>
              </w:rPr>
              <w:t>171,00</w:t>
            </w:r>
          </w:p>
        </w:tc>
        <w:tc>
          <w:tcPr>
            <w:tcW w:w="964"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20" w:after="20" w:line="221" w:lineRule="auto"/>
              <w:ind w:right="113"/>
              <w:jc w:val="right"/>
              <w:rPr>
                <w:sz w:val="20"/>
              </w:rPr>
            </w:pPr>
            <w:r>
              <w:rPr>
                <w:sz w:val="20"/>
              </w:rPr>
              <w:t>165,00</w:t>
            </w:r>
          </w:p>
        </w:tc>
        <w:tc>
          <w:tcPr>
            <w:tcW w:w="964"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20" w:after="20" w:line="221" w:lineRule="auto"/>
              <w:ind w:right="113"/>
              <w:jc w:val="right"/>
              <w:rPr>
                <w:sz w:val="20"/>
              </w:rPr>
            </w:pPr>
            <w:r>
              <w:rPr>
                <w:sz w:val="20"/>
              </w:rPr>
              <w:t>161,00</w:t>
            </w:r>
          </w:p>
        </w:tc>
        <w:tc>
          <w:tcPr>
            <w:tcW w:w="964"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20" w:after="20" w:line="221" w:lineRule="auto"/>
              <w:ind w:right="113"/>
              <w:jc w:val="right"/>
              <w:rPr>
                <w:sz w:val="20"/>
              </w:rPr>
            </w:pPr>
            <w:r>
              <w:rPr>
                <w:sz w:val="20"/>
              </w:rPr>
              <w:t>144,00</w:t>
            </w:r>
          </w:p>
        </w:tc>
      </w:tr>
      <w:tr w:rsidR="00000000">
        <w:tblPrEx>
          <w:tblCellMar>
            <w:top w:w="0" w:type="dxa"/>
            <w:bottom w:w="0" w:type="dxa"/>
          </w:tblCellMar>
        </w:tblPrEx>
        <w:tc>
          <w:tcPr>
            <w:tcW w:w="1928" w:type="dxa"/>
            <w:tcBorders>
              <w:top w:val="nil"/>
            </w:tcBorders>
          </w:tcPr>
          <w:p w:rsidR="00000000" w:rsidRDefault="00000000">
            <w:pPr>
              <w:tabs>
                <w:tab w:val="clear" w:pos="567"/>
                <w:tab w:val="clear" w:pos="1701"/>
                <w:tab w:val="clear" w:pos="2268"/>
                <w:tab w:val="clear" w:pos="6237"/>
                <w:tab w:val="left" w:pos="680"/>
                <w:tab w:val="left" w:pos="1134"/>
              </w:tabs>
              <w:spacing w:before="20" w:after="20" w:line="221" w:lineRule="auto"/>
              <w:rPr>
                <w:sz w:val="20"/>
              </w:rPr>
            </w:pPr>
            <w:r>
              <w:rPr>
                <w:sz w:val="20"/>
              </w:rPr>
              <w:t>Всего</w:t>
            </w:r>
          </w:p>
        </w:tc>
        <w:tc>
          <w:tcPr>
            <w:tcW w:w="964" w:type="dxa"/>
            <w:tcBorders>
              <w:top w:val="nil"/>
            </w:tcBorders>
          </w:tcPr>
          <w:p w:rsidR="00000000" w:rsidRDefault="00000000">
            <w:pPr>
              <w:tabs>
                <w:tab w:val="clear" w:pos="567"/>
                <w:tab w:val="clear" w:pos="1701"/>
                <w:tab w:val="clear" w:pos="2268"/>
                <w:tab w:val="clear" w:pos="6237"/>
                <w:tab w:val="left" w:pos="680"/>
                <w:tab w:val="left" w:pos="1134"/>
              </w:tabs>
              <w:spacing w:before="20" w:after="20" w:line="221" w:lineRule="auto"/>
              <w:ind w:right="113"/>
              <w:jc w:val="right"/>
              <w:rPr>
                <w:sz w:val="20"/>
              </w:rPr>
            </w:pPr>
            <w:r>
              <w:rPr>
                <w:sz w:val="20"/>
              </w:rPr>
              <w:t>172,00</w:t>
            </w:r>
          </w:p>
        </w:tc>
        <w:tc>
          <w:tcPr>
            <w:tcW w:w="964" w:type="dxa"/>
            <w:tcBorders>
              <w:top w:val="nil"/>
            </w:tcBorders>
          </w:tcPr>
          <w:p w:rsidR="00000000" w:rsidRDefault="00000000">
            <w:pPr>
              <w:tabs>
                <w:tab w:val="clear" w:pos="567"/>
                <w:tab w:val="clear" w:pos="1701"/>
                <w:tab w:val="clear" w:pos="2268"/>
                <w:tab w:val="clear" w:pos="6237"/>
                <w:tab w:val="left" w:pos="680"/>
                <w:tab w:val="left" w:pos="1134"/>
              </w:tabs>
              <w:spacing w:before="20" w:after="20" w:line="221" w:lineRule="auto"/>
              <w:ind w:right="113"/>
              <w:jc w:val="right"/>
              <w:rPr>
                <w:sz w:val="20"/>
              </w:rPr>
            </w:pPr>
            <w:r>
              <w:rPr>
                <w:sz w:val="20"/>
              </w:rPr>
              <w:t>187,00</w:t>
            </w:r>
          </w:p>
        </w:tc>
        <w:tc>
          <w:tcPr>
            <w:tcW w:w="964" w:type="dxa"/>
            <w:tcBorders>
              <w:top w:val="nil"/>
            </w:tcBorders>
          </w:tcPr>
          <w:p w:rsidR="00000000" w:rsidRDefault="00000000">
            <w:pPr>
              <w:tabs>
                <w:tab w:val="clear" w:pos="567"/>
                <w:tab w:val="clear" w:pos="1701"/>
                <w:tab w:val="clear" w:pos="2268"/>
                <w:tab w:val="clear" w:pos="6237"/>
                <w:tab w:val="left" w:pos="680"/>
                <w:tab w:val="left" w:pos="1134"/>
              </w:tabs>
              <w:spacing w:before="20" w:after="20" w:line="221" w:lineRule="auto"/>
              <w:ind w:right="113"/>
              <w:jc w:val="right"/>
              <w:rPr>
                <w:sz w:val="20"/>
              </w:rPr>
            </w:pPr>
            <w:r>
              <w:rPr>
                <w:sz w:val="20"/>
              </w:rPr>
              <w:t>193,00</w:t>
            </w:r>
          </w:p>
        </w:tc>
        <w:tc>
          <w:tcPr>
            <w:tcW w:w="964" w:type="dxa"/>
            <w:tcBorders>
              <w:top w:val="nil"/>
            </w:tcBorders>
          </w:tcPr>
          <w:p w:rsidR="00000000" w:rsidRDefault="00000000">
            <w:pPr>
              <w:tabs>
                <w:tab w:val="clear" w:pos="567"/>
                <w:tab w:val="clear" w:pos="1701"/>
                <w:tab w:val="clear" w:pos="2268"/>
                <w:tab w:val="clear" w:pos="6237"/>
                <w:tab w:val="left" w:pos="680"/>
                <w:tab w:val="left" w:pos="1134"/>
              </w:tabs>
              <w:spacing w:before="20" w:after="20" w:line="221" w:lineRule="auto"/>
              <w:ind w:right="113"/>
              <w:jc w:val="right"/>
              <w:rPr>
                <w:sz w:val="20"/>
              </w:rPr>
            </w:pPr>
            <w:r>
              <w:rPr>
                <w:sz w:val="20"/>
              </w:rPr>
              <w:t>194,00</w:t>
            </w:r>
          </w:p>
        </w:tc>
        <w:tc>
          <w:tcPr>
            <w:tcW w:w="964" w:type="dxa"/>
            <w:tcBorders>
              <w:top w:val="nil"/>
            </w:tcBorders>
          </w:tcPr>
          <w:p w:rsidR="00000000" w:rsidRDefault="00000000">
            <w:pPr>
              <w:tabs>
                <w:tab w:val="clear" w:pos="567"/>
                <w:tab w:val="clear" w:pos="1701"/>
                <w:tab w:val="clear" w:pos="2268"/>
                <w:tab w:val="clear" w:pos="6237"/>
                <w:tab w:val="left" w:pos="680"/>
                <w:tab w:val="left" w:pos="1134"/>
              </w:tabs>
              <w:spacing w:before="20" w:after="20" w:line="221" w:lineRule="auto"/>
              <w:ind w:right="113"/>
              <w:jc w:val="right"/>
              <w:rPr>
                <w:sz w:val="20"/>
              </w:rPr>
            </w:pPr>
            <w:r>
              <w:rPr>
                <w:sz w:val="20"/>
              </w:rPr>
              <w:t>192,00</w:t>
            </w:r>
          </w:p>
        </w:tc>
        <w:tc>
          <w:tcPr>
            <w:tcW w:w="964" w:type="dxa"/>
            <w:tcBorders>
              <w:top w:val="nil"/>
            </w:tcBorders>
          </w:tcPr>
          <w:p w:rsidR="00000000" w:rsidRDefault="00000000">
            <w:pPr>
              <w:tabs>
                <w:tab w:val="clear" w:pos="567"/>
                <w:tab w:val="clear" w:pos="1701"/>
                <w:tab w:val="clear" w:pos="2268"/>
                <w:tab w:val="clear" w:pos="6237"/>
                <w:tab w:val="left" w:pos="680"/>
                <w:tab w:val="left" w:pos="1134"/>
              </w:tabs>
              <w:spacing w:before="20" w:after="20" w:line="221" w:lineRule="auto"/>
              <w:ind w:right="113"/>
              <w:jc w:val="right"/>
              <w:rPr>
                <w:sz w:val="20"/>
              </w:rPr>
            </w:pPr>
            <w:r>
              <w:rPr>
                <w:sz w:val="20"/>
              </w:rPr>
              <w:t>185,00</w:t>
            </w:r>
          </w:p>
        </w:tc>
        <w:tc>
          <w:tcPr>
            <w:tcW w:w="964" w:type="dxa"/>
            <w:tcBorders>
              <w:top w:val="nil"/>
            </w:tcBorders>
          </w:tcPr>
          <w:p w:rsidR="00000000" w:rsidRDefault="00000000">
            <w:pPr>
              <w:tabs>
                <w:tab w:val="clear" w:pos="567"/>
                <w:tab w:val="clear" w:pos="1701"/>
                <w:tab w:val="clear" w:pos="2268"/>
                <w:tab w:val="clear" w:pos="6237"/>
                <w:tab w:val="left" w:pos="680"/>
                <w:tab w:val="left" w:pos="1134"/>
              </w:tabs>
              <w:spacing w:before="20" w:after="20" w:line="221" w:lineRule="auto"/>
              <w:ind w:right="113"/>
              <w:jc w:val="right"/>
              <w:rPr>
                <w:sz w:val="20"/>
              </w:rPr>
            </w:pPr>
            <w:r>
              <w:rPr>
                <w:sz w:val="20"/>
              </w:rPr>
              <w:t>182,00</w:t>
            </w:r>
          </w:p>
        </w:tc>
        <w:tc>
          <w:tcPr>
            <w:tcW w:w="964" w:type="dxa"/>
            <w:tcBorders>
              <w:top w:val="nil"/>
            </w:tcBorders>
          </w:tcPr>
          <w:p w:rsidR="00000000" w:rsidRDefault="00000000">
            <w:pPr>
              <w:tabs>
                <w:tab w:val="clear" w:pos="567"/>
                <w:tab w:val="clear" w:pos="1701"/>
                <w:tab w:val="clear" w:pos="2268"/>
                <w:tab w:val="clear" w:pos="6237"/>
                <w:tab w:val="left" w:pos="680"/>
                <w:tab w:val="left" w:pos="1134"/>
              </w:tabs>
              <w:spacing w:before="20" w:after="20" w:line="221" w:lineRule="auto"/>
              <w:ind w:right="113"/>
              <w:jc w:val="right"/>
              <w:rPr>
                <w:sz w:val="20"/>
              </w:rPr>
            </w:pPr>
            <w:r>
              <w:rPr>
                <w:sz w:val="20"/>
              </w:rPr>
              <w:t>163,00</w:t>
            </w:r>
          </w:p>
        </w:tc>
      </w:tr>
    </w:tbl>
    <w:p w:rsidR="00000000" w:rsidRDefault="00000000">
      <w:pPr>
        <w:tabs>
          <w:tab w:val="clear" w:pos="567"/>
          <w:tab w:val="clear" w:pos="1701"/>
          <w:tab w:val="clear" w:pos="2268"/>
          <w:tab w:val="clear" w:pos="6237"/>
          <w:tab w:val="left" w:pos="680"/>
          <w:tab w:val="left" w:pos="1134"/>
        </w:tabs>
        <w:spacing w:before="120" w:line="221" w:lineRule="auto"/>
        <w:rPr>
          <w:sz w:val="23"/>
        </w:rPr>
      </w:pPr>
      <w:r>
        <w:rPr>
          <w:sz w:val="23"/>
          <w:u w:val="single"/>
        </w:rPr>
        <w:t>Источник</w:t>
      </w:r>
      <w:r>
        <w:rPr>
          <w:sz w:val="23"/>
        </w:rPr>
        <w:t>: Национальное управление по соблюдению условий труда и Статистическое управление Дании (Безопасность и гигиена труда, данные по состоянию на 31 мая 2001 года).</w:t>
      </w:r>
    </w:p>
    <w:p w:rsidR="00000000" w:rsidRDefault="00000000">
      <w:pPr>
        <w:tabs>
          <w:tab w:val="clear" w:pos="567"/>
          <w:tab w:val="clear" w:pos="1701"/>
          <w:tab w:val="clear" w:pos="2268"/>
          <w:tab w:val="clear" w:pos="6237"/>
          <w:tab w:val="left" w:pos="680"/>
          <w:tab w:val="left" w:pos="1134"/>
        </w:tabs>
        <w:spacing w:line="221" w:lineRule="auto"/>
        <w:rPr>
          <w:sz w:val="23"/>
        </w:rPr>
      </w:pPr>
    </w:p>
    <w:p w:rsidR="00000000" w:rsidRDefault="00000000">
      <w:pPr>
        <w:tabs>
          <w:tab w:val="clear" w:pos="567"/>
          <w:tab w:val="clear" w:pos="1701"/>
          <w:tab w:val="clear" w:pos="2268"/>
          <w:tab w:val="clear" w:pos="6237"/>
          <w:tab w:val="left" w:pos="680"/>
          <w:tab w:val="left" w:pos="1134"/>
        </w:tabs>
        <w:spacing w:line="221" w:lineRule="auto"/>
        <w:jc w:val="center"/>
        <w:rPr>
          <w:b/>
          <w:bCs/>
          <w:sz w:val="23"/>
        </w:rPr>
      </w:pPr>
      <w:r>
        <w:rPr>
          <w:b/>
          <w:bCs/>
          <w:sz w:val="23"/>
        </w:rPr>
        <w:t>Таблица 9</w:t>
      </w:r>
    </w:p>
    <w:p w:rsidR="00000000" w:rsidRDefault="00000000">
      <w:pPr>
        <w:tabs>
          <w:tab w:val="clear" w:pos="567"/>
          <w:tab w:val="clear" w:pos="1701"/>
          <w:tab w:val="clear" w:pos="2268"/>
          <w:tab w:val="clear" w:pos="6237"/>
          <w:tab w:val="left" w:pos="680"/>
          <w:tab w:val="left" w:pos="1134"/>
        </w:tabs>
        <w:spacing w:line="221" w:lineRule="auto"/>
        <w:jc w:val="center"/>
        <w:rPr>
          <w:b/>
          <w:bCs/>
          <w:sz w:val="23"/>
        </w:rPr>
      </w:pPr>
    </w:p>
    <w:p w:rsidR="00000000" w:rsidRDefault="00000000">
      <w:pPr>
        <w:tabs>
          <w:tab w:val="clear" w:pos="567"/>
          <w:tab w:val="clear" w:pos="1701"/>
          <w:tab w:val="clear" w:pos="2268"/>
          <w:tab w:val="clear" w:pos="6237"/>
          <w:tab w:val="left" w:pos="680"/>
          <w:tab w:val="left" w:pos="1134"/>
        </w:tabs>
        <w:spacing w:line="221" w:lineRule="auto"/>
        <w:jc w:val="center"/>
        <w:rPr>
          <w:b/>
          <w:bCs/>
          <w:sz w:val="23"/>
        </w:rPr>
      </w:pPr>
      <w:r>
        <w:rPr>
          <w:b/>
          <w:bCs/>
          <w:sz w:val="23"/>
        </w:rPr>
        <w:t xml:space="preserve">Количество зарегистрированных профессиональных заболеваний, 1993–2000 годы, </w:t>
      </w:r>
      <w:r>
        <w:rPr>
          <w:b/>
          <w:bCs/>
          <w:sz w:val="23"/>
        </w:rPr>
        <w:br/>
        <w:t>с разбивкой по основному виду диагноза (10 групп) и году регистрации</w:t>
      </w:r>
    </w:p>
    <w:p w:rsidR="00000000" w:rsidRDefault="00000000">
      <w:pPr>
        <w:tabs>
          <w:tab w:val="clear" w:pos="567"/>
          <w:tab w:val="clear" w:pos="1701"/>
          <w:tab w:val="clear" w:pos="2268"/>
          <w:tab w:val="clear" w:pos="6237"/>
          <w:tab w:val="left" w:pos="680"/>
          <w:tab w:val="left" w:pos="1134"/>
        </w:tabs>
        <w:spacing w:line="221" w:lineRule="auto"/>
        <w:jc w:val="center"/>
        <w:rPr>
          <w:b/>
          <w:bCs/>
          <w:sz w:val="23"/>
        </w:rPr>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928"/>
        <w:gridCol w:w="964"/>
        <w:gridCol w:w="964"/>
        <w:gridCol w:w="964"/>
        <w:gridCol w:w="964"/>
        <w:gridCol w:w="964"/>
        <w:gridCol w:w="964"/>
        <w:gridCol w:w="964"/>
        <w:gridCol w:w="964"/>
      </w:tblGrid>
      <w:tr w:rsidR="00000000">
        <w:tblPrEx>
          <w:tblCellMar>
            <w:top w:w="0" w:type="dxa"/>
            <w:bottom w:w="0" w:type="dxa"/>
          </w:tblCellMar>
        </w:tblPrEx>
        <w:trPr>
          <w:cantSplit/>
        </w:trPr>
        <w:tc>
          <w:tcPr>
            <w:tcW w:w="1928" w:type="dxa"/>
            <w:vMerge w:val="restart"/>
          </w:tcPr>
          <w:p w:rsidR="00000000" w:rsidRDefault="00000000">
            <w:pPr>
              <w:tabs>
                <w:tab w:val="clear" w:pos="567"/>
                <w:tab w:val="clear" w:pos="1701"/>
                <w:tab w:val="clear" w:pos="2268"/>
                <w:tab w:val="clear" w:pos="6237"/>
                <w:tab w:val="left" w:pos="284"/>
                <w:tab w:val="left" w:pos="680"/>
                <w:tab w:val="left" w:pos="1134"/>
              </w:tabs>
              <w:spacing w:before="20" w:after="20" w:line="221" w:lineRule="auto"/>
              <w:jc w:val="center"/>
              <w:rPr>
                <w:b/>
                <w:bCs/>
                <w:sz w:val="20"/>
              </w:rPr>
            </w:pPr>
            <w:r>
              <w:rPr>
                <w:b/>
                <w:bCs/>
                <w:sz w:val="20"/>
              </w:rPr>
              <w:t>Основной вид диагноза</w:t>
            </w:r>
            <w:r>
              <w:rPr>
                <w:b/>
                <w:bCs/>
                <w:sz w:val="20"/>
              </w:rPr>
              <w:br/>
              <w:t>(10 групп)</w:t>
            </w:r>
          </w:p>
        </w:tc>
        <w:tc>
          <w:tcPr>
            <w:tcW w:w="7712" w:type="dxa"/>
            <w:gridSpan w:val="8"/>
          </w:tcPr>
          <w:p w:rsidR="00000000" w:rsidRDefault="00000000">
            <w:pPr>
              <w:pStyle w:val="Heading8"/>
              <w:tabs>
                <w:tab w:val="clear" w:pos="567"/>
                <w:tab w:val="clear" w:pos="1701"/>
                <w:tab w:val="clear" w:pos="2268"/>
                <w:tab w:val="clear" w:pos="6237"/>
                <w:tab w:val="left" w:pos="284"/>
                <w:tab w:val="left" w:pos="680"/>
                <w:tab w:val="left" w:pos="1134"/>
              </w:tabs>
              <w:spacing w:before="20" w:after="20" w:line="221" w:lineRule="auto"/>
            </w:pPr>
            <w:r>
              <w:t>Год регистрации</w:t>
            </w:r>
          </w:p>
        </w:tc>
      </w:tr>
      <w:tr w:rsidR="00000000">
        <w:tblPrEx>
          <w:tblCellMar>
            <w:top w:w="0" w:type="dxa"/>
            <w:bottom w:w="0" w:type="dxa"/>
          </w:tblCellMar>
        </w:tblPrEx>
        <w:trPr>
          <w:cantSplit/>
        </w:trPr>
        <w:tc>
          <w:tcPr>
            <w:tcW w:w="1928" w:type="dxa"/>
            <w:vMerge/>
          </w:tcPr>
          <w:p w:rsidR="00000000" w:rsidRDefault="00000000">
            <w:pPr>
              <w:tabs>
                <w:tab w:val="clear" w:pos="567"/>
                <w:tab w:val="clear" w:pos="1701"/>
                <w:tab w:val="clear" w:pos="2268"/>
                <w:tab w:val="clear" w:pos="6237"/>
                <w:tab w:val="left" w:pos="284"/>
                <w:tab w:val="left" w:pos="680"/>
                <w:tab w:val="left" w:pos="1134"/>
              </w:tabs>
              <w:spacing w:before="20" w:after="20" w:line="221" w:lineRule="auto"/>
              <w:rPr>
                <w:b/>
                <w:bCs/>
                <w:sz w:val="20"/>
              </w:rPr>
            </w:pPr>
          </w:p>
        </w:tc>
        <w:tc>
          <w:tcPr>
            <w:tcW w:w="964" w:type="dxa"/>
          </w:tcPr>
          <w:p w:rsidR="00000000" w:rsidRDefault="00000000">
            <w:pPr>
              <w:tabs>
                <w:tab w:val="clear" w:pos="567"/>
                <w:tab w:val="clear" w:pos="1701"/>
                <w:tab w:val="clear" w:pos="2268"/>
                <w:tab w:val="clear" w:pos="6237"/>
                <w:tab w:val="left" w:pos="284"/>
                <w:tab w:val="left" w:pos="680"/>
                <w:tab w:val="left" w:pos="1134"/>
              </w:tabs>
              <w:spacing w:before="20" w:after="20" w:line="221" w:lineRule="auto"/>
              <w:jc w:val="center"/>
              <w:rPr>
                <w:sz w:val="20"/>
              </w:rPr>
            </w:pPr>
            <w:r>
              <w:rPr>
                <w:sz w:val="20"/>
              </w:rPr>
              <w:t>1993</w:t>
            </w:r>
          </w:p>
        </w:tc>
        <w:tc>
          <w:tcPr>
            <w:tcW w:w="964" w:type="dxa"/>
          </w:tcPr>
          <w:p w:rsidR="00000000" w:rsidRDefault="00000000">
            <w:pPr>
              <w:tabs>
                <w:tab w:val="clear" w:pos="567"/>
                <w:tab w:val="clear" w:pos="1701"/>
                <w:tab w:val="clear" w:pos="2268"/>
                <w:tab w:val="clear" w:pos="6237"/>
                <w:tab w:val="left" w:pos="284"/>
                <w:tab w:val="left" w:pos="680"/>
                <w:tab w:val="left" w:pos="1134"/>
              </w:tabs>
              <w:spacing w:before="20" w:after="20" w:line="221" w:lineRule="auto"/>
              <w:jc w:val="center"/>
              <w:rPr>
                <w:sz w:val="20"/>
              </w:rPr>
            </w:pPr>
            <w:r>
              <w:rPr>
                <w:sz w:val="20"/>
              </w:rPr>
              <w:t>1994</w:t>
            </w:r>
          </w:p>
        </w:tc>
        <w:tc>
          <w:tcPr>
            <w:tcW w:w="964" w:type="dxa"/>
          </w:tcPr>
          <w:p w:rsidR="00000000" w:rsidRDefault="00000000">
            <w:pPr>
              <w:tabs>
                <w:tab w:val="clear" w:pos="567"/>
                <w:tab w:val="clear" w:pos="1701"/>
                <w:tab w:val="clear" w:pos="2268"/>
                <w:tab w:val="clear" w:pos="6237"/>
                <w:tab w:val="left" w:pos="284"/>
                <w:tab w:val="left" w:pos="680"/>
                <w:tab w:val="left" w:pos="1134"/>
              </w:tabs>
              <w:spacing w:before="20" w:after="20" w:line="221" w:lineRule="auto"/>
              <w:jc w:val="center"/>
              <w:rPr>
                <w:sz w:val="20"/>
              </w:rPr>
            </w:pPr>
            <w:r>
              <w:rPr>
                <w:sz w:val="20"/>
              </w:rPr>
              <w:t>1995</w:t>
            </w:r>
          </w:p>
        </w:tc>
        <w:tc>
          <w:tcPr>
            <w:tcW w:w="964" w:type="dxa"/>
          </w:tcPr>
          <w:p w:rsidR="00000000" w:rsidRDefault="00000000">
            <w:pPr>
              <w:tabs>
                <w:tab w:val="clear" w:pos="567"/>
                <w:tab w:val="clear" w:pos="1701"/>
                <w:tab w:val="clear" w:pos="2268"/>
                <w:tab w:val="clear" w:pos="6237"/>
                <w:tab w:val="left" w:pos="284"/>
                <w:tab w:val="left" w:pos="680"/>
                <w:tab w:val="left" w:pos="1134"/>
              </w:tabs>
              <w:spacing w:before="20" w:after="20" w:line="221" w:lineRule="auto"/>
              <w:jc w:val="center"/>
              <w:rPr>
                <w:sz w:val="20"/>
              </w:rPr>
            </w:pPr>
            <w:r>
              <w:rPr>
                <w:sz w:val="20"/>
              </w:rPr>
              <w:t>1996</w:t>
            </w:r>
          </w:p>
        </w:tc>
        <w:tc>
          <w:tcPr>
            <w:tcW w:w="964" w:type="dxa"/>
          </w:tcPr>
          <w:p w:rsidR="00000000" w:rsidRDefault="00000000">
            <w:pPr>
              <w:tabs>
                <w:tab w:val="clear" w:pos="567"/>
                <w:tab w:val="clear" w:pos="1701"/>
                <w:tab w:val="clear" w:pos="2268"/>
                <w:tab w:val="clear" w:pos="6237"/>
                <w:tab w:val="left" w:pos="284"/>
                <w:tab w:val="left" w:pos="680"/>
                <w:tab w:val="left" w:pos="1134"/>
              </w:tabs>
              <w:spacing w:before="20" w:after="20" w:line="221" w:lineRule="auto"/>
              <w:jc w:val="center"/>
              <w:rPr>
                <w:sz w:val="20"/>
              </w:rPr>
            </w:pPr>
            <w:r>
              <w:rPr>
                <w:sz w:val="20"/>
              </w:rPr>
              <w:t>1997</w:t>
            </w:r>
          </w:p>
        </w:tc>
        <w:tc>
          <w:tcPr>
            <w:tcW w:w="964" w:type="dxa"/>
          </w:tcPr>
          <w:p w:rsidR="00000000" w:rsidRDefault="00000000">
            <w:pPr>
              <w:tabs>
                <w:tab w:val="clear" w:pos="567"/>
                <w:tab w:val="clear" w:pos="1701"/>
                <w:tab w:val="clear" w:pos="2268"/>
                <w:tab w:val="clear" w:pos="6237"/>
                <w:tab w:val="left" w:pos="284"/>
                <w:tab w:val="left" w:pos="680"/>
                <w:tab w:val="left" w:pos="1134"/>
              </w:tabs>
              <w:spacing w:before="20" w:after="20" w:line="221" w:lineRule="auto"/>
              <w:jc w:val="center"/>
              <w:rPr>
                <w:sz w:val="20"/>
              </w:rPr>
            </w:pPr>
            <w:r>
              <w:rPr>
                <w:sz w:val="20"/>
              </w:rPr>
              <w:t>1998</w:t>
            </w:r>
          </w:p>
        </w:tc>
        <w:tc>
          <w:tcPr>
            <w:tcW w:w="964" w:type="dxa"/>
          </w:tcPr>
          <w:p w:rsidR="00000000" w:rsidRDefault="00000000">
            <w:pPr>
              <w:tabs>
                <w:tab w:val="clear" w:pos="567"/>
                <w:tab w:val="clear" w:pos="1701"/>
                <w:tab w:val="clear" w:pos="2268"/>
                <w:tab w:val="clear" w:pos="6237"/>
                <w:tab w:val="left" w:pos="284"/>
                <w:tab w:val="left" w:pos="680"/>
                <w:tab w:val="left" w:pos="1134"/>
              </w:tabs>
              <w:spacing w:before="20" w:after="20" w:line="221" w:lineRule="auto"/>
              <w:jc w:val="center"/>
              <w:rPr>
                <w:sz w:val="20"/>
              </w:rPr>
            </w:pPr>
            <w:r>
              <w:rPr>
                <w:sz w:val="20"/>
              </w:rPr>
              <w:t>1999</w:t>
            </w:r>
          </w:p>
        </w:tc>
        <w:tc>
          <w:tcPr>
            <w:tcW w:w="964" w:type="dxa"/>
          </w:tcPr>
          <w:p w:rsidR="00000000" w:rsidRDefault="00000000">
            <w:pPr>
              <w:tabs>
                <w:tab w:val="clear" w:pos="567"/>
                <w:tab w:val="clear" w:pos="1701"/>
                <w:tab w:val="clear" w:pos="2268"/>
                <w:tab w:val="clear" w:pos="6237"/>
                <w:tab w:val="left" w:pos="284"/>
                <w:tab w:val="left" w:pos="680"/>
                <w:tab w:val="left" w:pos="1134"/>
              </w:tabs>
              <w:spacing w:before="20" w:after="20" w:line="221" w:lineRule="auto"/>
              <w:jc w:val="center"/>
              <w:rPr>
                <w:sz w:val="20"/>
              </w:rPr>
            </w:pPr>
            <w:r>
              <w:rPr>
                <w:sz w:val="20"/>
              </w:rPr>
              <w:t>2000</w:t>
            </w:r>
          </w:p>
        </w:tc>
      </w:tr>
      <w:tr w:rsidR="00000000">
        <w:tblPrEx>
          <w:tblCellMar>
            <w:top w:w="0" w:type="dxa"/>
            <w:bottom w:w="0" w:type="dxa"/>
          </w:tblCellMar>
        </w:tblPrEx>
        <w:trPr>
          <w:cantSplit/>
        </w:trPr>
        <w:tc>
          <w:tcPr>
            <w:tcW w:w="1928" w:type="dxa"/>
            <w:vMerge/>
            <w:tcBorders>
              <w:bottom w:val="single" w:sz="4" w:space="0" w:color="auto"/>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rPr>
                <w:b/>
                <w:bCs/>
                <w:sz w:val="20"/>
              </w:rPr>
            </w:pPr>
          </w:p>
        </w:tc>
        <w:tc>
          <w:tcPr>
            <w:tcW w:w="964" w:type="dxa"/>
            <w:tcBorders>
              <w:bottom w:val="single" w:sz="4" w:space="0" w:color="auto"/>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jc w:val="center"/>
              <w:rPr>
                <w:sz w:val="20"/>
              </w:rPr>
            </w:pPr>
          </w:p>
        </w:tc>
        <w:tc>
          <w:tcPr>
            <w:tcW w:w="964" w:type="dxa"/>
            <w:tcBorders>
              <w:bottom w:val="single" w:sz="4" w:space="0" w:color="auto"/>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jc w:val="center"/>
              <w:rPr>
                <w:sz w:val="20"/>
              </w:rPr>
            </w:pPr>
          </w:p>
        </w:tc>
        <w:tc>
          <w:tcPr>
            <w:tcW w:w="964" w:type="dxa"/>
            <w:tcBorders>
              <w:bottom w:val="single" w:sz="4" w:space="0" w:color="auto"/>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jc w:val="center"/>
              <w:rPr>
                <w:sz w:val="20"/>
              </w:rPr>
            </w:pPr>
          </w:p>
        </w:tc>
        <w:tc>
          <w:tcPr>
            <w:tcW w:w="964" w:type="dxa"/>
            <w:tcBorders>
              <w:bottom w:val="single" w:sz="4" w:space="0" w:color="auto"/>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jc w:val="center"/>
              <w:rPr>
                <w:sz w:val="20"/>
              </w:rPr>
            </w:pPr>
          </w:p>
        </w:tc>
        <w:tc>
          <w:tcPr>
            <w:tcW w:w="964" w:type="dxa"/>
            <w:tcBorders>
              <w:bottom w:val="single" w:sz="4" w:space="0" w:color="auto"/>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jc w:val="center"/>
              <w:rPr>
                <w:sz w:val="20"/>
              </w:rPr>
            </w:pPr>
          </w:p>
        </w:tc>
        <w:tc>
          <w:tcPr>
            <w:tcW w:w="964" w:type="dxa"/>
            <w:tcBorders>
              <w:bottom w:val="single" w:sz="4" w:space="0" w:color="auto"/>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jc w:val="center"/>
              <w:rPr>
                <w:sz w:val="20"/>
              </w:rPr>
            </w:pPr>
          </w:p>
        </w:tc>
        <w:tc>
          <w:tcPr>
            <w:tcW w:w="964" w:type="dxa"/>
            <w:tcBorders>
              <w:bottom w:val="single" w:sz="4" w:space="0" w:color="auto"/>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jc w:val="center"/>
              <w:rPr>
                <w:sz w:val="20"/>
              </w:rPr>
            </w:pPr>
          </w:p>
        </w:tc>
        <w:tc>
          <w:tcPr>
            <w:tcW w:w="964" w:type="dxa"/>
            <w:tcBorders>
              <w:bottom w:val="single" w:sz="4" w:space="0" w:color="auto"/>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jc w:val="center"/>
              <w:rPr>
                <w:sz w:val="20"/>
              </w:rPr>
            </w:pPr>
          </w:p>
        </w:tc>
      </w:tr>
      <w:tr w:rsidR="00000000">
        <w:tblPrEx>
          <w:tblCellMar>
            <w:top w:w="0" w:type="dxa"/>
            <w:bottom w:w="0" w:type="dxa"/>
          </w:tblCellMar>
        </w:tblPrEx>
        <w:tc>
          <w:tcPr>
            <w:tcW w:w="1928" w:type="dxa"/>
            <w:tcBorders>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rPr>
                <w:sz w:val="20"/>
              </w:rPr>
            </w:pPr>
            <w:r>
              <w:rPr>
                <w:sz w:val="20"/>
              </w:rPr>
              <w:t>01</w:t>
            </w:r>
            <w:r>
              <w:rPr>
                <w:sz w:val="20"/>
              </w:rPr>
              <w:tab/>
              <w:t>Раковые заболевания</w:t>
            </w:r>
          </w:p>
        </w:tc>
        <w:tc>
          <w:tcPr>
            <w:tcW w:w="964" w:type="dxa"/>
            <w:tcBorders>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223</w:t>
            </w:r>
          </w:p>
        </w:tc>
        <w:tc>
          <w:tcPr>
            <w:tcW w:w="964" w:type="dxa"/>
            <w:tcBorders>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215</w:t>
            </w:r>
          </w:p>
        </w:tc>
        <w:tc>
          <w:tcPr>
            <w:tcW w:w="964" w:type="dxa"/>
            <w:tcBorders>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182</w:t>
            </w:r>
          </w:p>
        </w:tc>
        <w:tc>
          <w:tcPr>
            <w:tcW w:w="964" w:type="dxa"/>
            <w:tcBorders>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171</w:t>
            </w:r>
          </w:p>
        </w:tc>
        <w:tc>
          <w:tcPr>
            <w:tcW w:w="964" w:type="dxa"/>
            <w:tcBorders>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209</w:t>
            </w:r>
          </w:p>
        </w:tc>
        <w:tc>
          <w:tcPr>
            <w:tcW w:w="964" w:type="dxa"/>
            <w:tcBorders>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203</w:t>
            </w:r>
          </w:p>
        </w:tc>
        <w:tc>
          <w:tcPr>
            <w:tcW w:w="964" w:type="dxa"/>
            <w:tcBorders>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189</w:t>
            </w:r>
          </w:p>
        </w:tc>
        <w:tc>
          <w:tcPr>
            <w:tcW w:w="964" w:type="dxa"/>
            <w:tcBorders>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201</w:t>
            </w:r>
          </w:p>
        </w:tc>
      </w:tr>
      <w:tr w:rsidR="00000000">
        <w:tblPrEx>
          <w:tblCellMar>
            <w:top w:w="0" w:type="dxa"/>
            <w:bottom w:w="0" w:type="dxa"/>
          </w:tblCellMar>
        </w:tblPrEx>
        <w:tc>
          <w:tcPr>
            <w:tcW w:w="1928"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rPr>
                <w:sz w:val="20"/>
              </w:rPr>
            </w:pPr>
            <w:r>
              <w:rPr>
                <w:sz w:val="20"/>
              </w:rPr>
              <w:t xml:space="preserve">02 </w:t>
            </w:r>
            <w:r>
              <w:rPr>
                <w:sz w:val="20"/>
              </w:rPr>
              <w:tab/>
              <w:t xml:space="preserve">Психические расстройства </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562</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804</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809</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711</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679</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644</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688</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778</w:t>
            </w:r>
          </w:p>
        </w:tc>
      </w:tr>
      <w:tr w:rsidR="00000000">
        <w:tblPrEx>
          <w:tblCellMar>
            <w:top w:w="0" w:type="dxa"/>
            <w:bottom w:w="0" w:type="dxa"/>
          </w:tblCellMar>
        </w:tblPrEx>
        <w:tc>
          <w:tcPr>
            <w:tcW w:w="1928"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rPr>
                <w:sz w:val="20"/>
              </w:rPr>
            </w:pPr>
            <w:r>
              <w:rPr>
                <w:sz w:val="20"/>
              </w:rPr>
              <w:t>03</w:t>
            </w:r>
            <w:r>
              <w:rPr>
                <w:sz w:val="20"/>
              </w:rPr>
              <w:tab/>
              <w:t xml:space="preserve">Нарушения центральной нервной системы </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488</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430</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385</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342</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275</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234</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201</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193</w:t>
            </w:r>
          </w:p>
        </w:tc>
      </w:tr>
      <w:tr w:rsidR="00000000">
        <w:tblPrEx>
          <w:tblCellMar>
            <w:top w:w="0" w:type="dxa"/>
            <w:bottom w:w="0" w:type="dxa"/>
          </w:tblCellMar>
        </w:tblPrEx>
        <w:tc>
          <w:tcPr>
            <w:tcW w:w="1928"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rPr>
                <w:sz w:val="20"/>
              </w:rPr>
            </w:pPr>
            <w:r>
              <w:rPr>
                <w:sz w:val="20"/>
              </w:rPr>
              <w:t xml:space="preserve">04 </w:t>
            </w:r>
            <w:r>
              <w:rPr>
                <w:sz w:val="20"/>
              </w:rPr>
              <w:tab/>
              <w:t xml:space="preserve">Нарушения слуха </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2 541</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2 477</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2 085</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2 735</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2 357</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2 025</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1 724</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1 446</w:t>
            </w:r>
          </w:p>
        </w:tc>
      </w:tr>
      <w:tr w:rsidR="00000000">
        <w:tblPrEx>
          <w:tblCellMar>
            <w:top w:w="0" w:type="dxa"/>
            <w:bottom w:w="0" w:type="dxa"/>
          </w:tblCellMar>
        </w:tblPrEx>
        <w:tc>
          <w:tcPr>
            <w:tcW w:w="1928"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rPr>
                <w:sz w:val="20"/>
              </w:rPr>
            </w:pPr>
            <w:r>
              <w:rPr>
                <w:sz w:val="20"/>
              </w:rPr>
              <w:t xml:space="preserve">05 </w:t>
            </w:r>
            <w:r>
              <w:rPr>
                <w:sz w:val="20"/>
              </w:rPr>
              <w:tab/>
              <w:t xml:space="preserve">Неаллергические заболевания дыхательного тракта </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691</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613</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584</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511</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548</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454</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370</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397</w:t>
            </w:r>
          </w:p>
        </w:tc>
      </w:tr>
      <w:tr w:rsidR="00000000">
        <w:tblPrEx>
          <w:tblCellMar>
            <w:top w:w="0" w:type="dxa"/>
            <w:bottom w:w="0" w:type="dxa"/>
          </w:tblCellMar>
        </w:tblPrEx>
        <w:tc>
          <w:tcPr>
            <w:tcW w:w="1928"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rPr>
                <w:sz w:val="20"/>
              </w:rPr>
            </w:pPr>
            <w:r>
              <w:rPr>
                <w:sz w:val="20"/>
              </w:rPr>
              <w:t xml:space="preserve">06 </w:t>
            </w:r>
            <w:r>
              <w:rPr>
                <w:sz w:val="20"/>
              </w:rPr>
              <w:tab/>
              <w:t>Аллергические заболевания дыхательного тракта</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416</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448</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446</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418</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391</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381</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343</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344</w:t>
            </w:r>
          </w:p>
        </w:tc>
      </w:tr>
      <w:tr w:rsidR="00000000">
        <w:tblPrEx>
          <w:tblCellMar>
            <w:top w:w="0" w:type="dxa"/>
            <w:bottom w:w="0" w:type="dxa"/>
          </w:tblCellMar>
        </w:tblPrEx>
        <w:tc>
          <w:tcPr>
            <w:tcW w:w="1928"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rPr>
                <w:sz w:val="20"/>
              </w:rPr>
            </w:pPr>
            <w:r>
              <w:rPr>
                <w:sz w:val="20"/>
              </w:rPr>
              <w:t xml:space="preserve">07 </w:t>
            </w:r>
            <w:r>
              <w:rPr>
                <w:sz w:val="20"/>
              </w:rPr>
              <w:tab/>
              <w:t xml:space="preserve">Кожные заболевания </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1 860</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1 660</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1 686</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1 668</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1 566</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1 544</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1 344</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1 367</w:t>
            </w:r>
          </w:p>
        </w:tc>
      </w:tr>
      <w:tr w:rsidR="00000000">
        <w:tblPrEx>
          <w:tblCellMar>
            <w:top w:w="0" w:type="dxa"/>
            <w:bottom w:w="0" w:type="dxa"/>
          </w:tblCellMar>
        </w:tblPrEx>
        <w:tc>
          <w:tcPr>
            <w:tcW w:w="1928"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rPr>
                <w:sz w:val="20"/>
              </w:rPr>
            </w:pPr>
            <w:r>
              <w:rPr>
                <w:sz w:val="20"/>
              </w:rPr>
              <w:t xml:space="preserve">08 </w:t>
            </w:r>
            <w:r>
              <w:rPr>
                <w:sz w:val="20"/>
              </w:rPr>
              <w:tab/>
              <w:t xml:space="preserve">Заболевания моторно-двигательной системы </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7 267</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7 277</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7 044</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7 513</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8 027</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7 365</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6 375</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6 478</w:t>
            </w:r>
          </w:p>
        </w:tc>
      </w:tr>
      <w:tr w:rsidR="00000000">
        <w:tblPrEx>
          <w:tblCellMar>
            <w:top w:w="0" w:type="dxa"/>
            <w:bottom w:w="0" w:type="dxa"/>
          </w:tblCellMar>
        </w:tblPrEx>
        <w:tc>
          <w:tcPr>
            <w:tcW w:w="1928"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rPr>
                <w:sz w:val="20"/>
              </w:rPr>
            </w:pPr>
            <w:r>
              <w:rPr>
                <w:sz w:val="20"/>
              </w:rPr>
              <w:t xml:space="preserve">09 </w:t>
            </w:r>
            <w:r>
              <w:rPr>
                <w:sz w:val="20"/>
              </w:rPr>
              <w:tab/>
              <w:t xml:space="preserve">Недостаточно определенные заболевания </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753</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864</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1 011</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1 000</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946</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978</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830</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1 020</w:t>
            </w:r>
          </w:p>
        </w:tc>
      </w:tr>
      <w:tr w:rsidR="00000000">
        <w:tblPrEx>
          <w:tblCellMar>
            <w:top w:w="0" w:type="dxa"/>
            <w:bottom w:w="0" w:type="dxa"/>
          </w:tblCellMar>
        </w:tblPrEx>
        <w:tc>
          <w:tcPr>
            <w:tcW w:w="1928"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rPr>
                <w:sz w:val="20"/>
              </w:rPr>
            </w:pPr>
            <w:r>
              <w:rPr>
                <w:sz w:val="20"/>
              </w:rPr>
              <w:t xml:space="preserve">10 </w:t>
            </w:r>
            <w:r>
              <w:rPr>
                <w:sz w:val="20"/>
              </w:rPr>
              <w:tab/>
              <w:t xml:space="preserve">Прочие заболевания </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855</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848</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754</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690</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883</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628</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571</w:t>
            </w:r>
          </w:p>
        </w:tc>
        <w:tc>
          <w:tcPr>
            <w:tcW w:w="964" w:type="dxa"/>
            <w:tcBorders>
              <w:top w:val="nil"/>
              <w:bottom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633</w:t>
            </w:r>
          </w:p>
        </w:tc>
      </w:tr>
      <w:tr w:rsidR="00000000">
        <w:tblPrEx>
          <w:tblCellMar>
            <w:top w:w="0" w:type="dxa"/>
            <w:bottom w:w="0" w:type="dxa"/>
          </w:tblCellMar>
        </w:tblPrEx>
        <w:tc>
          <w:tcPr>
            <w:tcW w:w="1928" w:type="dxa"/>
            <w:tcBorders>
              <w:top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rPr>
                <w:sz w:val="20"/>
              </w:rPr>
            </w:pPr>
            <w:r>
              <w:rPr>
                <w:sz w:val="20"/>
              </w:rPr>
              <w:t>Всего</w:t>
            </w:r>
          </w:p>
        </w:tc>
        <w:tc>
          <w:tcPr>
            <w:tcW w:w="964" w:type="dxa"/>
            <w:tcBorders>
              <w:top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15 656</w:t>
            </w:r>
          </w:p>
        </w:tc>
        <w:tc>
          <w:tcPr>
            <w:tcW w:w="964" w:type="dxa"/>
            <w:tcBorders>
              <w:top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15 636</w:t>
            </w:r>
          </w:p>
        </w:tc>
        <w:tc>
          <w:tcPr>
            <w:tcW w:w="964" w:type="dxa"/>
            <w:tcBorders>
              <w:top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14 986</w:t>
            </w:r>
          </w:p>
        </w:tc>
        <w:tc>
          <w:tcPr>
            <w:tcW w:w="964" w:type="dxa"/>
            <w:tcBorders>
              <w:top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15 759</w:t>
            </w:r>
          </w:p>
        </w:tc>
        <w:tc>
          <w:tcPr>
            <w:tcW w:w="964" w:type="dxa"/>
            <w:tcBorders>
              <w:top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15 820</w:t>
            </w:r>
          </w:p>
        </w:tc>
        <w:tc>
          <w:tcPr>
            <w:tcW w:w="964" w:type="dxa"/>
            <w:tcBorders>
              <w:top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14 456</w:t>
            </w:r>
          </w:p>
        </w:tc>
        <w:tc>
          <w:tcPr>
            <w:tcW w:w="964" w:type="dxa"/>
            <w:tcBorders>
              <w:top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12 635</w:t>
            </w:r>
          </w:p>
        </w:tc>
        <w:tc>
          <w:tcPr>
            <w:tcW w:w="964" w:type="dxa"/>
            <w:tcBorders>
              <w:top w:val="nil"/>
            </w:tcBorders>
          </w:tcPr>
          <w:p w:rsidR="00000000" w:rsidRDefault="00000000">
            <w:pPr>
              <w:tabs>
                <w:tab w:val="clear" w:pos="567"/>
                <w:tab w:val="clear" w:pos="1701"/>
                <w:tab w:val="clear" w:pos="2268"/>
                <w:tab w:val="clear" w:pos="6237"/>
                <w:tab w:val="left" w:pos="284"/>
                <w:tab w:val="left" w:pos="680"/>
                <w:tab w:val="left" w:pos="1134"/>
              </w:tabs>
              <w:spacing w:before="20" w:after="20" w:line="221" w:lineRule="auto"/>
              <w:ind w:right="113"/>
              <w:jc w:val="right"/>
              <w:rPr>
                <w:sz w:val="20"/>
              </w:rPr>
            </w:pPr>
            <w:r>
              <w:rPr>
                <w:sz w:val="20"/>
              </w:rPr>
              <w:t>12 857</w:t>
            </w:r>
          </w:p>
        </w:tc>
      </w:tr>
    </w:tbl>
    <w:p w:rsidR="00000000" w:rsidRDefault="00000000">
      <w:pPr>
        <w:tabs>
          <w:tab w:val="clear" w:pos="567"/>
          <w:tab w:val="clear" w:pos="1701"/>
          <w:tab w:val="clear" w:pos="2268"/>
          <w:tab w:val="clear" w:pos="6237"/>
          <w:tab w:val="left" w:pos="680"/>
          <w:tab w:val="left" w:pos="1134"/>
        </w:tabs>
        <w:spacing w:before="120" w:line="221" w:lineRule="auto"/>
        <w:rPr>
          <w:sz w:val="23"/>
        </w:rPr>
      </w:pPr>
      <w:r>
        <w:rPr>
          <w:sz w:val="23"/>
          <w:u w:val="single"/>
        </w:rPr>
        <w:t>Источник</w:t>
      </w:r>
      <w:r>
        <w:rPr>
          <w:sz w:val="23"/>
        </w:rPr>
        <w:t>: Национальное управление по соблюдению условий труда (Безопасность и гигиена труда, данные по состоянию на 31 мая 2001 года).</w:t>
      </w: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br w:type="page"/>
        <w:t>Таблица 10</w:t>
      </w: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t>Количество лиц, работающих по найму с разбивкой по году</w:t>
      </w:r>
    </w:p>
    <w:p w:rsidR="00000000" w:rsidRDefault="00000000">
      <w:pPr>
        <w:tabs>
          <w:tab w:val="clear" w:pos="567"/>
          <w:tab w:val="clear" w:pos="1701"/>
          <w:tab w:val="clear" w:pos="2268"/>
          <w:tab w:val="clear" w:pos="6237"/>
          <w:tab w:val="left" w:pos="680"/>
          <w:tab w:val="left" w:pos="1134"/>
        </w:tabs>
        <w:spacing w:line="240" w:lineRule="auto"/>
        <w:rPr>
          <w:b/>
          <w:bCs/>
          <w:sz w:val="23"/>
        </w:rPr>
      </w:pPr>
    </w:p>
    <w:tbl>
      <w:tblPr>
        <w:tblW w:w="9072" w:type="dxa"/>
        <w:jc w:val="cente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134"/>
        <w:gridCol w:w="1134"/>
        <w:gridCol w:w="1134"/>
        <w:gridCol w:w="1134"/>
        <w:gridCol w:w="1134"/>
        <w:gridCol w:w="1134"/>
        <w:gridCol w:w="1134"/>
        <w:gridCol w:w="1134"/>
      </w:tblGrid>
      <w:tr w:rsidR="00000000">
        <w:tblPrEx>
          <w:tblCellMar>
            <w:top w:w="0" w:type="dxa"/>
            <w:bottom w:w="0" w:type="dxa"/>
          </w:tblCellMar>
        </w:tblPrEx>
        <w:trPr>
          <w:cantSplit/>
          <w:jc w:val="center"/>
        </w:trPr>
        <w:tc>
          <w:tcPr>
            <w:tcW w:w="9072" w:type="dxa"/>
            <w:gridSpan w:val="8"/>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b/>
                <w:bCs/>
                <w:sz w:val="20"/>
              </w:rPr>
              <w:t>Год</w:t>
            </w:r>
          </w:p>
        </w:tc>
      </w:tr>
      <w:tr w:rsidR="00000000">
        <w:tblPrEx>
          <w:tblCellMar>
            <w:top w:w="0" w:type="dxa"/>
            <w:bottom w:w="0" w:type="dxa"/>
          </w:tblCellMar>
        </w:tblPrEx>
        <w:trPr>
          <w:jc w:val="center"/>
        </w:trPr>
        <w:tc>
          <w:tcPr>
            <w:tcW w:w="113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1993</w:t>
            </w:r>
          </w:p>
        </w:tc>
        <w:tc>
          <w:tcPr>
            <w:tcW w:w="113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1994</w:t>
            </w:r>
          </w:p>
        </w:tc>
        <w:tc>
          <w:tcPr>
            <w:tcW w:w="113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1995</w:t>
            </w:r>
          </w:p>
        </w:tc>
        <w:tc>
          <w:tcPr>
            <w:tcW w:w="113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1996</w:t>
            </w:r>
          </w:p>
        </w:tc>
        <w:tc>
          <w:tcPr>
            <w:tcW w:w="113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1997</w:t>
            </w:r>
          </w:p>
        </w:tc>
        <w:tc>
          <w:tcPr>
            <w:tcW w:w="113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1998</w:t>
            </w:r>
          </w:p>
        </w:tc>
        <w:tc>
          <w:tcPr>
            <w:tcW w:w="113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1999</w:t>
            </w:r>
          </w:p>
        </w:tc>
        <w:tc>
          <w:tcPr>
            <w:tcW w:w="113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2000</w:t>
            </w:r>
          </w:p>
        </w:tc>
      </w:tr>
      <w:tr w:rsidR="00000000">
        <w:tblPrEx>
          <w:tblCellMar>
            <w:top w:w="0" w:type="dxa"/>
            <w:bottom w:w="0" w:type="dxa"/>
          </w:tblCellMar>
        </w:tblPrEx>
        <w:trPr>
          <w:jc w:val="center"/>
        </w:trPr>
        <w:tc>
          <w:tcPr>
            <w:tcW w:w="113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2 609 859</w:t>
            </w:r>
          </w:p>
        </w:tc>
        <w:tc>
          <w:tcPr>
            <w:tcW w:w="113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2 584 866</w:t>
            </w:r>
          </w:p>
        </w:tc>
        <w:tc>
          <w:tcPr>
            <w:tcW w:w="113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2 617 096</w:t>
            </w:r>
          </w:p>
        </w:tc>
        <w:tc>
          <w:tcPr>
            <w:tcW w:w="113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2 648 808</w:t>
            </w:r>
          </w:p>
        </w:tc>
        <w:tc>
          <w:tcPr>
            <w:tcW w:w="113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2 669 658</w:t>
            </w:r>
          </w:p>
        </w:tc>
        <w:tc>
          <w:tcPr>
            <w:tcW w:w="113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2 699 314</w:t>
            </w:r>
          </w:p>
        </w:tc>
        <w:tc>
          <w:tcPr>
            <w:tcW w:w="113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2 742 240</w:t>
            </w:r>
          </w:p>
        </w:tc>
        <w:tc>
          <w:tcPr>
            <w:tcW w:w="113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2 759 308</w:t>
            </w:r>
          </w:p>
        </w:tc>
      </w:tr>
    </w:tbl>
    <w:p w:rsidR="00000000" w:rsidRDefault="00000000">
      <w:pPr>
        <w:tabs>
          <w:tab w:val="clear" w:pos="567"/>
          <w:tab w:val="clear" w:pos="1701"/>
          <w:tab w:val="clear" w:pos="2268"/>
          <w:tab w:val="clear" w:pos="6237"/>
          <w:tab w:val="left" w:pos="284"/>
          <w:tab w:val="left" w:pos="680"/>
          <w:tab w:val="left" w:pos="1134"/>
        </w:tabs>
        <w:spacing w:before="120" w:line="240" w:lineRule="auto"/>
        <w:ind w:left="284"/>
        <w:rPr>
          <w:sz w:val="23"/>
        </w:rPr>
      </w:pPr>
      <w:r>
        <w:rPr>
          <w:sz w:val="23"/>
          <w:u w:val="single"/>
        </w:rPr>
        <w:t>Источник</w:t>
      </w:r>
      <w:r>
        <w:rPr>
          <w:sz w:val="23"/>
        </w:rPr>
        <w:t>: Статистическое управление Дании, обзор, составленный на основе регистра рабочей силы.</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234" w:name="_Toc51496916"/>
      <w:bookmarkStart w:id="235" w:name="_Toc51497083"/>
      <w:bookmarkStart w:id="236" w:name="_Toc51497608"/>
      <w:r>
        <w:t>Пункт 41 руководящих принципов: Международная помощь</w:t>
      </w:r>
      <w:bookmarkEnd w:id="234"/>
      <w:bookmarkEnd w:id="235"/>
      <w:bookmarkEnd w:id="236"/>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266.</w:t>
      </w:r>
      <w:r>
        <w:rPr>
          <w:sz w:val="23"/>
        </w:rPr>
        <w:tab/>
        <w:t>Дания не получает международной помощи.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
      </w:pPr>
      <w:bookmarkStart w:id="237" w:name="_Toc51496917"/>
      <w:bookmarkStart w:id="238" w:name="_Toc51497084"/>
      <w:bookmarkStart w:id="239" w:name="_Toc51497609"/>
      <w:r>
        <w:t>Статья 11</w:t>
      </w:r>
      <w:bookmarkEnd w:id="237"/>
      <w:bookmarkEnd w:id="238"/>
      <w:bookmarkEnd w:id="239"/>
      <w:r>
        <w:t xml:space="preserve"> </w:t>
      </w:r>
    </w:p>
    <w:p w:rsidR="00000000" w:rsidRDefault="00000000">
      <w:pPr>
        <w:pStyle w:val="a"/>
      </w:pPr>
    </w:p>
    <w:p w:rsidR="00000000" w:rsidRDefault="00000000">
      <w:pPr>
        <w:pStyle w:val="a"/>
      </w:pPr>
      <w:bookmarkStart w:id="240" w:name="_Toc51496918"/>
      <w:bookmarkStart w:id="241" w:name="_Toc51497085"/>
      <w:bookmarkStart w:id="242" w:name="_Toc51497610"/>
      <w:r>
        <w:t>Право на достаточный жизненный уровень</w:t>
      </w:r>
      <w:bookmarkEnd w:id="240"/>
      <w:bookmarkEnd w:id="241"/>
      <w:bookmarkEnd w:id="242"/>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pStyle w:val="a0"/>
      </w:pPr>
      <w:bookmarkStart w:id="243" w:name="_Toc51496919"/>
      <w:bookmarkStart w:id="244" w:name="_Toc51497086"/>
      <w:bookmarkStart w:id="245" w:name="_Toc51497611"/>
      <w:r>
        <w:t>Пункт 42 а)  руководящих принципов: Текущий уровень жизни</w:t>
      </w:r>
      <w:bookmarkEnd w:id="243"/>
      <w:bookmarkEnd w:id="244"/>
      <w:bookmarkEnd w:id="245"/>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267.</w:t>
      </w:r>
      <w:r>
        <w:rPr>
          <w:sz w:val="23"/>
        </w:rPr>
        <w:tab/>
        <w:t>В 2000 году размер ВНП на душу населения составил 243 157 датских крон.</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t>Таблица 11</w:t>
      </w: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t>Среднегодовой реальный прирост ВНП на душу населения (в %)</w:t>
      </w:r>
    </w:p>
    <w:p w:rsidR="00000000" w:rsidRDefault="00000000">
      <w:pPr>
        <w:tabs>
          <w:tab w:val="clear" w:pos="567"/>
          <w:tab w:val="clear" w:pos="1701"/>
          <w:tab w:val="clear" w:pos="2268"/>
          <w:tab w:val="clear" w:pos="6237"/>
          <w:tab w:val="left" w:pos="680"/>
          <w:tab w:val="left" w:pos="1134"/>
        </w:tabs>
        <w:spacing w:line="240" w:lineRule="auto"/>
        <w:rPr>
          <w:b/>
          <w:bCs/>
          <w:sz w:val="23"/>
        </w:rPr>
      </w:pPr>
    </w:p>
    <w:tbl>
      <w:tblPr>
        <w:tblW w:w="0" w:type="auto"/>
        <w:jc w:val="cente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247"/>
        <w:gridCol w:w="1247"/>
        <w:gridCol w:w="1247"/>
        <w:gridCol w:w="1247"/>
        <w:gridCol w:w="1247"/>
        <w:gridCol w:w="1247"/>
      </w:tblGrid>
      <w:tr w:rsidR="00000000">
        <w:tblPrEx>
          <w:tblCellMar>
            <w:top w:w="0" w:type="dxa"/>
            <w:bottom w:w="0" w:type="dxa"/>
          </w:tblCellMar>
        </w:tblPrEx>
        <w:trPr>
          <w:jc w:val="center"/>
        </w:trPr>
        <w:tc>
          <w:tcPr>
            <w:tcW w:w="1247"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1995</w:t>
            </w:r>
          </w:p>
        </w:tc>
        <w:tc>
          <w:tcPr>
            <w:tcW w:w="1247"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1996</w:t>
            </w:r>
          </w:p>
        </w:tc>
        <w:tc>
          <w:tcPr>
            <w:tcW w:w="1247"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1997</w:t>
            </w:r>
          </w:p>
        </w:tc>
        <w:tc>
          <w:tcPr>
            <w:tcW w:w="1247"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1998</w:t>
            </w:r>
          </w:p>
        </w:tc>
        <w:tc>
          <w:tcPr>
            <w:tcW w:w="1247"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1999</w:t>
            </w:r>
          </w:p>
        </w:tc>
        <w:tc>
          <w:tcPr>
            <w:tcW w:w="1247"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2000</w:t>
            </w:r>
          </w:p>
        </w:tc>
      </w:tr>
      <w:tr w:rsidR="00000000">
        <w:tblPrEx>
          <w:tblCellMar>
            <w:top w:w="0" w:type="dxa"/>
            <w:bottom w:w="0" w:type="dxa"/>
          </w:tblCellMar>
        </w:tblPrEx>
        <w:trPr>
          <w:jc w:val="center"/>
        </w:trPr>
        <w:tc>
          <w:tcPr>
            <w:tcW w:w="1247"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2,8</w:t>
            </w:r>
          </w:p>
        </w:tc>
        <w:tc>
          <w:tcPr>
            <w:tcW w:w="1247"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2,4</w:t>
            </w:r>
          </w:p>
        </w:tc>
        <w:tc>
          <w:tcPr>
            <w:tcW w:w="1247"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2,7</w:t>
            </w:r>
          </w:p>
        </w:tc>
        <w:tc>
          <w:tcPr>
            <w:tcW w:w="1247"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2,9</w:t>
            </w:r>
          </w:p>
        </w:tc>
        <w:tc>
          <w:tcPr>
            <w:tcW w:w="1247"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2,9</w:t>
            </w:r>
          </w:p>
        </w:tc>
        <w:tc>
          <w:tcPr>
            <w:tcW w:w="1247"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2,2</w:t>
            </w:r>
          </w:p>
        </w:tc>
      </w:tr>
    </w:tbl>
    <w:p w:rsidR="00000000" w:rsidRDefault="00000000">
      <w:pPr>
        <w:tabs>
          <w:tab w:val="clear" w:pos="567"/>
          <w:tab w:val="clear" w:pos="1701"/>
          <w:tab w:val="clear" w:pos="2268"/>
          <w:tab w:val="clear" w:pos="6237"/>
          <w:tab w:val="left" w:pos="680"/>
          <w:tab w:val="left" w:pos="1134"/>
        </w:tabs>
        <w:spacing w:before="40" w:after="40"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268.</w:t>
      </w:r>
      <w:r>
        <w:rPr>
          <w:sz w:val="23"/>
        </w:rPr>
        <w:tab/>
        <w:t>В 2000 году средний уровень потребления на душу населения составил 117 684 датские кроны.</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t>Таблица 12</w:t>
      </w: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t>Среднегодовой реальный прирост частного потребления на душу населения (в %)</w:t>
      </w:r>
    </w:p>
    <w:p w:rsidR="00000000" w:rsidRDefault="00000000">
      <w:pPr>
        <w:tabs>
          <w:tab w:val="clear" w:pos="567"/>
          <w:tab w:val="clear" w:pos="1701"/>
          <w:tab w:val="clear" w:pos="2268"/>
          <w:tab w:val="clear" w:pos="6237"/>
          <w:tab w:val="left" w:pos="680"/>
          <w:tab w:val="left" w:pos="1134"/>
        </w:tabs>
        <w:spacing w:line="240" w:lineRule="auto"/>
        <w:rPr>
          <w:b/>
          <w:bCs/>
          <w:sz w:val="23"/>
        </w:rPr>
      </w:pPr>
    </w:p>
    <w:tbl>
      <w:tblPr>
        <w:tblW w:w="0" w:type="auto"/>
        <w:jc w:val="cente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247"/>
        <w:gridCol w:w="1247"/>
        <w:gridCol w:w="1247"/>
        <w:gridCol w:w="1247"/>
        <w:gridCol w:w="1247"/>
        <w:gridCol w:w="1247"/>
      </w:tblGrid>
      <w:tr w:rsidR="00000000">
        <w:tblPrEx>
          <w:tblCellMar>
            <w:top w:w="0" w:type="dxa"/>
            <w:bottom w:w="0" w:type="dxa"/>
          </w:tblCellMar>
        </w:tblPrEx>
        <w:trPr>
          <w:jc w:val="center"/>
        </w:trPr>
        <w:tc>
          <w:tcPr>
            <w:tcW w:w="1247"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1995</w:t>
            </w:r>
          </w:p>
        </w:tc>
        <w:tc>
          <w:tcPr>
            <w:tcW w:w="1247"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1996</w:t>
            </w:r>
          </w:p>
        </w:tc>
        <w:tc>
          <w:tcPr>
            <w:tcW w:w="1247"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1997</w:t>
            </w:r>
          </w:p>
        </w:tc>
        <w:tc>
          <w:tcPr>
            <w:tcW w:w="1247"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1998</w:t>
            </w:r>
          </w:p>
        </w:tc>
        <w:tc>
          <w:tcPr>
            <w:tcW w:w="1247"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1999</w:t>
            </w:r>
          </w:p>
        </w:tc>
        <w:tc>
          <w:tcPr>
            <w:tcW w:w="1247"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2000</w:t>
            </w:r>
          </w:p>
        </w:tc>
      </w:tr>
      <w:tr w:rsidR="00000000">
        <w:tblPrEx>
          <w:tblCellMar>
            <w:top w:w="0" w:type="dxa"/>
            <w:bottom w:w="0" w:type="dxa"/>
          </w:tblCellMar>
        </w:tblPrEx>
        <w:trPr>
          <w:jc w:val="center"/>
        </w:trPr>
        <w:tc>
          <w:tcPr>
            <w:tcW w:w="1247"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0,8</w:t>
            </w:r>
          </w:p>
        </w:tc>
        <w:tc>
          <w:tcPr>
            <w:tcW w:w="1247"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1,8</w:t>
            </w:r>
          </w:p>
        </w:tc>
        <w:tc>
          <w:tcPr>
            <w:tcW w:w="1247"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2,4</w:t>
            </w:r>
          </w:p>
        </w:tc>
        <w:tc>
          <w:tcPr>
            <w:tcW w:w="1247"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3,2</w:t>
            </w:r>
          </w:p>
        </w:tc>
        <w:tc>
          <w:tcPr>
            <w:tcW w:w="1247"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0,2</w:t>
            </w:r>
          </w:p>
        </w:tc>
        <w:tc>
          <w:tcPr>
            <w:tcW w:w="1247"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–0,5</w:t>
            </w:r>
          </w:p>
        </w:tc>
      </w:tr>
    </w:tbl>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269.</w:t>
      </w:r>
      <w:r>
        <w:rPr>
          <w:sz w:val="23"/>
        </w:rPr>
        <w:tab/>
        <w:t>С 1990 по 1999 год общий доход семьи возрос на 45% до налогообложения и на 44% после налогообложения.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16"/>
        <w:tabs>
          <w:tab w:val="clear" w:pos="567"/>
          <w:tab w:val="clear" w:pos="1701"/>
          <w:tab w:val="clear" w:pos="2268"/>
          <w:tab w:val="clear" w:pos="6237"/>
          <w:tab w:val="left" w:pos="680"/>
          <w:tab w:val="left" w:pos="1134"/>
        </w:tabs>
        <w:spacing w:line="240" w:lineRule="auto"/>
        <w:rPr>
          <w:b/>
          <w:bCs/>
          <w:sz w:val="23"/>
        </w:rPr>
      </w:pPr>
      <w:r>
        <w:rPr>
          <w:b/>
          <w:bCs/>
          <w:sz w:val="23"/>
        </w:rPr>
        <w:br w:type="page"/>
        <w:t>Таблица 13</w:t>
      </w:r>
    </w:p>
    <w:p w:rsidR="00000000" w:rsidRDefault="00000000">
      <w:pPr>
        <w:pStyle w:val="16"/>
        <w:tabs>
          <w:tab w:val="clear" w:pos="567"/>
          <w:tab w:val="clear" w:pos="1701"/>
          <w:tab w:val="clear" w:pos="2268"/>
          <w:tab w:val="clear" w:pos="6237"/>
          <w:tab w:val="left" w:pos="680"/>
          <w:tab w:val="left" w:pos="1134"/>
        </w:tabs>
        <w:spacing w:line="240" w:lineRule="auto"/>
        <w:rPr>
          <w:b/>
          <w:bCs/>
          <w:sz w:val="23"/>
        </w:rPr>
      </w:pPr>
    </w:p>
    <w:p w:rsidR="00000000" w:rsidRDefault="00000000">
      <w:pPr>
        <w:pStyle w:val="10"/>
        <w:tabs>
          <w:tab w:val="clear" w:pos="567"/>
          <w:tab w:val="clear" w:pos="1701"/>
          <w:tab w:val="clear" w:pos="2268"/>
          <w:tab w:val="clear" w:pos="6237"/>
          <w:tab w:val="left" w:pos="680"/>
          <w:tab w:val="left" w:pos="1134"/>
        </w:tabs>
        <w:spacing w:line="240" w:lineRule="auto"/>
        <w:rPr>
          <w:bCs/>
          <w:sz w:val="23"/>
        </w:rPr>
      </w:pPr>
      <w:r>
        <w:rPr>
          <w:bCs/>
          <w:sz w:val="23"/>
        </w:rPr>
        <w:t>Доход семьи в 1990, 1994 и 1999 годах</w:t>
      </w:r>
    </w:p>
    <w:p w:rsidR="00000000" w:rsidRDefault="00000000">
      <w:pPr>
        <w:pStyle w:val="16"/>
        <w:tabs>
          <w:tab w:val="clear" w:pos="567"/>
          <w:tab w:val="clear" w:pos="1701"/>
          <w:tab w:val="clear" w:pos="2268"/>
          <w:tab w:val="clear" w:pos="6237"/>
          <w:tab w:val="left" w:pos="680"/>
          <w:tab w:val="left" w:pos="1134"/>
        </w:tabs>
        <w:spacing w:line="240" w:lineRule="auto"/>
        <w:rPr>
          <w:sz w:val="23"/>
        </w:rPr>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814"/>
        <w:gridCol w:w="1304"/>
        <w:gridCol w:w="1304"/>
        <w:gridCol w:w="1304"/>
        <w:gridCol w:w="1304"/>
        <w:gridCol w:w="1304"/>
        <w:gridCol w:w="1304"/>
      </w:tblGrid>
      <w:tr w:rsidR="00000000">
        <w:tblPrEx>
          <w:tblCellMar>
            <w:top w:w="0" w:type="dxa"/>
            <w:bottom w:w="0" w:type="dxa"/>
          </w:tblCellMar>
        </w:tblPrEx>
        <w:trPr>
          <w:cantSplit/>
        </w:trPr>
        <w:tc>
          <w:tcPr>
            <w:tcW w:w="1814" w:type="dxa"/>
            <w:vMerge w:val="restart"/>
          </w:tcPr>
          <w:p w:rsidR="00000000" w:rsidRDefault="00000000">
            <w:pPr>
              <w:tabs>
                <w:tab w:val="clear" w:pos="567"/>
                <w:tab w:val="clear" w:pos="1701"/>
                <w:tab w:val="clear" w:pos="2268"/>
                <w:tab w:val="clear" w:pos="6237"/>
                <w:tab w:val="left" w:pos="680"/>
                <w:tab w:val="left" w:pos="1134"/>
              </w:tabs>
              <w:spacing w:before="40" w:after="40" w:line="240" w:lineRule="auto"/>
              <w:rPr>
                <w:sz w:val="20"/>
              </w:rPr>
            </w:pPr>
          </w:p>
        </w:tc>
        <w:tc>
          <w:tcPr>
            <w:tcW w:w="3912" w:type="dxa"/>
            <w:gridSpan w:val="3"/>
          </w:tcPr>
          <w:p w:rsidR="00000000" w:rsidRDefault="00000000">
            <w:pPr>
              <w:tabs>
                <w:tab w:val="clear" w:pos="567"/>
                <w:tab w:val="clear" w:pos="1701"/>
                <w:tab w:val="clear" w:pos="2268"/>
                <w:tab w:val="clear" w:pos="6237"/>
                <w:tab w:val="left" w:pos="680"/>
                <w:tab w:val="left" w:pos="1134"/>
              </w:tabs>
              <w:spacing w:before="40" w:after="40" w:line="240" w:lineRule="auto"/>
              <w:jc w:val="center"/>
              <w:rPr>
                <w:b/>
                <w:bCs/>
                <w:sz w:val="20"/>
              </w:rPr>
            </w:pPr>
            <w:r>
              <w:rPr>
                <w:b/>
                <w:bCs/>
                <w:sz w:val="20"/>
              </w:rPr>
              <w:t>До налогообложения</w:t>
            </w:r>
          </w:p>
        </w:tc>
        <w:tc>
          <w:tcPr>
            <w:tcW w:w="3912" w:type="dxa"/>
            <w:gridSpan w:val="3"/>
          </w:tcPr>
          <w:p w:rsidR="00000000" w:rsidRDefault="00000000">
            <w:pPr>
              <w:tabs>
                <w:tab w:val="clear" w:pos="567"/>
                <w:tab w:val="clear" w:pos="1701"/>
                <w:tab w:val="clear" w:pos="2268"/>
                <w:tab w:val="clear" w:pos="6237"/>
                <w:tab w:val="left" w:pos="680"/>
                <w:tab w:val="left" w:pos="1134"/>
              </w:tabs>
              <w:spacing w:before="40" w:after="40" w:line="240" w:lineRule="auto"/>
              <w:jc w:val="center"/>
              <w:rPr>
                <w:b/>
                <w:bCs/>
                <w:sz w:val="20"/>
              </w:rPr>
            </w:pPr>
            <w:r>
              <w:rPr>
                <w:b/>
                <w:bCs/>
                <w:sz w:val="20"/>
              </w:rPr>
              <w:t>После налогообложения</w:t>
            </w:r>
          </w:p>
        </w:tc>
      </w:tr>
      <w:tr w:rsidR="00000000">
        <w:tblPrEx>
          <w:tblCellMar>
            <w:top w:w="0" w:type="dxa"/>
            <w:bottom w:w="0" w:type="dxa"/>
          </w:tblCellMar>
        </w:tblPrEx>
        <w:trPr>
          <w:cantSplit/>
        </w:trPr>
        <w:tc>
          <w:tcPr>
            <w:tcW w:w="1814" w:type="dxa"/>
            <w:vMerge/>
          </w:tcPr>
          <w:p w:rsidR="00000000" w:rsidRDefault="00000000">
            <w:pPr>
              <w:tabs>
                <w:tab w:val="clear" w:pos="567"/>
                <w:tab w:val="clear" w:pos="1701"/>
                <w:tab w:val="clear" w:pos="2268"/>
                <w:tab w:val="clear" w:pos="6237"/>
                <w:tab w:val="left" w:pos="680"/>
                <w:tab w:val="left" w:pos="1134"/>
              </w:tabs>
              <w:spacing w:before="40" w:after="40" w:line="240" w:lineRule="auto"/>
              <w:rPr>
                <w:sz w:val="20"/>
              </w:rPr>
            </w:pP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1990</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1994</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1999</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1990</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1994</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1999</w:t>
            </w:r>
          </w:p>
        </w:tc>
      </w:tr>
      <w:tr w:rsidR="00000000">
        <w:tblPrEx>
          <w:tblCellMar>
            <w:top w:w="0" w:type="dxa"/>
            <w:bottom w:w="0" w:type="dxa"/>
          </w:tblCellMar>
        </w:tblPrEx>
        <w:trPr>
          <w:cantSplit/>
        </w:trPr>
        <w:tc>
          <w:tcPr>
            <w:tcW w:w="1814" w:type="dxa"/>
          </w:tcPr>
          <w:p w:rsidR="00000000" w:rsidRDefault="00000000">
            <w:pPr>
              <w:tabs>
                <w:tab w:val="clear" w:pos="567"/>
                <w:tab w:val="clear" w:pos="1701"/>
                <w:tab w:val="clear" w:pos="2268"/>
                <w:tab w:val="clear" w:pos="6237"/>
                <w:tab w:val="left" w:pos="680"/>
                <w:tab w:val="left" w:pos="1134"/>
              </w:tabs>
              <w:spacing w:before="40" w:after="40" w:line="240" w:lineRule="auto"/>
              <w:rPr>
                <w:sz w:val="20"/>
              </w:rPr>
            </w:pPr>
          </w:p>
        </w:tc>
        <w:tc>
          <w:tcPr>
            <w:tcW w:w="7824" w:type="dxa"/>
            <w:gridSpan w:val="6"/>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в тыс. датских крон</w:t>
            </w:r>
          </w:p>
        </w:tc>
      </w:tr>
      <w:tr w:rsidR="00000000">
        <w:tblPrEx>
          <w:tblCellMar>
            <w:top w:w="0" w:type="dxa"/>
            <w:bottom w:w="0" w:type="dxa"/>
          </w:tblCellMar>
        </w:tblPrEx>
        <w:tc>
          <w:tcPr>
            <w:tcW w:w="1814" w:type="dxa"/>
          </w:tcPr>
          <w:p w:rsidR="00000000" w:rsidRDefault="00000000">
            <w:pPr>
              <w:tabs>
                <w:tab w:val="clear" w:pos="567"/>
                <w:tab w:val="clear" w:pos="1701"/>
                <w:tab w:val="clear" w:pos="2268"/>
                <w:tab w:val="clear" w:pos="6237"/>
                <w:tab w:val="left" w:pos="680"/>
                <w:tab w:val="left" w:pos="1134"/>
              </w:tabs>
              <w:spacing w:before="40" w:after="40" w:line="240" w:lineRule="auto"/>
              <w:rPr>
                <w:sz w:val="20"/>
              </w:rPr>
            </w:pPr>
            <w:r>
              <w:rPr>
                <w:sz w:val="20"/>
              </w:rPr>
              <w:t>Доход семьи</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201,2</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237,9</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292,2</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127,9</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150,1</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184,5</w:t>
            </w:r>
          </w:p>
        </w:tc>
      </w:tr>
      <w:tr w:rsidR="00000000">
        <w:tblPrEx>
          <w:tblCellMar>
            <w:top w:w="0" w:type="dxa"/>
            <w:bottom w:w="0" w:type="dxa"/>
          </w:tblCellMar>
        </w:tblPrEx>
        <w:trPr>
          <w:cantSplit/>
        </w:trPr>
        <w:tc>
          <w:tcPr>
            <w:tcW w:w="9638" w:type="dxa"/>
            <w:gridSpan w:val="7"/>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Доля от общего дохода семьи в %</w:t>
            </w:r>
          </w:p>
        </w:tc>
      </w:tr>
      <w:tr w:rsidR="00000000">
        <w:tblPrEx>
          <w:tblCellMar>
            <w:top w:w="0" w:type="dxa"/>
            <w:bottom w:w="0" w:type="dxa"/>
          </w:tblCellMar>
        </w:tblPrEx>
        <w:tc>
          <w:tcPr>
            <w:tcW w:w="1814" w:type="dxa"/>
          </w:tcPr>
          <w:p w:rsidR="00000000" w:rsidRDefault="00000000">
            <w:pPr>
              <w:tabs>
                <w:tab w:val="clear" w:pos="567"/>
                <w:tab w:val="clear" w:pos="1701"/>
                <w:tab w:val="clear" w:pos="2268"/>
                <w:tab w:val="clear" w:pos="6237"/>
                <w:tab w:val="left" w:pos="680"/>
                <w:tab w:val="left" w:pos="1134"/>
              </w:tabs>
              <w:spacing w:before="40" w:after="40" w:line="240" w:lineRule="auto"/>
              <w:rPr>
                <w:sz w:val="20"/>
              </w:rPr>
            </w:pPr>
            <w:r>
              <w:rPr>
                <w:sz w:val="20"/>
              </w:rPr>
              <w:t>1 дециль</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1,1</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1,3</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1,7</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1,4</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1,5</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1,8</w:t>
            </w:r>
          </w:p>
        </w:tc>
      </w:tr>
      <w:tr w:rsidR="00000000">
        <w:tblPrEx>
          <w:tblCellMar>
            <w:top w:w="0" w:type="dxa"/>
            <w:bottom w:w="0" w:type="dxa"/>
          </w:tblCellMar>
        </w:tblPrEx>
        <w:tc>
          <w:tcPr>
            <w:tcW w:w="1814" w:type="dxa"/>
          </w:tcPr>
          <w:p w:rsidR="00000000" w:rsidRDefault="00000000">
            <w:pPr>
              <w:tabs>
                <w:tab w:val="clear" w:pos="567"/>
                <w:tab w:val="clear" w:pos="1701"/>
                <w:tab w:val="clear" w:pos="2268"/>
                <w:tab w:val="clear" w:pos="6237"/>
                <w:tab w:val="left" w:pos="680"/>
                <w:tab w:val="left" w:pos="1134"/>
              </w:tabs>
              <w:spacing w:before="40" w:after="40" w:line="240" w:lineRule="auto"/>
              <w:rPr>
                <w:sz w:val="20"/>
              </w:rPr>
            </w:pPr>
            <w:r>
              <w:rPr>
                <w:sz w:val="20"/>
              </w:rPr>
              <w:t>2 дециль</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3,4</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3,9</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3,8</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4,7</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4,5</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4,4</w:t>
            </w:r>
          </w:p>
        </w:tc>
      </w:tr>
      <w:tr w:rsidR="00000000">
        <w:tblPrEx>
          <w:tblCellMar>
            <w:top w:w="0" w:type="dxa"/>
            <w:bottom w:w="0" w:type="dxa"/>
          </w:tblCellMar>
        </w:tblPrEx>
        <w:tc>
          <w:tcPr>
            <w:tcW w:w="1814" w:type="dxa"/>
          </w:tcPr>
          <w:p w:rsidR="00000000" w:rsidRDefault="00000000">
            <w:pPr>
              <w:tabs>
                <w:tab w:val="clear" w:pos="567"/>
                <w:tab w:val="clear" w:pos="1701"/>
                <w:tab w:val="clear" w:pos="2268"/>
                <w:tab w:val="clear" w:pos="6237"/>
                <w:tab w:val="left" w:pos="680"/>
                <w:tab w:val="left" w:pos="1134"/>
              </w:tabs>
              <w:spacing w:before="40" w:after="40" w:line="240" w:lineRule="auto"/>
              <w:rPr>
                <w:sz w:val="20"/>
              </w:rPr>
            </w:pPr>
            <w:r>
              <w:rPr>
                <w:sz w:val="20"/>
              </w:rPr>
              <w:t>3 дециль</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4,6</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4,9</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4,6</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5,8</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5,6</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5,4</w:t>
            </w:r>
          </w:p>
        </w:tc>
      </w:tr>
      <w:tr w:rsidR="00000000">
        <w:tblPrEx>
          <w:tblCellMar>
            <w:top w:w="0" w:type="dxa"/>
            <w:bottom w:w="0" w:type="dxa"/>
          </w:tblCellMar>
        </w:tblPrEx>
        <w:tc>
          <w:tcPr>
            <w:tcW w:w="1814" w:type="dxa"/>
          </w:tcPr>
          <w:p w:rsidR="00000000" w:rsidRDefault="00000000">
            <w:pPr>
              <w:tabs>
                <w:tab w:val="clear" w:pos="567"/>
                <w:tab w:val="clear" w:pos="1701"/>
                <w:tab w:val="clear" w:pos="2268"/>
                <w:tab w:val="clear" w:pos="6237"/>
                <w:tab w:val="left" w:pos="680"/>
                <w:tab w:val="left" w:pos="1134"/>
              </w:tabs>
              <w:spacing w:before="40" w:after="40" w:line="240" w:lineRule="auto"/>
              <w:rPr>
                <w:sz w:val="20"/>
              </w:rPr>
            </w:pPr>
            <w:r>
              <w:rPr>
                <w:sz w:val="20"/>
              </w:rPr>
              <w:t>4 дециль</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6,0</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6,0</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5,8</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6,9</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6,7</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6,5</w:t>
            </w:r>
          </w:p>
        </w:tc>
      </w:tr>
      <w:tr w:rsidR="00000000">
        <w:tblPrEx>
          <w:tblCellMar>
            <w:top w:w="0" w:type="dxa"/>
            <w:bottom w:w="0" w:type="dxa"/>
          </w:tblCellMar>
        </w:tblPrEx>
        <w:tc>
          <w:tcPr>
            <w:tcW w:w="1814" w:type="dxa"/>
          </w:tcPr>
          <w:p w:rsidR="00000000" w:rsidRDefault="00000000">
            <w:pPr>
              <w:tabs>
                <w:tab w:val="clear" w:pos="567"/>
                <w:tab w:val="clear" w:pos="1701"/>
                <w:tab w:val="clear" w:pos="2268"/>
                <w:tab w:val="clear" w:pos="6237"/>
                <w:tab w:val="left" w:pos="680"/>
                <w:tab w:val="left" w:pos="1134"/>
              </w:tabs>
              <w:spacing w:before="40" w:after="40" w:line="240" w:lineRule="auto"/>
              <w:rPr>
                <w:sz w:val="20"/>
              </w:rPr>
            </w:pPr>
            <w:r>
              <w:rPr>
                <w:sz w:val="20"/>
              </w:rPr>
              <w:t>5 дециль</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7,5</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7,3</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7,1</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8,0</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7,8</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7,6</w:t>
            </w:r>
          </w:p>
        </w:tc>
      </w:tr>
      <w:tr w:rsidR="00000000">
        <w:tblPrEx>
          <w:tblCellMar>
            <w:top w:w="0" w:type="dxa"/>
            <w:bottom w:w="0" w:type="dxa"/>
          </w:tblCellMar>
        </w:tblPrEx>
        <w:tc>
          <w:tcPr>
            <w:tcW w:w="1814" w:type="dxa"/>
          </w:tcPr>
          <w:p w:rsidR="00000000" w:rsidRDefault="00000000">
            <w:pPr>
              <w:tabs>
                <w:tab w:val="clear" w:pos="567"/>
                <w:tab w:val="clear" w:pos="1701"/>
                <w:tab w:val="clear" w:pos="2268"/>
                <w:tab w:val="clear" w:pos="6237"/>
                <w:tab w:val="left" w:pos="680"/>
                <w:tab w:val="left" w:pos="1134"/>
              </w:tabs>
              <w:spacing w:before="40" w:after="40" w:line="240" w:lineRule="auto"/>
              <w:rPr>
                <w:sz w:val="20"/>
              </w:rPr>
            </w:pPr>
            <w:r>
              <w:rPr>
                <w:sz w:val="20"/>
              </w:rPr>
              <w:t>6 дециль</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9,1</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8,9</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8,7</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9,4</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9,2</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9,1</w:t>
            </w:r>
          </w:p>
        </w:tc>
      </w:tr>
      <w:tr w:rsidR="00000000">
        <w:tblPrEx>
          <w:tblCellMar>
            <w:top w:w="0" w:type="dxa"/>
            <w:bottom w:w="0" w:type="dxa"/>
          </w:tblCellMar>
        </w:tblPrEx>
        <w:tc>
          <w:tcPr>
            <w:tcW w:w="1814" w:type="dxa"/>
          </w:tcPr>
          <w:p w:rsidR="00000000" w:rsidRDefault="00000000">
            <w:pPr>
              <w:tabs>
                <w:tab w:val="clear" w:pos="567"/>
                <w:tab w:val="clear" w:pos="1701"/>
                <w:tab w:val="clear" w:pos="2268"/>
                <w:tab w:val="clear" w:pos="6237"/>
                <w:tab w:val="left" w:pos="680"/>
                <w:tab w:val="left" w:pos="1134"/>
              </w:tabs>
              <w:spacing w:before="40" w:after="40" w:line="240" w:lineRule="auto"/>
              <w:rPr>
                <w:sz w:val="20"/>
              </w:rPr>
            </w:pPr>
            <w:r>
              <w:rPr>
                <w:sz w:val="20"/>
              </w:rPr>
              <w:t>7 дециль</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11,3</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11,1</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10,9</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11,5</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11,4</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11,2</w:t>
            </w:r>
          </w:p>
        </w:tc>
      </w:tr>
      <w:tr w:rsidR="00000000">
        <w:tblPrEx>
          <w:tblCellMar>
            <w:top w:w="0" w:type="dxa"/>
            <w:bottom w:w="0" w:type="dxa"/>
          </w:tblCellMar>
        </w:tblPrEx>
        <w:tc>
          <w:tcPr>
            <w:tcW w:w="1814" w:type="dxa"/>
          </w:tcPr>
          <w:p w:rsidR="00000000" w:rsidRDefault="00000000">
            <w:pPr>
              <w:tabs>
                <w:tab w:val="clear" w:pos="567"/>
                <w:tab w:val="clear" w:pos="1701"/>
                <w:tab w:val="clear" w:pos="2268"/>
                <w:tab w:val="clear" w:pos="6237"/>
                <w:tab w:val="left" w:pos="680"/>
                <w:tab w:val="left" w:pos="1134"/>
              </w:tabs>
              <w:spacing w:before="40" w:after="40" w:line="240" w:lineRule="auto"/>
              <w:rPr>
                <w:sz w:val="20"/>
              </w:rPr>
            </w:pPr>
            <w:r>
              <w:rPr>
                <w:sz w:val="20"/>
              </w:rPr>
              <w:t>8 дециль</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14,1</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13,8</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13,7</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14,0</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13,9</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13,7</w:t>
            </w:r>
          </w:p>
        </w:tc>
      </w:tr>
      <w:tr w:rsidR="00000000">
        <w:tblPrEx>
          <w:tblCellMar>
            <w:top w:w="0" w:type="dxa"/>
            <w:bottom w:w="0" w:type="dxa"/>
          </w:tblCellMar>
        </w:tblPrEx>
        <w:tc>
          <w:tcPr>
            <w:tcW w:w="1814" w:type="dxa"/>
          </w:tcPr>
          <w:p w:rsidR="00000000" w:rsidRDefault="00000000">
            <w:pPr>
              <w:tabs>
                <w:tab w:val="clear" w:pos="567"/>
                <w:tab w:val="clear" w:pos="1701"/>
                <w:tab w:val="clear" w:pos="2268"/>
                <w:tab w:val="clear" w:pos="6237"/>
                <w:tab w:val="left" w:pos="680"/>
                <w:tab w:val="left" w:pos="1134"/>
              </w:tabs>
              <w:spacing w:before="40" w:after="40" w:line="240" w:lineRule="auto"/>
              <w:rPr>
                <w:sz w:val="20"/>
              </w:rPr>
            </w:pPr>
            <w:r>
              <w:rPr>
                <w:sz w:val="20"/>
              </w:rPr>
              <w:t>9 дециль</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17,1</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16,8</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16,7</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16,3</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16,3</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16,2</w:t>
            </w:r>
          </w:p>
        </w:tc>
      </w:tr>
      <w:tr w:rsidR="00000000">
        <w:tblPrEx>
          <w:tblCellMar>
            <w:top w:w="0" w:type="dxa"/>
            <w:bottom w:w="0" w:type="dxa"/>
          </w:tblCellMar>
        </w:tblPrEx>
        <w:tc>
          <w:tcPr>
            <w:tcW w:w="1814" w:type="dxa"/>
          </w:tcPr>
          <w:p w:rsidR="00000000" w:rsidRDefault="00000000">
            <w:pPr>
              <w:tabs>
                <w:tab w:val="clear" w:pos="567"/>
                <w:tab w:val="clear" w:pos="1701"/>
                <w:tab w:val="clear" w:pos="2268"/>
                <w:tab w:val="clear" w:pos="6237"/>
                <w:tab w:val="left" w:pos="680"/>
                <w:tab w:val="left" w:pos="1134"/>
              </w:tabs>
              <w:spacing w:before="40" w:after="40" w:line="240" w:lineRule="auto"/>
              <w:rPr>
                <w:sz w:val="20"/>
              </w:rPr>
            </w:pPr>
            <w:r>
              <w:rPr>
                <w:sz w:val="20"/>
              </w:rPr>
              <w:t>10 дециль</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25,7</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25,8</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27,0</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22,0</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23,0</w:t>
            </w:r>
          </w:p>
        </w:tc>
        <w:tc>
          <w:tcPr>
            <w:tcW w:w="1304"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24,1</w:t>
            </w:r>
          </w:p>
        </w:tc>
      </w:tr>
    </w:tbl>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270.</w:t>
      </w:r>
      <w:r>
        <w:rPr>
          <w:sz w:val="23"/>
        </w:rPr>
        <w:tab/>
        <w:t>В отношении распределения семейного дохода никаких крупных изменений не произошло. Исчисляемый на основе эквивалентного</w:t>
      </w:r>
      <w:r>
        <w:rPr>
          <w:rStyle w:val="FootnoteReference"/>
          <w:sz w:val="23"/>
        </w:rPr>
        <w:footnoteReference w:id="1"/>
      </w:r>
      <w:r>
        <w:rPr>
          <w:sz w:val="23"/>
        </w:rPr>
        <w:t xml:space="preserve"> располагаемого семейного дохода Джини-коэффициент</w:t>
      </w:r>
      <w:r>
        <w:rPr>
          <w:rStyle w:val="FootnoteReference"/>
          <w:sz w:val="23"/>
        </w:rPr>
        <w:footnoteReference w:id="2"/>
      </w:r>
      <w:r>
        <w:rPr>
          <w:sz w:val="23"/>
        </w:rPr>
        <w:t xml:space="preserve"> составлял 19 в 1994 году и 20 в 1999 году. Как уже отмечалось, с 1990 по 1999 год средний семейный доход после налогообложения возрос на 44%.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br w:type="page"/>
        <w:t>Таблица 14</w:t>
      </w: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t>Доходы семейных пар и одиноких лиц в 1990, 1994 и 1999 годах</w:t>
      </w:r>
    </w:p>
    <w:p w:rsidR="00000000" w:rsidRDefault="00000000">
      <w:pPr>
        <w:tabs>
          <w:tab w:val="clear" w:pos="567"/>
          <w:tab w:val="clear" w:pos="1701"/>
          <w:tab w:val="clear" w:pos="2268"/>
          <w:tab w:val="clear" w:pos="6237"/>
          <w:tab w:val="left" w:pos="680"/>
          <w:tab w:val="left" w:pos="1134"/>
        </w:tabs>
        <w:spacing w:line="240" w:lineRule="auto"/>
        <w:rPr>
          <w:b/>
          <w:bCs/>
          <w:sz w:val="23"/>
        </w:rPr>
      </w:pPr>
    </w:p>
    <w:tbl>
      <w:tblPr>
        <w:tblW w:w="4360" w:type="pct"/>
        <w:jc w:val="cente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268"/>
        <w:gridCol w:w="1246"/>
        <w:gridCol w:w="1248"/>
        <w:gridCol w:w="1247"/>
        <w:gridCol w:w="1247"/>
        <w:gridCol w:w="1247"/>
      </w:tblGrid>
      <w:tr w:rsidR="00000000">
        <w:tblPrEx>
          <w:tblCellMar>
            <w:top w:w="0" w:type="dxa"/>
            <w:bottom w:w="0" w:type="dxa"/>
          </w:tblCellMar>
        </w:tblPrEx>
        <w:trPr>
          <w:jc w:val="center"/>
        </w:trPr>
        <w:tc>
          <w:tcPr>
            <w:tcW w:w="1334" w:type="pct"/>
            <w:tcBorders>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0"/>
              </w:rPr>
            </w:pPr>
          </w:p>
        </w:tc>
        <w:tc>
          <w:tcPr>
            <w:tcW w:w="733" w:type="pct"/>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1990</w:t>
            </w:r>
          </w:p>
        </w:tc>
        <w:tc>
          <w:tcPr>
            <w:tcW w:w="734" w:type="pct"/>
          </w:tcPr>
          <w:p w:rsidR="00000000" w:rsidRDefault="00000000">
            <w:pPr>
              <w:pStyle w:val="FootnoteText"/>
              <w:tabs>
                <w:tab w:val="clear" w:pos="567"/>
                <w:tab w:val="clear" w:pos="1701"/>
                <w:tab w:val="clear" w:pos="2268"/>
                <w:tab w:val="clear" w:pos="6237"/>
                <w:tab w:val="left" w:pos="680"/>
                <w:tab w:val="left" w:pos="1134"/>
              </w:tabs>
              <w:spacing w:before="40" w:after="40"/>
              <w:jc w:val="center"/>
              <w:rPr>
                <w:sz w:val="20"/>
              </w:rPr>
            </w:pPr>
            <w:r>
              <w:rPr>
                <w:sz w:val="20"/>
              </w:rPr>
              <w:t>1994</w:t>
            </w:r>
          </w:p>
        </w:tc>
        <w:tc>
          <w:tcPr>
            <w:tcW w:w="733" w:type="pct"/>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1999</w:t>
            </w:r>
          </w:p>
        </w:tc>
        <w:tc>
          <w:tcPr>
            <w:tcW w:w="733" w:type="pct"/>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1994</w:t>
            </w:r>
          </w:p>
        </w:tc>
        <w:tc>
          <w:tcPr>
            <w:tcW w:w="733" w:type="pct"/>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1999</w:t>
            </w:r>
          </w:p>
        </w:tc>
      </w:tr>
      <w:tr w:rsidR="00000000">
        <w:tblPrEx>
          <w:tblCellMar>
            <w:top w:w="0" w:type="dxa"/>
            <w:bottom w:w="0" w:type="dxa"/>
          </w:tblCellMar>
        </w:tblPrEx>
        <w:trPr>
          <w:cantSplit/>
          <w:jc w:val="center"/>
        </w:trPr>
        <w:tc>
          <w:tcPr>
            <w:tcW w:w="1334" w:type="pct"/>
            <w:tcBorders>
              <w:top w:val="nil"/>
              <w:bottom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b/>
                <w:bCs/>
                <w:sz w:val="20"/>
              </w:rPr>
            </w:pPr>
          </w:p>
        </w:tc>
        <w:tc>
          <w:tcPr>
            <w:tcW w:w="1467" w:type="pct"/>
            <w:gridSpan w:val="2"/>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в тыс. датских крон</w:t>
            </w:r>
          </w:p>
        </w:tc>
        <w:tc>
          <w:tcPr>
            <w:tcW w:w="2200" w:type="pct"/>
            <w:gridSpan w:val="3"/>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индекс (1990 = 100)</w:t>
            </w:r>
          </w:p>
        </w:tc>
      </w:tr>
      <w:tr w:rsidR="00000000">
        <w:tblPrEx>
          <w:tblCellMar>
            <w:top w:w="0" w:type="dxa"/>
            <w:bottom w:w="0" w:type="dxa"/>
          </w:tblCellMar>
        </w:tblPrEx>
        <w:trPr>
          <w:jc w:val="center"/>
        </w:trPr>
        <w:tc>
          <w:tcPr>
            <w:tcW w:w="1334" w:type="pct"/>
            <w:tcBorders>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rPr>
                <w:b/>
                <w:bCs/>
                <w:sz w:val="20"/>
              </w:rPr>
            </w:pPr>
            <w:r>
              <w:rPr>
                <w:b/>
                <w:bCs/>
                <w:sz w:val="20"/>
              </w:rPr>
              <w:t>Семейные пары</w:t>
            </w:r>
          </w:p>
        </w:tc>
        <w:tc>
          <w:tcPr>
            <w:tcW w:w="733" w:type="pct"/>
            <w:tcBorders>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b/>
                <w:bCs/>
                <w:sz w:val="20"/>
              </w:rPr>
            </w:pPr>
            <w:r>
              <w:rPr>
                <w:b/>
                <w:bCs/>
                <w:sz w:val="20"/>
              </w:rPr>
              <w:t>184,4</w:t>
            </w:r>
          </w:p>
        </w:tc>
        <w:tc>
          <w:tcPr>
            <w:tcW w:w="734" w:type="pct"/>
            <w:tcBorders>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b/>
                <w:bCs/>
                <w:sz w:val="20"/>
              </w:rPr>
            </w:pPr>
            <w:r>
              <w:rPr>
                <w:b/>
                <w:bCs/>
                <w:sz w:val="20"/>
              </w:rPr>
              <w:t>220,5</w:t>
            </w:r>
          </w:p>
        </w:tc>
        <w:tc>
          <w:tcPr>
            <w:tcW w:w="733" w:type="pct"/>
            <w:tcBorders>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b/>
                <w:bCs/>
                <w:sz w:val="20"/>
              </w:rPr>
            </w:pPr>
            <w:r>
              <w:rPr>
                <w:b/>
                <w:bCs/>
                <w:sz w:val="20"/>
              </w:rPr>
              <w:t>269,9</w:t>
            </w:r>
          </w:p>
        </w:tc>
        <w:tc>
          <w:tcPr>
            <w:tcW w:w="733" w:type="pct"/>
            <w:tcBorders>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b/>
                <w:bCs/>
                <w:sz w:val="20"/>
              </w:rPr>
            </w:pPr>
            <w:r>
              <w:rPr>
                <w:b/>
                <w:bCs/>
                <w:sz w:val="20"/>
              </w:rPr>
              <w:t>120</w:t>
            </w:r>
          </w:p>
        </w:tc>
        <w:tc>
          <w:tcPr>
            <w:tcW w:w="733" w:type="pct"/>
            <w:tcBorders>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b/>
                <w:bCs/>
                <w:sz w:val="20"/>
              </w:rPr>
            </w:pPr>
            <w:r>
              <w:rPr>
                <w:b/>
                <w:bCs/>
                <w:sz w:val="20"/>
              </w:rPr>
              <w:t>146</w:t>
            </w:r>
          </w:p>
        </w:tc>
      </w:tr>
      <w:tr w:rsidR="00000000">
        <w:tblPrEx>
          <w:tblCellMar>
            <w:top w:w="0" w:type="dxa"/>
            <w:bottom w:w="0" w:type="dxa"/>
          </w:tblCellMar>
        </w:tblPrEx>
        <w:trPr>
          <w:jc w:val="center"/>
        </w:trPr>
        <w:tc>
          <w:tcPr>
            <w:tcW w:w="1334"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0"/>
              </w:rPr>
            </w:pPr>
            <w:r>
              <w:rPr>
                <w:sz w:val="20"/>
              </w:rPr>
              <w:t>без детей</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168,4</w:t>
            </w:r>
          </w:p>
        </w:tc>
        <w:tc>
          <w:tcPr>
            <w:tcW w:w="734"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203,1</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249,3</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121</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148</w:t>
            </w:r>
          </w:p>
        </w:tc>
      </w:tr>
      <w:tr w:rsidR="00000000">
        <w:tblPrEx>
          <w:tblCellMar>
            <w:top w:w="0" w:type="dxa"/>
            <w:bottom w:w="0" w:type="dxa"/>
          </w:tblCellMar>
        </w:tblPrEx>
        <w:trPr>
          <w:jc w:val="center"/>
        </w:trPr>
        <w:tc>
          <w:tcPr>
            <w:tcW w:w="1334"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0"/>
              </w:rPr>
            </w:pPr>
            <w:r>
              <w:rPr>
                <w:sz w:val="20"/>
              </w:rPr>
              <w:t>с детьми</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206,3</w:t>
            </w:r>
          </w:p>
        </w:tc>
        <w:tc>
          <w:tcPr>
            <w:tcW w:w="734"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245,9</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300,5</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119</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146</w:t>
            </w:r>
          </w:p>
        </w:tc>
      </w:tr>
      <w:tr w:rsidR="00000000">
        <w:tblPrEx>
          <w:tblCellMar>
            <w:top w:w="0" w:type="dxa"/>
            <w:bottom w:w="0" w:type="dxa"/>
          </w:tblCellMar>
        </w:tblPrEx>
        <w:trPr>
          <w:jc w:val="center"/>
        </w:trPr>
        <w:tc>
          <w:tcPr>
            <w:tcW w:w="1334"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rPr>
                <w:b/>
                <w:bCs/>
                <w:sz w:val="20"/>
              </w:rPr>
            </w:pPr>
            <w:r>
              <w:rPr>
                <w:b/>
                <w:bCs/>
                <w:sz w:val="20"/>
              </w:rPr>
              <w:t>Одинокие лица</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b/>
                <w:bCs/>
                <w:sz w:val="20"/>
              </w:rPr>
            </w:pPr>
            <w:r>
              <w:rPr>
                <w:b/>
                <w:bCs/>
                <w:sz w:val="20"/>
              </w:rPr>
              <w:t>87,0</w:t>
            </w:r>
          </w:p>
        </w:tc>
        <w:tc>
          <w:tcPr>
            <w:tcW w:w="734"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b/>
                <w:bCs/>
                <w:sz w:val="20"/>
              </w:rPr>
            </w:pPr>
            <w:r>
              <w:rPr>
                <w:b/>
                <w:bCs/>
                <w:sz w:val="20"/>
              </w:rPr>
              <w:t>99,9</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b/>
                <w:bCs/>
                <w:sz w:val="20"/>
              </w:rPr>
            </w:pPr>
            <w:r>
              <w:rPr>
                <w:b/>
                <w:bCs/>
                <w:sz w:val="20"/>
              </w:rPr>
              <w:t>119,9</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b/>
                <w:bCs/>
                <w:sz w:val="20"/>
              </w:rPr>
            </w:pPr>
            <w:r>
              <w:rPr>
                <w:b/>
                <w:bCs/>
                <w:sz w:val="20"/>
              </w:rPr>
              <w:t>115</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b/>
                <w:bCs/>
                <w:sz w:val="20"/>
              </w:rPr>
            </w:pPr>
            <w:r>
              <w:rPr>
                <w:b/>
                <w:bCs/>
                <w:sz w:val="20"/>
              </w:rPr>
              <w:t>138</w:t>
            </w:r>
          </w:p>
        </w:tc>
      </w:tr>
      <w:tr w:rsidR="00000000">
        <w:tblPrEx>
          <w:tblCellMar>
            <w:top w:w="0" w:type="dxa"/>
            <w:bottom w:w="0" w:type="dxa"/>
          </w:tblCellMar>
        </w:tblPrEx>
        <w:trPr>
          <w:jc w:val="center"/>
        </w:trPr>
        <w:tc>
          <w:tcPr>
            <w:tcW w:w="1334" w:type="pct"/>
            <w:tcBorders>
              <w:top w:val="nil"/>
              <w:bottom w:val="nil"/>
            </w:tcBorders>
          </w:tcPr>
          <w:p w:rsidR="00000000" w:rsidRDefault="00000000">
            <w:pPr>
              <w:pStyle w:val="FootnoteText"/>
              <w:tabs>
                <w:tab w:val="clear" w:pos="567"/>
                <w:tab w:val="clear" w:pos="1701"/>
                <w:tab w:val="clear" w:pos="2268"/>
                <w:tab w:val="clear" w:pos="6237"/>
                <w:tab w:val="left" w:pos="680"/>
                <w:tab w:val="left" w:pos="1134"/>
              </w:tabs>
              <w:spacing w:before="40" w:after="40"/>
              <w:rPr>
                <w:sz w:val="20"/>
              </w:rPr>
            </w:pPr>
            <w:r>
              <w:rPr>
                <w:sz w:val="20"/>
              </w:rPr>
              <w:t>без детей</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84,0</w:t>
            </w:r>
          </w:p>
        </w:tc>
        <w:tc>
          <w:tcPr>
            <w:tcW w:w="734"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96,6</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116,3</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115</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138</w:t>
            </w:r>
          </w:p>
        </w:tc>
      </w:tr>
      <w:tr w:rsidR="00000000">
        <w:tblPrEx>
          <w:tblCellMar>
            <w:top w:w="0" w:type="dxa"/>
            <w:bottom w:w="0" w:type="dxa"/>
          </w:tblCellMar>
        </w:tblPrEx>
        <w:trPr>
          <w:jc w:val="center"/>
        </w:trPr>
        <w:tc>
          <w:tcPr>
            <w:tcW w:w="1334"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0"/>
              </w:rPr>
            </w:pPr>
            <w:r>
              <w:rPr>
                <w:sz w:val="20"/>
              </w:rPr>
              <w:t>с детьми</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115,0</w:t>
            </w:r>
          </w:p>
        </w:tc>
        <w:tc>
          <w:tcPr>
            <w:tcW w:w="734"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131,9</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155,6</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115</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135</w:t>
            </w:r>
          </w:p>
        </w:tc>
      </w:tr>
      <w:tr w:rsidR="00000000">
        <w:tblPrEx>
          <w:tblCellMar>
            <w:top w:w="0" w:type="dxa"/>
            <w:bottom w:w="0" w:type="dxa"/>
          </w:tblCellMar>
        </w:tblPrEx>
        <w:trPr>
          <w:jc w:val="center"/>
        </w:trPr>
        <w:tc>
          <w:tcPr>
            <w:tcW w:w="1334"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rPr>
                <w:b/>
                <w:bCs/>
                <w:sz w:val="20"/>
              </w:rPr>
            </w:pPr>
            <w:r>
              <w:rPr>
                <w:b/>
                <w:bCs/>
                <w:sz w:val="20"/>
              </w:rPr>
              <w:t>Все домашние хозяйства</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b/>
                <w:bCs/>
                <w:sz w:val="20"/>
              </w:rPr>
            </w:pPr>
            <w:r>
              <w:rPr>
                <w:b/>
                <w:bCs/>
                <w:sz w:val="20"/>
              </w:rPr>
              <w:t>127,9</w:t>
            </w:r>
          </w:p>
        </w:tc>
        <w:tc>
          <w:tcPr>
            <w:tcW w:w="734"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b/>
                <w:bCs/>
                <w:sz w:val="20"/>
              </w:rPr>
            </w:pPr>
            <w:r>
              <w:rPr>
                <w:b/>
                <w:bCs/>
                <w:sz w:val="20"/>
              </w:rPr>
              <w:t>150,1</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b/>
                <w:bCs/>
                <w:sz w:val="20"/>
              </w:rPr>
            </w:pPr>
            <w:r>
              <w:rPr>
                <w:b/>
                <w:bCs/>
                <w:sz w:val="20"/>
              </w:rPr>
              <w:t>184,5</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b/>
                <w:bCs/>
                <w:sz w:val="20"/>
              </w:rPr>
            </w:pPr>
            <w:r>
              <w:rPr>
                <w:b/>
                <w:bCs/>
                <w:sz w:val="20"/>
              </w:rPr>
              <w:t>117</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b/>
                <w:bCs/>
                <w:sz w:val="20"/>
              </w:rPr>
            </w:pPr>
            <w:r>
              <w:rPr>
                <w:b/>
                <w:bCs/>
                <w:sz w:val="20"/>
              </w:rPr>
              <w:t>144</w:t>
            </w:r>
          </w:p>
        </w:tc>
      </w:tr>
      <w:tr w:rsidR="00000000">
        <w:tblPrEx>
          <w:tblCellMar>
            <w:top w:w="0" w:type="dxa"/>
            <w:bottom w:w="0" w:type="dxa"/>
          </w:tblCellMar>
        </w:tblPrEx>
        <w:trPr>
          <w:jc w:val="center"/>
        </w:trPr>
        <w:tc>
          <w:tcPr>
            <w:tcW w:w="1334"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0"/>
              </w:rPr>
            </w:pPr>
            <w:r>
              <w:rPr>
                <w:sz w:val="20"/>
              </w:rPr>
              <w:t>без детей</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108,9</w:t>
            </w:r>
          </w:p>
        </w:tc>
        <w:tc>
          <w:tcPr>
            <w:tcW w:w="734"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128,4</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158,4</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118</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145</w:t>
            </w:r>
          </w:p>
        </w:tc>
      </w:tr>
      <w:tr w:rsidR="00000000">
        <w:tblPrEx>
          <w:tblCellMar>
            <w:top w:w="0" w:type="dxa"/>
            <w:bottom w:w="0" w:type="dxa"/>
          </w:tblCellMar>
        </w:tblPrEx>
        <w:trPr>
          <w:jc w:val="center"/>
        </w:trPr>
        <w:tc>
          <w:tcPr>
            <w:tcW w:w="1334" w:type="pct"/>
            <w:tcBorders>
              <w:top w:val="nil"/>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0"/>
              </w:rPr>
            </w:pPr>
            <w:r>
              <w:rPr>
                <w:sz w:val="20"/>
              </w:rPr>
              <w:t>с детьми</w:t>
            </w:r>
          </w:p>
        </w:tc>
        <w:tc>
          <w:tcPr>
            <w:tcW w:w="733" w:type="pct"/>
            <w:tcBorders>
              <w:top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189,9</w:t>
            </w:r>
          </w:p>
        </w:tc>
        <w:tc>
          <w:tcPr>
            <w:tcW w:w="734" w:type="pct"/>
            <w:tcBorders>
              <w:top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224,7</w:t>
            </w:r>
          </w:p>
        </w:tc>
        <w:tc>
          <w:tcPr>
            <w:tcW w:w="733" w:type="pct"/>
            <w:tcBorders>
              <w:top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274,1</w:t>
            </w:r>
          </w:p>
        </w:tc>
        <w:tc>
          <w:tcPr>
            <w:tcW w:w="733" w:type="pct"/>
            <w:tcBorders>
              <w:top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118</w:t>
            </w:r>
          </w:p>
        </w:tc>
        <w:tc>
          <w:tcPr>
            <w:tcW w:w="733" w:type="pct"/>
            <w:tcBorders>
              <w:top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144</w:t>
            </w:r>
          </w:p>
        </w:tc>
      </w:tr>
    </w:tbl>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271.</w:t>
      </w:r>
      <w:r>
        <w:rPr>
          <w:sz w:val="23"/>
        </w:rPr>
        <w:tab/>
        <w:t>В отношении семейных пар наблюдалось более значительное увеличение, чем в отношении одиноких лиц. Рост доходов семьи был приблизительно одинаковым как в семьях с детьми, так и в семьях без детей.</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t>Таблица 15</w:t>
      </w: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t>Личный доход в 1990, 1994 и 1999 годах</w:t>
      </w:r>
    </w:p>
    <w:p w:rsidR="00000000" w:rsidRDefault="00000000">
      <w:pPr>
        <w:tabs>
          <w:tab w:val="clear" w:pos="567"/>
          <w:tab w:val="clear" w:pos="1701"/>
          <w:tab w:val="clear" w:pos="2268"/>
          <w:tab w:val="clear" w:pos="6237"/>
          <w:tab w:val="left" w:pos="680"/>
          <w:tab w:val="left" w:pos="1134"/>
        </w:tabs>
        <w:spacing w:line="240" w:lineRule="auto"/>
        <w:rPr>
          <w:b/>
          <w:bCs/>
          <w:sz w:val="23"/>
        </w:rPr>
      </w:pPr>
    </w:p>
    <w:tbl>
      <w:tblPr>
        <w:tblW w:w="4360" w:type="pct"/>
        <w:jc w:val="cente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000" w:firstRow="0" w:lastRow="0" w:firstColumn="0" w:lastColumn="0" w:noHBand="0" w:noVBand="0"/>
      </w:tblPr>
      <w:tblGrid>
        <w:gridCol w:w="2268"/>
        <w:gridCol w:w="1246"/>
        <w:gridCol w:w="1247"/>
        <w:gridCol w:w="1248"/>
        <w:gridCol w:w="1247"/>
        <w:gridCol w:w="1247"/>
      </w:tblGrid>
      <w:tr w:rsidR="00000000">
        <w:tblPrEx>
          <w:tblCellMar>
            <w:top w:w="0" w:type="dxa"/>
            <w:bottom w:w="0" w:type="dxa"/>
          </w:tblCellMar>
        </w:tblPrEx>
        <w:trPr>
          <w:cantSplit/>
          <w:jc w:val="center"/>
        </w:trPr>
        <w:tc>
          <w:tcPr>
            <w:tcW w:w="2066" w:type="pct"/>
            <w:gridSpan w:val="2"/>
          </w:tcPr>
          <w:p w:rsidR="00000000" w:rsidRDefault="00000000">
            <w:pPr>
              <w:pStyle w:val="16"/>
              <w:tabs>
                <w:tab w:val="clear" w:pos="567"/>
                <w:tab w:val="clear" w:pos="1701"/>
                <w:tab w:val="clear" w:pos="2268"/>
                <w:tab w:val="clear" w:pos="6237"/>
                <w:tab w:val="left" w:pos="680"/>
                <w:tab w:val="left" w:pos="1134"/>
              </w:tabs>
              <w:spacing w:before="40" w:after="40" w:line="240" w:lineRule="auto"/>
              <w:rPr>
                <w:sz w:val="20"/>
              </w:rPr>
            </w:pPr>
            <w:r>
              <w:rPr>
                <w:sz w:val="20"/>
              </w:rPr>
              <w:t>1990</w:t>
            </w:r>
          </w:p>
        </w:tc>
        <w:tc>
          <w:tcPr>
            <w:tcW w:w="733" w:type="pct"/>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1994</w:t>
            </w:r>
          </w:p>
        </w:tc>
        <w:tc>
          <w:tcPr>
            <w:tcW w:w="734" w:type="pct"/>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 xml:space="preserve">1999 </w:t>
            </w:r>
          </w:p>
        </w:tc>
        <w:tc>
          <w:tcPr>
            <w:tcW w:w="733" w:type="pct"/>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 xml:space="preserve">1994 </w:t>
            </w:r>
          </w:p>
        </w:tc>
        <w:tc>
          <w:tcPr>
            <w:tcW w:w="733" w:type="pct"/>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 xml:space="preserve">1999 </w:t>
            </w:r>
          </w:p>
        </w:tc>
      </w:tr>
      <w:tr w:rsidR="00000000">
        <w:tblPrEx>
          <w:tblCellMar>
            <w:top w:w="0" w:type="dxa"/>
            <w:bottom w:w="0" w:type="dxa"/>
          </w:tblCellMar>
        </w:tblPrEx>
        <w:trPr>
          <w:cantSplit/>
          <w:jc w:val="center"/>
        </w:trPr>
        <w:tc>
          <w:tcPr>
            <w:tcW w:w="1334" w:type="pct"/>
            <w:tcBorders>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Возраст</w:t>
            </w:r>
          </w:p>
        </w:tc>
        <w:tc>
          <w:tcPr>
            <w:tcW w:w="2200" w:type="pct"/>
            <w:gridSpan w:val="3"/>
            <w:tcBorders>
              <w:bottom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в тыс. датских крон</w:t>
            </w:r>
          </w:p>
        </w:tc>
        <w:tc>
          <w:tcPr>
            <w:tcW w:w="1467" w:type="pct"/>
            <w:gridSpan w:val="2"/>
            <w:tcBorders>
              <w:bottom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индекс (1990 = 100)</w:t>
            </w:r>
          </w:p>
        </w:tc>
      </w:tr>
      <w:tr w:rsidR="00000000">
        <w:tblPrEx>
          <w:tblCellMar>
            <w:top w:w="0" w:type="dxa"/>
            <w:bottom w:w="0" w:type="dxa"/>
          </w:tblCellMar>
        </w:tblPrEx>
        <w:trPr>
          <w:jc w:val="center"/>
        </w:trPr>
        <w:tc>
          <w:tcPr>
            <w:tcW w:w="1334"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15–19</w:t>
            </w:r>
          </w:p>
        </w:tc>
        <w:tc>
          <w:tcPr>
            <w:tcW w:w="733" w:type="pct"/>
            <w:tcBorders>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29,4</w:t>
            </w:r>
          </w:p>
        </w:tc>
        <w:tc>
          <w:tcPr>
            <w:tcW w:w="733" w:type="pct"/>
            <w:tcBorders>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30,6</w:t>
            </w:r>
          </w:p>
        </w:tc>
        <w:tc>
          <w:tcPr>
            <w:tcW w:w="734" w:type="pct"/>
            <w:tcBorders>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34,0</w:t>
            </w:r>
          </w:p>
        </w:tc>
        <w:tc>
          <w:tcPr>
            <w:tcW w:w="733" w:type="pct"/>
            <w:tcBorders>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104</w:t>
            </w:r>
          </w:p>
        </w:tc>
        <w:tc>
          <w:tcPr>
            <w:tcW w:w="733" w:type="pct"/>
            <w:tcBorders>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116</w:t>
            </w:r>
          </w:p>
        </w:tc>
      </w:tr>
      <w:tr w:rsidR="00000000">
        <w:tblPrEx>
          <w:tblCellMar>
            <w:top w:w="0" w:type="dxa"/>
            <w:bottom w:w="0" w:type="dxa"/>
          </w:tblCellMar>
        </w:tblPrEx>
        <w:trPr>
          <w:jc w:val="center"/>
        </w:trPr>
        <w:tc>
          <w:tcPr>
            <w:tcW w:w="1334"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20–24</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112,4</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115,2</w:t>
            </w:r>
          </w:p>
        </w:tc>
        <w:tc>
          <w:tcPr>
            <w:tcW w:w="734"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128,2</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102</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114</w:t>
            </w:r>
          </w:p>
        </w:tc>
      </w:tr>
      <w:tr w:rsidR="00000000">
        <w:tblPrEx>
          <w:tblCellMar>
            <w:top w:w="0" w:type="dxa"/>
            <w:bottom w:w="0" w:type="dxa"/>
          </w:tblCellMar>
        </w:tblPrEx>
        <w:trPr>
          <w:jc w:val="center"/>
        </w:trPr>
        <w:tc>
          <w:tcPr>
            <w:tcW w:w="1334"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25–29</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154,9</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167,8</w:t>
            </w:r>
          </w:p>
        </w:tc>
        <w:tc>
          <w:tcPr>
            <w:tcW w:w="734"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189,3</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108</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122</w:t>
            </w:r>
          </w:p>
        </w:tc>
      </w:tr>
      <w:tr w:rsidR="00000000">
        <w:tblPrEx>
          <w:tblCellMar>
            <w:top w:w="0" w:type="dxa"/>
            <w:bottom w:w="0" w:type="dxa"/>
          </w:tblCellMar>
        </w:tblPrEx>
        <w:trPr>
          <w:jc w:val="center"/>
        </w:trPr>
        <w:tc>
          <w:tcPr>
            <w:tcW w:w="1334"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30–34</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177,1</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196,3</w:t>
            </w:r>
          </w:p>
        </w:tc>
        <w:tc>
          <w:tcPr>
            <w:tcW w:w="734"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231,1</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111</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130</w:t>
            </w:r>
          </w:p>
        </w:tc>
      </w:tr>
      <w:tr w:rsidR="00000000">
        <w:tblPrEx>
          <w:tblCellMar>
            <w:top w:w="0" w:type="dxa"/>
            <w:bottom w:w="0" w:type="dxa"/>
          </w:tblCellMar>
        </w:tblPrEx>
        <w:trPr>
          <w:jc w:val="center"/>
        </w:trPr>
        <w:tc>
          <w:tcPr>
            <w:tcW w:w="1334"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35–39</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188,6</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211,9</w:t>
            </w:r>
          </w:p>
        </w:tc>
        <w:tc>
          <w:tcPr>
            <w:tcW w:w="734"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248,9</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112</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132</w:t>
            </w:r>
          </w:p>
        </w:tc>
      </w:tr>
      <w:tr w:rsidR="00000000">
        <w:tblPrEx>
          <w:tblCellMar>
            <w:top w:w="0" w:type="dxa"/>
            <w:bottom w:w="0" w:type="dxa"/>
          </w:tblCellMar>
        </w:tblPrEx>
        <w:trPr>
          <w:jc w:val="center"/>
        </w:trPr>
        <w:tc>
          <w:tcPr>
            <w:tcW w:w="1334"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40–44</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198,0</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221,4</w:t>
            </w:r>
          </w:p>
        </w:tc>
        <w:tc>
          <w:tcPr>
            <w:tcW w:w="734"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259,8</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112</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131</w:t>
            </w:r>
          </w:p>
        </w:tc>
      </w:tr>
      <w:tr w:rsidR="00000000">
        <w:tblPrEx>
          <w:tblCellMar>
            <w:top w:w="0" w:type="dxa"/>
            <w:bottom w:w="0" w:type="dxa"/>
          </w:tblCellMar>
        </w:tblPrEx>
        <w:trPr>
          <w:jc w:val="center"/>
        </w:trPr>
        <w:tc>
          <w:tcPr>
            <w:tcW w:w="1334"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45–49</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197,1</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226,5</w:t>
            </w:r>
          </w:p>
        </w:tc>
        <w:tc>
          <w:tcPr>
            <w:tcW w:w="734"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262,4</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115</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133</w:t>
            </w:r>
          </w:p>
        </w:tc>
      </w:tr>
      <w:tr w:rsidR="00000000">
        <w:tblPrEx>
          <w:tblCellMar>
            <w:top w:w="0" w:type="dxa"/>
            <w:bottom w:w="0" w:type="dxa"/>
          </w:tblCellMar>
        </w:tblPrEx>
        <w:trPr>
          <w:jc w:val="center"/>
        </w:trPr>
        <w:tc>
          <w:tcPr>
            <w:tcW w:w="1334"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50–54</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180,5</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215,5</w:t>
            </w:r>
          </w:p>
        </w:tc>
        <w:tc>
          <w:tcPr>
            <w:tcW w:w="734"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259,2</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119</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144</w:t>
            </w:r>
          </w:p>
        </w:tc>
      </w:tr>
      <w:tr w:rsidR="00000000">
        <w:tblPrEx>
          <w:tblCellMar>
            <w:top w:w="0" w:type="dxa"/>
            <w:bottom w:w="0" w:type="dxa"/>
          </w:tblCellMar>
        </w:tblPrEx>
        <w:trPr>
          <w:jc w:val="center"/>
        </w:trPr>
        <w:tc>
          <w:tcPr>
            <w:tcW w:w="1334"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55–59</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159,6</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191,2</w:t>
            </w:r>
          </w:p>
        </w:tc>
        <w:tc>
          <w:tcPr>
            <w:tcW w:w="734"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237,9</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120</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149</w:t>
            </w:r>
          </w:p>
        </w:tc>
      </w:tr>
      <w:tr w:rsidR="00000000">
        <w:tblPrEx>
          <w:tblCellMar>
            <w:top w:w="0" w:type="dxa"/>
            <w:bottom w:w="0" w:type="dxa"/>
          </w:tblCellMar>
        </w:tblPrEx>
        <w:trPr>
          <w:jc w:val="center"/>
        </w:trPr>
        <w:tc>
          <w:tcPr>
            <w:tcW w:w="1334"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60–64</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132,9</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154,9</w:t>
            </w:r>
          </w:p>
        </w:tc>
        <w:tc>
          <w:tcPr>
            <w:tcW w:w="734"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187,0</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117</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141</w:t>
            </w:r>
          </w:p>
        </w:tc>
      </w:tr>
      <w:tr w:rsidR="00000000">
        <w:tblPrEx>
          <w:tblCellMar>
            <w:top w:w="0" w:type="dxa"/>
            <w:bottom w:w="0" w:type="dxa"/>
          </w:tblCellMar>
        </w:tblPrEx>
        <w:trPr>
          <w:jc w:val="center"/>
        </w:trPr>
        <w:tc>
          <w:tcPr>
            <w:tcW w:w="1334"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65–69</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102,5</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124,6</w:t>
            </w:r>
          </w:p>
        </w:tc>
        <w:tc>
          <w:tcPr>
            <w:tcW w:w="734"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143,5</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122</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140</w:t>
            </w:r>
          </w:p>
        </w:tc>
      </w:tr>
      <w:tr w:rsidR="00000000">
        <w:tblPrEx>
          <w:tblCellMar>
            <w:top w:w="0" w:type="dxa"/>
            <w:bottom w:w="0" w:type="dxa"/>
          </w:tblCellMar>
        </w:tblPrEx>
        <w:trPr>
          <w:jc w:val="center"/>
        </w:trPr>
        <w:tc>
          <w:tcPr>
            <w:tcW w:w="1334"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70–74</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85,2</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111,0</w:t>
            </w:r>
          </w:p>
        </w:tc>
        <w:tc>
          <w:tcPr>
            <w:tcW w:w="734"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127,4</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130</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150</w:t>
            </w:r>
          </w:p>
        </w:tc>
      </w:tr>
      <w:tr w:rsidR="00000000">
        <w:tblPrEx>
          <w:tblCellMar>
            <w:top w:w="0" w:type="dxa"/>
            <w:bottom w:w="0" w:type="dxa"/>
          </w:tblCellMar>
        </w:tblPrEx>
        <w:trPr>
          <w:jc w:val="center"/>
        </w:trPr>
        <w:tc>
          <w:tcPr>
            <w:tcW w:w="1334"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74 и старше</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69,7</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100,0</w:t>
            </w:r>
          </w:p>
        </w:tc>
        <w:tc>
          <w:tcPr>
            <w:tcW w:w="734"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118,0</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143</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169</w:t>
            </w:r>
          </w:p>
        </w:tc>
      </w:tr>
      <w:tr w:rsidR="00000000">
        <w:tblPrEx>
          <w:tblCellMar>
            <w:top w:w="0" w:type="dxa"/>
            <w:bottom w:w="0" w:type="dxa"/>
          </w:tblCellMar>
        </w:tblPrEx>
        <w:trPr>
          <w:jc w:val="center"/>
        </w:trPr>
        <w:tc>
          <w:tcPr>
            <w:tcW w:w="1334" w:type="pct"/>
            <w:tcBorders>
              <w:top w:val="nil"/>
            </w:tcBorders>
          </w:tcPr>
          <w:p w:rsidR="00000000" w:rsidRDefault="00000000">
            <w:pPr>
              <w:tabs>
                <w:tab w:val="clear" w:pos="567"/>
                <w:tab w:val="clear" w:pos="1701"/>
                <w:tab w:val="clear" w:pos="2268"/>
                <w:tab w:val="clear" w:pos="6237"/>
                <w:tab w:val="left" w:pos="680"/>
                <w:tab w:val="left" w:pos="1134"/>
              </w:tabs>
              <w:spacing w:before="40" w:after="40" w:line="240" w:lineRule="auto"/>
              <w:rPr>
                <w:b/>
                <w:bCs/>
                <w:sz w:val="20"/>
              </w:rPr>
            </w:pPr>
            <w:r>
              <w:rPr>
                <w:b/>
                <w:bCs/>
                <w:sz w:val="20"/>
              </w:rPr>
              <w:t>Всего</w:t>
            </w:r>
          </w:p>
        </w:tc>
        <w:tc>
          <w:tcPr>
            <w:tcW w:w="733" w:type="pct"/>
            <w:tcBorders>
              <w:top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b/>
                <w:bCs/>
                <w:sz w:val="20"/>
              </w:rPr>
            </w:pPr>
            <w:r>
              <w:rPr>
                <w:b/>
                <w:bCs/>
                <w:sz w:val="20"/>
              </w:rPr>
              <w:t>140,5</w:t>
            </w:r>
          </w:p>
        </w:tc>
        <w:tc>
          <w:tcPr>
            <w:tcW w:w="733" w:type="pct"/>
            <w:tcBorders>
              <w:top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b/>
                <w:bCs/>
                <w:sz w:val="20"/>
              </w:rPr>
            </w:pPr>
            <w:r>
              <w:rPr>
                <w:b/>
                <w:bCs/>
                <w:sz w:val="20"/>
              </w:rPr>
              <w:t>163,6</w:t>
            </w:r>
          </w:p>
        </w:tc>
        <w:tc>
          <w:tcPr>
            <w:tcW w:w="734" w:type="pct"/>
            <w:tcBorders>
              <w:top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b/>
                <w:bCs/>
                <w:sz w:val="20"/>
              </w:rPr>
            </w:pPr>
            <w:r>
              <w:rPr>
                <w:b/>
                <w:bCs/>
                <w:sz w:val="20"/>
              </w:rPr>
              <w:t>195,4</w:t>
            </w:r>
          </w:p>
        </w:tc>
        <w:tc>
          <w:tcPr>
            <w:tcW w:w="733" w:type="pct"/>
            <w:tcBorders>
              <w:top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b/>
                <w:bCs/>
                <w:sz w:val="20"/>
              </w:rPr>
            </w:pPr>
            <w:r>
              <w:rPr>
                <w:b/>
                <w:bCs/>
                <w:sz w:val="20"/>
              </w:rPr>
              <w:t>116</w:t>
            </w:r>
          </w:p>
        </w:tc>
        <w:tc>
          <w:tcPr>
            <w:tcW w:w="733" w:type="pct"/>
            <w:tcBorders>
              <w:top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b/>
                <w:bCs/>
                <w:sz w:val="20"/>
              </w:rPr>
            </w:pPr>
            <w:r>
              <w:rPr>
                <w:b/>
                <w:bCs/>
                <w:sz w:val="20"/>
              </w:rPr>
              <w:t>139</w:t>
            </w:r>
          </w:p>
        </w:tc>
      </w:tr>
    </w:tbl>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br w:type="page"/>
        <w:t>272.</w:t>
      </w:r>
      <w:r>
        <w:rPr>
          <w:sz w:val="23"/>
        </w:rPr>
        <w:tab/>
        <w:t>С 1990 по 1999 год личный доход увеличился на 39%. В более старших возрастных группах наблюдалось более значительное увеличение личного дохода по сравнению с более младшими возрастными группами.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t>Таблица 16</w:t>
      </w: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t>Средний личный доход с разбивкой по полу</w:t>
      </w:r>
    </w:p>
    <w:p w:rsidR="00000000" w:rsidRDefault="00000000">
      <w:pPr>
        <w:tabs>
          <w:tab w:val="clear" w:pos="567"/>
          <w:tab w:val="clear" w:pos="1701"/>
          <w:tab w:val="clear" w:pos="2268"/>
          <w:tab w:val="clear" w:pos="6237"/>
          <w:tab w:val="left" w:pos="680"/>
          <w:tab w:val="left" w:pos="1134"/>
        </w:tabs>
        <w:spacing w:line="240" w:lineRule="auto"/>
        <w:rPr>
          <w:b/>
          <w:bCs/>
          <w:sz w:val="23"/>
        </w:rPr>
      </w:pPr>
    </w:p>
    <w:tbl>
      <w:tblPr>
        <w:tblW w:w="4360" w:type="pct"/>
        <w:jc w:val="cente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000" w:firstRow="0" w:lastRow="0" w:firstColumn="0" w:lastColumn="0" w:noHBand="0" w:noVBand="0"/>
      </w:tblPr>
      <w:tblGrid>
        <w:gridCol w:w="2268"/>
        <w:gridCol w:w="1246"/>
        <w:gridCol w:w="1247"/>
        <w:gridCol w:w="1248"/>
        <w:gridCol w:w="1247"/>
        <w:gridCol w:w="1247"/>
      </w:tblGrid>
      <w:tr w:rsidR="00000000">
        <w:tblPrEx>
          <w:tblCellMar>
            <w:top w:w="0" w:type="dxa"/>
            <w:bottom w:w="0" w:type="dxa"/>
          </w:tblCellMar>
        </w:tblPrEx>
        <w:trPr>
          <w:cantSplit/>
          <w:jc w:val="center"/>
        </w:trPr>
        <w:tc>
          <w:tcPr>
            <w:tcW w:w="1334" w:type="pct"/>
            <w:vMerge w:val="restart"/>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p>
        </w:tc>
        <w:tc>
          <w:tcPr>
            <w:tcW w:w="733" w:type="pct"/>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 xml:space="preserve">1990 </w:t>
            </w:r>
          </w:p>
        </w:tc>
        <w:tc>
          <w:tcPr>
            <w:tcW w:w="733" w:type="pct"/>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 xml:space="preserve">1994 </w:t>
            </w:r>
          </w:p>
        </w:tc>
        <w:tc>
          <w:tcPr>
            <w:tcW w:w="734" w:type="pct"/>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 xml:space="preserve">1999 </w:t>
            </w:r>
          </w:p>
        </w:tc>
        <w:tc>
          <w:tcPr>
            <w:tcW w:w="733" w:type="pct"/>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 xml:space="preserve">1994 </w:t>
            </w:r>
          </w:p>
        </w:tc>
        <w:tc>
          <w:tcPr>
            <w:tcW w:w="733" w:type="pct"/>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 xml:space="preserve">1999 </w:t>
            </w:r>
          </w:p>
        </w:tc>
      </w:tr>
      <w:tr w:rsidR="00000000">
        <w:tblPrEx>
          <w:tblCellMar>
            <w:top w:w="0" w:type="dxa"/>
            <w:bottom w:w="0" w:type="dxa"/>
          </w:tblCellMar>
        </w:tblPrEx>
        <w:trPr>
          <w:cantSplit/>
          <w:jc w:val="center"/>
        </w:trPr>
        <w:tc>
          <w:tcPr>
            <w:tcW w:w="1334" w:type="pct"/>
            <w:vMerge/>
            <w:tcBorders>
              <w:bottom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0"/>
              </w:rPr>
            </w:pPr>
          </w:p>
        </w:tc>
        <w:tc>
          <w:tcPr>
            <w:tcW w:w="2200" w:type="pct"/>
            <w:gridSpan w:val="3"/>
            <w:tcBorders>
              <w:bottom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в тыс. датских крон</w:t>
            </w:r>
          </w:p>
        </w:tc>
        <w:tc>
          <w:tcPr>
            <w:tcW w:w="1467" w:type="pct"/>
            <w:gridSpan w:val="2"/>
            <w:tcBorders>
              <w:bottom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индекс (1990 = 100)</w:t>
            </w:r>
          </w:p>
        </w:tc>
      </w:tr>
      <w:tr w:rsidR="00000000">
        <w:tblPrEx>
          <w:tblCellMar>
            <w:top w:w="0" w:type="dxa"/>
            <w:bottom w:w="0" w:type="dxa"/>
          </w:tblCellMar>
        </w:tblPrEx>
        <w:trPr>
          <w:jc w:val="center"/>
        </w:trPr>
        <w:tc>
          <w:tcPr>
            <w:tcW w:w="1334" w:type="pct"/>
            <w:tcBorders>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0"/>
              </w:rPr>
            </w:pPr>
            <w:r>
              <w:rPr>
                <w:sz w:val="20"/>
              </w:rPr>
              <w:t>Мужчины</w:t>
            </w:r>
          </w:p>
        </w:tc>
        <w:tc>
          <w:tcPr>
            <w:tcW w:w="733" w:type="pct"/>
            <w:tcBorders>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171,3</w:t>
            </w:r>
          </w:p>
        </w:tc>
        <w:tc>
          <w:tcPr>
            <w:tcW w:w="733" w:type="pct"/>
            <w:tcBorders>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194,6</w:t>
            </w:r>
          </w:p>
        </w:tc>
        <w:tc>
          <w:tcPr>
            <w:tcW w:w="734" w:type="pct"/>
            <w:tcBorders>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231,9</w:t>
            </w:r>
          </w:p>
        </w:tc>
        <w:tc>
          <w:tcPr>
            <w:tcW w:w="733" w:type="pct"/>
            <w:tcBorders>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114</w:t>
            </w:r>
          </w:p>
        </w:tc>
        <w:tc>
          <w:tcPr>
            <w:tcW w:w="733" w:type="pct"/>
            <w:tcBorders>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135</w:t>
            </w:r>
          </w:p>
        </w:tc>
      </w:tr>
      <w:tr w:rsidR="00000000">
        <w:tblPrEx>
          <w:tblCellMar>
            <w:top w:w="0" w:type="dxa"/>
            <w:bottom w:w="0" w:type="dxa"/>
          </w:tblCellMar>
        </w:tblPrEx>
        <w:trPr>
          <w:jc w:val="center"/>
        </w:trPr>
        <w:tc>
          <w:tcPr>
            <w:tcW w:w="1334"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0"/>
              </w:rPr>
            </w:pPr>
            <w:r>
              <w:rPr>
                <w:sz w:val="20"/>
              </w:rPr>
              <w:t>Женщины</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111,0</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133,9</w:t>
            </w:r>
          </w:p>
        </w:tc>
        <w:tc>
          <w:tcPr>
            <w:tcW w:w="734"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160,4</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121</w:t>
            </w:r>
          </w:p>
        </w:tc>
        <w:tc>
          <w:tcPr>
            <w:tcW w:w="733"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144</w:t>
            </w:r>
          </w:p>
        </w:tc>
      </w:tr>
      <w:tr w:rsidR="00000000">
        <w:tblPrEx>
          <w:tblCellMar>
            <w:top w:w="0" w:type="dxa"/>
            <w:bottom w:w="0" w:type="dxa"/>
          </w:tblCellMar>
        </w:tblPrEx>
        <w:trPr>
          <w:jc w:val="center"/>
        </w:trPr>
        <w:tc>
          <w:tcPr>
            <w:tcW w:w="1334" w:type="pct"/>
            <w:tcBorders>
              <w:top w:val="nil"/>
            </w:tcBorders>
          </w:tcPr>
          <w:p w:rsidR="00000000" w:rsidRDefault="00000000">
            <w:pPr>
              <w:tabs>
                <w:tab w:val="clear" w:pos="567"/>
                <w:tab w:val="clear" w:pos="1701"/>
                <w:tab w:val="clear" w:pos="2268"/>
                <w:tab w:val="clear" w:pos="6237"/>
                <w:tab w:val="left" w:pos="680"/>
                <w:tab w:val="left" w:pos="1134"/>
              </w:tabs>
              <w:spacing w:before="40" w:after="40" w:line="240" w:lineRule="auto"/>
              <w:rPr>
                <w:b/>
                <w:bCs/>
                <w:sz w:val="20"/>
              </w:rPr>
            </w:pPr>
            <w:r>
              <w:rPr>
                <w:b/>
                <w:bCs/>
                <w:sz w:val="20"/>
              </w:rPr>
              <w:t>Всего</w:t>
            </w:r>
          </w:p>
        </w:tc>
        <w:tc>
          <w:tcPr>
            <w:tcW w:w="733" w:type="pct"/>
            <w:tcBorders>
              <w:top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b/>
                <w:bCs/>
                <w:sz w:val="20"/>
              </w:rPr>
            </w:pPr>
            <w:r>
              <w:rPr>
                <w:b/>
                <w:bCs/>
                <w:sz w:val="20"/>
              </w:rPr>
              <w:t>140,5</w:t>
            </w:r>
          </w:p>
        </w:tc>
        <w:tc>
          <w:tcPr>
            <w:tcW w:w="733" w:type="pct"/>
            <w:tcBorders>
              <w:top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b/>
                <w:bCs/>
                <w:sz w:val="20"/>
              </w:rPr>
            </w:pPr>
            <w:r>
              <w:rPr>
                <w:b/>
                <w:bCs/>
                <w:sz w:val="20"/>
              </w:rPr>
              <w:t>163,6</w:t>
            </w:r>
          </w:p>
        </w:tc>
        <w:tc>
          <w:tcPr>
            <w:tcW w:w="734" w:type="pct"/>
            <w:tcBorders>
              <w:top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b/>
                <w:bCs/>
                <w:sz w:val="20"/>
              </w:rPr>
            </w:pPr>
            <w:r>
              <w:rPr>
                <w:b/>
                <w:bCs/>
                <w:sz w:val="20"/>
              </w:rPr>
              <w:t>195,4</w:t>
            </w:r>
          </w:p>
        </w:tc>
        <w:tc>
          <w:tcPr>
            <w:tcW w:w="733" w:type="pct"/>
            <w:tcBorders>
              <w:top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b/>
                <w:bCs/>
                <w:sz w:val="20"/>
              </w:rPr>
            </w:pPr>
            <w:r>
              <w:rPr>
                <w:b/>
                <w:bCs/>
                <w:sz w:val="20"/>
              </w:rPr>
              <w:t>116</w:t>
            </w:r>
          </w:p>
        </w:tc>
        <w:tc>
          <w:tcPr>
            <w:tcW w:w="733" w:type="pct"/>
            <w:tcBorders>
              <w:top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b/>
                <w:bCs/>
                <w:sz w:val="20"/>
              </w:rPr>
            </w:pPr>
            <w:r>
              <w:rPr>
                <w:b/>
                <w:bCs/>
                <w:sz w:val="20"/>
              </w:rPr>
              <w:t>139</w:t>
            </w:r>
          </w:p>
        </w:tc>
      </w:tr>
    </w:tbl>
    <w:p w:rsidR="00000000" w:rsidRDefault="00000000">
      <w:pPr>
        <w:pStyle w:val="FootnoteText"/>
        <w:tabs>
          <w:tab w:val="clear" w:pos="567"/>
          <w:tab w:val="clear" w:pos="1701"/>
          <w:tab w:val="clear" w:pos="2268"/>
          <w:tab w:val="clear" w:pos="6237"/>
          <w:tab w:val="left" w:pos="680"/>
          <w:tab w:val="left" w:pos="1134"/>
        </w:tabs>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273.</w:t>
      </w:r>
      <w:r>
        <w:rPr>
          <w:sz w:val="23"/>
        </w:rPr>
        <w:tab/>
        <w:t>Личный доход женщин ниже, чем у мужчин, однако рост их личного дохода был выше, чем у мужчин.</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t>Таблица 17</w:t>
      </w: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t>Количество получателей доходов от программ компенсации</w:t>
      </w:r>
    </w:p>
    <w:p w:rsidR="00000000" w:rsidRDefault="00000000">
      <w:pPr>
        <w:pStyle w:val="FootnoteText"/>
        <w:tabs>
          <w:tab w:val="clear" w:pos="567"/>
          <w:tab w:val="clear" w:pos="1701"/>
          <w:tab w:val="clear" w:pos="2268"/>
          <w:tab w:val="clear" w:pos="6237"/>
          <w:tab w:val="left" w:pos="680"/>
          <w:tab w:val="left" w:pos="1134"/>
        </w:tabs>
        <w:rPr>
          <w:sz w:val="23"/>
        </w:rPr>
      </w:pPr>
    </w:p>
    <w:tbl>
      <w:tblPr>
        <w:tblW w:w="0" w:type="auto"/>
        <w:jc w:val="cente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000" w:firstRow="0" w:lastRow="0" w:firstColumn="0" w:lastColumn="0" w:noHBand="0" w:noVBand="0"/>
      </w:tblPr>
      <w:tblGrid>
        <w:gridCol w:w="2835"/>
        <w:gridCol w:w="1247"/>
        <w:gridCol w:w="1247"/>
        <w:gridCol w:w="1247"/>
      </w:tblGrid>
      <w:tr w:rsidR="00000000">
        <w:tblPrEx>
          <w:tblCellMar>
            <w:top w:w="0" w:type="dxa"/>
            <w:bottom w:w="0" w:type="dxa"/>
          </w:tblCellMar>
        </w:tblPrEx>
        <w:trPr>
          <w:jc w:val="center"/>
        </w:trPr>
        <w:tc>
          <w:tcPr>
            <w:tcW w:w="2835" w:type="dxa"/>
          </w:tcPr>
          <w:p w:rsidR="00000000" w:rsidRDefault="00000000">
            <w:pPr>
              <w:tabs>
                <w:tab w:val="clear" w:pos="567"/>
                <w:tab w:val="clear" w:pos="1701"/>
                <w:tab w:val="clear" w:pos="2268"/>
                <w:tab w:val="clear" w:pos="6237"/>
                <w:tab w:val="left" w:pos="680"/>
                <w:tab w:val="left" w:pos="1134"/>
              </w:tabs>
              <w:spacing w:before="40" w:after="40" w:line="240" w:lineRule="auto"/>
              <w:rPr>
                <w:sz w:val="20"/>
              </w:rPr>
            </w:pPr>
          </w:p>
        </w:tc>
        <w:tc>
          <w:tcPr>
            <w:tcW w:w="1247"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1990</w:t>
            </w:r>
          </w:p>
        </w:tc>
        <w:tc>
          <w:tcPr>
            <w:tcW w:w="1247"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1994</w:t>
            </w:r>
          </w:p>
        </w:tc>
        <w:tc>
          <w:tcPr>
            <w:tcW w:w="1247" w:type="dxa"/>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1999</w:t>
            </w:r>
          </w:p>
        </w:tc>
      </w:tr>
      <w:tr w:rsidR="00000000">
        <w:tblPrEx>
          <w:tblCellMar>
            <w:top w:w="0" w:type="dxa"/>
            <w:bottom w:w="0" w:type="dxa"/>
          </w:tblCellMar>
        </w:tblPrEx>
        <w:trPr>
          <w:jc w:val="center"/>
        </w:trPr>
        <w:tc>
          <w:tcPr>
            <w:tcW w:w="2835" w:type="dxa"/>
            <w:tcBorders>
              <w:bottom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b/>
                <w:bCs/>
                <w:sz w:val="20"/>
              </w:rPr>
            </w:pPr>
            <w:r>
              <w:rPr>
                <w:b/>
                <w:bCs/>
                <w:sz w:val="20"/>
              </w:rPr>
              <w:t>Получатели (в тыс.)</w:t>
            </w:r>
          </w:p>
        </w:tc>
        <w:tc>
          <w:tcPr>
            <w:tcW w:w="1247" w:type="dxa"/>
            <w:tcBorders>
              <w:bottom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b/>
                <w:bCs/>
                <w:sz w:val="20"/>
              </w:rPr>
            </w:pPr>
            <w:r>
              <w:rPr>
                <w:b/>
                <w:bCs/>
                <w:sz w:val="20"/>
              </w:rPr>
              <w:t>2 151</w:t>
            </w:r>
          </w:p>
        </w:tc>
        <w:tc>
          <w:tcPr>
            <w:tcW w:w="1247" w:type="dxa"/>
            <w:tcBorders>
              <w:bottom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b/>
                <w:bCs/>
                <w:sz w:val="20"/>
              </w:rPr>
            </w:pPr>
            <w:r>
              <w:rPr>
                <w:b/>
                <w:bCs/>
                <w:sz w:val="20"/>
              </w:rPr>
              <w:t>2 272</w:t>
            </w:r>
          </w:p>
        </w:tc>
        <w:tc>
          <w:tcPr>
            <w:tcW w:w="1247" w:type="dxa"/>
            <w:tcBorders>
              <w:bottom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b/>
                <w:bCs/>
                <w:sz w:val="20"/>
              </w:rPr>
            </w:pPr>
            <w:r>
              <w:rPr>
                <w:b/>
                <w:bCs/>
                <w:sz w:val="20"/>
              </w:rPr>
              <w:t>2 214</w:t>
            </w:r>
          </w:p>
        </w:tc>
      </w:tr>
      <w:tr w:rsidR="00000000">
        <w:tblPrEx>
          <w:tblCellMar>
            <w:top w:w="0" w:type="dxa"/>
            <w:bottom w:w="0" w:type="dxa"/>
          </w:tblCellMar>
        </w:tblPrEx>
        <w:trPr>
          <w:cantSplit/>
          <w:jc w:val="center"/>
        </w:trPr>
        <w:tc>
          <w:tcPr>
            <w:tcW w:w="2835" w:type="dxa"/>
            <w:tcBorders>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rPr>
                <w:b/>
                <w:bCs/>
                <w:sz w:val="20"/>
              </w:rPr>
            </w:pPr>
            <w:r>
              <w:rPr>
                <w:b/>
                <w:bCs/>
                <w:sz w:val="20"/>
              </w:rPr>
              <w:t>Пол</w:t>
            </w:r>
          </w:p>
        </w:tc>
        <w:tc>
          <w:tcPr>
            <w:tcW w:w="3741" w:type="dxa"/>
            <w:gridSpan w:val="3"/>
            <w:tcBorders>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доля получателей в процентах</w:t>
            </w:r>
          </w:p>
        </w:tc>
      </w:tr>
      <w:tr w:rsidR="00000000">
        <w:tblPrEx>
          <w:tblCellMar>
            <w:top w:w="0" w:type="dxa"/>
            <w:bottom w:w="0" w:type="dxa"/>
          </w:tblCellMar>
        </w:tblPrEx>
        <w:trPr>
          <w:jc w:val="center"/>
        </w:trPr>
        <w:tc>
          <w:tcPr>
            <w:tcW w:w="2835"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0"/>
              </w:rPr>
            </w:pPr>
            <w:r>
              <w:rPr>
                <w:sz w:val="20"/>
              </w:rPr>
              <w:t>женщины</w:t>
            </w:r>
          </w:p>
        </w:tc>
        <w:tc>
          <w:tcPr>
            <w:tcW w:w="1247"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54,5</w:t>
            </w:r>
          </w:p>
        </w:tc>
        <w:tc>
          <w:tcPr>
            <w:tcW w:w="1247"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54,4</w:t>
            </w:r>
          </w:p>
        </w:tc>
        <w:tc>
          <w:tcPr>
            <w:tcW w:w="1247"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55,3</w:t>
            </w:r>
          </w:p>
        </w:tc>
      </w:tr>
      <w:tr w:rsidR="00000000">
        <w:tblPrEx>
          <w:tblCellMar>
            <w:top w:w="0" w:type="dxa"/>
            <w:bottom w:w="0" w:type="dxa"/>
          </w:tblCellMar>
        </w:tblPrEx>
        <w:trPr>
          <w:jc w:val="center"/>
        </w:trPr>
        <w:tc>
          <w:tcPr>
            <w:tcW w:w="2835" w:type="dxa"/>
            <w:tcBorders>
              <w:top w:val="nil"/>
              <w:bottom w:val="nil"/>
            </w:tcBorders>
          </w:tcPr>
          <w:p w:rsidR="00000000" w:rsidRDefault="00000000">
            <w:pPr>
              <w:pStyle w:val="FootnoteText"/>
              <w:tabs>
                <w:tab w:val="clear" w:pos="567"/>
                <w:tab w:val="clear" w:pos="1701"/>
                <w:tab w:val="clear" w:pos="2268"/>
                <w:tab w:val="clear" w:pos="6237"/>
                <w:tab w:val="left" w:pos="680"/>
                <w:tab w:val="left" w:pos="1134"/>
              </w:tabs>
              <w:spacing w:before="40" w:after="40"/>
              <w:rPr>
                <w:sz w:val="20"/>
              </w:rPr>
            </w:pPr>
            <w:r>
              <w:rPr>
                <w:sz w:val="20"/>
              </w:rPr>
              <w:t>мужчины</w:t>
            </w:r>
          </w:p>
        </w:tc>
        <w:tc>
          <w:tcPr>
            <w:tcW w:w="1247"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45,5</w:t>
            </w:r>
          </w:p>
        </w:tc>
        <w:tc>
          <w:tcPr>
            <w:tcW w:w="1247"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45,6</w:t>
            </w:r>
          </w:p>
        </w:tc>
        <w:tc>
          <w:tcPr>
            <w:tcW w:w="1247"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44,7</w:t>
            </w:r>
          </w:p>
        </w:tc>
      </w:tr>
      <w:tr w:rsidR="00000000">
        <w:tblPrEx>
          <w:tblCellMar>
            <w:top w:w="0" w:type="dxa"/>
            <w:bottom w:w="0" w:type="dxa"/>
          </w:tblCellMar>
        </w:tblPrEx>
        <w:trPr>
          <w:jc w:val="center"/>
        </w:trPr>
        <w:tc>
          <w:tcPr>
            <w:tcW w:w="2835"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rPr>
                <w:b/>
                <w:bCs/>
                <w:sz w:val="20"/>
              </w:rPr>
            </w:pPr>
            <w:r>
              <w:rPr>
                <w:b/>
                <w:bCs/>
                <w:sz w:val="20"/>
              </w:rPr>
              <w:t>Возраст</w:t>
            </w:r>
          </w:p>
        </w:tc>
        <w:tc>
          <w:tcPr>
            <w:tcW w:w="1247"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p>
        </w:tc>
        <w:tc>
          <w:tcPr>
            <w:tcW w:w="1247"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p>
        </w:tc>
        <w:tc>
          <w:tcPr>
            <w:tcW w:w="1247"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p>
        </w:tc>
      </w:tr>
      <w:tr w:rsidR="00000000">
        <w:tblPrEx>
          <w:tblCellMar>
            <w:top w:w="0" w:type="dxa"/>
            <w:bottom w:w="0" w:type="dxa"/>
          </w:tblCellMar>
        </w:tblPrEx>
        <w:trPr>
          <w:jc w:val="center"/>
        </w:trPr>
        <w:tc>
          <w:tcPr>
            <w:tcW w:w="2835"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0"/>
              </w:rPr>
            </w:pPr>
            <w:r>
              <w:rPr>
                <w:sz w:val="20"/>
              </w:rPr>
              <w:t>18–24</w:t>
            </w:r>
          </w:p>
        </w:tc>
        <w:tc>
          <w:tcPr>
            <w:tcW w:w="1247"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10,9</w:t>
            </w:r>
          </w:p>
        </w:tc>
        <w:tc>
          <w:tcPr>
            <w:tcW w:w="1247"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10,0</w:t>
            </w:r>
          </w:p>
        </w:tc>
        <w:tc>
          <w:tcPr>
            <w:tcW w:w="1247"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6,4</w:t>
            </w:r>
          </w:p>
        </w:tc>
      </w:tr>
      <w:tr w:rsidR="00000000">
        <w:tblPrEx>
          <w:tblCellMar>
            <w:top w:w="0" w:type="dxa"/>
            <w:bottom w:w="0" w:type="dxa"/>
          </w:tblCellMar>
        </w:tblPrEx>
        <w:trPr>
          <w:jc w:val="center"/>
        </w:trPr>
        <w:tc>
          <w:tcPr>
            <w:tcW w:w="2835"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0"/>
              </w:rPr>
            </w:pPr>
            <w:r>
              <w:rPr>
                <w:sz w:val="20"/>
              </w:rPr>
              <w:t>25–39</w:t>
            </w:r>
          </w:p>
        </w:tc>
        <w:tc>
          <w:tcPr>
            <w:tcW w:w="1247"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22,8</w:t>
            </w:r>
          </w:p>
        </w:tc>
        <w:tc>
          <w:tcPr>
            <w:tcW w:w="1247"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24,0</w:t>
            </w:r>
          </w:p>
        </w:tc>
        <w:tc>
          <w:tcPr>
            <w:tcW w:w="1247"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23,8</w:t>
            </w:r>
          </w:p>
        </w:tc>
      </w:tr>
      <w:tr w:rsidR="00000000">
        <w:tblPrEx>
          <w:tblCellMar>
            <w:top w:w="0" w:type="dxa"/>
            <w:bottom w:w="0" w:type="dxa"/>
          </w:tblCellMar>
        </w:tblPrEx>
        <w:trPr>
          <w:jc w:val="center"/>
        </w:trPr>
        <w:tc>
          <w:tcPr>
            <w:tcW w:w="2835"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0"/>
              </w:rPr>
            </w:pPr>
            <w:r>
              <w:rPr>
                <w:sz w:val="20"/>
              </w:rPr>
              <w:t>40–59</w:t>
            </w:r>
          </w:p>
        </w:tc>
        <w:tc>
          <w:tcPr>
            <w:tcW w:w="1247"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20,2</w:t>
            </w:r>
          </w:p>
        </w:tc>
        <w:tc>
          <w:tcPr>
            <w:tcW w:w="1247"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22,1</w:t>
            </w:r>
          </w:p>
        </w:tc>
        <w:tc>
          <w:tcPr>
            <w:tcW w:w="1247"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24,0</w:t>
            </w:r>
          </w:p>
        </w:tc>
      </w:tr>
      <w:tr w:rsidR="00000000">
        <w:tblPrEx>
          <w:tblCellMar>
            <w:top w:w="0" w:type="dxa"/>
            <w:bottom w:w="0" w:type="dxa"/>
          </w:tblCellMar>
        </w:tblPrEx>
        <w:trPr>
          <w:jc w:val="center"/>
        </w:trPr>
        <w:tc>
          <w:tcPr>
            <w:tcW w:w="2835"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0"/>
              </w:rPr>
            </w:pPr>
            <w:r>
              <w:rPr>
                <w:sz w:val="20"/>
              </w:rPr>
              <w:t>60–66</w:t>
            </w:r>
          </w:p>
        </w:tc>
        <w:tc>
          <w:tcPr>
            <w:tcW w:w="1247"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11,0</w:t>
            </w:r>
          </w:p>
        </w:tc>
        <w:tc>
          <w:tcPr>
            <w:tcW w:w="1247"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10,4</w:t>
            </w:r>
          </w:p>
        </w:tc>
        <w:tc>
          <w:tcPr>
            <w:tcW w:w="1247"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11,7</w:t>
            </w:r>
          </w:p>
        </w:tc>
      </w:tr>
      <w:tr w:rsidR="00000000">
        <w:tblPrEx>
          <w:tblCellMar>
            <w:top w:w="0" w:type="dxa"/>
            <w:bottom w:w="0" w:type="dxa"/>
          </w:tblCellMar>
        </w:tblPrEx>
        <w:trPr>
          <w:jc w:val="center"/>
        </w:trPr>
        <w:tc>
          <w:tcPr>
            <w:tcW w:w="2835"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0"/>
              </w:rPr>
            </w:pPr>
            <w:r>
              <w:rPr>
                <w:sz w:val="20"/>
              </w:rPr>
              <w:t>67 и старше</w:t>
            </w:r>
          </w:p>
        </w:tc>
        <w:tc>
          <w:tcPr>
            <w:tcW w:w="1247"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35,1</w:t>
            </w:r>
          </w:p>
        </w:tc>
        <w:tc>
          <w:tcPr>
            <w:tcW w:w="1247"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33,5</w:t>
            </w:r>
          </w:p>
        </w:tc>
        <w:tc>
          <w:tcPr>
            <w:tcW w:w="1247"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34,1</w:t>
            </w:r>
          </w:p>
        </w:tc>
      </w:tr>
      <w:tr w:rsidR="00000000">
        <w:tblPrEx>
          <w:tblCellMar>
            <w:top w:w="0" w:type="dxa"/>
            <w:bottom w:w="0" w:type="dxa"/>
          </w:tblCellMar>
        </w:tblPrEx>
        <w:trPr>
          <w:jc w:val="center"/>
        </w:trPr>
        <w:tc>
          <w:tcPr>
            <w:tcW w:w="2835"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rPr>
                <w:b/>
                <w:bCs/>
                <w:sz w:val="20"/>
              </w:rPr>
            </w:pPr>
            <w:r>
              <w:rPr>
                <w:b/>
                <w:bCs/>
                <w:sz w:val="20"/>
              </w:rPr>
              <w:t>Основное пособие</w:t>
            </w:r>
          </w:p>
        </w:tc>
        <w:tc>
          <w:tcPr>
            <w:tcW w:w="1247"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p>
        </w:tc>
        <w:tc>
          <w:tcPr>
            <w:tcW w:w="1247"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p>
        </w:tc>
        <w:tc>
          <w:tcPr>
            <w:tcW w:w="1247"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p>
        </w:tc>
      </w:tr>
      <w:tr w:rsidR="00000000">
        <w:tblPrEx>
          <w:tblCellMar>
            <w:top w:w="0" w:type="dxa"/>
            <w:bottom w:w="0" w:type="dxa"/>
          </w:tblCellMar>
        </w:tblPrEx>
        <w:trPr>
          <w:jc w:val="center"/>
        </w:trPr>
        <w:tc>
          <w:tcPr>
            <w:tcW w:w="2835"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0"/>
              </w:rPr>
            </w:pPr>
            <w:r>
              <w:rPr>
                <w:sz w:val="20"/>
              </w:rPr>
              <w:t>временное</w:t>
            </w:r>
          </w:p>
        </w:tc>
        <w:tc>
          <w:tcPr>
            <w:tcW w:w="1247"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48,1</w:t>
            </w:r>
          </w:p>
        </w:tc>
        <w:tc>
          <w:tcPr>
            <w:tcW w:w="1247"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49,8</w:t>
            </w:r>
          </w:p>
        </w:tc>
        <w:tc>
          <w:tcPr>
            <w:tcW w:w="1247"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45,8</w:t>
            </w:r>
          </w:p>
        </w:tc>
      </w:tr>
      <w:tr w:rsidR="00000000">
        <w:tblPrEx>
          <w:tblCellMar>
            <w:top w:w="0" w:type="dxa"/>
            <w:bottom w:w="0" w:type="dxa"/>
          </w:tblCellMar>
        </w:tblPrEx>
        <w:trPr>
          <w:jc w:val="center"/>
        </w:trPr>
        <w:tc>
          <w:tcPr>
            <w:tcW w:w="2835" w:type="dxa"/>
            <w:tcBorders>
              <w:top w:val="nil"/>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0"/>
              </w:rPr>
            </w:pPr>
            <w:r>
              <w:rPr>
                <w:sz w:val="20"/>
              </w:rPr>
              <w:t>постоянное</w:t>
            </w:r>
          </w:p>
        </w:tc>
        <w:tc>
          <w:tcPr>
            <w:tcW w:w="1247" w:type="dxa"/>
            <w:tcBorders>
              <w:top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51,9</w:t>
            </w:r>
          </w:p>
        </w:tc>
        <w:tc>
          <w:tcPr>
            <w:tcW w:w="1247" w:type="dxa"/>
            <w:tcBorders>
              <w:top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50,2</w:t>
            </w:r>
          </w:p>
        </w:tc>
        <w:tc>
          <w:tcPr>
            <w:tcW w:w="1247" w:type="dxa"/>
            <w:tcBorders>
              <w:top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54,2</w:t>
            </w:r>
          </w:p>
        </w:tc>
      </w:tr>
    </w:tbl>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274.</w:t>
      </w:r>
      <w:r>
        <w:rPr>
          <w:sz w:val="23"/>
        </w:rPr>
        <w:tab/>
        <w:t>Количество лиц, пользующихся льготами программ компенсации доходов, является довольно постоянным. В составе лиц, получающих доходы от программ компенсации доходов, преобладают женщины. Количество молодых людей, получающих доходы от программ компенсации доходов, сократилось. Возросла доля лиц, получающих постоянные пособия. Это объясняется увеличением количества лиц, получающих пособие по раннему выходу на пенсию.</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r>
        <w:br w:type="page"/>
      </w:r>
      <w:bookmarkStart w:id="246" w:name="_Toc51496920"/>
      <w:bookmarkStart w:id="247" w:name="_Toc51497087"/>
      <w:bookmarkStart w:id="248" w:name="_Toc51497612"/>
      <w:r>
        <w:t>Пункт 42 с) руководящих принципов: Нищета</w:t>
      </w:r>
      <w:bookmarkEnd w:id="246"/>
      <w:bookmarkEnd w:id="247"/>
      <w:bookmarkEnd w:id="248"/>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275.</w:t>
      </w:r>
      <w:r>
        <w:rPr>
          <w:sz w:val="23"/>
        </w:rPr>
        <w:tab/>
        <w:t>В Дании не существует официально установленного порога нищеты. Если использовать в качестве порога нищеты 50-процентый уровень среднего распределяемого дохода, то в 1998 году в Дании насчитывалось 3,1% населения с располагаемым доходом ниже порога нищеты. В 1994 году этот показатель составлял 3,4%. В отношении притока в низкодоходную группу и оттока из нее наблюдается значительная мобильность. Ежегодно эту группу покидает приблизительно 60%.</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249" w:name="_Toc51496921"/>
      <w:bookmarkStart w:id="250" w:name="_Toc51497088"/>
      <w:bookmarkStart w:id="251" w:name="_Toc51497613"/>
      <w:r>
        <w:t xml:space="preserve">Пункт 42 </w:t>
      </w:r>
      <w:r>
        <w:rPr>
          <w:lang w:val="en-US"/>
        </w:rPr>
        <w:t>d</w:t>
      </w:r>
      <w:r>
        <w:t>) руководящих принципов: Индекс физического качества жизни</w:t>
      </w:r>
      <w:bookmarkEnd w:id="249"/>
      <w:bookmarkEnd w:id="250"/>
      <w:bookmarkEnd w:id="251"/>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276.</w:t>
      </w:r>
      <w:r>
        <w:rPr>
          <w:sz w:val="23"/>
        </w:rPr>
        <w:tab/>
        <w:t>В Дании нет официально определенного индекса физического качества жизни.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10"/>
        <w:tabs>
          <w:tab w:val="clear" w:pos="567"/>
          <w:tab w:val="clear" w:pos="1701"/>
          <w:tab w:val="clear" w:pos="2268"/>
          <w:tab w:val="clear" w:pos="6237"/>
          <w:tab w:val="left" w:pos="680"/>
          <w:tab w:val="left" w:pos="1134"/>
        </w:tabs>
        <w:spacing w:line="240" w:lineRule="auto"/>
        <w:rPr>
          <w:bCs/>
          <w:sz w:val="23"/>
        </w:rPr>
      </w:pPr>
      <w:r>
        <w:rPr>
          <w:bCs/>
          <w:sz w:val="23"/>
        </w:rPr>
        <w:t>Таблица 18</w:t>
      </w:r>
    </w:p>
    <w:p w:rsidR="00000000" w:rsidRDefault="00000000">
      <w:pPr>
        <w:pStyle w:val="10"/>
        <w:tabs>
          <w:tab w:val="clear" w:pos="567"/>
          <w:tab w:val="clear" w:pos="1701"/>
          <w:tab w:val="clear" w:pos="2268"/>
          <w:tab w:val="clear" w:pos="6237"/>
          <w:tab w:val="left" w:pos="680"/>
          <w:tab w:val="left" w:pos="1134"/>
        </w:tabs>
        <w:spacing w:line="240" w:lineRule="auto"/>
        <w:rPr>
          <w:bCs/>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t>Ожидаемая продолжительность жизни с разбивкой по полу</w:t>
      </w:r>
    </w:p>
    <w:p w:rsidR="00000000" w:rsidRDefault="00000000">
      <w:pPr>
        <w:tabs>
          <w:tab w:val="clear" w:pos="567"/>
          <w:tab w:val="clear" w:pos="1701"/>
          <w:tab w:val="clear" w:pos="2268"/>
          <w:tab w:val="clear" w:pos="6237"/>
          <w:tab w:val="left" w:pos="680"/>
          <w:tab w:val="left" w:pos="1134"/>
        </w:tabs>
        <w:spacing w:line="240" w:lineRule="auto"/>
        <w:rPr>
          <w:b/>
          <w:bCs/>
          <w:sz w:val="23"/>
        </w:rPr>
      </w:pPr>
    </w:p>
    <w:tbl>
      <w:tblPr>
        <w:tblW w:w="4943" w:type="pct"/>
        <w:jc w:val="cente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000" w:firstRow="0" w:lastRow="0" w:firstColumn="0" w:lastColumn="0" w:noHBand="0" w:noVBand="0"/>
      </w:tblPr>
      <w:tblGrid>
        <w:gridCol w:w="1928"/>
        <w:gridCol w:w="1928"/>
        <w:gridCol w:w="1928"/>
        <w:gridCol w:w="1928"/>
        <w:gridCol w:w="1928"/>
      </w:tblGrid>
      <w:tr w:rsidR="00000000">
        <w:tblPrEx>
          <w:tblCellMar>
            <w:top w:w="0" w:type="dxa"/>
            <w:bottom w:w="0" w:type="dxa"/>
          </w:tblCellMar>
        </w:tblPrEx>
        <w:trPr>
          <w:cantSplit/>
          <w:jc w:val="center"/>
        </w:trPr>
        <w:tc>
          <w:tcPr>
            <w:tcW w:w="1000" w:type="pct"/>
            <w:vMerge w:val="restart"/>
          </w:tcPr>
          <w:p w:rsidR="00000000" w:rsidRDefault="00000000">
            <w:pPr>
              <w:pStyle w:val="FootnoteText"/>
              <w:tabs>
                <w:tab w:val="clear" w:pos="567"/>
                <w:tab w:val="clear" w:pos="1701"/>
                <w:tab w:val="clear" w:pos="2268"/>
                <w:tab w:val="clear" w:pos="6237"/>
                <w:tab w:val="left" w:pos="680"/>
                <w:tab w:val="left" w:pos="1134"/>
              </w:tabs>
              <w:spacing w:before="40" w:after="40"/>
              <w:rPr>
                <w:sz w:val="23"/>
              </w:rPr>
            </w:pPr>
          </w:p>
        </w:tc>
        <w:tc>
          <w:tcPr>
            <w:tcW w:w="2000" w:type="pct"/>
            <w:gridSpan w:val="2"/>
          </w:tcPr>
          <w:p w:rsidR="00000000" w:rsidRDefault="00000000">
            <w:pPr>
              <w:tabs>
                <w:tab w:val="clear" w:pos="567"/>
                <w:tab w:val="clear" w:pos="1701"/>
                <w:tab w:val="clear" w:pos="2268"/>
                <w:tab w:val="clear" w:pos="6237"/>
                <w:tab w:val="left" w:pos="680"/>
                <w:tab w:val="left" w:pos="1134"/>
              </w:tabs>
              <w:spacing w:before="40" w:after="40" w:line="240" w:lineRule="auto"/>
              <w:jc w:val="center"/>
              <w:rPr>
                <w:b/>
                <w:bCs/>
                <w:sz w:val="23"/>
              </w:rPr>
            </w:pPr>
            <w:r>
              <w:rPr>
                <w:b/>
                <w:bCs/>
                <w:sz w:val="23"/>
              </w:rPr>
              <w:t>Женщины</w:t>
            </w:r>
          </w:p>
        </w:tc>
        <w:tc>
          <w:tcPr>
            <w:tcW w:w="2000" w:type="pct"/>
            <w:gridSpan w:val="2"/>
          </w:tcPr>
          <w:p w:rsidR="00000000" w:rsidRDefault="00000000">
            <w:pPr>
              <w:tabs>
                <w:tab w:val="clear" w:pos="567"/>
                <w:tab w:val="clear" w:pos="1701"/>
                <w:tab w:val="clear" w:pos="2268"/>
                <w:tab w:val="clear" w:pos="6237"/>
                <w:tab w:val="left" w:pos="680"/>
                <w:tab w:val="left" w:pos="1134"/>
              </w:tabs>
              <w:spacing w:before="40" w:after="40" w:line="240" w:lineRule="auto"/>
              <w:jc w:val="center"/>
              <w:rPr>
                <w:b/>
                <w:bCs/>
                <w:sz w:val="23"/>
              </w:rPr>
            </w:pPr>
            <w:r>
              <w:rPr>
                <w:b/>
                <w:bCs/>
                <w:sz w:val="23"/>
              </w:rPr>
              <w:t>Мужчины</w:t>
            </w:r>
          </w:p>
        </w:tc>
      </w:tr>
      <w:tr w:rsidR="00000000">
        <w:tblPrEx>
          <w:tblCellMar>
            <w:top w:w="0" w:type="dxa"/>
            <w:bottom w:w="0" w:type="dxa"/>
          </w:tblCellMar>
        </w:tblPrEx>
        <w:trPr>
          <w:cantSplit/>
          <w:jc w:val="center"/>
        </w:trPr>
        <w:tc>
          <w:tcPr>
            <w:tcW w:w="1000" w:type="pct"/>
            <w:vMerge/>
            <w:tcBorders>
              <w:bottom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p>
        </w:tc>
        <w:tc>
          <w:tcPr>
            <w:tcW w:w="1000" w:type="pct"/>
            <w:tcBorders>
              <w:bottom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1989–1990 годы</w:t>
            </w:r>
          </w:p>
        </w:tc>
        <w:tc>
          <w:tcPr>
            <w:tcW w:w="1000" w:type="pct"/>
            <w:tcBorders>
              <w:bottom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1999–2000 годы</w:t>
            </w:r>
          </w:p>
        </w:tc>
        <w:tc>
          <w:tcPr>
            <w:tcW w:w="1000" w:type="pct"/>
            <w:tcBorders>
              <w:bottom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1989–1990 годы</w:t>
            </w:r>
          </w:p>
        </w:tc>
        <w:tc>
          <w:tcPr>
            <w:tcW w:w="1000" w:type="pct"/>
            <w:tcBorders>
              <w:bottom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1999–2000 годы</w:t>
            </w:r>
          </w:p>
        </w:tc>
      </w:tr>
      <w:tr w:rsidR="00000000">
        <w:tblPrEx>
          <w:tblCellMar>
            <w:top w:w="0" w:type="dxa"/>
            <w:bottom w:w="0" w:type="dxa"/>
          </w:tblCellMar>
        </w:tblPrEx>
        <w:trPr>
          <w:jc w:val="center"/>
        </w:trPr>
        <w:tc>
          <w:tcPr>
            <w:tcW w:w="1000" w:type="pct"/>
            <w:tcBorders>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rPr>
                <w:b/>
                <w:bCs/>
                <w:sz w:val="23"/>
              </w:rPr>
            </w:pPr>
            <w:r>
              <w:rPr>
                <w:b/>
                <w:bCs/>
                <w:sz w:val="23"/>
              </w:rPr>
              <w:t>0 лет</w:t>
            </w:r>
          </w:p>
        </w:tc>
        <w:tc>
          <w:tcPr>
            <w:tcW w:w="1000" w:type="pct"/>
            <w:tcBorders>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77,7</w:t>
            </w:r>
          </w:p>
        </w:tc>
        <w:tc>
          <w:tcPr>
            <w:tcW w:w="1000" w:type="pct"/>
            <w:tcBorders>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79,0</w:t>
            </w:r>
          </w:p>
        </w:tc>
        <w:tc>
          <w:tcPr>
            <w:tcW w:w="1000" w:type="pct"/>
            <w:tcBorders>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72,0</w:t>
            </w:r>
          </w:p>
        </w:tc>
        <w:tc>
          <w:tcPr>
            <w:tcW w:w="1000" w:type="pct"/>
            <w:tcBorders>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74,3</w:t>
            </w:r>
          </w:p>
        </w:tc>
      </w:tr>
      <w:tr w:rsidR="00000000">
        <w:tblPrEx>
          <w:tblCellMar>
            <w:top w:w="0" w:type="dxa"/>
            <w:bottom w:w="0" w:type="dxa"/>
          </w:tblCellMar>
        </w:tblPrEx>
        <w:trPr>
          <w:jc w:val="center"/>
        </w:trPr>
        <w:tc>
          <w:tcPr>
            <w:tcW w:w="1000"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10 лет</w:t>
            </w:r>
          </w:p>
        </w:tc>
        <w:tc>
          <w:tcPr>
            <w:tcW w:w="1000"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68,4</w:t>
            </w:r>
          </w:p>
        </w:tc>
        <w:tc>
          <w:tcPr>
            <w:tcW w:w="1000"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69,4</w:t>
            </w:r>
          </w:p>
        </w:tc>
        <w:tc>
          <w:tcPr>
            <w:tcW w:w="1000"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62,8</w:t>
            </w:r>
          </w:p>
        </w:tc>
        <w:tc>
          <w:tcPr>
            <w:tcW w:w="1000"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64,8</w:t>
            </w:r>
          </w:p>
        </w:tc>
      </w:tr>
      <w:tr w:rsidR="00000000">
        <w:tblPrEx>
          <w:tblCellMar>
            <w:top w:w="0" w:type="dxa"/>
            <w:bottom w:w="0" w:type="dxa"/>
          </w:tblCellMar>
        </w:tblPrEx>
        <w:trPr>
          <w:jc w:val="center"/>
        </w:trPr>
        <w:tc>
          <w:tcPr>
            <w:tcW w:w="1000"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20 лет</w:t>
            </w:r>
          </w:p>
        </w:tc>
        <w:tc>
          <w:tcPr>
            <w:tcW w:w="1000"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58,6</w:t>
            </w:r>
          </w:p>
        </w:tc>
        <w:tc>
          <w:tcPr>
            <w:tcW w:w="1000"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59,5</w:t>
            </w:r>
          </w:p>
        </w:tc>
        <w:tc>
          <w:tcPr>
            <w:tcW w:w="1000"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53,1</w:t>
            </w:r>
          </w:p>
        </w:tc>
        <w:tc>
          <w:tcPr>
            <w:tcW w:w="1000"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55,1</w:t>
            </w:r>
          </w:p>
        </w:tc>
      </w:tr>
      <w:tr w:rsidR="00000000">
        <w:tblPrEx>
          <w:tblCellMar>
            <w:top w:w="0" w:type="dxa"/>
            <w:bottom w:w="0" w:type="dxa"/>
          </w:tblCellMar>
        </w:tblPrEx>
        <w:trPr>
          <w:jc w:val="center"/>
        </w:trPr>
        <w:tc>
          <w:tcPr>
            <w:tcW w:w="1000"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30 лет</w:t>
            </w:r>
          </w:p>
        </w:tc>
        <w:tc>
          <w:tcPr>
            <w:tcW w:w="1000"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48,8</w:t>
            </w:r>
          </w:p>
        </w:tc>
        <w:tc>
          <w:tcPr>
            <w:tcW w:w="1000"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49,7</w:t>
            </w:r>
          </w:p>
        </w:tc>
        <w:tc>
          <w:tcPr>
            <w:tcW w:w="1000"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43,6</w:t>
            </w:r>
          </w:p>
        </w:tc>
        <w:tc>
          <w:tcPr>
            <w:tcW w:w="1000"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45,5</w:t>
            </w:r>
          </w:p>
        </w:tc>
      </w:tr>
      <w:tr w:rsidR="00000000">
        <w:tblPrEx>
          <w:tblCellMar>
            <w:top w:w="0" w:type="dxa"/>
            <w:bottom w:w="0" w:type="dxa"/>
          </w:tblCellMar>
        </w:tblPrEx>
        <w:trPr>
          <w:jc w:val="center"/>
        </w:trPr>
        <w:tc>
          <w:tcPr>
            <w:tcW w:w="1000"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40 лет</w:t>
            </w:r>
          </w:p>
        </w:tc>
        <w:tc>
          <w:tcPr>
            <w:tcW w:w="1000"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39,2</w:t>
            </w:r>
          </w:p>
        </w:tc>
        <w:tc>
          <w:tcPr>
            <w:tcW w:w="1000"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40,0</w:t>
            </w:r>
          </w:p>
        </w:tc>
        <w:tc>
          <w:tcPr>
            <w:tcW w:w="1000"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34,3</w:t>
            </w:r>
          </w:p>
        </w:tc>
        <w:tc>
          <w:tcPr>
            <w:tcW w:w="1000"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36,0</w:t>
            </w:r>
          </w:p>
        </w:tc>
      </w:tr>
      <w:tr w:rsidR="00000000">
        <w:tblPrEx>
          <w:tblCellMar>
            <w:top w:w="0" w:type="dxa"/>
            <w:bottom w:w="0" w:type="dxa"/>
          </w:tblCellMar>
        </w:tblPrEx>
        <w:trPr>
          <w:jc w:val="center"/>
        </w:trPr>
        <w:tc>
          <w:tcPr>
            <w:tcW w:w="1000"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50 лет</w:t>
            </w:r>
          </w:p>
        </w:tc>
        <w:tc>
          <w:tcPr>
            <w:tcW w:w="1000"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30,0</w:t>
            </w:r>
          </w:p>
        </w:tc>
        <w:tc>
          <w:tcPr>
            <w:tcW w:w="1000"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30,7</w:t>
            </w:r>
          </w:p>
        </w:tc>
        <w:tc>
          <w:tcPr>
            <w:tcW w:w="1000"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25,4</w:t>
            </w:r>
          </w:p>
        </w:tc>
        <w:tc>
          <w:tcPr>
            <w:tcW w:w="1000"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27,0</w:t>
            </w:r>
          </w:p>
        </w:tc>
      </w:tr>
      <w:tr w:rsidR="00000000">
        <w:tblPrEx>
          <w:tblCellMar>
            <w:top w:w="0" w:type="dxa"/>
            <w:bottom w:w="0" w:type="dxa"/>
          </w:tblCellMar>
        </w:tblPrEx>
        <w:trPr>
          <w:jc w:val="center"/>
        </w:trPr>
        <w:tc>
          <w:tcPr>
            <w:tcW w:w="1000"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60 лет</w:t>
            </w:r>
          </w:p>
        </w:tc>
        <w:tc>
          <w:tcPr>
            <w:tcW w:w="1000"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21,7</w:t>
            </w:r>
          </w:p>
        </w:tc>
        <w:tc>
          <w:tcPr>
            <w:tcW w:w="1000"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22,0</w:t>
            </w:r>
          </w:p>
        </w:tc>
        <w:tc>
          <w:tcPr>
            <w:tcW w:w="1000"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17,5</w:t>
            </w:r>
          </w:p>
        </w:tc>
        <w:tc>
          <w:tcPr>
            <w:tcW w:w="1000"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18,7</w:t>
            </w:r>
          </w:p>
        </w:tc>
      </w:tr>
      <w:tr w:rsidR="00000000">
        <w:tblPrEx>
          <w:tblCellMar>
            <w:top w:w="0" w:type="dxa"/>
            <w:bottom w:w="0" w:type="dxa"/>
          </w:tblCellMar>
        </w:tblPrEx>
        <w:trPr>
          <w:jc w:val="center"/>
        </w:trPr>
        <w:tc>
          <w:tcPr>
            <w:tcW w:w="1000"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70 лет</w:t>
            </w:r>
          </w:p>
        </w:tc>
        <w:tc>
          <w:tcPr>
            <w:tcW w:w="1000"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14,3</w:t>
            </w:r>
          </w:p>
        </w:tc>
        <w:tc>
          <w:tcPr>
            <w:tcW w:w="1000"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14,6</w:t>
            </w:r>
          </w:p>
        </w:tc>
        <w:tc>
          <w:tcPr>
            <w:tcW w:w="1000"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11,1</w:t>
            </w:r>
          </w:p>
        </w:tc>
        <w:tc>
          <w:tcPr>
            <w:tcW w:w="1000"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11,8</w:t>
            </w:r>
          </w:p>
        </w:tc>
      </w:tr>
      <w:tr w:rsidR="00000000">
        <w:tblPrEx>
          <w:tblCellMar>
            <w:top w:w="0" w:type="dxa"/>
            <w:bottom w:w="0" w:type="dxa"/>
          </w:tblCellMar>
        </w:tblPrEx>
        <w:trPr>
          <w:jc w:val="center"/>
        </w:trPr>
        <w:tc>
          <w:tcPr>
            <w:tcW w:w="1000"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80 лет</w:t>
            </w:r>
          </w:p>
        </w:tc>
        <w:tc>
          <w:tcPr>
            <w:tcW w:w="1000"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8,1</w:t>
            </w:r>
          </w:p>
        </w:tc>
        <w:tc>
          <w:tcPr>
            <w:tcW w:w="1000"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8,5</w:t>
            </w:r>
          </w:p>
        </w:tc>
        <w:tc>
          <w:tcPr>
            <w:tcW w:w="1000"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6,4</w:t>
            </w:r>
          </w:p>
        </w:tc>
        <w:tc>
          <w:tcPr>
            <w:tcW w:w="1000" w:type="pct"/>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6,7</w:t>
            </w:r>
          </w:p>
        </w:tc>
      </w:tr>
      <w:tr w:rsidR="00000000">
        <w:tblPrEx>
          <w:tblCellMar>
            <w:top w:w="0" w:type="dxa"/>
            <w:bottom w:w="0" w:type="dxa"/>
          </w:tblCellMar>
        </w:tblPrEx>
        <w:trPr>
          <w:jc w:val="center"/>
        </w:trPr>
        <w:tc>
          <w:tcPr>
            <w:tcW w:w="1000" w:type="pct"/>
            <w:tcBorders>
              <w:top w:val="nil"/>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90 лет</w:t>
            </w:r>
          </w:p>
        </w:tc>
        <w:tc>
          <w:tcPr>
            <w:tcW w:w="1000" w:type="pct"/>
            <w:tcBorders>
              <w:top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3,9</w:t>
            </w:r>
          </w:p>
        </w:tc>
        <w:tc>
          <w:tcPr>
            <w:tcW w:w="1000" w:type="pct"/>
            <w:tcBorders>
              <w:top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4,2</w:t>
            </w:r>
          </w:p>
        </w:tc>
        <w:tc>
          <w:tcPr>
            <w:tcW w:w="1000" w:type="pct"/>
            <w:tcBorders>
              <w:top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3,4</w:t>
            </w:r>
          </w:p>
        </w:tc>
        <w:tc>
          <w:tcPr>
            <w:tcW w:w="1000" w:type="pct"/>
            <w:tcBorders>
              <w:top w:val="nil"/>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3,4</w:t>
            </w:r>
          </w:p>
        </w:tc>
      </w:tr>
    </w:tbl>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277.</w:t>
      </w:r>
      <w:r>
        <w:rPr>
          <w:sz w:val="23"/>
        </w:rPr>
        <w:tab/>
        <w:t>Показатель средней ожидаемой продолжительности жизни в последние 10 лет увеличился почти на два года. Средняя ожидаемая продолжительность жизни у женщин выше чем у мужчин, однако в последнее десятилетие этот показатель вырос в большей степени в отношении мужчин, чем в отношении женщин, и, таким образом, разница между ними сократилась на 1 год.</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252" w:name="_Toc51496922"/>
      <w:bookmarkStart w:id="253" w:name="_Toc51497089"/>
      <w:bookmarkStart w:id="254" w:name="_Toc51497614"/>
      <w:r>
        <w:t>Пункт 43 руководящих принципов: Право на достаточное питание</w:t>
      </w:r>
      <w:bookmarkEnd w:id="252"/>
      <w:bookmarkEnd w:id="253"/>
      <w:bookmarkEnd w:id="254"/>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278.</w:t>
      </w:r>
      <w:r>
        <w:rPr>
          <w:sz w:val="23"/>
        </w:rPr>
        <w:tab/>
        <w:t>В Дании достаточное питание обеспечивается всем группам населения во всех частях страны. Поэтому в настоящее время обеспеченность продовольствием не составляет проблемы для Дании. Сейчас ключевым вопросом продовольственной политики в Дании является обеспечение высокого уровня безопасности пищевых продуктов и поощрение населения к потреблению здоровой и разнообразной пищи.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r>
        <w:br w:type="page"/>
      </w:r>
      <w:bookmarkStart w:id="255" w:name="_Toc51496923"/>
      <w:bookmarkStart w:id="256" w:name="_Toc51497090"/>
      <w:bookmarkStart w:id="257" w:name="_Toc51497615"/>
      <w:r>
        <w:t>Пункт 44 руководящих принципов: Право на надлежащее жилье</w:t>
      </w:r>
      <w:bookmarkEnd w:id="255"/>
      <w:bookmarkEnd w:id="256"/>
      <w:bookmarkEnd w:id="257"/>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b/>
          <w:bCs/>
          <w:sz w:val="23"/>
        </w:rPr>
      </w:pPr>
      <w:r>
        <w:rPr>
          <w:b/>
          <w:bCs/>
          <w:sz w:val="23"/>
        </w:rPr>
        <w:t>Жилищные условия</w:t>
      </w:r>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279.</w:t>
      </w:r>
      <w:r>
        <w:rPr>
          <w:sz w:val="23"/>
        </w:rPr>
        <w:tab/>
        <w:t>Существующие в Дании жилищные нормы являются высокими. Это подтверждается следующими фактами: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ind w:left="1134" w:hanging="1134"/>
        <w:rPr>
          <w:sz w:val="23"/>
        </w:rPr>
      </w:pPr>
      <w:r>
        <w:rPr>
          <w:sz w:val="23"/>
        </w:rPr>
        <w:tab/>
        <w:t>–</w:t>
      </w:r>
      <w:r>
        <w:rPr>
          <w:sz w:val="23"/>
        </w:rPr>
        <w:tab/>
        <w:t xml:space="preserve">Страна располагает </w:t>
      </w:r>
      <w:r>
        <w:rPr>
          <w:i/>
          <w:iCs/>
          <w:sz w:val="23"/>
        </w:rPr>
        <w:t>большим</w:t>
      </w:r>
      <w:r>
        <w:rPr>
          <w:sz w:val="23"/>
        </w:rPr>
        <w:t xml:space="preserve"> жилищным фондом. При 2,5 млн. жилых единиц на 5,3 млн. человек населения на каждую жилую единицу приходится в среднем по 2,1 человека.</w:t>
      </w:r>
    </w:p>
    <w:p w:rsidR="00000000" w:rsidRDefault="00000000">
      <w:pPr>
        <w:tabs>
          <w:tab w:val="clear" w:pos="567"/>
          <w:tab w:val="clear" w:pos="1701"/>
          <w:tab w:val="clear" w:pos="2268"/>
          <w:tab w:val="clear" w:pos="6237"/>
          <w:tab w:val="left" w:pos="680"/>
          <w:tab w:val="left" w:pos="1134"/>
        </w:tabs>
        <w:spacing w:line="240" w:lineRule="auto"/>
        <w:ind w:left="1134" w:hanging="1134"/>
        <w:rPr>
          <w:sz w:val="23"/>
        </w:rPr>
      </w:pPr>
    </w:p>
    <w:p w:rsidR="00000000" w:rsidRDefault="00000000">
      <w:pPr>
        <w:tabs>
          <w:tab w:val="clear" w:pos="567"/>
          <w:tab w:val="clear" w:pos="1701"/>
          <w:tab w:val="clear" w:pos="2268"/>
          <w:tab w:val="clear" w:pos="6237"/>
          <w:tab w:val="left" w:pos="680"/>
          <w:tab w:val="left" w:pos="1134"/>
        </w:tabs>
        <w:spacing w:line="240" w:lineRule="auto"/>
        <w:ind w:left="1134" w:hanging="1134"/>
        <w:rPr>
          <w:sz w:val="23"/>
        </w:rPr>
      </w:pPr>
      <w:r>
        <w:rPr>
          <w:sz w:val="23"/>
        </w:rPr>
        <w:tab/>
        <w:t>–</w:t>
      </w:r>
      <w:r>
        <w:rPr>
          <w:sz w:val="23"/>
        </w:rPr>
        <w:tab/>
        <w:t xml:space="preserve">Размер жилой единицы является </w:t>
      </w:r>
      <w:r>
        <w:rPr>
          <w:i/>
          <w:iCs/>
          <w:sz w:val="23"/>
        </w:rPr>
        <w:t>большим</w:t>
      </w:r>
      <w:r>
        <w:rPr>
          <w:sz w:val="23"/>
        </w:rPr>
        <w:t>, средний размер составляет 109 м</w:t>
      </w:r>
      <w:r>
        <w:rPr>
          <w:sz w:val="23"/>
          <w:vertAlign w:val="superscript"/>
        </w:rPr>
        <w:t>2</w:t>
      </w:r>
      <w:r>
        <w:rPr>
          <w:sz w:val="23"/>
        </w:rPr>
        <w:t xml:space="preserve">, </w:t>
      </w:r>
      <w:r>
        <w:rPr>
          <w:sz w:val="23"/>
        </w:rPr>
        <w:br/>
        <w:t>т. е. 51 м</w:t>
      </w:r>
      <w:r>
        <w:rPr>
          <w:sz w:val="23"/>
          <w:vertAlign w:val="superscript"/>
        </w:rPr>
        <w:t>2</w:t>
      </w:r>
      <w:r>
        <w:rPr>
          <w:sz w:val="23"/>
        </w:rPr>
        <w:t xml:space="preserve"> на одного человека. Это – один из самых больших показателей среднего метража жилой площади на человека в Европейском союзе.</w:t>
      </w:r>
    </w:p>
    <w:p w:rsidR="00000000" w:rsidRDefault="00000000">
      <w:pPr>
        <w:tabs>
          <w:tab w:val="clear" w:pos="567"/>
          <w:tab w:val="clear" w:pos="1701"/>
          <w:tab w:val="clear" w:pos="2268"/>
          <w:tab w:val="clear" w:pos="6237"/>
          <w:tab w:val="left" w:pos="680"/>
          <w:tab w:val="left" w:pos="1134"/>
        </w:tabs>
        <w:spacing w:line="240" w:lineRule="auto"/>
        <w:ind w:left="1134" w:hanging="1134"/>
        <w:rPr>
          <w:sz w:val="23"/>
        </w:rPr>
      </w:pPr>
    </w:p>
    <w:p w:rsidR="00000000" w:rsidRDefault="00000000">
      <w:pPr>
        <w:tabs>
          <w:tab w:val="clear" w:pos="567"/>
          <w:tab w:val="clear" w:pos="1701"/>
          <w:tab w:val="clear" w:pos="2268"/>
          <w:tab w:val="clear" w:pos="6237"/>
          <w:tab w:val="left" w:pos="680"/>
          <w:tab w:val="left" w:pos="1134"/>
        </w:tabs>
        <w:spacing w:line="240" w:lineRule="auto"/>
        <w:ind w:left="1134" w:hanging="1134"/>
        <w:rPr>
          <w:sz w:val="23"/>
        </w:rPr>
      </w:pPr>
      <w:r>
        <w:rPr>
          <w:sz w:val="23"/>
        </w:rPr>
        <w:tab/>
        <w:t>–</w:t>
      </w:r>
      <w:r>
        <w:rPr>
          <w:sz w:val="23"/>
        </w:rPr>
        <w:tab/>
        <w:t xml:space="preserve">Жилой фонд является </w:t>
      </w:r>
      <w:r>
        <w:rPr>
          <w:i/>
          <w:iCs/>
          <w:sz w:val="23"/>
        </w:rPr>
        <w:t>высококачественным</w:t>
      </w:r>
      <w:r>
        <w:rPr>
          <w:sz w:val="23"/>
        </w:rPr>
        <w:t>. Например, 98% всех жилых единиц имеют туалеты, 94% – ванные комнаты и 98% – центральное отопление.</w:t>
      </w:r>
    </w:p>
    <w:p w:rsidR="00000000" w:rsidRDefault="00000000">
      <w:pPr>
        <w:tabs>
          <w:tab w:val="clear" w:pos="567"/>
          <w:tab w:val="clear" w:pos="1701"/>
          <w:tab w:val="clear" w:pos="2268"/>
          <w:tab w:val="clear" w:pos="6237"/>
          <w:tab w:val="left" w:pos="680"/>
          <w:tab w:val="left" w:pos="1134"/>
        </w:tabs>
        <w:spacing w:line="240" w:lineRule="auto"/>
        <w:ind w:left="1134" w:hanging="1134"/>
        <w:rPr>
          <w:sz w:val="23"/>
        </w:rPr>
      </w:pPr>
    </w:p>
    <w:p w:rsidR="00000000" w:rsidRDefault="00000000">
      <w:pPr>
        <w:tabs>
          <w:tab w:val="clear" w:pos="567"/>
          <w:tab w:val="clear" w:pos="1701"/>
          <w:tab w:val="clear" w:pos="2268"/>
          <w:tab w:val="clear" w:pos="6237"/>
          <w:tab w:val="left" w:pos="680"/>
          <w:tab w:val="left" w:pos="1134"/>
        </w:tabs>
        <w:spacing w:line="240" w:lineRule="auto"/>
        <w:ind w:left="1134" w:hanging="1134"/>
        <w:rPr>
          <w:sz w:val="23"/>
        </w:rPr>
      </w:pPr>
      <w:r>
        <w:rPr>
          <w:sz w:val="23"/>
        </w:rPr>
        <w:tab/>
        <w:t>–</w:t>
      </w:r>
      <w:r>
        <w:rPr>
          <w:sz w:val="23"/>
        </w:rPr>
        <w:tab/>
        <w:t xml:space="preserve">В отношении жилых зданий существует </w:t>
      </w:r>
      <w:r>
        <w:rPr>
          <w:i/>
          <w:iCs/>
          <w:sz w:val="23"/>
        </w:rPr>
        <w:t>большое разнообразие</w:t>
      </w:r>
      <w:r>
        <w:rPr>
          <w:sz w:val="23"/>
        </w:rPr>
        <w:t xml:space="preserve"> с точки зрения видов собственности, размеров, оснащения и цен. Таким образом, почти все группы населения и возрастные группы имеют возможность найти отвечающее их потребностям жилье.</w:t>
      </w:r>
    </w:p>
    <w:p w:rsidR="00000000" w:rsidRDefault="00000000">
      <w:pPr>
        <w:tabs>
          <w:tab w:val="clear" w:pos="567"/>
          <w:tab w:val="clear" w:pos="1701"/>
          <w:tab w:val="clear" w:pos="2268"/>
          <w:tab w:val="clear" w:pos="6237"/>
          <w:tab w:val="left" w:pos="680"/>
          <w:tab w:val="left" w:pos="1134"/>
        </w:tabs>
        <w:spacing w:line="240" w:lineRule="auto"/>
        <w:ind w:left="1134" w:hanging="1134"/>
        <w:rPr>
          <w:sz w:val="23"/>
        </w:rPr>
      </w:pPr>
    </w:p>
    <w:p w:rsidR="00000000" w:rsidRDefault="00000000">
      <w:pPr>
        <w:tabs>
          <w:tab w:val="clear" w:pos="567"/>
          <w:tab w:val="clear" w:pos="1701"/>
          <w:tab w:val="clear" w:pos="2268"/>
          <w:tab w:val="clear" w:pos="6237"/>
          <w:tab w:val="left" w:pos="680"/>
          <w:tab w:val="left" w:pos="1134"/>
        </w:tabs>
        <w:spacing w:line="240" w:lineRule="auto"/>
        <w:ind w:left="1134" w:hanging="1134"/>
        <w:rPr>
          <w:sz w:val="23"/>
        </w:rPr>
      </w:pPr>
      <w:r>
        <w:rPr>
          <w:sz w:val="23"/>
        </w:rPr>
        <w:tab/>
        <w:t>–</w:t>
      </w:r>
      <w:r>
        <w:rPr>
          <w:sz w:val="23"/>
        </w:rPr>
        <w:tab/>
        <w:t xml:space="preserve">Жилой фонд является относительно </w:t>
      </w:r>
      <w:r>
        <w:rPr>
          <w:i/>
          <w:iCs/>
          <w:sz w:val="23"/>
        </w:rPr>
        <w:t>новым</w:t>
      </w:r>
      <w:r>
        <w:rPr>
          <w:sz w:val="23"/>
        </w:rPr>
        <w:t>. Почти половина всех жилищ были построены после 60-х годов и примерно только треть – до второй мировой войны.</w:t>
      </w:r>
    </w:p>
    <w:p w:rsidR="00000000" w:rsidRDefault="00000000">
      <w:pPr>
        <w:tabs>
          <w:tab w:val="clear" w:pos="567"/>
          <w:tab w:val="clear" w:pos="1701"/>
          <w:tab w:val="clear" w:pos="2268"/>
          <w:tab w:val="clear" w:pos="6237"/>
          <w:tab w:val="left" w:pos="680"/>
          <w:tab w:val="left" w:pos="1134"/>
        </w:tabs>
        <w:spacing w:line="240" w:lineRule="auto"/>
        <w:ind w:left="1134" w:hanging="1134"/>
        <w:rPr>
          <w:sz w:val="23"/>
        </w:rPr>
      </w:pPr>
    </w:p>
    <w:p w:rsidR="00000000" w:rsidRDefault="00000000">
      <w:pPr>
        <w:tabs>
          <w:tab w:val="clear" w:pos="567"/>
          <w:tab w:val="clear" w:pos="1701"/>
          <w:tab w:val="clear" w:pos="2268"/>
          <w:tab w:val="clear" w:pos="6237"/>
          <w:tab w:val="left" w:pos="680"/>
          <w:tab w:val="left" w:pos="1134"/>
        </w:tabs>
        <w:spacing w:line="240" w:lineRule="auto"/>
        <w:ind w:left="1134" w:hanging="1134"/>
        <w:rPr>
          <w:sz w:val="23"/>
        </w:rPr>
      </w:pPr>
      <w:r>
        <w:rPr>
          <w:sz w:val="23"/>
        </w:rPr>
        <w:t>280.</w:t>
      </w:r>
      <w:r>
        <w:rPr>
          <w:sz w:val="23"/>
        </w:rPr>
        <w:tab/>
        <w:t>В основе высоких жилищных стандартов лежат три основные причины:</w:t>
      </w:r>
    </w:p>
    <w:p w:rsidR="00000000" w:rsidRDefault="00000000">
      <w:pPr>
        <w:tabs>
          <w:tab w:val="clear" w:pos="567"/>
          <w:tab w:val="clear" w:pos="1701"/>
          <w:tab w:val="clear" w:pos="2268"/>
          <w:tab w:val="clear" w:pos="6237"/>
          <w:tab w:val="left" w:pos="680"/>
          <w:tab w:val="left" w:pos="1134"/>
        </w:tabs>
        <w:spacing w:line="240" w:lineRule="auto"/>
        <w:ind w:left="1134" w:hanging="1134"/>
        <w:rPr>
          <w:sz w:val="23"/>
        </w:rPr>
      </w:pPr>
    </w:p>
    <w:p w:rsidR="00000000" w:rsidRDefault="00000000">
      <w:pPr>
        <w:tabs>
          <w:tab w:val="clear" w:pos="567"/>
          <w:tab w:val="clear" w:pos="1701"/>
          <w:tab w:val="clear" w:pos="2268"/>
          <w:tab w:val="clear" w:pos="6237"/>
          <w:tab w:val="left" w:pos="680"/>
          <w:tab w:val="left" w:pos="1134"/>
        </w:tabs>
        <w:spacing w:line="240" w:lineRule="auto"/>
        <w:ind w:left="1134" w:hanging="1134"/>
        <w:rPr>
          <w:sz w:val="23"/>
        </w:rPr>
      </w:pPr>
      <w:r>
        <w:rPr>
          <w:sz w:val="23"/>
        </w:rPr>
        <w:tab/>
        <w:t>–</w:t>
      </w:r>
      <w:r>
        <w:rPr>
          <w:sz w:val="23"/>
        </w:rPr>
        <w:tab/>
        <w:t>Население традиционно уделяет повышенное внимание жилью; в настоящее время расходы на жилье составляют приблизительно четверть в общей структуре потребления.</w:t>
      </w:r>
    </w:p>
    <w:p w:rsidR="00000000" w:rsidRDefault="00000000">
      <w:pPr>
        <w:tabs>
          <w:tab w:val="clear" w:pos="567"/>
          <w:tab w:val="clear" w:pos="1701"/>
          <w:tab w:val="clear" w:pos="2268"/>
          <w:tab w:val="clear" w:pos="6237"/>
          <w:tab w:val="left" w:pos="680"/>
          <w:tab w:val="left" w:pos="1134"/>
        </w:tabs>
        <w:spacing w:line="240" w:lineRule="auto"/>
        <w:ind w:left="1134" w:hanging="1134"/>
        <w:rPr>
          <w:sz w:val="23"/>
        </w:rPr>
      </w:pPr>
    </w:p>
    <w:p w:rsidR="00000000" w:rsidRDefault="00000000">
      <w:pPr>
        <w:tabs>
          <w:tab w:val="clear" w:pos="567"/>
          <w:tab w:val="clear" w:pos="1701"/>
          <w:tab w:val="clear" w:pos="2268"/>
          <w:tab w:val="clear" w:pos="6237"/>
          <w:tab w:val="left" w:pos="680"/>
          <w:tab w:val="left" w:pos="1134"/>
        </w:tabs>
        <w:spacing w:line="240" w:lineRule="auto"/>
        <w:ind w:left="1134" w:hanging="1134"/>
        <w:rPr>
          <w:sz w:val="23"/>
        </w:rPr>
      </w:pPr>
      <w:r>
        <w:rPr>
          <w:sz w:val="23"/>
        </w:rPr>
        <w:tab/>
        <w:t>–</w:t>
      </w:r>
      <w:r>
        <w:rPr>
          <w:sz w:val="23"/>
        </w:rPr>
        <w:tab/>
        <w:t>Из-за высокого спроса в жилищном секторе Дании накоплен значительный потенциал.</w:t>
      </w:r>
    </w:p>
    <w:p w:rsidR="00000000" w:rsidRDefault="00000000">
      <w:pPr>
        <w:tabs>
          <w:tab w:val="clear" w:pos="567"/>
          <w:tab w:val="clear" w:pos="1701"/>
          <w:tab w:val="clear" w:pos="2268"/>
          <w:tab w:val="clear" w:pos="6237"/>
          <w:tab w:val="left" w:pos="680"/>
          <w:tab w:val="left" w:pos="1134"/>
        </w:tabs>
        <w:spacing w:line="240" w:lineRule="auto"/>
        <w:ind w:left="1134" w:hanging="1134"/>
        <w:rPr>
          <w:sz w:val="23"/>
        </w:rPr>
      </w:pPr>
    </w:p>
    <w:p w:rsidR="00000000" w:rsidRDefault="00000000">
      <w:pPr>
        <w:tabs>
          <w:tab w:val="clear" w:pos="567"/>
          <w:tab w:val="clear" w:pos="1701"/>
          <w:tab w:val="clear" w:pos="2268"/>
          <w:tab w:val="clear" w:pos="6237"/>
          <w:tab w:val="left" w:pos="680"/>
          <w:tab w:val="left" w:pos="1134"/>
        </w:tabs>
        <w:spacing w:line="240" w:lineRule="auto"/>
        <w:ind w:left="1134" w:hanging="1134"/>
        <w:rPr>
          <w:sz w:val="23"/>
        </w:rPr>
      </w:pPr>
      <w:r>
        <w:rPr>
          <w:sz w:val="23"/>
        </w:rPr>
        <w:tab/>
        <w:t>–</w:t>
      </w:r>
      <w:r>
        <w:rPr>
          <w:sz w:val="23"/>
        </w:rPr>
        <w:tab/>
        <w:t>Рынок жилья регулируется в соответствии с многочисленными государственными нормами и правилами, имеющими своей целью обеспечить высококачественное жилье для всего населения.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Heading1"/>
        <w:tabs>
          <w:tab w:val="clear" w:pos="567"/>
          <w:tab w:val="clear" w:pos="1701"/>
          <w:tab w:val="clear" w:pos="2268"/>
          <w:tab w:val="clear" w:pos="6237"/>
          <w:tab w:val="left" w:pos="680"/>
          <w:tab w:val="left" w:pos="1134"/>
        </w:tabs>
        <w:spacing w:line="240" w:lineRule="auto"/>
        <w:jc w:val="center"/>
        <w:rPr>
          <w:bCs/>
          <w:sz w:val="23"/>
        </w:rPr>
      </w:pPr>
      <w:r>
        <w:rPr>
          <w:bCs/>
          <w:sz w:val="23"/>
        </w:rPr>
        <w:br w:type="page"/>
        <w:t>Таблица 19</w:t>
      </w:r>
    </w:p>
    <w:p w:rsidR="00000000" w:rsidRDefault="00000000">
      <w:pPr>
        <w:pStyle w:val="Heading1"/>
        <w:tabs>
          <w:tab w:val="clear" w:pos="567"/>
          <w:tab w:val="clear" w:pos="1701"/>
          <w:tab w:val="clear" w:pos="2268"/>
          <w:tab w:val="clear" w:pos="6237"/>
          <w:tab w:val="left" w:pos="680"/>
          <w:tab w:val="left" w:pos="1134"/>
        </w:tabs>
        <w:spacing w:line="240" w:lineRule="auto"/>
        <w:jc w:val="center"/>
        <w:rPr>
          <w:bCs/>
          <w:sz w:val="23"/>
        </w:rPr>
      </w:pPr>
    </w:p>
    <w:p w:rsidR="00000000" w:rsidRDefault="00000000">
      <w:pPr>
        <w:pStyle w:val="Heading1"/>
        <w:tabs>
          <w:tab w:val="clear" w:pos="567"/>
          <w:tab w:val="clear" w:pos="1701"/>
          <w:tab w:val="clear" w:pos="2268"/>
          <w:tab w:val="clear" w:pos="6237"/>
          <w:tab w:val="left" w:pos="680"/>
          <w:tab w:val="left" w:pos="1134"/>
        </w:tabs>
        <w:spacing w:line="240" w:lineRule="auto"/>
        <w:jc w:val="center"/>
        <w:rPr>
          <w:bCs/>
          <w:sz w:val="23"/>
        </w:rPr>
      </w:pPr>
      <w:r>
        <w:rPr>
          <w:bCs/>
          <w:sz w:val="23"/>
        </w:rPr>
        <w:t>Жилой фонд в 2001 году – основные показатели</w:t>
      </w:r>
    </w:p>
    <w:p w:rsidR="00000000" w:rsidRDefault="00000000">
      <w:pPr>
        <w:pStyle w:val="FootnoteText"/>
        <w:tabs>
          <w:tab w:val="clear" w:pos="567"/>
          <w:tab w:val="clear" w:pos="1701"/>
          <w:tab w:val="clear" w:pos="2268"/>
          <w:tab w:val="clear" w:pos="6237"/>
          <w:tab w:val="left" w:pos="680"/>
          <w:tab w:val="left" w:pos="1134"/>
        </w:tabs>
        <w:rPr>
          <w:sz w:val="23"/>
        </w:rPr>
      </w:pPr>
    </w:p>
    <w:tbl>
      <w:tblPr>
        <w:tblW w:w="0" w:type="auto"/>
        <w:jc w:val="center"/>
        <w:tblInd w:w="57" w:type="dxa"/>
        <w:tblBorders>
          <w:top w:val="single" w:sz="4" w:space="0" w:color="auto"/>
          <w:left w:val="single" w:sz="4" w:space="0" w:color="auto"/>
          <w:bottom w:val="single" w:sz="4" w:space="0" w:color="auto"/>
          <w:right w:val="single" w:sz="4" w:space="0" w:color="auto"/>
        </w:tblBorders>
        <w:tblCellMar>
          <w:left w:w="56" w:type="dxa"/>
          <w:right w:w="56" w:type="dxa"/>
        </w:tblCellMar>
        <w:tblLook w:val="0000" w:firstRow="0" w:lastRow="0" w:firstColumn="0" w:lastColumn="0" w:noHBand="0" w:noVBand="0"/>
      </w:tblPr>
      <w:tblGrid>
        <w:gridCol w:w="4536"/>
        <w:gridCol w:w="1701"/>
        <w:gridCol w:w="1701"/>
      </w:tblGrid>
      <w:tr w:rsidR="00000000">
        <w:tblPrEx>
          <w:tblCellMar>
            <w:top w:w="0" w:type="dxa"/>
            <w:bottom w:w="0" w:type="dxa"/>
          </w:tblCellMar>
        </w:tblPrEx>
        <w:trPr>
          <w:jc w:val="center"/>
        </w:trPr>
        <w:tc>
          <w:tcPr>
            <w:tcW w:w="4536" w:type="dxa"/>
            <w:tcBorders>
              <w:top w:val="single" w:sz="4" w:space="0" w:color="auto"/>
              <w:bottom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 xml:space="preserve">Количество </w:t>
            </w:r>
            <w:r>
              <w:rPr>
                <w:sz w:val="23"/>
              </w:rPr>
              <w:br/>
              <w:t>в тысячах</w:t>
            </w:r>
          </w:p>
        </w:tc>
        <w:tc>
          <w:tcPr>
            <w:tcW w:w="1701" w:type="dxa"/>
            <w:tcBorders>
              <w:top w:val="single" w:sz="4" w:space="0" w:color="auto"/>
              <w:left w:val="single" w:sz="4" w:space="0" w:color="auto"/>
              <w:bottom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 xml:space="preserve">Доля </w:t>
            </w:r>
            <w:r>
              <w:rPr>
                <w:sz w:val="23"/>
              </w:rPr>
              <w:br/>
              <w:t>в процентах</w:t>
            </w:r>
          </w:p>
        </w:tc>
      </w:tr>
      <w:tr w:rsidR="00000000">
        <w:tblPrEx>
          <w:tblCellMar>
            <w:top w:w="0" w:type="dxa"/>
            <w:bottom w:w="0" w:type="dxa"/>
          </w:tblCellMar>
        </w:tblPrEx>
        <w:trPr>
          <w:jc w:val="center"/>
        </w:trPr>
        <w:tc>
          <w:tcPr>
            <w:tcW w:w="4536" w:type="dxa"/>
            <w:tcBorders>
              <w:top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Общее количество жилых единиц</w:t>
            </w:r>
          </w:p>
        </w:tc>
        <w:tc>
          <w:tcPr>
            <w:tcW w:w="1701" w:type="dxa"/>
            <w:tcBorders>
              <w:top w:val="single" w:sz="4" w:space="0" w:color="auto"/>
              <w:left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340"/>
              <w:jc w:val="right"/>
              <w:rPr>
                <w:sz w:val="23"/>
              </w:rPr>
            </w:pPr>
            <w:r>
              <w:rPr>
                <w:sz w:val="23"/>
              </w:rPr>
              <w:t>2 509</w:t>
            </w:r>
          </w:p>
        </w:tc>
        <w:tc>
          <w:tcPr>
            <w:tcW w:w="1701" w:type="dxa"/>
            <w:tcBorders>
              <w:top w:val="single" w:sz="4" w:space="0" w:color="auto"/>
              <w:lef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340"/>
              <w:jc w:val="right"/>
              <w:rPr>
                <w:sz w:val="23"/>
              </w:rPr>
            </w:pPr>
            <w:r>
              <w:rPr>
                <w:sz w:val="23"/>
              </w:rPr>
              <w:t>100,0</w:t>
            </w:r>
          </w:p>
        </w:tc>
      </w:tr>
      <w:tr w:rsidR="00000000">
        <w:tblPrEx>
          <w:tblCellMar>
            <w:top w:w="0" w:type="dxa"/>
            <w:bottom w:w="0" w:type="dxa"/>
          </w:tblCellMar>
        </w:tblPrEx>
        <w:trPr>
          <w:jc w:val="center"/>
        </w:trPr>
        <w:tc>
          <w:tcPr>
            <w:tcW w:w="4536" w:type="dxa"/>
            <w:tcBorders>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p>
        </w:tc>
        <w:tc>
          <w:tcPr>
            <w:tcW w:w="1701" w:type="dxa"/>
            <w:tcBorders>
              <w:left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340"/>
              <w:jc w:val="right"/>
              <w:rPr>
                <w:sz w:val="23"/>
              </w:rPr>
            </w:pPr>
          </w:p>
        </w:tc>
        <w:tc>
          <w:tcPr>
            <w:tcW w:w="1701" w:type="dxa"/>
            <w:tcBorders>
              <w:lef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340"/>
              <w:jc w:val="right"/>
              <w:rPr>
                <w:sz w:val="23"/>
              </w:rPr>
            </w:pPr>
          </w:p>
        </w:tc>
      </w:tr>
      <w:tr w:rsidR="00000000">
        <w:tblPrEx>
          <w:tblCellMar>
            <w:top w:w="0" w:type="dxa"/>
            <w:bottom w:w="0" w:type="dxa"/>
          </w:tblCellMar>
        </w:tblPrEx>
        <w:trPr>
          <w:jc w:val="center"/>
        </w:trPr>
        <w:tc>
          <w:tcPr>
            <w:tcW w:w="4536" w:type="dxa"/>
            <w:tcBorders>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b/>
                <w:bCs/>
                <w:sz w:val="23"/>
              </w:rPr>
              <w:t>Тип здания:</w:t>
            </w:r>
          </w:p>
        </w:tc>
        <w:tc>
          <w:tcPr>
            <w:tcW w:w="1701" w:type="dxa"/>
            <w:tcBorders>
              <w:left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340"/>
              <w:jc w:val="right"/>
              <w:rPr>
                <w:sz w:val="23"/>
              </w:rPr>
            </w:pPr>
          </w:p>
        </w:tc>
        <w:tc>
          <w:tcPr>
            <w:tcW w:w="1701" w:type="dxa"/>
            <w:tcBorders>
              <w:lef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340"/>
              <w:jc w:val="right"/>
              <w:rPr>
                <w:sz w:val="23"/>
              </w:rPr>
            </w:pPr>
          </w:p>
        </w:tc>
      </w:tr>
      <w:tr w:rsidR="00000000">
        <w:tblPrEx>
          <w:tblCellMar>
            <w:top w:w="0" w:type="dxa"/>
            <w:bottom w:w="0" w:type="dxa"/>
          </w:tblCellMar>
        </w:tblPrEx>
        <w:trPr>
          <w:jc w:val="center"/>
        </w:trPr>
        <w:tc>
          <w:tcPr>
            <w:tcW w:w="4536" w:type="dxa"/>
            <w:tcBorders>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Фермерские дома</w:t>
            </w:r>
          </w:p>
        </w:tc>
        <w:tc>
          <w:tcPr>
            <w:tcW w:w="1701" w:type="dxa"/>
            <w:tcBorders>
              <w:left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340"/>
              <w:jc w:val="right"/>
              <w:rPr>
                <w:sz w:val="23"/>
              </w:rPr>
            </w:pPr>
            <w:r>
              <w:rPr>
                <w:sz w:val="23"/>
              </w:rPr>
              <w:t>131</w:t>
            </w:r>
          </w:p>
        </w:tc>
        <w:tc>
          <w:tcPr>
            <w:tcW w:w="1701" w:type="dxa"/>
            <w:tcBorders>
              <w:lef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340"/>
              <w:jc w:val="right"/>
              <w:rPr>
                <w:sz w:val="23"/>
              </w:rPr>
            </w:pPr>
            <w:r>
              <w:rPr>
                <w:sz w:val="23"/>
              </w:rPr>
              <w:t>5,2</w:t>
            </w:r>
          </w:p>
        </w:tc>
      </w:tr>
      <w:tr w:rsidR="00000000">
        <w:tblPrEx>
          <w:tblCellMar>
            <w:top w:w="0" w:type="dxa"/>
            <w:bottom w:w="0" w:type="dxa"/>
          </w:tblCellMar>
        </w:tblPrEx>
        <w:trPr>
          <w:jc w:val="center"/>
        </w:trPr>
        <w:tc>
          <w:tcPr>
            <w:tcW w:w="4536" w:type="dxa"/>
            <w:tcBorders>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Односемейные (отдельные)</w:t>
            </w:r>
          </w:p>
        </w:tc>
        <w:tc>
          <w:tcPr>
            <w:tcW w:w="1701" w:type="dxa"/>
            <w:tcBorders>
              <w:left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340"/>
              <w:jc w:val="right"/>
              <w:rPr>
                <w:sz w:val="23"/>
              </w:rPr>
            </w:pPr>
            <w:r>
              <w:rPr>
                <w:sz w:val="23"/>
              </w:rPr>
              <w:t>1 027</w:t>
            </w:r>
          </w:p>
        </w:tc>
        <w:tc>
          <w:tcPr>
            <w:tcW w:w="1701" w:type="dxa"/>
            <w:tcBorders>
              <w:lef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340"/>
              <w:jc w:val="right"/>
              <w:rPr>
                <w:sz w:val="23"/>
              </w:rPr>
            </w:pPr>
            <w:r>
              <w:rPr>
                <w:sz w:val="23"/>
              </w:rPr>
              <w:t>40,9</w:t>
            </w:r>
          </w:p>
        </w:tc>
      </w:tr>
      <w:tr w:rsidR="00000000">
        <w:tblPrEx>
          <w:tblCellMar>
            <w:top w:w="0" w:type="dxa"/>
            <w:bottom w:w="0" w:type="dxa"/>
          </w:tblCellMar>
        </w:tblPrEx>
        <w:trPr>
          <w:jc w:val="center"/>
        </w:trPr>
        <w:tc>
          <w:tcPr>
            <w:tcW w:w="4536" w:type="dxa"/>
            <w:tcBorders>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Односемейные (не отдельные или имеющие общую стену)</w:t>
            </w:r>
          </w:p>
        </w:tc>
        <w:tc>
          <w:tcPr>
            <w:tcW w:w="1701" w:type="dxa"/>
            <w:tcBorders>
              <w:left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340"/>
              <w:jc w:val="right"/>
              <w:rPr>
                <w:sz w:val="23"/>
              </w:rPr>
            </w:pPr>
            <w:r>
              <w:rPr>
                <w:sz w:val="23"/>
              </w:rPr>
              <w:t>321</w:t>
            </w:r>
          </w:p>
        </w:tc>
        <w:tc>
          <w:tcPr>
            <w:tcW w:w="1701" w:type="dxa"/>
            <w:tcBorders>
              <w:lef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340"/>
              <w:jc w:val="right"/>
              <w:rPr>
                <w:sz w:val="23"/>
              </w:rPr>
            </w:pPr>
            <w:r>
              <w:rPr>
                <w:sz w:val="23"/>
              </w:rPr>
              <w:t>12,8</w:t>
            </w:r>
          </w:p>
        </w:tc>
      </w:tr>
      <w:tr w:rsidR="00000000">
        <w:tblPrEx>
          <w:tblCellMar>
            <w:top w:w="0" w:type="dxa"/>
            <w:bottom w:w="0" w:type="dxa"/>
          </w:tblCellMar>
        </w:tblPrEx>
        <w:trPr>
          <w:jc w:val="center"/>
        </w:trPr>
        <w:tc>
          <w:tcPr>
            <w:tcW w:w="4536" w:type="dxa"/>
            <w:tcBorders>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Многосемейные</w:t>
            </w:r>
          </w:p>
        </w:tc>
        <w:tc>
          <w:tcPr>
            <w:tcW w:w="1701" w:type="dxa"/>
            <w:tcBorders>
              <w:left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340"/>
              <w:jc w:val="right"/>
              <w:rPr>
                <w:sz w:val="23"/>
              </w:rPr>
            </w:pPr>
            <w:r>
              <w:rPr>
                <w:sz w:val="23"/>
              </w:rPr>
              <w:t>974</w:t>
            </w:r>
          </w:p>
        </w:tc>
        <w:tc>
          <w:tcPr>
            <w:tcW w:w="1701" w:type="dxa"/>
            <w:tcBorders>
              <w:lef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340"/>
              <w:jc w:val="right"/>
              <w:rPr>
                <w:sz w:val="23"/>
              </w:rPr>
            </w:pPr>
            <w:r>
              <w:rPr>
                <w:sz w:val="23"/>
              </w:rPr>
              <w:t>38,8</w:t>
            </w:r>
          </w:p>
        </w:tc>
      </w:tr>
      <w:tr w:rsidR="00000000">
        <w:tblPrEx>
          <w:tblCellMar>
            <w:top w:w="0" w:type="dxa"/>
            <w:bottom w:w="0" w:type="dxa"/>
          </w:tblCellMar>
        </w:tblPrEx>
        <w:trPr>
          <w:jc w:val="center"/>
        </w:trPr>
        <w:tc>
          <w:tcPr>
            <w:tcW w:w="4536" w:type="dxa"/>
            <w:tcBorders>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Прочие</w:t>
            </w:r>
          </w:p>
        </w:tc>
        <w:tc>
          <w:tcPr>
            <w:tcW w:w="1701" w:type="dxa"/>
            <w:tcBorders>
              <w:left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340"/>
              <w:jc w:val="right"/>
              <w:rPr>
                <w:sz w:val="23"/>
              </w:rPr>
            </w:pPr>
            <w:r>
              <w:rPr>
                <w:sz w:val="23"/>
              </w:rPr>
              <w:t>55</w:t>
            </w:r>
          </w:p>
        </w:tc>
        <w:tc>
          <w:tcPr>
            <w:tcW w:w="1701" w:type="dxa"/>
            <w:tcBorders>
              <w:lef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340"/>
              <w:jc w:val="right"/>
              <w:rPr>
                <w:sz w:val="23"/>
              </w:rPr>
            </w:pPr>
            <w:r>
              <w:rPr>
                <w:sz w:val="23"/>
              </w:rPr>
              <w:t>2,2</w:t>
            </w:r>
          </w:p>
        </w:tc>
      </w:tr>
      <w:tr w:rsidR="00000000">
        <w:tblPrEx>
          <w:tblCellMar>
            <w:top w:w="0" w:type="dxa"/>
            <w:bottom w:w="0" w:type="dxa"/>
          </w:tblCellMar>
        </w:tblPrEx>
        <w:trPr>
          <w:jc w:val="center"/>
        </w:trPr>
        <w:tc>
          <w:tcPr>
            <w:tcW w:w="4536" w:type="dxa"/>
            <w:tcBorders>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p>
        </w:tc>
        <w:tc>
          <w:tcPr>
            <w:tcW w:w="1701" w:type="dxa"/>
            <w:tcBorders>
              <w:left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340"/>
              <w:jc w:val="right"/>
              <w:rPr>
                <w:sz w:val="23"/>
              </w:rPr>
            </w:pPr>
          </w:p>
        </w:tc>
        <w:tc>
          <w:tcPr>
            <w:tcW w:w="1701" w:type="dxa"/>
            <w:tcBorders>
              <w:lef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340"/>
              <w:jc w:val="right"/>
              <w:rPr>
                <w:sz w:val="23"/>
              </w:rPr>
            </w:pPr>
          </w:p>
        </w:tc>
      </w:tr>
      <w:tr w:rsidR="00000000">
        <w:tblPrEx>
          <w:tblCellMar>
            <w:top w:w="0" w:type="dxa"/>
            <w:bottom w:w="0" w:type="dxa"/>
          </w:tblCellMar>
        </w:tblPrEx>
        <w:trPr>
          <w:jc w:val="center"/>
        </w:trPr>
        <w:tc>
          <w:tcPr>
            <w:tcW w:w="4536" w:type="dxa"/>
            <w:tcBorders>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b/>
                <w:bCs/>
                <w:sz w:val="23"/>
              </w:rPr>
              <w:t>Период постройки:</w:t>
            </w:r>
          </w:p>
        </w:tc>
        <w:tc>
          <w:tcPr>
            <w:tcW w:w="1701" w:type="dxa"/>
            <w:tcBorders>
              <w:left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340"/>
              <w:jc w:val="right"/>
              <w:rPr>
                <w:sz w:val="23"/>
              </w:rPr>
            </w:pPr>
          </w:p>
        </w:tc>
        <w:tc>
          <w:tcPr>
            <w:tcW w:w="1701" w:type="dxa"/>
            <w:tcBorders>
              <w:lef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340"/>
              <w:jc w:val="right"/>
              <w:rPr>
                <w:sz w:val="23"/>
              </w:rPr>
            </w:pPr>
          </w:p>
        </w:tc>
      </w:tr>
      <w:tr w:rsidR="00000000">
        <w:tblPrEx>
          <w:tblCellMar>
            <w:top w:w="0" w:type="dxa"/>
            <w:bottom w:w="0" w:type="dxa"/>
          </w:tblCellMar>
        </w:tblPrEx>
        <w:trPr>
          <w:jc w:val="center"/>
        </w:trPr>
        <w:tc>
          <w:tcPr>
            <w:tcW w:w="4536" w:type="dxa"/>
            <w:tcBorders>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До 1900 года</w:t>
            </w:r>
          </w:p>
        </w:tc>
        <w:tc>
          <w:tcPr>
            <w:tcW w:w="1701" w:type="dxa"/>
            <w:tcBorders>
              <w:left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340"/>
              <w:jc w:val="right"/>
              <w:rPr>
                <w:sz w:val="23"/>
              </w:rPr>
            </w:pPr>
            <w:r>
              <w:rPr>
                <w:sz w:val="23"/>
              </w:rPr>
              <w:t>257</w:t>
            </w:r>
          </w:p>
        </w:tc>
        <w:tc>
          <w:tcPr>
            <w:tcW w:w="1701" w:type="dxa"/>
            <w:tcBorders>
              <w:lef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340"/>
              <w:jc w:val="right"/>
              <w:rPr>
                <w:sz w:val="23"/>
              </w:rPr>
            </w:pPr>
            <w:r>
              <w:rPr>
                <w:sz w:val="23"/>
              </w:rPr>
              <w:t>10,3</w:t>
            </w:r>
          </w:p>
        </w:tc>
      </w:tr>
      <w:tr w:rsidR="00000000">
        <w:tblPrEx>
          <w:tblCellMar>
            <w:top w:w="0" w:type="dxa"/>
            <w:bottom w:w="0" w:type="dxa"/>
          </w:tblCellMar>
        </w:tblPrEx>
        <w:trPr>
          <w:jc w:val="center"/>
        </w:trPr>
        <w:tc>
          <w:tcPr>
            <w:tcW w:w="4536" w:type="dxa"/>
            <w:tcBorders>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1900–1939 годы</w:t>
            </w:r>
          </w:p>
        </w:tc>
        <w:tc>
          <w:tcPr>
            <w:tcW w:w="1701" w:type="dxa"/>
            <w:tcBorders>
              <w:left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340"/>
              <w:jc w:val="right"/>
              <w:rPr>
                <w:sz w:val="23"/>
              </w:rPr>
            </w:pPr>
            <w:r>
              <w:rPr>
                <w:sz w:val="23"/>
              </w:rPr>
              <w:t>639</w:t>
            </w:r>
          </w:p>
        </w:tc>
        <w:tc>
          <w:tcPr>
            <w:tcW w:w="1701" w:type="dxa"/>
            <w:tcBorders>
              <w:lef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340"/>
              <w:jc w:val="right"/>
              <w:rPr>
                <w:sz w:val="23"/>
              </w:rPr>
            </w:pPr>
            <w:r>
              <w:rPr>
                <w:sz w:val="23"/>
              </w:rPr>
              <w:t>25,5</w:t>
            </w:r>
          </w:p>
        </w:tc>
      </w:tr>
      <w:tr w:rsidR="00000000">
        <w:tblPrEx>
          <w:tblCellMar>
            <w:top w:w="0" w:type="dxa"/>
            <w:bottom w:w="0" w:type="dxa"/>
          </w:tblCellMar>
        </w:tblPrEx>
        <w:trPr>
          <w:jc w:val="center"/>
        </w:trPr>
        <w:tc>
          <w:tcPr>
            <w:tcW w:w="4536" w:type="dxa"/>
            <w:tcBorders>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1940–1959 годы</w:t>
            </w:r>
          </w:p>
        </w:tc>
        <w:tc>
          <w:tcPr>
            <w:tcW w:w="1701" w:type="dxa"/>
            <w:tcBorders>
              <w:left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340"/>
              <w:jc w:val="right"/>
              <w:rPr>
                <w:sz w:val="23"/>
              </w:rPr>
            </w:pPr>
            <w:r>
              <w:rPr>
                <w:sz w:val="23"/>
              </w:rPr>
              <w:t>385</w:t>
            </w:r>
          </w:p>
        </w:tc>
        <w:tc>
          <w:tcPr>
            <w:tcW w:w="1701" w:type="dxa"/>
            <w:tcBorders>
              <w:lef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340"/>
              <w:jc w:val="right"/>
              <w:rPr>
                <w:sz w:val="23"/>
              </w:rPr>
            </w:pPr>
            <w:r>
              <w:rPr>
                <w:sz w:val="23"/>
              </w:rPr>
              <w:t>15,4</w:t>
            </w:r>
          </w:p>
        </w:tc>
      </w:tr>
      <w:tr w:rsidR="00000000">
        <w:tblPrEx>
          <w:tblCellMar>
            <w:top w:w="0" w:type="dxa"/>
            <w:bottom w:w="0" w:type="dxa"/>
          </w:tblCellMar>
        </w:tblPrEx>
        <w:trPr>
          <w:jc w:val="center"/>
        </w:trPr>
        <w:tc>
          <w:tcPr>
            <w:tcW w:w="4536" w:type="dxa"/>
            <w:tcBorders>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1960–1979 годы</w:t>
            </w:r>
          </w:p>
        </w:tc>
        <w:tc>
          <w:tcPr>
            <w:tcW w:w="1701" w:type="dxa"/>
            <w:tcBorders>
              <w:left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340"/>
              <w:jc w:val="right"/>
              <w:rPr>
                <w:sz w:val="23"/>
              </w:rPr>
            </w:pPr>
            <w:r>
              <w:rPr>
                <w:sz w:val="23"/>
              </w:rPr>
              <w:t>829</w:t>
            </w:r>
          </w:p>
        </w:tc>
        <w:tc>
          <w:tcPr>
            <w:tcW w:w="1701" w:type="dxa"/>
            <w:tcBorders>
              <w:lef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340"/>
              <w:jc w:val="right"/>
              <w:rPr>
                <w:sz w:val="23"/>
              </w:rPr>
            </w:pPr>
            <w:r>
              <w:rPr>
                <w:sz w:val="23"/>
              </w:rPr>
              <w:t>33,0</w:t>
            </w:r>
          </w:p>
        </w:tc>
      </w:tr>
      <w:tr w:rsidR="00000000">
        <w:tblPrEx>
          <w:tblCellMar>
            <w:top w:w="0" w:type="dxa"/>
            <w:bottom w:w="0" w:type="dxa"/>
          </w:tblCellMar>
        </w:tblPrEx>
        <w:trPr>
          <w:jc w:val="center"/>
        </w:trPr>
        <w:tc>
          <w:tcPr>
            <w:tcW w:w="4536" w:type="dxa"/>
            <w:tcBorders>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1980 год –</w:t>
            </w:r>
          </w:p>
          <w:p w:rsidR="00000000" w:rsidRDefault="00000000">
            <w:pPr>
              <w:tabs>
                <w:tab w:val="clear" w:pos="567"/>
                <w:tab w:val="clear" w:pos="1701"/>
                <w:tab w:val="clear" w:pos="2268"/>
                <w:tab w:val="clear" w:pos="6237"/>
                <w:tab w:val="left" w:pos="680"/>
                <w:tab w:val="left" w:pos="1134"/>
              </w:tabs>
              <w:spacing w:before="40" w:after="40" w:line="240" w:lineRule="auto"/>
              <w:rPr>
                <w:sz w:val="23"/>
              </w:rPr>
            </w:pPr>
          </w:p>
        </w:tc>
        <w:tc>
          <w:tcPr>
            <w:tcW w:w="1701" w:type="dxa"/>
            <w:tcBorders>
              <w:left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340"/>
              <w:jc w:val="right"/>
              <w:rPr>
                <w:sz w:val="23"/>
              </w:rPr>
            </w:pPr>
            <w:r>
              <w:rPr>
                <w:sz w:val="23"/>
              </w:rPr>
              <w:t>398</w:t>
            </w:r>
          </w:p>
        </w:tc>
        <w:tc>
          <w:tcPr>
            <w:tcW w:w="1701" w:type="dxa"/>
            <w:tcBorders>
              <w:lef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340"/>
              <w:jc w:val="right"/>
              <w:rPr>
                <w:sz w:val="23"/>
              </w:rPr>
            </w:pPr>
            <w:r>
              <w:rPr>
                <w:sz w:val="23"/>
              </w:rPr>
              <w:t>15,9</w:t>
            </w:r>
          </w:p>
        </w:tc>
      </w:tr>
      <w:tr w:rsidR="00000000">
        <w:tblPrEx>
          <w:tblCellMar>
            <w:top w:w="0" w:type="dxa"/>
            <w:bottom w:w="0" w:type="dxa"/>
          </w:tblCellMar>
        </w:tblPrEx>
        <w:trPr>
          <w:jc w:val="center"/>
        </w:trPr>
        <w:tc>
          <w:tcPr>
            <w:tcW w:w="4536" w:type="dxa"/>
            <w:tcBorders>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b/>
                <w:bCs/>
                <w:sz w:val="23"/>
              </w:rPr>
              <w:t>Вид владения:</w:t>
            </w:r>
          </w:p>
        </w:tc>
        <w:tc>
          <w:tcPr>
            <w:tcW w:w="1701" w:type="dxa"/>
            <w:tcBorders>
              <w:left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340"/>
              <w:jc w:val="right"/>
              <w:rPr>
                <w:sz w:val="23"/>
              </w:rPr>
            </w:pPr>
          </w:p>
        </w:tc>
        <w:tc>
          <w:tcPr>
            <w:tcW w:w="1701" w:type="dxa"/>
            <w:tcBorders>
              <w:lef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340"/>
              <w:jc w:val="right"/>
              <w:rPr>
                <w:sz w:val="23"/>
              </w:rPr>
            </w:pPr>
          </w:p>
        </w:tc>
      </w:tr>
      <w:tr w:rsidR="00000000">
        <w:tblPrEx>
          <w:tblCellMar>
            <w:top w:w="0" w:type="dxa"/>
            <w:bottom w:w="0" w:type="dxa"/>
          </w:tblCellMar>
        </w:tblPrEx>
        <w:trPr>
          <w:jc w:val="center"/>
        </w:trPr>
        <w:tc>
          <w:tcPr>
            <w:tcW w:w="4536" w:type="dxa"/>
            <w:tcBorders>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Занимаемое самими владельцами жилье</w:t>
            </w:r>
          </w:p>
        </w:tc>
        <w:tc>
          <w:tcPr>
            <w:tcW w:w="1701" w:type="dxa"/>
            <w:tcBorders>
              <w:left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340"/>
              <w:jc w:val="right"/>
              <w:rPr>
                <w:sz w:val="23"/>
              </w:rPr>
            </w:pPr>
            <w:r>
              <w:rPr>
                <w:sz w:val="23"/>
              </w:rPr>
              <w:t>1 283</w:t>
            </w:r>
          </w:p>
        </w:tc>
        <w:tc>
          <w:tcPr>
            <w:tcW w:w="1701" w:type="dxa"/>
            <w:tcBorders>
              <w:lef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340"/>
              <w:jc w:val="right"/>
              <w:rPr>
                <w:sz w:val="23"/>
              </w:rPr>
            </w:pPr>
            <w:r>
              <w:rPr>
                <w:sz w:val="23"/>
              </w:rPr>
              <w:t>51,1</w:t>
            </w:r>
          </w:p>
        </w:tc>
      </w:tr>
      <w:tr w:rsidR="00000000">
        <w:tblPrEx>
          <w:tblCellMar>
            <w:top w:w="0" w:type="dxa"/>
            <w:bottom w:w="0" w:type="dxa"/>
          </w:tblCellMar>
        </w:tblPrEx>
        <w:trPr>
          <w:jc w:val="center"/>
        </w:trPr>
        <w:tc>
          <w:tcPr>
            <w:tcW w:w="4536" w:type="dxa"/>
            <w:tcBorders>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Арендуемое жилье</w:t>
            </w:r>
          </w:p>
        </w:tc>
        <w:tc>
          <w:tcPr>
            <w:tcW w:w="1701" w:type="dxa"/>
            <w:tcBorders>
              <w:left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340"/>
              <w:jc w:val="right"/>
              <w:rPr>
                <w:sz w:val="23"/>
              </w:rPr>
            </w:pPr>
            <w:r>
              <w:rPr>
                <w:sz w:val="23"/>
              </w:rPr>
              <w:t>1 123</w:t>
            </w:r>
          </w:p>
        </w:tc>
        <w:tc>
          <w:tcPr>
            <w:tcW w:w="1701" w:type="dxa"/>
            <w:tcBorders>
              <w:lef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340"/>
              <w:jc w:val="right"/>
              <w:rPr>
                <w:sz w:val="23"/>
              </w:rPr>
            </w:pPr>
            <w:r>
              <w:rPr>
                <w:sz w:val="23"/>
              </w:rPr>
              <w:t>44,8</w:t>
            </w:r>
          </w:p>
        </w:tc>
      </w:tr>
      <w:tr w:rsidR="00000000">
        <w:tblPrEx>
          <w:tblCellMar>
            <w:top w:w="0" w:type="dxa"/>
            <w:bottom w:w="0" w:type="dxa"/>
          </w:tblCellMar>
        </w:tblPrEx>
        <w:trPr>
          <w:jc w:val="center"/>
        </w:trPr>
        <w:tc>
          <w:tcPr>
            <w:tcW w:w="4536" w:type="dxa"/>
            <w:tcBorders>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Незаселенное или неизвестно кому принадлежащее жилье</w:t>
            </w:r>
          </w:p>
          <w:p w:rsidR="00000000" w:rsidRDefault="00000000">
            <w:pPr>
              <w:tabs>
                <w:tab w:val="clear" w:pos="567"/>
                <w:tab w:val="clear" w:pos="1701"/>
                <w:tab w:val="clear" w:pos="2268"/>
                <w:tab w:val="clear" w:pos="6237"/>
                <w:tab w:val="left" w:pos="680"/>
                <w:tab w:val="left" w:pos="1134"/>
              </w:tabs>
              <w:spacing w:before="40" w:after="40" w:line="240" w:lineRule="auto"/>
              <w:rPr>
                <w:sz w:val="23"/>
              </w:rPr>
            </w:pPr>
          </w:p>
        </w:tc>
        <w:tc>
          <w:tcPr>
            <w:tcW w:w="1701" w:type="dxa"/>
            <w:tcBorders>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340"/>
              <w:jc w:val="right"/>
              <w:rPr>
                <w:sz w:val="23"/>
              </w:rPr>
            </w:pPr>
            <w:r>
              <w:rPr>
                <w:sz w:val="23"/>
              </w:rPr>
              <w:t>103</w:t>
            </w:r>
          </w:p>
        </w:tc>
        <w:tc>
          <w:tcPr>
            <w:tcW w:w="1701" w:type="dxa"/>
            <w:tcBorders>
              <w:left w:val="single" w:sz="4" w:space="0" w:color="auto"/>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ind w:right="340"/>
              <w:jc w:val="right"/>
              <w:rPr>
                <w:sz w:val="23"/>
              </w:rPr>
            </w:pPr>
            <w:r>
              <w:rPr>
                <w:sz w:val="23"/>
              </w:rPr>
              <w:t>4,1</w:t>
            </w:r>
          </w:p>
        </w:tc>
      </w:tr>
      <w:tr w:rsidR="00000000">
        <w:tblPrEx>
          <w:tblCellMar>
            <w:top w:w="0" w:type="dxa"/>
            <w:bottom w:w="0" w:type="dxa"/>
          </w:tblCellMar>
        </w:tblPrEx>
        <w:trPr>
          <w:jc w:val="center"/>
        </w:trPr>
        <w:tc>
          <w:tcPr>
            <w:tcW w:w="4536" w:type="dxa"/>
            <w:tcBorders>
              <w:top w:val="nil"/>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b/>
                <w:bCs/>
                <w:sz w:val="23"/>
              </w:rPr>
            </w:pPr>
            <w:r>
              <w:rPr>
                <w:b/>
                <w:bCs/>
                <w:sz w:val="23"/>
              </w:rPr>
              <w:t>Жилье домашних хозяйств, всего</w:t>
            </w:r>
          </w:p>
        </w:tc>
        <w:tc>
          <w:tcPr>
            <w:tcW w:w="1701"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340"/>
              <w:jc w:val="right"/>
              <w:rPr>
                <w:sz w:val="23"/>
              </w:rPr>
            </w:pPr>
            <w:r>
              <w:rPr>
                <w:sz w:val="23"/>
              </w:rPr>
              <w:t>2 398</w:t>
            </w:r>
          </w:p>
        </w:tc>
        <w:tc>
          <w:tcPr>
            <w:tcW w:w="1701" w:type="dxa"/>
            <w:tcBorders>
              <w:top w:val="nil"/>
              <w:left w:val="single" w:sz="4" w:space="0" w:color="auto"/>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ind w:right="340"/>
              <w:jc w:val="right"/>
              <w:rPr>
                <w:sz w:val="23"/>
              </w:rPr>
            </w:pPr>
            <w:r>
              <w:rPr>
                <w:sz w:val="23"/>
              </w:rPr>
              <w:t>100,0</w:t>
            </w:r>
          </w:p>
        </w:tc>
      </w:tr>
      <w:tr w:rsidR="00000000">
        <w:tblPrEx>
          <w:tblCellMar>
            <w:top w:w="0" w:type="dxa"/>
            <w:bottom w:w="0" w:type="dxa"/>
          </w:tblCellMar>
        </w:tblPrEx>
        <w:trPr>
          <w:jc w:val="center"/>
        </w:trPr>
        <w:tc>
          <w:tcPr>
            <w:tcW w:w="4536" w:type="dxa"/>
            <w:tcBorders>
              <w:top w:val="nil"/>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Из них:</w:t>
            </w:r>
          </w:p>
        </w:tc>
        <w:tc>
          <w:tcPr>
            <w:tcW w:w="1701"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340"/>
              <w:jc w:val="right"/>
              <w:rPr>
                <w:sz w:val="23"/>
              </w:rPr>
            </w:pPr>
          </w:p>
        </w:tc>
        <w:tc>
          <w:tcPr>
            <w:tcW w:w="1701" w:type="dxa"/>
            <w:tcBorders>
              <w:top w:val="nil"/>
              <w:left w:val="single" w:sz="4" w:space="0" w:color="auto"/>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ind w:right="340"/>
              <w:jc w:val="right"/>
              <w:rPr>
                <w:sz w:val="23"/>
              </w:rPr>
            </w:pPr>
          </w:p>
        </w:tc>
      </w:tr>
      <w:tr w:rsidR="00000000">
        <w:tblPrEx>
          <w:tblCellMar>
            <w:top w:w="0" w:type="dxa"/>
            <w:bottom w:w="0" w:type="dxa"/>
          </w:tblCellMar>
        </w:tblPrEx>
        <w:trPr>
          <w:jc w:val="center"/>
        </w:trPr>
        <w:tc>
          <w:tcPr>
            <w:tcW w:w="4536" w:type="dxa"/>
            <w:tcBorders>
              <w:top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 с детьми</w:t>
            </w:r>
          </w:p>
        </w:tc>
        <w:tc>
          <w:tcPr>
            <w:tcW w:w="1701" w:type="dxa"/>
            <w:tcBorders>
              <w:top w:val="nil"/>
              <w:left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340"/>
              <w:jc w:val="right"/>
              <w:rPr>
                <w:sz w:val="23"/>
              </w:rPr>
            </w:pPr>
            <w:r>
              <w:rPr>
                <w:sz w:val="23"/>
              </w:rPr>
              <w:t>644</w:t>
            </w:r>
          </w:p>
        </w:tc>
        <w:tc>
          <w:tcPr>
            <w:tcW w:w="1701" w:type="dxa"/>
            <w:tcBorders>
              <w:top w:val="nil"/>
              <w:lef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340"/>
              <w:jc w:val="right"/>
              <w:rPr>
                <w:sz w:val="23"/>
              </w:rPr>
            </w:pPr>
            <w:r>
              <w:rPr>
                <w:sz w:val="23"/>
              </w:rPr>
              <w:t>26,9</w:t>
            </w:r>
          </w:p>
        </w:tc>
      </w:tr>
      <w:tr w:rsidR="00000000">
        <w:tblPrEx>
          <w:tblCellMar>
            <w:top w:w="0" w:type="dxa"/>
            <w:bottom w:w="0" w:type="dxa"/>
          </w:tblCellMar>
        </w:tblPrEx>
        <w:trPr>
          <w:jc w:val="center"/>
        </w:trPr>
        <w:tc>
          <w:tcPr>
            <w:tcW w:w="4536" w:type="dxa"/>
            <w:tcBorders>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одиноких лиц</w:t>
            </w:r>
          </w:p>
        </w:tc>
        <w:tc>
          <w:tcPr>
            <w:tcW w:w="1701" w:type="dxa"/>
            <w:tcBorders>
              <w:left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340"/>
              <w:jc w:val="right"/>
              <w:rPr>
                <w:sz w:val="23"/>
              </w:rPr>
            </w:pPr>
            <w:r>
              <w:rPr>
                <w:sz w:val="23"/>
              </w:rPr>
              <w:t>973</w:t>
            </w:r>
          </w:p>
        </w:tc>
        <w:tc>
          <w:tcPr>
            <w:tcW w:w="1701" w:type="dxa"/>
            <w:tcBorders>
              <w:lef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340"/>
              <w:jc w:val="right"/>
              <w:rPr>
                <w:sz w:val="23"/>
              </w:rPr>
            </w:pPr>
            <w:r>
              <w:rPr>
                <w:sz w:val="23"/>
              </w:rPr>
              <w:t>40,6</w:t>
            </w:r>
          </w:p>
        </w:tc>
      </w:tr>
      <w:tr w:rsidR="00000000">
        <w:tblPrEx>
          <w:tblCellMar>
            <w:top w:w="0" w:type="dxa"/>
            <w:bottom w:w="0" w:type="dxa"/>
          </w:tblCellMar>
        </w:tblPrEx>
        <w:trPr>
          <w:jc w:val="center"/>
        </w:trPr>
        <w:tc>
          <w:tcPr>
            <w:tcW w:w="4536" w:type="dxa"/>
            <w:tcBorders>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 с детьми</w:t>
            </w:r>
          </w:p>
        </w:tc>
        <w:tc>
          <w:tcPr>
            <w:tcW w:w="1701" w:type="dxa"/>
            <w:tcBorders>
              <w:left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340"/>
              <w:jc w:val="right"/>
              <w:rPr>
                <w:sz w:val="23"/>
              </w:rPr>
            </w:pPr>
            <w:r>
              <w:rPr>
                <w:sz w:val="23"/>
              </w:rPr>
              <w:t>100</w:t>
            </w:r>
          </w:p>
        </w:tc>
        <w:tc>
          <w:tcPr>
            <w:tcW w:w="1701" w:type="dxa"/>
            <w:tcBorders>
              <w:lef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340"/>
              <w:jc w:val="right"/>
              <w:rPr>
                <w:sz w:val="23"/>
              </w:rPr>
            </w:pPr>
            <w:r>
              <w:rPr>
                <w:sz w:val="23"/>
              </w:rPr>
              <w:t>4,2</w:t>
            </w:r>
          </w:p>
        </w:tc>
      </w:tr>
      <w:tr w:rsidR="00000000">
        <w:tblPrEx>
          <w:tblCellMar>
            <w:top w:w="0" w:type="dxa"/>
            <w:bottom w:w="0" w:type="dxa"/>
          </w:tblCellMar>
        </w:tblPrEx>
        <w:trPr>
          <w:jc w:val="center"/>
        </w:trPr>
        <w:tc>
          <w:tcPr>
            <w:tcW w:w="4536" w:type="dxa"/>
            <w:tcBorders>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семейных пар</w:t>
            </w:r>
          </w:p>
        </w:tc>
        <w:tc>
          <w:tcPr>
            <w:tcW w:w="1701" w:type="dxa"/>
            <w:tcBorders>
              <w:left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340"/>
              <w:jc w:val="right"/>
              <w:rPr>
                <w:sz w:val="23"/>
              </w:rPr>
            </w:pPr>
            <w:r>
              <w:rPr>
                <w:sz w:val="23"/>
              </w:rPr>
              <w:t>1 312</w:t>
            </w:r>
          </w:p>
        </w:tc>
        <w:tc>
          <w:tcPr>
            <w:tcW w:w="1701" w:type="dxa"/>
            <w:tcBorders>
              <w:lef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340"/>
              <w:jc w:val="right"/>
              <w:rPr>
                <w:sz w:val="23"/>
              </w:rPr>
            </w:pPr>
            <w:r>
              <w:rPr>
                <w:sz w:val="23"/>
              </w:rPr>
              <w:t>54,7</w:t>
            </w:r>
          </w:p>
        </w:tc>
      </w:tr>
      <w:tr w:rsidR="00000000">
        <w:tblPrEx>
          <w:tblCellMar>
            <w:top w:w="0" w:type="dxa"/>
            <w:bottom w:w="0" w:type="dxa"/>
          </w:tblCellMar>
        </w:tblPrEx>
        <w:trPr>
          <w:jc w:val="center"/>
        </w:trPr>
        <w:tc>
          <w:tcPr>
            <w:tcW w:w="4536" w:type="dxa"/>
            <w:tcBorders>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 с детьми</w:t>
            </w:r>
          </w:p>
        </w:tc>
        <w:tc>
          <w:tcPr>
            <w:tcW w:w="1701" w:type="dxa"/>
            <w:tcBorders>
              <w:left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340"/>
              <w:jc w:val="right"/>
              <w:rPr>
                <w:sz w:val="23"/>
              </w:rPr>
            </w:pPr>
            <w:r>
              <w:rPr>
                <w:sz w:val="23"/>
              </w:rPr>
              <w:t>510</w:t>
            </w:r>
          </w:p>
        </w:tc>
        <w:tc>
          <w:tcPr>
            <w:tcW w:w="1701" w:type="dxa"/>
            <w:tcBorders>
              <w:lef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340"/>
              <w:jc w:val="right"/>
              <w:rPr>
                <w:sz w:val="23"/>
              </w:rPr>
            </w:pPr>
            <w:r>
              <w:rPr>
                <w:sz w:val="23"/>
              </w:rPr>
              <w:t>21,3</w:t>
            </w:r>
          </w:p>
        </w:tc>
      </w:tr>
      <w:tr w:rsidR="00000000">
        <w:tblPrEx>
          <w:tblCellMar>
            <w:top w:w="0" w:type="dxa"/>
            <w:bottom w:w="0" w:type="dxa"/>
          </w:tblCellMar>
        </w:tblPrEx>
        <w:trPr>
          <w:jc w:val="center"/>
        </w:trPr>
        <w:tc>
          <w:tcPr>
            <w:tcW w:w="4536" w:type="dxa"/>
            <w:tcBorders>
              <w:bottom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Прочих</w:t>
            </w:r>
          </w:p>
        </w:tc>
        <w:tc>
          <w:tcPr>
            <w:tcW w:w="1701" w:type="dxa"/>
            <w:tcBorders>
              <w:left w:val="single" w:sz="4" w:space="0" w:color="auto"/>
              <w:bottom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340"/>
              <w:jc w:val="right"/>
              <w:rPr>
                <w:sz w:val="23"/>
              </w:rPr>
            </w:pPr>
            <w:r>
              <w:rPr>
                <w:sz w:val="23"/>
              </w:rPr>
              <w:t>113</w:t>
            </w:r>
          </w:p>
        </w:tc>
        <w:tc>
          <w:tcPr>
            <w:tcW w:w="1701" w:type="dxa"/>
            <w:tcBorders>
              <w:left w:val="single" w:sz="4" w:space="0" w:color="auto"/>
              <w:bottom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340"/>
              <w:jc w:val="right"/>
              <w:rPr>
                <w:sz w:val="23"/>
              </w:rPr>
            </w:pPr>
            <w:r>
              <w:rPr>
                <w:sz w:val="23"/>
              </w:rPr>
              <w:t>4,7</w:t>
            </w:r>
          </w:p>
        </w:tc>
      </w:tr>
    </w:tbl>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281.</w:t>
      </w:r>
      <w:r>
        <w:rPr>
          <w:sz w:val="23"/>
        </w:rPr>
        <w:tab/>
        <w:t xml:space="preserve">Ниже представлены различные категории жилья.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b/>
          <w:bCs/>
          <w:sz w:val="23"/>
        </w:rPr>
        <w:t>Жилье, занимаемое самими владельцами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282.</w:t>
      </w:r>
      <w:r>
        <w:rPr>
          <w:sz w:val="23"/>
        </w:rPr>
        <w:tab/>
        <w:t>В общей сложности 1,3 млн. занимаемого самими владельцами жилья составляет половину общего жилого фонда, в которой проживает 62% населения.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283.</w:t>
      </w:r>
      <w:r>
        <w:rPr>
          <w:sz w:val="23"/>
        </w:rPr>
        <w:tab/>
        <w:t>Две трети занимаемого самими владельцами жилья составляют отдельные дома. Средние размеры составляют 136 м</w:t>
      </w:r>
      <w:r>
        <w:rPr>
          <w:sz w:val="23"/>
          <w:vertAlign w:val="superscript"/>
        </w:rPr>
        <w:t>2</w:t>
      </w:r>
      <w:r>
        <w:rPr>
          <w:sz w:val="23"/>
        </w:rPr>
        <w:t>, и типовая отдельная жилая собственность занимает 800 м</w:t>
      </w:r>
      <w:r>
        <w:rPr>
          <w:sz w:val="23"/>
          <w:vertAlign w:val="superscript"/>
        </w:rPr>
        <w:t>2</w:t>
      </w:r>
      <w:r>
        <w:rPr>
          <w:sz w:val="23"/>
        </w:rPr>
        <w:t>. Занимаемые самими владельцами квартиры составляют лишь 9% принадлежащего самим владельцам жилья. Три четверти принадлежащего владельцам жилья занимают семейные пары. Кроме того, домашние хозяйства с детьми составляют значительную долю в секторе жилья, занимаемого самими владельцами, доля таких домашних хозяйств составляет две трети от общего числа домашних хозяйств с детьми.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b/>
          <w:bCs/>
          <w:sz w:val="23"/>
        </w:rPr>
        <w:t>Жилье, сдаваемое в аренду, и кооперативное жилье</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284.</w:t>
      </w:r>
      <w:r>
        <w:rPr>
          <w:sz w:val="23"/>
        </w:rPr>
        <w:tab/>
        <w:t>Доля в 1,1 млн. жилищных единиц, эквивалентная 45% жилого фонда, состоит из различных видов сдаваемого в аренду жилья (включая кооперативное жилье), которое в основном является частноарендуемым и государственным жильем.</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285.</w:t>
      </w:r>
      <w:r>
        <w:rPr>
          <w:sz w:val="23"/>
        </w:rPr>
        <w:tab/>
        <w:t>Сдаваемое в аренду жилье прежде всего предназначено для обеспечения того, чтобы жилищные возможности были достаточно разнообразными и удовлетворяли жилищные потребности всех групп населения.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286.</w:t>
      </w:r>
      <w:r>
        <w:rPr>
          <w:sz w:val="23"/>
        </w:rPr>
        <w:tab/>
        <w:t>Жилье, сдаваемое в аренду, состоит исключительно из многоквартирных жилых домов, и если более старые постройки представляют собой в основном многоэтажные дома, то на протяжении последних нескольких десятилетий все более распространенными являются компактные малоэтажные дома.</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287.</w:t>
      </w:r>
      <w:r>
        <w:rPr>
          <w:sz w:val="23"/>
        </w:rPr>
        <w:tab/>
        <w:t>В отличие от жилищ, занимаемых самими владельцами, в арендуемых жилищах проживают преимущественно одинокие люди, которые составляют две трети домашних хозяйств в секторе арендуемого жилья.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288.</w:t>
      </w:r>
      <w:r>
        <w:rPr>
          <w:sz w:val="23"/>
        </w:rPr>
        <w:tab/>
        <w:t>Оставшиеся 4,1% жилого фонда в 2001 году оказались неучтенными из-за того, что на момент составления данных в указанных жилищах никто не был зарегистрирован в качестве проживающих лиц, либо в силу того, что жильцы недавно переехали, либо потому, что жилище пустовало или использовалось в качестве второстепенного жилья. Примерно 10% жилого фонда переходит из одних рук в другие.</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289.</w:t>
      </w:r>
      <w:r>
        <w:rPr>
          <w:sz w:val="23"/>
        </w:rPr>
        <w:tab/>
        <w:t>Ниже приводится краткое описание различных видов арендуемого жилья.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b/>
          <w:bCs/>
          <w:sz w:val="23"/>
        </w:rPr>
        <w:t>Частное арендуемое жилье</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290.</w:t>
      </w:r>
      <w:r>
        <w:rPr>
          <w:sz w:val="23"/>
        </w:rPr>
        <w:tab/>
        <w:t>Частное арендуемое жилье (448 000 единиц) является относительно старым по сравнению с остальным жилфондом. Приблизительно 60% таких зданий было построено до 1940 года, и в данном секторе жилого фонда ощущается особая потребность в реконструкции и обновлении.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291.</w:t>
      </w:r>
      <w:r>
        <w:rPr>
          <w:sz w:val="23"/>
        </w:rPr>
        <w:tab/>
        <w:t>Законодательство, касающееся частного арендуемого жилья, представлено двумя законами: Законом об аренде и Законом об осуществлении контроля за арендой. Как правило, установление арендной платы ограничивается законом и не отражает рыночных условий.</w:t>
      </w:r>
    </w:p>
    <w:p w:rsidR="00000000" w:rsidRDefault="00000000">
      <w:pPr>
        <w:tabs>
          <w:tab w:val="clear" w:pos="567"/>
          <w:tab w:val="clear" w:pos="1701"/>
          <w:tab w:val="clear" w:pos="2268"/>
          <w:tab w:val="clear" w:pos="6237"/>
          <w:tab w:val="left" w:pos="680"/>
          <w:tab w:val="left" w:pos="1134"/>
        </w:tabs>
        <w:spacing w:line="240" w:lineRule="auto"/>
        <w:rPr>
          <w:sz w:val="23"/>
        </w:rPr>
      </w:pPr>
      <w:r>
        <w:rPr>
          <w:b/>
          <w:bCs/>
          <w:sz w:val="23"/>
        </w:rPr>
        <w:t>Государственное жилье</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292.</w:t>
      </w:r>
      <w:r>
        <w:rPr>
          <w:sz w:val="23"/>
        </w:rPr>
        <w:tab/>
        <w:t>Большинство из 487 000 государственных жилых единиц, составляющих 19% от всего жилого фонда, является относительно новым и лишь 5% было построено до 1940 года.</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293.</w:t>
      </w:r>
      <w:r>
        <w:rPr>
          <w:sz w:val="23"/>
        </w:rPr>
        <w:tab/>
        <w:t>Строительство жилья осуществляется государственными (некоммерческими) жилищными ассоциациями (всего имеется 700 ассоциаций) с одобрения местных органов управления того района, в котором производится застройка. Поскольку данный сектор субсидируется правительством, сами ассоциации являются объектом инспекций со стороны местных органов управления.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294.</w:t>
      </w:r>
      <w:r>
        <w:rPr>
          <w:sz w:val="23"/>
        </w:rPr>
        <w:tab/>
        <w:t>Сектор государственного жилья отвечает за решение широкого круга проблем социального обеспечения, которые не решаются с помощью рыночных сил в той мере, в которой это предусматривается политикой правительства.</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295.</w:t>
      </w:r>
      <w:r>
        <w:rPr>
          <w:sz w:val="23"/>
        </w:rPr>
        <w:tab/>
        <w:t>Отличительной чертой сектора государственного жилья является активное участие арендаторов (или "демократия арендаторов", как ее называют в Дании). Большинство членов советов жилищных ассоциаций избирается арендаторами, и каждая ассоциация пользуется значительной степенью автономии.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296.</w:t>
      </w:r>
      <w:r>
        <w:rPr>
          <w:sz w:val="23"/>
        </w:rPr>
        <w:tab/>
        <w:t>Арендная плата устанавливается таким образом, чтобы соблюдался баланс расходов и доходов конкретной ассоциации.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297.</w:t>
      </w:r>
      <w:r>
        <w:rPr>
          <w:sz w:val="23"/>
        </w:rPr>
        <w:tab/>
        <w:t>Существуют три различные категории государственного жилья: семейное жилье, жилье для престарелых и жилье для молодежи.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b/>
          <w:bCs/>
          <w:sz w:val="23"/>
        </w:rPr>
        <w:t>Семейное жилье</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298.</w:t>
      </w:r>
      <w:r>
        <w:rPr>
          <w:sz w:val="23"/>
        </w:rPr>
        <w:tab/>
        <w:t>Основная часть государственного жилищного сектора предусматривает предоставление семейного жилья. Вместе с тем семейное жилье не зарезервировано за определенными группами населения. В отличие от ситуации в большинстве других стран, в Дании не установлен предел доходов для предоставления права на государственное семейное жилье. Тем не менее домашним хозяйствам с детьми предоставляется приоритетное право на более просторные жилища, а местные органы управления обладают правом использовать каждую четвертую пустующую квартиру для решения неотложных вопросов, связанных с предоставлением жилья в рамках социальной защиты.</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b/>
          <w:bCs/>
          <w:sz w:val="23"/>
        </w:rPr>
        <w:t>Жилье для престарелых</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299.</w:t>
      </w:r>
      <w:r>
        <w:rPr>
          <w:sz w:val="23"/>
        </w:rPr>
        <w:tab/>
        <w:t>Большинство престарелых проживает в жилых единицах общего жилого фонда и через службы по уходу, обеспечиваемые местными органами управления, в случае необходимости могут получать надлежащий уход и помощь.</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300.</w:t>
      </w:r>
      <w:r>
        <w:rPr>
          <w:sz w:val="23"/>
        </w:rPr>
        <w:tab/>
        <w:t>Приблизительно 35 000 жилых единиц субсидируются правительством и предназначены для престарелых и инвалидов. Большая часть таких жилых единиц была создана после принятия в 1987 году Закона об организации жилья для престарелых. Государственный жилой фонд для престарелых выполняет ключевую задачу политики в отношении организации жилья для престарелых, которая состоит в том, чтобы позволить престарелым оставаться жить в своих домах столько, сколько они смогут.</w:t>
      </w: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301.</w:t>
      </w:r>
      <w:r>
        <w:rPr>
          <w:sz w:val="23"/>
        </w:rPr>
        <w:tab/>
        <w:t>Жилье для престарелых обычно обеспечивается за счет новых строительных проектов или переоборудования жилой собственности или бывшей коммерческой собственности. Одним из требований является автономность жилья и его оснащение кухней или небольшим кухонным помещением, ванной комнатой и туалетом. Закон также предусматривает, чтобы каждое жилище было охвачено круглосуточной системой вызова неотложной помощи и чтобы его оборудование и доступ в него отвечали особым потребностям престарелых и инвалидов, включая лиц, пользующихся инвалидными колясками.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302.</w:t>
      </w:r>
      <w:r>
        <w:rPr>
          <w:sz w:val="23"/>
        </w:rPr>
        <w:tab/>
        <w:t>Остальная часть жилого фонда для престарелых включает в себя 30 000 мест в традиционных домах для престарелых, 4000 приютов и 3000 квартир полукоммунального типа.</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b/>
          <w:bCs/>
          <w:sz w:val="23"/>
        </w:rPr>
        <w:t>Жилье для молодежи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303.</w:t>
      </w:r>
      <w:r>
        <w:rPr>
          <w:sz w:val="23"/>
        </w:rPr>
        <w:tab/>
        <w:t>Около 25 000 государственных жилых единиц предоставляют жилье для молодежи. Общий жилой фонд для молодежи насчитывает приблизительно 55 000 жилищ, из которых 34</w:t>
      </w:r>
      <w:r>
        <w:rPr>
          <w:sz w:val="23"/>
          <w:lang w:val="en-US"/>
        </w:rPr>
        <w:t> </w:t>
      </w:r>
      <w:r>
        <w:rPr>
          <w:sz w:val="23"/>
        </w:rPr>
        <w:t>000 составляют места в общежитиях. Жилье для молодежи рассчитано на студенческую молодежь и молодых людей с особыми потребностями, например, возникающими в результате социальных проблем.</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b/>
          <w:bCs/>
          <w:sz w:val="23"/>
        </w:rPr>
        <w:t>Кооперативное жилье</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304.</w:t>
      </w:r>
      <w:r>
        <w:rPr>
          <w:sz w:val="23"/>
        </w:rPr>
        <w:tab/>
        <w:t>Около 163 000 кооперативных жилищ представляют собой промежуточную форму жилья между жильем, занимаемым самими владельцами, и арендуемым жильем. Членство в кооперативной жилищной ассоциации предусматривает не полную покупку жилья, а приобретение доли в общих активах ассоциации, т. е. конкретной собственности. Приобретая долю, член кооператива получает право пользоваться квартирой.</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305.</w:t>
      </w:r>
      <w:r>
        <w:rPr>
          <w:sz w:val="23"/>
        </w:rPr>
        <w:tab/>
        <w:t>Существует два вида кооперативного жилья. Во-первых, имеются новые субсидированные правительством жилища целевой застройки, число которых составляет приблизительно 45 000 и которые были построены при использовании субсидий начиная с 1982</w:t>
      </w:r>
      <w:r>
        <w:rPr>
          <w:sz w:val="23"/>
          <w:lang w:val="en-US"/>
        </w:rPr>
        <w:t> </w:t>
      </w:r>
      <w:r>
        <w:rPr>
          <w:sz w:val="23"/>
        </w:rPr>
        <w:t>года. Во-вторых, кооперативные жилища имеются в жилом секторе, предназначенном для престарелых, которые образовались в результате гарантируемого законом преимущественного права на приобретение, позволяющего лицам, проживающим в частном арендуемом жилье, приобретать долю на владение своим жильем, когда оно предлагается на продажу. Такая форма кооперативного жилья не субсидируется правительством.</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258" w:name="_Toc51496924"/>
      <w:bookmarkStart w:id="259" w:name="_Toc51497091"/>
      <w:bookmarkStart w:id="260" w:name="_Toc51497616"/>
      <w:r>
        <w:t xml:space="preserve">Пункт 44 </w:t>
      </w:r>
      <w:r>
        <w:rPr>
          <w:lang w:val="en-US"/>
        </w:rPr>
        <w:t>b</w:t>
      </w:r>
      <w:r>
        <w:t>) руководящих принципов: Предоставление жилья уязвимым группам</w:t>
      </w:r>
      <w:bookmarkEnd w:id="258"/>
      <w:bookmarkEnd w:id="259"/>
      <w:bookmarkEnd w:id="260"/>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306.</w:t>
      </w:r>
      <w:r>
        <w:rPr>
          <w:sz w:val="23"/>
        </w:rPr>
        <w:tab/>
        <w:t>Законодательство и Конституция Дании не признают права на жилье. Однако в соответствии с национальным жилищным законодательством муниципалитеты обязаны обеспечивать достаточное количество жилья для престарелых и инвалидов, имеющих особую потребность в таком жилье.</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b/>
          <w:bCs/>
          <w:sz w:val="23"/>
        </w:rPr>
        <w:t>Число лиц и семей, не имеющих жилья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307.</w:t>
      </w:r>
      <w:r>
        <w:rPr>
          <w:sz w:val="23"/>
        </w:rPr>
        <w:tab/>
        <w:t>По оценкам министерства социальных дел, число лиц, не имеющих жилья, находится в пределах от 4000 до 5000 человек. Социальное законодательство обязывает все муниципалитеты предоставлять надлежащее жилье лицам, не имеющим жилища. В случае необходимости, эта обязанность выполняется за счет предоставления места в приютах или центрах временного размещения.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308.</w:t>
      </w:r>
      <w:r>
        <w:rPr>
          <w:sz w:val="23"/>
        </w:rPr>
        <w:tab/>
        <w:t>В силу различных причин определенные категории лиц не могут самостоятельно получить доступ к жилью. Некоторые семьи сталкиваются с более серьезными трудностями в области удовлетворения своих потребностей в надлежащем жилье, чем большинство других семей. Таким образом, категории лиц, находящихся в уязвимом положении с точки зрения жилья, варьируются в различных областях различных стран и изменяются с течением времени.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309.</w:t>
      </w:r>
      <w:r>
        <w:rPr>
          <w:sz w:val="23"/>
        </w:rPr>
        <w:tab/>
        <w:t>Вместе с тем определенные категории лиц по сравнению с остальными очевидно испытывают более значительные трудности в отношении получения доступа к надлежащему жилью или оказываются более уязвимыми в данной конкретной ситуации. К этой категории относятся наркоманы, психически больные, жертвы насилия, беженцы/мигранты/внутри перемещенные лица, инвалиды, лица, ранее находившиеся в таких учреждениях, как сиротские приюты, тюрьмы или психиатрические лечебницы, безработные или низко оплачиваемые трудящиеся, престарелые, рома, семьи, имеющие одного родителя, молодежь и т. п.</w:t>
      </w:r>
      <w:r>
        <w:rPr>
          <w:rStyle w:val="FootnoteReference"/>
          <w:sz w:val="23"/>
        </w:rPr>
        <w:footnoteReference w:id="3"/>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310.</w:t>
      </w:r>
      <w:r>
        <w:rPr>
          <w:sz w:val="23"/>
        </w:rPr>
        <w:tab/>
        <w:t xml:space="preserve">Такое явление, как бездомность, встречается если не во всех странах, то в большинстве из них. При описании понятия "бездомность" используется ряд различных определений. Как правило, во всех государствах – членах Совета Европы "бездомными" считаются лица или семьи, живущие на улице, или занимающие временное жилье либо незаконно, либо при содействии государства или благотворительных организаций.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b/>
          <w:bCs/>
          <w:sz w:val="23"/>
        </w:rPr>
      </w:pPr>
      <w:r>
        <w:rPr>
          <w:b/>
          <w:bCs/>
          <w:sz w:val="23"/>
        </w:rPr>
        <w:t>Число лиц и семей, не имеющих в настоящее время соответствующего жилья</w:t>
      </w:r>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311.</w:t>
      </w:r>
      <w:r>
        <w:rPr>
          <w:sz w:val="23"/>
        </w:rPr>
        <w:tab/>
        <w:t>В 1999 году в перенаселенных жилищах, которыми, по определению, являются жилые единицы, где в одной спальне размещаются более двух человек, проживало 4348 семей.</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b/>
          <w:bCs/>
          <w:sz w:val="23"/>
        </w:rPr>
      </w:pPr>
      <w:r>
        <w:rPr>
          <w:b/>
          <w:bCs/>
          <w:sz w:val="23"/>
        </w:rPr>
        <w:t>Число лиц, проживающих в настоящее время в "незаконных" поселениях или домах</w:t>
      </w:r>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312.</w:t>
      </w:r>
      <w:r>
        <w:rPr>
          <w:sz w:val="23"/>
        </w:rPr>
        <w:tab/>
        <w:t>По данным Управления по надзору за лесами и живой природой Дании, 400 семей незаконно проживают в так называемых дачных домиках.</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b/>
          <w:bCs/>
          <w:sz w:val="23"/>
        </w:rPr>
      </w:pPr>
      <w:r>
        <w:rPr>
          <w:b/>
          <w:bCs/>
          <w:sz w:val="23"/>
        </w:rPr>
        <w:t>Число выселенных лиц</w:t>
      </w:r>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313.</w:t>
      </w:r>
      <w:r>
        <w:rPr>
          <w:sz w:val="23"/>
        </w:rPr>
        <w:tab/>
        <w:t>Квартиросъемщики как в некоммерческом, так и в частном жилом секторе защищены от выселения. В принципе право на сохранение арендованного жилья является неотъемлемым правом обеих групп квартиросъемщиков. Централизованной регистрации данных, касающихся выселенных лиц, не проводится. В Дании квартиросъемщики в основном сохраняют гарантию аренды до тех пор, пока они выполняют условия договора об аренде.</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314.</w:t>
      </w:r>
      <w:r>
        <w:rPr>
          <w:sz w:val="23"/>
        </w:rPr>
        <w:tab/>
        <w:t>В свою очередь условия аренды регламентируются Законом об аренде. Жилищная ассоциация или арендодатель могут соответственно расторгнуть договор об аренде только при особых обстоятельствах, например, если арендатор нарушает права собственности арендодателя или если арендатор мешает окружающим шумным поведением, прибегает к физическому насилию или угрозам физического насилия. При возникновении спора между съемщиками и жилищной ассоциацией или арендодателем съемщики могут обратиться с жалобой в Совет по рассмотрению жалоб жильцов или в суд по рассмотрению дел об аренде.</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b/>
          <w:bCs/>
          <w:sz w:val="23"/>
        </w:rPr>
      </w:pPr>
      <w:r>
        <w:rPr>
          <w:b/>
          <w:bCs/>
          <w:sz w:val="23"/>
        </w:rPr>
        <w:t>Число лиц, жилищные расходы которых превышают установленные правительством пределы доступности</w:t>
      </w:r>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315.</w:t>
      </w:r>
      <w:r>
        <w:rPr>
          <w:sz w:val="23"/>
        </w:rPr>
        <w:tab/>
        <w:t>Установленных правительством пределов доступности в Дании не существует. На большую часть арендуемого жилья распространяются действия касающихся аренды положений, содержащихся в Законе об аренде. Таким образом, любая арендная плата, установленная арендодателем, может быть оспорена в суде по делам об аренде. Суд по делам об аренде уполномочен сокращать арендную плату, если он сочтет это уместным. Арендная плата приводится в соответствие со средним уровнем арендной платы в районе на основе платы за метраж жилой площади в социальном жилье при учете различий с точки зрения качества. Кроме того, все квартиросъемщики, в зависимости от дохода, арендной платы и состава семьи, имеют по закону право на получение жилищных пособий, как это предусмотрено в Законе об индивидуальных жилищных пособиях. Приблизительно 500 000 семей, что соответствует половине от общего числа семей, проживающих в арендуемых жилищах в Дании, получают индивидуальные жилищные пособия.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b/>
          <w:bCs/>
          <w:sz w:val="23"/>
        </w:rPr>
        <w:t>Число лиц в списках на получение жилья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316.</w:t>
      </w:r>
      <w:r>
        <w:rPr>
          <w:sz w:val="23"/>
        </w:rPr>
        <w:tab/>
        <w:t>Централизованный учет общего числа лиц в списках на получение некоммерческого жилья не проводится. Такой учет ведется исключительно некоммерческими жилищными ассоциациями.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317.</w:t>
      </w:r>
      <w:r>
        <w:rPr>
          <w:sz w:val="23"/>
        </w:rPr>
        <w:tab/>
        <w:t xml:space="preserve">Централизованный учет продолжительности времени ожидания жилья в каждой некоммерческой или частной жилищной ассоциации также не проводится. Период ожидания зависит от таких факторов, как место расположения и цена и варьируется в значительной степени. В случае очень привлекательных жилищ период ожидания является продолжительным, в то время как в определенных менее благополучных районах снять жилье проще. Однако в целом количество незанятых жилищ невелико, и поэтому срок ожидания является продолжительным и составляет от трех месяцев до нескольких лет. Все квартиросъемщики при наличии определенных условий имеют право на обмен своего жилища на другое частное или некоммерческое жилье внутри жилищной ассоциации или на включение в приоритетный список на получение другого жилья в той же жилищной ассоциации вместо обычного списка на получение жилья. По состоянию на 1 февраля 2000 года имелось лишь 243 незанятые жилые единицы, что составляет 0,5% от общего фонда некоммерческого жилья. Более 70% от числа этих жилищ оставались свободными в течение от полумесяца до 2,5 месяцев.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b/>
          <w:bCs/>
          <w:sz w:val="23"/>
        </w:rPr>
      </w:pPr>
      <w:r>
        <w:rPr>
          <w:b/>
          <w:bCs/>
          <w:sz w:val="23"/>
        </w:rPr>
        <w:br w:type="page"/>
        <w:t>Число лиц с разбивкой по различным формам владения жильем</w:t>
      </w:r>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t>Таблица 20</w:t>
      </w: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t>Число отдельных лиц и семей с разбивкой по различным видам жилья в 2000 году</w:t>
      </w:r>
    </w:p>
    <w:p w:rsidR="00000000" w:rsidRDefault="00000000">
      <w:pPr>
        <w:tabs>
          <w:tab w:val="clear" w:pos="567"/>
          <w:tab w:val="clear" w:pos="1701"/>
          <w:tab w:val="clear" w:pos="2268"/>
          <w:tab w:val="clear" w:pos="6237"/>
          <w:tab w:val="left" w:pos="680"/>
          <w:tab w:val="left" w:pos="1134"/>
        </w:tabs>
        <w:spacing w:line="240" w:lineRule="auto"/>
        <w:rPr>
          <w:b/>
          <w:bCs/>
          <w:sz w:val="23"/>
        </w:rPr>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000" w:firstRow="0" w:lastRow="0" w:firstColumn="0" w:lastColumn="0" w:noHBand="0" w:noVBand="0"/>
      </w:tblPr>
      <w:tblGrid>
        <w:gridCol w:w="4593"/>
        <w:gridCol w:w="2835"/>
        <w:gridCol w:w="2211"/>
      </w:tblGrid>
      <w:tr w:rsidR="00000000">
        <w:tblPrEx>
          <w:tblCellMar>
            <w:top w:w="0" w:type="dxa"/>
            <w:bottom w:w="0" w:type="dxa"/>
          </w:tblCellMar>
        </w:tblPrEx>
        <w:tc>
          <w:tcPr>
            <w:tcW w:w="4593" w:type="dxa"/>
            <w:tcBorders>
              <w:left w:val="single" w:sz="4" w:space="0" w:color="auto"/>
              <w:bottom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p>
        </w:tc>
        <w:tc>
          <w:tcPr>
            <w:tcW w:w="2835" w:type="dxa"/>
            <w:tcBorders>
              <w:bottom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Отдельные лица (в тыс.)</w:t>
            </w:r>
          </w:p>
        </w:tc>
        <w:tc>
          <w:tcPr>
            <w:tcW w:w="2211" w:type="dxa"/>
            <w:tcBorders>
              <w:bottom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3"/>
              </w:rPr>
            </w:pPr>
            <w:r>
              <w:rPr>
                <w:sz w:val="23"/>
              </w:rPr>
              <w:t>Семьи (в тыс.)</w:t>
            </w:r>
          </w:p>
        </w:tc>
      </w:tr>
      <w:tr w:rsidR="00000000">
        <w:tblPrEx>
          <w:tblCellMar>
            <w:top w:w="0" w:type="dxa"/>
            <w:bottom w:w="0" w:type="dxa"/>
          </w:tblCellMar>
        </w:tblPrEx>
        <w:tc>
          <w:tcPr>
            <w:tcW w:w="4593" w:type="dxa"/>
            <w:tcBorders>
              <w:top w:val="single" w:sz="4" w:space="0" w:color="auto"/>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Жилье, занимаемое самими владельцами</w:t>
            </w:r>
          </w:p>
        </w:tc>
        <w:tc>
          <w:tcPr>
            <w:tcW w:w="2835" w:type="dxa"/>
            <w:tcBorders>
              <w:top w:val="single" w:sz="4" w:space="0" w:color="auto"/>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1136"/>
              <w:jc w:val="right"/>
              <w:rPr>
                <w:sz w:val="23"/>
              </w:rPr>
            </w:pPr>
            <w:r>
              <w:rPr>
                <w:sz w:val="23"/>
              </w:rPr>
              <w:t>3 234</w:t>
            </w:r>
          </w:p>
        </w:tc>
        <w:tc>
          <w:tcPr>
            <w:tcW w:w="2211" w:type="dxa"/>
            <w:tcBorders>
              <w:top w:val="single" w:sz="4" w:space="0" w:color="auto"/>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795"/>
              <w:jc w:val="right"/>
              <w:rPr>
                <w:sz w:val="23"/>
              </w:rPr>
            </w:pPr>
            <w:r>
              <w:rPr>
                <w:sz w:val="23"/>
              </w:rPr>
              <w:t>1 272</w:t>
            </w:r>
          </w:p>
        </w:tc>
      </w:tr>
      <w:tr w:rsidR="00000000">
        <w:tblPrEx>
          <w:tblCellMar>
            <w:top w:w="0" w:type="dxa"/>
            <w:bottom w:w="0" w:type="dxa"/>
          </w:tblCellMar>
        </w:tblPrEx>
        <w:tc>
          <w:tcPr>
            <w:tcW w:w="4593"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Кооперативное жилье</w:t>
            </w:r>
          </w:p>
        </w:tc>
        <w:tc>
          <w:tcPr>
            <w:tcW w:w="2835"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1136"/>
              <w:jc w:val="right"/>
              <w:rPr>
                <w:sz w:val="23"/>
              </w:rPr>
            </w:pPr>
            <w:r>
              <w:rPr>
                <w:sz w:val="23"/>
              </w:rPr>
              <w:t>265</w:t>
            </w:r>
          </w:p>
        </w:tc>
        <w:tc>
          <w:tcPr>
            <w:tcW w:w="2211"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795"/>
              <w:jc w:val="right"/>
              <w:rPr>
                <w:sz w:val="23"/>
              </w:rPr>
            </w:pPr>
            <w:r>
              <w:rPr>
                <w:sz w:val="23"/>
              </w:rPr>
              <w:t>156</w:t>
            </w:r>
          </w:p>
        </w:tc>
      </w:tr>
      <w:tr w:rsidR="00000000">
        <w:tblPrEx>
          <w:tblCellMar>
            <w:top w:w="0" w:type="dxa"/>
            <w:bottom w:w="0" w:type="dxa"/>
          </w:tblCellMar>
        </w:tblPrEx>
        <w:tc>
          <w:tcPr>
            <w:tcW w:w="4593"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Частное арендуемое жилье</w:t>
            </w:r>
          </w:p>
        </w:tc>
        <w:tc>
          <w:tcPr>
            <w:tcW w:w="2835"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1136"/>
              <w:jc w:val="right"/>
              <w:rPr>
                <w:sz w:val="23"/>
              </w:rPr>
            </w:pPr>
            <w:r>
              <w:rPr>
                <w:sz w:val="23"/>
              </w:rPr>
              <w:t>747</w:t>
            </w:r>
          </w:p>
        </w:tc>
        <w:tc>
          <w:tcPr>
            <w:tcW w:w="2211"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795"/>
              <w:jc w:val="right"/>
              <w:rPr>
                <w:sz w:val="23"/>
              </w:rPr>
            </w:pPr>
            <w:r>
              <w:rPr>
                <w:sz w:val="23"/>
              </w:rPr>
              <w:t>440</w:t>
            </w:r>
          </w:p>
        </w:tc>
      </w:tr>
      <w:tr w:rsidR="00000000">
        <w:tblPrEx>
          <w:tblCellMar>
            <w:top w:w="0" w:type="dxa"/>
            <w:bottom w:w="0" w:type="dxa"/>
          </w:tblCellMar>
        </w:tblPrEx>
        <w:tc>
          <w:tcPr>
            <w:tcW w:w="4593"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Некоммерческое жилье</w:t>
            </w:r>
          </w:p>
        </w:tc>
        <w:tc>
          <w:tcPr>
            <w:tcW w:w="2835"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1136"/>
              <w:jc w:val="right"/>
              <w:rPr>
                <w:sz w:val="23"/>
              </w:rPr>
            </w:pPr>
            <w:r>
              <w:rPr>
                <w:sz w:val="23"/>
              </w:rPr>
              <w:t>901</w:t>
            </w:r>
          </w:p>
        </w:tc>
        <w:tc>
          <w:tcPr>
            <w:tcW w:w="2211"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795"/>
              <w:jc w:val="right"/>
              <w:rPr>
                <w:sz w:val="23"/>
              </w:rPr>
            </w:pPr>
            <w:r>
              <w:rPr>
                <w:sz w:val="23"/>
              </w:rPr>
              <w:t>473</w:t>
            </w:r>
          </w:p>
        </w:tc>
      </w:tr>
      <w:tr w:rsidR="00000000">
        <w:tblPrEx>
          <w:tblCellMar>
            <w:top w:w="0" w:type="dxa"/>
            <w:bottom w:w="0" w:type="dxa"/>
          </w:tblCellMar>
        </w:tblPrEx>
        <w:tc>
          <w:tcPr>
            <w:tcW w:w="4593"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Государственное жилье</w:t>
            </w:r>
          </w:p>
        </w:tc>
        <w:tc>
          <w:tcPr>
            <w:tcW w:w="2835"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1136"/>
              <w:jc w:val="right"/>
              <w:rPr>
                <w:sz w:val="23"/>
              </w:rPr>
            </w:pPr>
            <w:r>
              <w:rPr>
                <w:sz w:val="23"/>
              </w:rPr>
              <w:t>55</w:t>
            </w:r>
          </w:p>
        </w:tc>
        <w:tc>
          <w:tcPr>
            <w:tcW w:w="2211"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795"/>
              <w:jc w:val="right"/>
              <w:rPr>
                <w:sz w:val="23"/>
              </w:rPr>
            </w:pPr>
            <w:r>
              <w:rPr>
                <w:sz w:val="23"/>
              </w:rPr>
              <w:t>34</w:t>
            </w:r>
          </w:p>
        </w:tc>
      </w:tr>
      <w:tr w:rsidR="00000000">
        <w:tblPrEx>
          <w:tblCellMar>
            <w:top w:w="0" w:type="dxa"/>
            <w:bottom w:w="0" w:type="dxa"/>
          </w:tblCellMar>
        </w:tblPrEx>
        <w:tc>
          <w:tcPr>
            <w:tcW w:w="4593" w:type="dxa"/>
            <w:tcBorders>
              <w:top w:val="nil"/>
              <w:left w:val="single" w:sz="4" w:space="0" w:color="auto"/>
              <w:bottom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Прочее </w:t>
            </w:r>
            <w:r>
              <w:rPr>
                <w:b/>
                <w:bCs/>
                <w:sz w:val="23"/>
                <w:vertAlign w:val="superscript"/>
              </w:rPr>
              <w:t>а</w:t>
            </w:r>
          </w:p>
        </w:tc>
        <w:tc>
          <w:tcPr>
            <w:tcW w:w="2835" w:type="dxa"/>
            <w:tcBorders>
              <w:top w:val="nil"/>
              <w:left w:val="single" w:sz="4" w:space="0" w:color="auto"/>
              <w:bottom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1136"/>
              <w:jc w:val="right"/>
              <w:rPr>
                <w:sz w:val="23"/>
              </w:rPr>
            </w:pPr>
            <w:r>
              <w:rPr>
                <w:sz w:val="23"/>
              </w:rPr>
              <w:t>86</w:t>
            </w:r>
          </w:p>
        </w:tc>
        <w:tc>
          <w:tcPr>
            <w:tcW w:w="2211" w:type="dxa"/>
            <w:tcBorders>
              <w:top w:val="nil"/>
              <w:left w:val="single" w:sz="4" w:space="0" w:color="auto"/>
              <w:bottom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795"/>
              <w:jc w:val="right"/>
              <w:rPr>
                <w:sz w:val="23"/>
              </w:rPr>
            </w:pPr>
            <w:r>
              <w:rPr>
                <w:sz w:val="23"/>
              </w:rPr>
              <w:t>40</w:t>
            </w:r>
          </w:p>
        </w:tc>
      </w:tr>
      <w:tr w:rsidR="00000000">
        <w:tblPrEx>
          <w:tblCellMar>
            <w:top w:w="0" w:type="dxa"/>
            <w:bottom w:w="0" w:type="dxa"/>
          </w:tblCellMar>
        </w:tblPrEx>
        <w:tc>
          <w:tcPr>
            <w:tcW w:w="4593" w:type="dxa"/>
            <w:tcBorders>
              <w:top w:val="single" w:sz="4" w:space="0" w:color="auto"/>
              <w:left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Всего</w:t>
            </w:r>
          </w:p>
        </w:tc>
        <w:tc>
          <w:tcPr>
            <w:tcW w:w="2835" w:type="dxa"/>
            <w:tcBorders>
              <w:top w:val="single" w:sz="4" w:space="0" w:color="auto"/>
              <w:left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1136"/>
              <w:jc w:val="right"/>
              <w:rPr>
                <w:sz w:val="23"/>
              </w:rPr>
            </w:pPr>
            <w:r>
              <w:rPr>
                <w:sz w:val="23"/>
              </w:rPr>
              <w:t>5 288</w:t>
            </w:r>
          </w:p>
        </w:tc>
        <w:tc>
          <w:tcPr>
            <w:tcW w:w="2211" w:type="dxa"/>
            <w:tcBorders>
              <w:top w:val="single" w:sz="4" w:space="0" w:color="auto"/>
              <w:left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ind w:right="795"/>
              <w:jc w:val="right"/>
              <w:rPr>
                <w:sz w:val="23"/>
              </w:rPr>
            </w:pPr>
            <w:r>
              <w:rPr>
                <w:sz w:val="23"/>
              </w:rPr>
              <w:t>2 415</w:t>
            </w:r>
          </w:p>
        </w:tc>
      </w:tr>
    </w:tbl>
    <w:p w:rsidR="00000000" w:rsidRDefault="00000000">
      <w:pPr>
        <w:tabs>
          <w:tab w:val="clear" w:pos="567"/>
          <w:tab w:val="clear" w:pos="1701"/>
          <w:tab w:val="clear" w:pos="2268"/>
          <w:tab w:val="clear" w:pos="6237"/>
          <w:tab w:val="left" w:pos="680"/>
          <w:tab w:val="left" w:pos="1134"/>
        </w:tabs>
        <w:spacing w:before="120" w:line="240" w:lineRule="auto"/>
        <w:rPr>
          <w:sz w:val="23"/>
        </w:rPr>
      </w:pPr>
      <w:r>
        <w:rPr>
          <w:sz w:val="23"/>
        </w:rPr>
        <w:t>а</w:t>
      </w:r>
      <w:r>
        <w:rPr>
          <w:sz w:val="23"/>
        </w:rPr>
        <w:tab/>
        <w:t>В том числе недвижимость учреждений, дачные домики и т. п.</w:t>
      </w:r>
    </w:p>
    <w:p w:rsidR="00000000" w:rsidRDefault="00000000">
      <w:pPr>
        <w:tabs>
          <w:tab w:val="clear" w:pos="567"/>
          <w:tab w:val="clear" w:pos="1701"/>
          <w:tab w:val="clear" w:pos="2268"/>
          <w:tab w:val="clear" w:pos="6237"/>
          <w:tab w:val="left" w:pos="680"/>
          <w:tab w:val="left" w:pos="1134"/>
        </w:tabs>
        <w:spacing w:before="120" w:line="240" w:lineRule="auto"/>
        <w:rPr>
          <w:sz w:val="23"/>
        </w:rPr>
      </w:pPr>
      <w:r>
        <w:rPr>
          <w:sz w:val="23"/>
          <w:u w:val="single"/>
        </w:rPr>
        <w:t>Источник</w:t>
      </w:r>
      <w:r>
        <w:rPr>
          <w:sz w:val="23"/>
        </w:rPr>
        <w:t>: Статистическое управление Дании.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spacing w:before="120"/>
      </w:pPr>
      <w:bookmarkStart w:id="261" w:name="_Toc51496925"/>
      <w:bookmarkStart w:id="262" w:name="_Toc51497092"/>
      <w:bookmarkStart w:id="263" w:name="_Toc51497617"/>
      <w:r>
        <w:t>Пункт 44 с) руководящих принципов: Национальное законодательство, касающееся осуществления права на жилье</w:t>
      </w:r>
      <w:bookmarkEnd w:id="261"/>
      <w:bookmarkEnd w:id="262"/>
      <w:bookmarkEnd w:id="263"/>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b/>
          <w:bCs/>
          <w:sz w:val="23"/>
        </w:rPr>
      </w:pPr>
      <w:r>
        <w:rPr>
          <w:b/>
          <w:bCs/>
          <w:sz w:val="23"/>
        </w:rPr>
        <w:t>Законодательство, закрепляющее право на жилье с точки зрения определения содержания такого права</w:t>
      </w:r>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318.</w:t>
      </w:r>
      <w:r>
        <w:rPr>
          <w:sz w:val="23"/>
        </w:rPr>
        <w:tab/>
        <w:t>В Дании отсутствует законодательство, закрепляющее право на жилье, однако можно сказать, что влияние на осуществление права на жилье оказывают Закон об аренде и Закон о регулировании рынка жилья.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319.</w:t>
      </w:r>
      <w:r>
        <w:rPr>
          <w:sz w:val="23"/>
        </w:rPr>
        <w:tab/>
        <w:t>В соответствии с социальным законодательством муниципалитеты должны обеспечить бездомных лиц соответствующим жильем, необязательно квартирами, и при отсутствии иных возможностей муниципалитеты могут выполнить это требование, предложив им места в центрах временного размещения или приютах. Существуют различные виды таких центров и приютов, кроме того, органы местного управления могут разрешить временное пребывание в социальных учреждениях.</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320.</w:t>
      </w:r>
      <w:r>
        <w:rPr>
          <w:sz w:val="23"/>
        </w:rPr>
        <w:tab/>
        <w:t>В соответствии с Законом об интеграции все вновь прибывшие в Данию беженцы должны быть обеспечены постоянным жильем в течение трех месяцев. В целях содействия интеграции беженцев в датское общество беженцев расселяют по всей стране.</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321.</w:t>
      </w:r>
      <w:r>
        <w:rPr>
          <w:sz w:val="23"/>
        </w:rPr>
        <w:tab/>
        <w:t>Распределение жилья производится на основании схемы, в соответствии с которой в качестве отправной точки согласовываются и закрепляются квоты, определяющие количество беженцев, подлежащих расселению в конкретных муниципалитетах. По этой схеме все муниципалитеты страны обязаны содействовать предоставлению жилья беженцам.</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br w:type="page"/>
        <w:t>322.</w:t>
      </w:r>
      <w:r>
        <w:rPr>
          <w:sz w:val="23"/>
        </w:rPr>
        <w:tab/>
        <w:t>В этой связи следует отметить, что предусмотренные в датском Законе об интеграции нормы предоставления жилья применяются только в отношении беженцев, которым предоставлен вид на жительство в Дании. Другие иностранцы, например лица, получившие вид на жительство в связи с воссоединением семей, не подпадают под действие норм, касающихся предоставления жилья.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323.</w:t>
      </w:r>
      <w:r>
        <w:rPr>
          <w:sz w:val="23"/>
        </w:rPr>
        <w:tab/>
        <w:t>Выдавая беженцу вид на жительство, Иммиграционная служба Дании должна решить вопрос о том, в каком муниципалитете следует поселить беженца, исходя из согласованных и закрепленных квот. При решении этого вопроса Иммиграционная служба Дании должна особо учитывать индивидуальную ситуацию каждого конкретного беженца, общую ситуацию, сложившуюся в муниципалитетах, и муниципальные квоты приема беженцев. Это означает, что в каждом случае должна быть произведена конкретная и индивидуальная оценка в связи с принятием решения, которое должно отвечать всем вышеупомянутым критериям.</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324.</w:t>
      </w:r>
      <w:r>
        <w:rPr>
          <w:sz w:val="23"/>
        </w:rPr>
        <w:tab/>
        <w:t>Примерами личных обстоятельств, которые должны учитываться в связи с принятием решения о расселении, являются необходимость обеспечения специального ухода за беженцами, являющимися жертвами пыток, необходимость предоставления возможности для профессиональной подготовки и обучения, а также учет семейных уз. Кроме того, следует учитывать языковые и культурные особенности беженцев. Чтобы создать наиболее оптимальные условия для налаживания социальных связей, следует прилагать усилия по расселению беженцев в тех районах, где уже проживают лица с соответствующим языком и культурными традициями.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325.</w:t>
      </w:r>
      <w:r>
        <w:rPr>
          <w:sz w:val="23"/>
        </w:rPr>
        <w:tab/>
        <w:t>Кроме того, Иммиграционная служба Дании должна учитывать размеры муниципалитета и состав его населения, ситуацию на его рынке труда, а также его возможности в области предоставления образования. Кроме того, следует учитывать соответствие предлагаемых муниципалитетом возможностей с точки зрения обращения или расселения интересам беженца.</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326.</w:t>
      </w:r>
      <w:r>
        <w:rPr>
          <w:sz w:val="23"/>
        </w:rPr>
        <w:tab/>
        <w:t>После принятия датской Иммиграционной службой решения о том, в каком муниципалитете будет проживать беженец, он может впоследствии предпочесть переехать в другой муниципалитет. Однако в том случае, если беженец принимает участие в программе адаптации, определяющим моментом является тот факт, что в целях продолжения программы беженец должен оставаться в том муниципалитете, где его разместили. Если беженец желает переехать в другой муниципалитет и таким образом прервать программу адаптации, то это может повлиять на возможность получения беженцем пособия на адаптацию. Таким образом, беженец может продолжать участвовать в программе в другом муниципалитете только в том случае, если местный совет того муниципалитета, в который намеревается переехать беженец, согласится взять на себя ответственность за его программу адаптации. Местный совет обязан взять на себя ответственность за программу адаптации, если переезд беженца имеет важное значение для его интеграции или если необходимость в таком переезде связана с особыми обстоятельствами личного характера. Примерами обстоятельств, имеющих важное значение для беженца, являются возможности трудоустройства или зачисление в учебное заведение. Болезнь близких родственников либо возможности для интеграции, трудоустройства, профессионального обучения или образования супруги должны также учитываться в качестве личных обстоятельств, которые могут заставить другой местный совет взять на себя обязательства, связанные с программой адаптации.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327.</w:t>
      </w:r>
      <w:r>
        <w:rPr>
          <w:sz w:val="23"/>
        </w:rPr>
        <w:tab/>
        <w:t>В случае переезда беженца без согласия принимающего местного совета взять на себя ответственность за программу адаптации, выплата пособия по адаптации может быть сокращена или прекращена. В этой связи решающим является тот обстоятельство, что пособие по адаптации представляет собой составную часть комплекса мер по оказанию помощи в целях интеграции. Поэтому одним из условий для получения пособия является соблюдение установленных законом требований. Кроме того, принимая конкретное решение о сокращении пособия, местный совет обязан учитывать причину переезда беженца, а также потребность беженца в дальнейшем получении пособия.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b/>
          <w:bCs/>
          <w:sz w:val="23"/>
        </w:rPr>
        <w:t>Законодательство о жилье, бездомных, муниципальной корпорации и т. д.</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328.</w:t>
      </w:r>
      <w:r>
        <w:rPr>
          <w:sz w:val="23"/>
        </w:rPr>
        <w:tab/>
        <w:t>Датское законодательство в области частного арендуемого жилья сформулировано в двух законах: Законе об аренде и Законе о регулировании рынка жилья, суть которых изложена ниже.</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b/>
          <w:bCs/>
          <w:sz w:val="23"/>
        </w:rPr>
        <w:t>Закон об аренде</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329.</w:t>
      </w:r>
      <w:r>
        <w:rPr>
          <w:sz w:val="23"/>
        </w:rPr>
        <w:tab/>
        <w:t>Нормы, изложенные в Законе об аренде, имеют силу применительно ко всем случаям аренды частных арендуемых домов или квартир, и их действие ограничено лишь в тех случаях, когда договор об аренде подпадает под действие определенных норм, предусмотренных другим законодательством.</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b/>
          <w:bCs/>
          <w:sz w:val="23"/>
        </w:rPr>
        <w:t>Закон о регулировании рынка жилья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330.</w:t>
      </w:r>
      <w:r>
        <w:rPr>
          <w:sz w:val="23"/>
        </w:rPr>
        <w:tab/>
        <w:t>Положения, содержащиеся в Законе о регулировании и рынка жилья, заменяют или дополняют нормы, изложенные в Законе об аренде. Сфера его применения охватывает главным образом крупные городские населенные пункты, в которых расположено значительное количество арендуемых жилых единиц и в которых иногда может ощущаться нехватка жилья. Решение о соблюдении в населенном пункте Закона о регулировании рынка жилья принимается местными органами управления. Закон о регулировании рынка жилья наделяет местные органы управления правом обеспечивать наиболее рациональное использование имеющихся жилых единиц с учетом местных условий.</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331.</w:t>
      </w:r>
      <w:r>
        <w:rPr>
          <w:sz w:val="23"/>
        </w:rPr>
        <w:tab/>
        <w:t xml:space="preserve">Кроме того, муниципалитетам разрешается выделять вплоть до 25% жилья из некоммерческого жилого фонда для решения жилищно-социальных задач в населенном пункте. Более высокая доля может быть согласована с жилищной ассоциацией. Муниципалитет выделяет такое жилье с учетом социальных критериев/потребностей.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332.</w:t>
      </w:r>
      <w:r>
        <w:rPr>
          <w:sz w:val="23"/>
        </w:rPr>
        <w:tab/>
        <w:t>С другой стороны, законодательством предусмотрены требования, предъявляемые к лицам, снимающим жилье в некоммерческом жилом секторе, предназначенном для пожилых людей, инвалидов и молодежи. В некоторых случаях приоритетным правом в отношении больших квартир в некоммерческом семейном жилье пользуются родители-одиночки/семьи, имеющие детей, а в других случаях – пожилые люди и инвалиды. Что касается некоммерческого жилья, предназначенного исключительно для пожилых людей, то все такие жилища распределяются муниципалитетами.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333.</w:t>
      </w:r>
      <w:r>
        <w:rPr>
          <w:sz w:val="23"/>
        </w:rPr>
        <w:tab/>
        <w:t>Наконец, в июне 2000 года министерство социальных дел и министерство жилищного строительства и городского развития осуществили национальную программу, которая обеспечивает финансирование усилий по предупреждению бездомности, а также, на экспериментальной основе, оказывает финансовую поддержку альтернативного жилищного строительства для бездомных и других уязвимых групп лиц.</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b/>
          <w:bCs/>
          <w:sz w:val="23"/>
        </w:rPr>
        <w:br w:type="page"/>
        <w:t>Законодательство, касающееся прав жильцов</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334.</w:t>
      </w:r>
      <w:r>
        <w:rPr>
          <w:sz w:val="23"/>
        </w:rPr>
        <w:tab/>
        <w:t xml:space="preserve">Основой для взаимоотношений между арендодателем и арендатором является договор об аренде. Закон об аренде содержит ряд положений, которые должны соблюдаться в обязательном порядке в интересах защиты прав арендатора. Договор об аренде должен соответствовать положениям Закона об аренде. В принципе в Законе об аренде предусматривается, что действие договора об аренде не может быть прекращено владельцем до тех пор, пока арендатор выполняет условия договора об аренде. В целом, арендная плата не может превышать такого уровня оплаты, которая взимается за жилые единицы аналогичного размера и качества в конкретном микрорайоне.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335.</w:t>
      </w:r>
      <w:r>
        <w:rPr>
          <w:sz w:val="23"/>
        </w:rPr>
        <w:tab/>
        <w:t>Закон о регулировании рынка жилья предусматривает метод определения арендной платы как фиксированной арендной платы, основанной на стоимости жилья с учетом доли дохода владельца. Закон также содержит положения, предусматривающие уведомление об увеличении арендной платы и обязанность владельца откладывать установленную сумму на внешнее техническое обслуживание.</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336.</w:t>
      </w:r>
      <w:r>
        <w:rPr>
          <w:sz w:val="23"/>
        </w:rPr>
        <w:tab/>
        <w:t>Датский Закон об индивидуальных жилищных пособиях регулирует систему оказания длительной помощи в области покрытия расходов на жилье. Целью индивидуальных жилищных пособий является обеспечение такого положения, при котором семьи с низкими доходами могут получить доброкачественное и соответствующее жилье. Закон предусматривает объективные нормы исчисления причитающихся индивидуальных жилищных пособий. Пособие по аренде предоставляется квартиросъемщикам, владельцам и членам частных жилищных кооперативов. Пособия по аренде для квартиросъемщиков выплачиваются в виде субсидий, пособия по аренде для владельцев выплачиваются в виде займов, предоставляемых под залог собственности. Пособия по аренде для членов частных жилищных кооперативов и аналогичных структур собственности предоставляются на 40% в виде субсидий и на 60% в виде займов.</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337.</w:t>
      </w:r>
      <w:r>
        <w:rPr>
          <w:sz w:val="23"/>
        </w:rPr>
        <w:tab/>
        <w:t>В основу расчета заложен общий доход семьи, расходы семьи, размеры жилья и состав семьи, включая количество членов семьи, количество детей и пенсионный статус членов семьи. Индивидуальные жилищные пособия выплачиваются лицам, постоянно проживающим в Дании и пользующимся жильем в Дании для круглогодичного проживания.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338.</w:t>
      </w:r>
      <w:r>
        <w:rPr>
          <w:sz w:val="23"/>
        </w:rPr>
        <w:tab/>
        <w:t>Помимо этого, существуют ссуды для оплаты депозита при аренде жилищного имущества в современных некоммерческих (субсидируемых) жилищах (сданных в эксплуатацию после 1</w:t>
      </w:r>
      <w:r>
        <w:rPr>
          <w:sz w:val="23"/>
          <w:lang w:val="en-US"/>
        </w:rPr>
        <w:t> </w:t>
      </w:r>
      <w:r>
        <w:rPr>
          <w:sz w:val="23"/>
        </w:rPr>
        <w:t>апреля 1964 года) и в субсидируемых жилищах для престарелых. Ссуды предоставляются семьям с низкими доходами, которыми, согласно определению, являются семьи, чей ежегодный доход не превышает более чем на 5% общую пенсию семейной пары, получающей пенсию по старости. На каждого ребенка в семье установленный предел дохода для получения права на предоставление такой ссуды увеличивается на 25 000 датских крон.</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339.</w:t>
      </w:r>
      <w:r>
        <w:rPr>
          <w:sz w:val="23"/>
        </w:rPr>
        <w:tab/>
        <w:t>Связанные с арендой депозитные ссуды предоставляются как пенсионерам, так и непенсионерам. Депозитные ссуды в связи с арендой жилья освобождаются от начисления процентов и возмещения в течение пяти лет и затем погашаются в течение десяти лет. Арендатор должен погасить ссуду при освобождении арендуемого жилья. Кроме того, местные органы управления могут предоставить ссуду или гарантии под выплату ссуды главам семей с более высокими доходами. В случае беженцев ссуда для внесения залога и т.п. может также предоставляться в целях аренды жилья в частном секторе арендуемой собственности в течение первых трех лет после получения ими вида на жительство.</w:t>
      </w:r>
    </w:p>
    <w:p w:rsidR="00000000" w:rsidRDefault="00000000">
      <w:pPr>
        <w:tabs>
          <w:tab w:val="clear" w:pos="567"/>
          <w:tab w:val="clear" w:pos="1701"/>
          <w:tab w:val="clear" w:pos="2268"/>
          <w:tab w:val="clear" w:pos="6237"/>
          <w:tab w:val="left" w:pos="680"/>
          <w:tab w:val="left" w:pos="1134"/>
        </w:tabs>
        <w:spacing w:line="240" w:lineRule="auto"/>
        <w:rPr>
          <w:sz w:val="23"/>
        </w:rPr>
      </w:pPr>
      <w:r>
        <w:rPr>
          <w:b/>
          <w:bCs/>
          <w:sz w:val="23"/>
        </w:rPr>
        <w:t>Законодательство, касающееся строительных кодексов</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340.</w:t>
      </w:r>
      <w:r>
        <w:rPr>
          <w:sz w:val="23"/>
        </w:rPr>
        <w:tab/>
        <w:t xml:space="preserve">Строительное законодательство состоит из Закона о строительстве и двух постановлений о строительстве: Постановления о строительстве от 1995 года и Постановления о строительстве малоквартирных домов от 1998 года, которые направлены на то, чтобы в новые квартиры смогли переехать как можно больше семей.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341.</w:t>
      </w:r>
      <w:r>
        <w:rPr>
          <w:sz w:val="23"/>
        </w:rPr>
        <w:tab/>
        <w:t>В главе 4 Постановления о строительстве от 1995 года содержится ряд конкретных требований, касающихся норм по обеспечению доступа к жилью для инвалидов. Так, например, в отношении доступа существует требование, касающееся уровня доступа. В зданиях с двумя и более этажами должен быть установлен по крайней мере один лифт. Таким образом, должны быть обеспечены подъездные пути и средства доступа, учитывающие возможности инвалидов и лиц с пониженной пространственной ориентацией.</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342.</w:t>
      </w:r>
      <w:r>
        <w:rPr>
          <w:sz w:val="23"/>
        </w:rPr>
        <w:tab/>
        <w:t>Кроме того, предусмотрены требования по обеспечению доступа к пешеходным мостам и пандусам, а также надлежащего пространства для лиц с нарушениями опорно-двигательной системы. Пешеходные мосты и пандусы должны быть оснащены удобными перилами, чтобы можно было за них держаться и опираться на них. Также предусмотрено требование о том, чтобы дверные проемы и коридоры являлись достаточно просторными для перемещения лиц с нарушениями опорно-двигательной системы.</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343.</w:t>
      </w:r>
      <w:r>
        <w:rPr>
          <w:sz w:val="23"/>
        </w:rPr>
        <w:tab/>
        <w:t>Помимо этого, существуют требования в отношении надлежащего оснащения туалетных и ванных комнат, а также кухонь для использования инвалидами. Установленные требования существуют не только в отношении строительства зданий, но и в отношении организации парковочных мест для инвалидов. В главе 2 Закона о строительстве от 1995 года предусмотрено, чтобы пути прохода и проезда прокладывались таким образом, чтобы прилегающая зона была доступной для лиц с нарушениями опорно-двигательной системы и лиц с нарушениями пространственной ориентации.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344.</w:t>
      </w:r>
      <w:r>
        <w:rPr>
          <w:sz w:val="23"/>
        </w:rPr>
        <w:tab/>
        <w:t>Внесенные 1 апреля 2001 года министерством жилищного строительства и городского развития изменения в Закон о строительстве призваны обеспечить предоставление новых возможностей для удовлетворения потребностей инвалидов. Поправки позволили обеспечить наличие и установку таких технических вспомогательных средств, как, например, поручни в зданиях общего пользования и горизонтальный доступ к информационному и информационно-техническому оборудованию, банкоматам и т. п.</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b/>
          <w:bCs/>
          <w:sz w:val="23"/>
        </w:rPr>
        <w:t>Законодательство, запрещающее любые формы дискриминации в области жилья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345.</w:t>
      </w:r>
      <w:r>
        <w:rPr>
          <w:sz w:val="23"/>
        </w:rPr>
        <w:tab/>
        <w:t>Датское жилищное законодательство не содержит положений, предусматривающих непосредственную защиту от дискриминации в жилищном секторе. Тем не менее Дания связана положениями ряда международных конвенций, запрещающих различные виды дискриминации. Таким образом, к соглашениям об аренде предъявляется конкретное требование о недопущении дискриминации в отношении этнических или национальных меньшинств или лиц, имеющих социальные проблемы, поскольку такая дискриминация несовместима с международными обязательствами Дании.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b/>
          <w:bCs/>
          <w:sz w:val="23"/>
        </w:rPr>
        <w:br w:type="page"/>
        <w:t>Законодательство, запрещающее любые формы выселения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346.</w:t>
      </w:r>
      <w:r>
        <w:rPr>
          <w:sz w:val="23"/>
        </w:rPr>
        <w:tab/>
        <w:t>Информация по данному вопросу представлена выше, в разделе, посвященном законодательству, касающемуся прав арендаторов.</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b/>
          <w:bCs/>
          <w:sz w:val="23"/>
        </w:rPr>
        <w:t>Законодательство, противоречащее осуществлению права на жилье</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347.</w:t>
      </w:r>
      <w:r>
        <w:rPr>
          <w:sz w:val="23"/>
        </w:rPr>
        <w:tab/>
        <w:t>Законодательство, противоречащее осуществлению права на жилье, отсутствует.</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b/>
          <w:bCs/>
          <w:sz w:val="23"/>
        </w:rPr>
        <w:t>Законодательство, ограничивающее спекуляцию жильем или собственностью</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348.</w:t>
      </w:r>
      <w:r>
        <w:rPr>
          <w:sz w:val="23"/>
        </w:rPr>
        <w:tab/>
        <w:t>Соответствующая информация содержится выше, в разделе, посвященном законодательству, касающемуся прав арендаторов в отношении ограничения уровня арендной платы.</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b/>
          <w:bCs/>
          <w:sz w:val="23"/>
        </w:rPr>
        <w:t>Законодательные меры, предоставляющие право на законное проживание лицам, живущим в "незаконном" секторе</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349.</w:t>
      </w:r>
      <w:r>
        <w:rPr>
          <w:sz w:val="23"/>
        </w:rPr>
        <w:tab/>
        <w:t>Законодательство, касающееся предоставления права на законное проживание лицам, живущим в "незаконном" секторе, отсутствует.</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b/>
          <w:bCs/>
          <w:sz w:val="23"/>
        </w:rPr>
        <w:t>Законодательство в области планирования охраны окружающей среды и гигиены окружающей среды в жилищном строительстве и населенных пунктах</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350.</w:t>
      </w:r>
      <w:r>
        <w:rPr>
          <w:sz w:val="23"/>
        </w:rPr>
        <w:tab/>
        <w:t>Жилищное законодательство Дании составлено таким образом, чтобы обеспечивать соблюдение определенных противопожарных мер, норм безопасности и гигиены в строящихся зданиях.</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351.</w:t>
      </w:r>
      <w:r>
        <w:rPr>
          <w:sz w:val="23"/>
        </w:rPr>
        <w:tab/>
        <w:t>Статья 4 Закона о строительстве предусматривает включение в строительные нормы и правила положений о качестве работ и о методах ведения жилищного строительства с учетом норм безопасности, противопожарной безопасности и гигиены.</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352.</w:t>
      </w:r>
      <w:r>
        <w:rPr>
          <w:sz w:val="23"/>
        </w:rPr>
        <w:tab/>
        <w:t>Ряд требований, предусмотренных в Постановлении о строительстве от 1995 года и в Постановлении о строительстве малоквартирных домов от 1998 года, касающихся звукоизоляции, систем отопления, гидроизоляции и микроклимата в помещениях, призваны обеспечить достижение удовлетворительных гигиенических условий. В отношении микроклимата в помещениях, например, существует требование относительно использования строительных материалов с наименьшим уровнем загрязнения, обеспечивающих при нормальном использовании такой микроклимат в помещениях, который соответствует стандартам гигиены и безопасности. Таким образом, строительные материалы не должны выделять газов, паров, частиц или ионизирующей радиации, которые могут явиться причиной создания неудовлетворительного микроклимата в помещениях и привести к неблагоприятным последствиям для здоровья квартиросъемщиков или владельцев.</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r>
        <w:br w:type="page"/>
      </w:r>
      <w:bookmarkStart w:id="264" w:name="_Toc51496926"/>
      <w:bookmarkStart w:id="265" w:name="_Toc51497093"/>
      <w:bookmarkStart w:id="266" w:name="_Toc51497618"/>
      <w:r>
        <w:t xml:space="preserve">Пункт 44 </w:t>
      </w:r>
      <w:r>
        <w:rPr>
          <w:lang w:val="en-US"/>
        </w:rPr>
        <w:t>d</w:t>
      </w:r>
      <w:r>
        <w:t>) руководящих принципов: Меры, принятые в целях осуществления права на жилье</w:t>
      </w:r>
      <w:bookmarkEnd w:id="264"/>
      <w:bookmarkEnd w:id="265"/>
      <w:bookmarkEnd w:id="266"/>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b/>
          <w:bCs/>
          <w:sz w:val="23"/>
        </w:rPr>
      </w:pPr>
      <w:r>
        <w:rPr>
          <w:b/>
          <w:bCs/>
          <w:sz w:val="23"/>
        </w:rPr>
        <w:t>Меры, принятые государством в целях строительства жилых комплексов</w:t>
      </w:r>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353.</w:t>
      </w:r>
      <w:r>
        <w:rPr>
          <w:sz w:val="23"/>
        </w:rPr>
        <w:tab/>
        <w:t>Основная цель жилищной политики нынешнего правительства Дании заключается в обеспечении населения качественным и добротным жильем. В этой связи важным аспектом является создание жилищного сектора с широким диапазоном различных видов жилищ, с тем чтобы все группы населения имели доступ к тем видам жилищ, которые отвечают их потребностям.</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354.</w:t>
      </w:r>
      <w:r>
        <w:rPr>
          <w:sz w:val="23"/>
        </w:rPr>
        <w:tab/>
        <w:t xml:space="preserve">Возросшее за последние годы внимание, уделяемое вопросу потребления ресурсов и экологии, особенно заметно в жилищном секторе и в настоящее время является одним из основных приоритетов жилищной политики. Наиболее важное место в системе обязательств, предусматриваемых политикой в области жилья и строительства, занимает субсидируемая государством деятельность по реконструкции городов, которая регламентируется Законом о реконструкции городов и совершенствовании жилищного строительства. Этот Закон включает три основных элемента: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ind w:left="1134" w:hanging="1134"/>
        <w:rPr>
          <w:sz w:val="23"/>
        </w:rPr>
      </w:pPr>
      <w:r>
        <w:rPr>
          <w:sz w:val="23"/>
        </w:rPr>
        <w:tab/>
        <w:t>–</w:t>
      </w:r>
      <w:r>
        <w:rPr>
          <w:sz w:val="23"/>
        </w:rPr>
        <w:tab/>
        <w:t>стандарты качества для жилья, планируемого к строительству, и требования, касающиеся обеспечения удовлетворительного открытого пространства для жителей;</w:t>
      </w:r>
    </w:p>
    <w:p w:rsidR="00000000" w:rsidRDefault="00000000">
      <w:pPr>
        <w:tabs>
          <w:tab w:val="clear" w:pos="567"/>
          <w:tab w:val="clear" w:pos="1701"/>
          <w:tab w:val="clear" w:pos="2268"/>
          <w:tab w:val="clear" w:pos="6237"/>
          <w:tab w:val="left" w:pos="680"/>
          <w:tab w:val="left" w:pos="1134"/>
        </w:tabs>
        <w:spacing w:line="240" w:lineRule="auto"/>
        <w:ind w:left="1134" w:hanging="1134"/>
        <w:rPr>
          <w:sz w:val="23"/>
        </w:rPr>
      </w:pPr>
    </w:p>
    <w:p w:rsidR="00000000" w:rsidRDefault="00000000">
      <w:pPr>
        <w:tabs>
          <w:tab w:val="clear" w:pos="567"/>
          <w:tab w:val="clear" w:pos="1701"/>
          <w:tab w:val="clear" w:pos="2268"/>
          <w:tab w:val="clear" w:pos="6237"/>
          <w:tab w:val="left" w:pos="680"/>
          <w:tab w:val="left" w:pos="1134"/>
        </w:tabs>
        <w:spacing w:line="240" w:lineRule="auto"/>
        <w:ind w:left="1134" w:hanging="1134"/>
        <w:rPr>
          <w:sz w:val="23"/>
        </w:rPr>
      </w:pPr>
      <w:r>
        <w:rPr>
          <w:sz w:val="23"/>
        </w:rPr>
        <w:tab/>
        <w:t>–</w:t>
      </w:r>
      <w:r>
        <w:rPr>
          <w:sz w:val="23"/>
        </w:rPr>
        <w:tab/>
        <w:t>систему финансирования, которая включает государственные субсидии;</w:t>
      </w:r>
    </w:p>
    <w:p w:rsidR="00000000" w:rsidRDefault="00000000">
      <w:pPr>
        <w:tabs>
          <w:tab w:val="clear" w:pos="567"/>
          <w:tab w:val="clear" w:pos="1701"/>
          <w:tab w:val="clear" w:pos="2268"/>
          <w:tab w:val="clear" w:pos="6237"/>
          <w:tab w:val="left" w:pos="680"/>
          <w:tab w:val="left" w:pos="1134"/>
        </w:tabs>
        <w:spacing w:line="240" w:lineRule="auto"/>
        <w:ind w:left="1134" w:hanging="1134"/>
        <w:rPr>
          <w:sz w:val="23"/>
        </w:rPr>
      </w:pPr>
    </w:p>
    <w:p w:rsidR="00000000" w:rsidRDefault="00000000">
      <w:pPr>
        <w:tabs>
          <w:tab w:val="clear" w:pos="567"/>
          <w:tab w:val="clear" w:pos="1701"/>
          <w:tab w:val="clear" w:pos="2268"/>
          <w:tab w:val="clear" w:pos="6237"/>
          <w:tab w:val="left" w:pos="680"/>
          <w:tab w:val="left" w:pos="1134"/>
        </w:tabs>
        <w:spacing w:line="240" w:lineRule="auto"/>
        <w:ind w:left="1134" w:hanging="1134"/>
        <w:rPr>
          <w:sz w:val="23"/>
        </w:rPr>
      </w:pPr>
      <w:r>
        <w:rPr>
          <w:sz w:val="23"/>
        </w:rPr>
        <w:tab/>
        <w:t>–</w:t>
      </w:r>
      <w:r>
        <w:rPr>
          <w:sz w:val="23"/>
        </w:rPr>
        <w:tab/>
        <w:t>правила для муниципалитетов, касающиеся планирования и осуществления проектов реконструкции городов.</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355.</w:t>
      </w:r>
      <w:r>
        <w:rPr>
          <w:sz w:val="23"/>
        </w:rPr>
        <w:tab/>
        <w:t>В целом стратегия реконструкции городов уже не предусматривает, как ранее, выполнения сконцентрированной работы в узких областях, а направлена на осуществление более широкомасштабной деятельности, при которой субсидируемая государством реконструкция городов используется в качестве каталитического и движущего фактора в рамках решения более крупных задач городской политики. В конечном итоге решающее слово в данной области предоставляется заинтересованным владельцам и арендаторам. На основе потребностей отдельных муниципалитетов в плане обновления обветшалых зданий, которые определяются в соответствии с объективными критериями, Совет по вопросам предпринимательства и жилищного строительства министерства экономики и предпринимательства ежегодно распределяет среди муниципалитетов соответствующий объем денежных ассигнований. В</w:t>
      </w:r>
      <w:r>
        <w:rPr>
          <w:sz w:val="23"/>
          <w:lang w:val="en-US"/>
        </w:rPr>
        <w:t> </w:t>
      </w:r>
      <w:r>
        <w:rPr>
          <w:sz w:val="23"/>
        </w:rPr>
        <w:t>соответствии с Законом о реконструкции городов и совершенствовании жилищного строительства отдельные муниципалитеты отвечают за первоначальную организацию, планирование и осуществление деятельности по обновлению городов на местном уровне.</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356.</w:t>
      </w:r>
      <w:r>
        <w:rPr>
          <w:sz w:val="23"/>
        </w:rPr>
        <w:tab/>
        <w:t xml:space="preserve">С 1992 года в дополнение к субсидируемой реконструкции городов действует экспериментальная система, которая допускает возможность получения субсидий для осуществления частных проектов по реконструкции городов. Рамки инвестиций в обновление городов расширялись вплоть до середины 90-х годов, когда инвестиции составили 3,6 млрд. датских крон, однако в последние годы они стабилизировались на уровне приблизительно 2 млрд. датских крон.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b/>
          <w:bCs/>
          <w:sz w:val="23"/>
        </w:rPr>
      </w:pPr>
      <w:r>
        <w:rPr>
          <w:b/>
          <w:bCs/>
          <w:sz w:val="23"/>
        </w:rPr>
        <w:br w:type="page"/>
        <w:t>Финансовые меры, принятые государством</w:t>
      </w:r>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357.</w:t>
      </w:r>
      <w:r>
        <w:rPr>
          <w:sz w:val="23"/>
        </w:rPr>
        <w:tab/>
        <w:t>В 2001 году государственный бюджет Дании составил 409 955,6 млн. датских крон.  Из этих средств 2,2% было выделено министерству экономики и предпринимательства для реализации мер в области жилищного строительства. Основными направлениями деятельности являются строительное законодательство, строительные нормы и правила, реконструкция городов, жилищные пособия и Закон об аренде, субсидируемое жилье, координация данных по имуществу, а также научные исследования и информация.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b/>
          <w:bCs/>
          <w:sz w:val="23"/>
        </w:rPr>
        <w:t>Международная помощь в области осуществления права на жилье</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358.</w:t>
      </w:r>
      <w:r>
        <w:rPr>
          <w:sz w:val="23"/>
        </w:rPr>
        <w:tab/>
        <w:t>Дания не получает международной помощи. См. также раздел выше, посвященный ответу на вопрос, содержащийся в пункте 44 с) руководящих принципов и касающийся законодательства о запрещении любых форм дискриминации в области жилья.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b/>
          <w:bCs/>
          <w:sz w:val="23"/>
        </w:rPr>
        <w:t>Меры, принятые в целях поощрения строительства малых и средних городов</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359.</w:t>
      </w:r>
      <w:r>
        <w:rPr>
          <w:sz w:val="23"/>
        </w:rPr>
        <w:tab/>
        <w:t>Министерство экономики и предпринимательства в различных формах участвует в развитии и субсидировании населенных пунктов страны. Частично эта деятельность осуществляется через Фонд развития городов, предоставляющий субсидии для осуществления местных проектов при широком участии граждан. Министерство проводит и собирается в дальнейшем проводить различные конференции по населенным пунктам. Закон о реконструкции городов наделяет отдельные муниципалитеты возможностью субсидировать реконструкцию зданий в стране посредством предоставления беспроцентных ссуд с льготными условиями погашения.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360.</w:t>
      </w:r>
      <w:r>
        <w:rPr>
          <w:sz w:val="23"/>
        </w:rPr>
        <w:tab/>
        <w:t>Наконец, недавно был завершен относительно крупный эксперимент в области реконструкции жилого фонда сельских населенных пунктов. Проведенные в его рамках проекты касались реконструкции небольших городов, жилых единиц и улучшения условий для предпринимательской деятельности, а также архитектурного восстановления городских центров.</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b/>
          <w:bCs/>
          <w:sz w:val="23"/>
        </w:rPr>
        <w:t>Меры, принятые в рамках программ модернизации городов и т. д.</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361.</w:t>
      </w:r>
      <w:r>
        <w:rPr>
          <w:sz w:val="23"/>
        </w:rPr>
        <w:tab/>
        <w:t>До начала осуществления проектов, связанных с реконструкцией городов, в Дании проводится переселение проживающих в них жителей. На время выполнения проектов жильцам всегда предлагается альтернативное жилье. Жители могут в определенных пределах выражать свое несогласие с предлагаемыми проектами городской реконструкции, и их мнение должно учитываться при планировке квартир, благоустройстве совместно используемой территории и т. д.</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267" w:name="_Toc51496927"/>
      <w:bookmarkStart w:id="268" w:name="_Toc51497094"/>
      <w:bookmarkStart w:id="269" w:name="_Toc51497619"/>
      <w:r>
        <w:t>Пункт 44 е) руководящих принципов: Происшедшие за отчетный период изменения в национальной политике, неблагоприятно отразившиеся на праве на удовлетворительное жилище</w:t>
      </w:r>
      <w:bookmarkEnd w:id="267"/>
      <w:bookmarkEnd w:id="268"/>
      <w:bookmarkEnd w:id="269"/>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362.</w:t>
      </w:r>
      <w:r>
        <w:rPr>
          <w:sz w:val="23"/>
        </w:rPr>
        <w:tab/>
        <w:t>За отчетный период в национальной политике не произошло никаких изменений, неблагоприятно отразившихся на праве на удовлетворительное жилище.</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r>
        <w:br w:type="page"/>
      </w:r>
      <w:bookmarkStart w:id="270" w:name="_Toc51496928"/>
      <w:bookmarkStart w:id="271" w:name="_Toc51497095"/>
      <w:bookmarkStart w:id="272" w:name="_Toc51497620"/>
      <w:r>
        <w:t>Пункт 45 руководящих принципов: Трудности или препятствия, связанные с осуществлением статьи 11</w:t>
      </w:r>
      <w:bookmarkEnd w:id="270"/>
      <w:bookmarkEnd w:id="271"/>
      <w:bookmarkEnd w:id="272"/>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363.</w:t>
      </w:r>
      <w:r>
        <w:rPr>
          <w:sz w:val="23"/>
        </w:rPr>
        <w:tab/>
        <w:t>В связи с осуществлением статьи 11 Пакта не имеется каких-либо трудностей или препятствий.</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273" w:name="_Toc51496929"/>
      <w:bookmarkStart w:id="274" w:name="_Toc51497096"/>
      <w:bookmarkStart w:id="275" w:name="_Toc51497621"/>
      <w:r>
        <w:t>Пункт 46 руководящих принципов: Международная помощь</w:t>
      </w:r>
      <w:bookmarkEnd w:id="273"/>
      <w:bookmarkEnd w:id="274"/>
      <w:bookmarkEnd w:id="275"/>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pStyle w:val="FootnoteText"/>
        <w:tabs>
          <w:tab w:val="clear" w:pos="567"/>
          <w:tab w:val="clear" w:pos="1701"/>
          <w:tab w:val="clear" w:pos="2268"/>
          <w:tab w:val="clear" w:pos="6237"/>
          <w:tab w:val="left" w:pos="680"/>
          <w:tab w:val="left" w:pos="1134"/>
        </w:tabs>
        <w:rPr>
          <w:sz w:val="23"/>
        </w:rPr>
      </w:pPr>
      <w:r>
        <w:rPr>
          <w:sz w:val="23"/>
        </w:rPr>
        <w:t>364.</w:t>
      </w:r>
      <w:r>
        <w:rPr>
          <w:sz w:val="23"/>
        </w:rPr>
        <w:tab/>
        <w:t>Дания не получает международной помощи.</w:t>
      </w:r>
    </w:p>
    <w:p w:rsidR="00000000" w:rsidRDefault="00000000">
      <w:pPr>
        <w:pStyle w:val="FootnoteText"/>
        <w:tabs>
          <w:tab w:val="clear" w:pos="567"/>
          <w:tab w:val="clear" w:pos="1701"/>
          <w:tab w:val="clear" w:pos="2268"/>
          <w:tab w:val="clear" w:pos="6237"/>
          <w:tab w:val="left" w:pos="680"/>
          <w:tab w:val="left" w:pos="1134"/>
        </w:tabs>
        <w:rPr>
          <w:sz w:val="23"/>
        </w:rPr>
      </w:pPr>
    </w:p>
    <w:p w:rsidR="00000000" w:rsidRDefault="00000000">
      <w:pPr>
        <w:pStyle w:val="FootnoteText"/>
        <w:tabs>
          <w:tab w:val="clear" w:pos="567"/>
          <w:tab w:val="clear" w:pos="1701"/>
          <w:tab w:val="clear" w:pos="2268"/>
          <w:tab w:val="clear" w:pos="6237"/>
          <w:tab w:val="left" w:pos="680"/>
          <w:tab w:val="left" w:pos="1134"/>
        </w:tabs>
        <w:rPr>
          <w:sz w:val="23"/>
        </w:rPr>
      </w:pPr>
    </w:p>
    <w:p w:rsidR="00000000" w:rsidRDefault="00000000">
      <w:pPr>
        <w:pStyle w:val="a"/>
      </w:pPr>
      <w:bookmarkStart w:id="276" w:name="_Toc51496930"/>
      <w:bookmarkStart w:id="277" w:name="_Toc51497097"/>
      <w:bookmarkStart w:id="278" w:name="_Toc51497622"/>
      <w:r>
        <w:t>Статья 12</w:t>
      </w:r>
      <w:bookmarkEnd w:id="276"/>
      <w:bookmarkEnd w:id="277"/>
      <w:bookmarkEnd w:id="278"/>
    </w:p>
    <w:p w:rsidR="00000000" w:rsidRDefault="00000000">
      <w:pPr>
        <w:pStyle w:val="a"/>
      </w:pPr>
    </w:p>
    <w:p w:rsidR="00000000" w:rsidRDefault="00000000">
      <w:pPr>
        <w:pStyle w:val="a"/>
      </w:pPr>
      <w:bookmarkStart w:id="279" w:name="_Toc51496931"/>
      <w:bookmarkStart w:id="280" w:name="_Toc51497098"/>
      <w:bookmarkStart w:id="281" w:name="_Toc51497623"/>
      <w:r>
        <w:t>Наивысший достижимый уровень здоровья</w:t>
      </w:r>
      <w:bookmarkEnd w:id="279"/>
      <w:bookmarkEnd w:id="280"/>
      <w:bookmarkEnd w:id="281"/>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pStyle w:val="a0"/>
      </w:pPr>
      <w:bookmarkStart w:id="282" w:name="_Toc51496932"/>
      <w:bookmarkStart w:id="283" w:name="_Toc51497099"/>
      <w:bookmarkStart w:id="284" w:name="_Toc51497624"/>
      <w:r>
        <w:t>Пункт 47 руководящих принципов: Информация о состоянии физического и психического здоровья населения Дании</w:t>
      </w:r>
      <w:bookmarkEnd w:id="282"/>
      <w:bookmarkEnd w:id="283"/>
      <w:bookmarkEnd w:id="284"/>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365.</w:t>
      </w:r>
      <w:r>
        <w:rPr>
          <w:sz w:val="23"/>
        </w:rPr>
        <w:tab/>
        <w:t>Состояние здоровья измеряется на основании личной оценки самочувствия. В 2000 году 78% опрошенных датчан в целом сообщили, что они считают состояние своего здоровья "удовлетворительным" или "весьма удовлетворительным". Обследования, проведенные в 1987, 1991 и 1994 годах, свидетельствуют об аналогичной тенденции: от 78 до 80% опрошенных сообщили, что они считают состояние своего здоровья "удовлетворительным" или "весьма удовлетворительным".</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366.</w:t>
      </w:r>
      <w:r>
        <w:rPr>
          <w:sz w:val="23"/>
        </w:rPr>
        <w:tab/>
        <w:t>Между сельским и городским населением особых различий не наблюдается. Количество мужчин, считающих свое здоровье "удовлетворительным" или "весьма удовлетворительным", приблизительно на 5% превышает количество предоставивших аналогичные ответы женщин. Явные различия были зарегистрированы между гражданами, имеющими различный уровень образования: 60% датчан, продолжительность формального образования которых не превышает 10 лет, ответили, что состояние их здоровья является "удовлетворительным" или "весьма удовлетворительным", в то время как 86% датчан, продолжительность формального образования которых составляет или превышает 13 лет, охарактеризовали состояние своего здоровья как "положительное".</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367.</w:t>
      </w:r>
      <w:r>
        <w:rPr>
          <w:sz w:val="23"/>
        </w:rPr>
        <w:tab/>
        <w:t>В течение четырехнедельного наблюдения примерно каждый из пяти датчан испытывал проблемы эмоционального характера, отрицательно сказывавшиеся на повседневной работе или на проведении досуга. Более подробная информация содержится в трехгодичном докладе Дании, представленном в Региональное бюро ВОЗ (ЕРБ/ВОЗ).</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285" w:name="_Toc51496933"/>
      <w:bookmarkStart w:id="286" w:name="_Toc51497100"/>
      <w:bookmarkStart w:id="287" w:name="_Toc51497625"/>
      <w:r>
        <w:t>Пункт 48 руководящих принципов: Национальная политика Дании в области здравоохранения</w:t>
      </w:r>
      <w:bookmarkEnd w:id="285"/>
      <w:bookmarkEnd w:id="286"/>
      <w:bookmarkEnd w:id="287"/>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368.</w:t>
      </w:r>
      <w:r>
        <w:rPr>
          <w:sz w:val="23"/>
        </w:rPr>
        <w:tab/>
        <w:t>Государство предпринимает инициативы в области здравоохранения, а также проводит координационную и консультативную деятельность. Одна из основных задач состоит в установлении целей Национальной политики в области здравоохранения. Обязанности по осуществлению медицинской помощи децентрализированы. В целях улучшения координации и повышения эффективности различных административных уровней организации здравоохранения областями и местными органами самоуправления каждые четыре года разрабатывается план по охране здоровья населения.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369.</w:t>
      </w:r>
      <w:r>
        <w:rPr>
          <w:sz w:val="23"/>
        </w:rPr>
        <w:tab/>
        <w:t>Что касается приверженности применяемому ВОЗ подходу в отношении первичной медико-санитарной помощи, то правительство Дании опубликовало в мае 1999 года Программу правительства Дании в области общественного здравоохранения и укрепления здоровья на 1999–2008 годы. Эта десятилетняя межучрежденческая программа основана на сотрудничестве между девятью министерствами.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370.</w:t>
      </w:r>
      <w:r>
        <w:rPr>
          <w:sz w:val="23"/>
        </w:rPr>
        <w:tab/>
        <w:t>Данная программа состоит из 17 целевых задач, сгруппированных по трем так называемым "перспективам", которыми являются факторы риска, возрастные группы и окружающая обстановка. Кроме того, программа включает в себя три структурные задачи, связанные с четко определенной организацией и сотрудничеством между государственным и местным уровнями. В ней подчеркивается необходимость в проведении дальнейших исследований в области укрепления здоровья и необходимость активизации внедрения идей укрепления здоровья в основной и постдипломный курс подготовки медицинского персонала и других соответствующих групп специалистов.</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371.</w:t>
      </w:r>
      <w:r>
        <w:rPr>
          <w:sz w:val="23"/>
        </w:rPr>
        <w:tab/>
        <w:t>Широкий спектр инициатив, предпринимаемых в рамках этих целей, направлен прежде всего на борьбу с курением, гиподинамией, дорожно-транспортными происшествиями, нездоровым питанием и наркоманией. Мероприятия, проводимые на уровне начальной школы, прежде всего основаны на рассмотрении школы в качестве окружающей обстановки и включают в себя, например, внесение законопроекта о запрете на использование табака при проведении сопутствующей программы по выработке отношения к табаку и здоровью. Кроме того, во всех школах одним из предметов в рамках планового формального обучения является медико-санитарное просвещение.</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372.</w:t>
      </w:r>
      <w:r>
        <w:rPr>
          <w:sz w:val="23"/>
        </w:rPr>
        <w:tab/>
        <w:t>В межучрежденческой программе участвуют следующие министерства: министерство внутренних дел, министерство здравоохранения, министерство социальных дел, министерство по вопросам занятости, министерство транспорта, министерство культуры и министерство по вопросам продовольствия, сельского хозяйства и рыболовства. В январе 2000 года министерство здравоохранения представило в датский парламент заявление по поводу данной программы.</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288" w:name="_Toc51496934"/>
      <w:bookmarkStart w:id="289" w:name="_Toc51497101"/>
      <w:bookmarkStart w:id="290" w:name="_Toc51497626"/>
      <w:r>
        <w:t>Пункт 49 руководящих принципов: Доля ВНП, расходуемая на здравоохранение</w:t>
      </w:r>
      <w:bookmarkEnd w:id="288"/>
      <w:bookmarkEnd w:id="289"/>
      <w:bookmarkEnd w:id="290"/>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373.</w:t>
      </w:r>
      <w:r>
        <w:rPr>
          <w:sz w:val="23"/>
        </w:rPr>
        <w:tab/>
        <w:t>В 1999 году Дания израсходовала на здравоохранение 8,4% ВНП. Государственные расходы на здравоохранение составили 12,8% от общей суммы государственных расходов в 1999 году. В 1994 году на долю этих расходов приходилось 11,5% от общей суммы государственных расходов, а в 1989 году соответствующий показатель равнялся 12,7%. Расходы на первичную медико-санитарную помощь составили 38,0% от государственных расходов на здравоохранение в 1999 году. В 1994 году эти расходы составили 37,6% от государственных расходов на здравоохранение, и в 1989 году соответствующий показатель равнялся 40,4%.</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291" w:name="_Toc51496935"/>
      <w:bookmarkStart w:id="292" w:name="_Toc51497102"/>
      <w:bookmarkStart w:id="293" w:name="_Toc51497627"/>
      <w:r>
        <w:t>Пункт 50 а) руководящих принципов: Уровень младенческой смертности</w:t>
      </w:r>
      <w:bookmarkEnd w:id="291"/>
      <w:bookmarkEnd w:id="292"/>
      <w:bookmarkEnd w:id="293"/>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374.</w:t>
      </w:r>
      <w:r>
        <w:rPr>
          <w:sz w:val="23"/>
        </w:rPr>
        <w:tab/>
        <w:t>За последние десять лет уровень младенческой смертности значительно снизился. Количество смертей на 1000 живорожденных сократилось с 9,15 в 1989 году и 6,14 в 1994 году до 4,99 в 1999 году, при этом соответствующий уровень младенческой смертности для девочек сократился с 6,83 и 4,73 до 3,46. Показатель за 1999 год является результатом официально проведенной оценки. Никаких различий в уровне младенческой смертности между сельскими и городскими районами установлено не было. Вместе с тем анализ статистики рождений за 1991–1992 годы показал значительную взаимосвязь между уровнем младенческой смертности и уровнем образования матери. Уровень младенческой смертности был в два раза выше среди детей, родившихся у матерей, имевших продолжительность формального образования менее восьми лет, по сравнению с матерями, чья продолжительность формального образования составляла или превышала 13 лет.</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294" w:name="_Toc51496936"/>
      <w:bookmarkStart w:id="295" w:name="_Toc51497103"/>
      <w:bookmarkStart w:id="296" w:name="_Toc51497628"/>
      <w:r>
        <w:t>Пункт 50 b) руководящих принципов: Доступ к безопасному водоснабжению</w:t>
      </w:r>
      <w:bookmarkEnd w:id="294"/>
      <w:bookmarkEnd w:id="295"/>
      <w:bookmarkEnd w:id="296"/>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375.</w:t>
      </w:r>
      <w:r>
        <w:rPr>
          <w:sz w:val="23"/>
        </w:rPr>
        <w:tab/>
        <w:t>В отношении доступа населения к безопасному водоснабжению следует отметить, что система водоснабжения в Дании является в целом децентрализованной благодаря, среди прочего, акватическим характеристикам окружающей среды, рекам и озерам. Таким образом, все население страны имеет доступ к чистой, безопасной питьевой воде через систему, состоящую из приблизительно 3000 крупных государственных установок по очистке воды и 90 000 более мелких частных пунктов водоснабжения (артезианских скважин и колодцев). Основным источником водоснабжения (около 99%) являются грунтовые воды. Различие между городским и сельским населением в этом отношении в основном определяется соотношением государственного и частного водоснабжения. В городских районах водоснабжение осуществляется преимущественно из государственных систем, а в сельских районах – преимущественно из частных колодцев.</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297" w:name="_Toc51496937"/>
      <w:bookmarkStart w:id="298" w:name="_Toc51497104"/>
      <w:bookmarkStart w:id="299" w:name="_Toc51497629"/>
      <w:r>
        <w:t>Пункт 50 c) руководящих принципов: Доступ населения к соответствующим санитарно-техническим средствам</w:t>
      </w:r>
      <w:bookmarkEnd w:id="297"/>
      <w:bookmarkEnd w:id="298"/>
      <w:bookmarkEnd w:id="299"/>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376.</w:t>
      </w:r>
      <w:r>
        <w:rPr>
          <w:sz w:val="23"/>
        </w:rPr>
        <w:tab/>
        <w:t>Приблизительно 85% датского населения имеют доступ к соответствующим санитарно-техническим средствам за счет подключения к муниципальным канализационным системам. Остальные 15% населения сбрасывают сточные воды в почву через отстойники и фильтрационные установки или через другие виды механической/биологической очистки. Последний</w:t>
      </w:r>
      <w:r>
        <w:rPr>
          <w:b/>
          <w:bCs/>
          <w:sz w:val="23"/>
        </w:rPr>
        <w:t xml:space="preserve"> </w:t>
      </w:r>
      <w:r>
        <w:rPr>
          <w:sz w:val="23"/>
        </w:rPr>
        <w:t>вид удаления нечистот широко распространен в сельских районах, в то время как все население городских районов Дании имеет доступ к муниципальным канализационным системам.</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300" w:name="_Toc51496938"/>
      <w:bookmarkStart w:id="301" w:name="_Toc51497105"/>
      <w:bookmarkStart w:id="302" w:name="_Toc51497630"/>
      <w:r>
        <w:t>Пункт 50 d) руководящих принципов: Вакцинация детей</w:t>
      </w:r>
      <w:bookmarkEnd w:id="300"/>
      <w:bookmarkEnd w:id="301"/>
      <w:bookmarkEnd w:id="302"/>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377.</w:t>
      </w:r>
      <w:r>
        <w:rPr>
          <w:sz w:val="23"/>
        </w:rPr>
        <w:tab/>
        <w:t>Вакцинация детей от дифтерии, коклюша, столбняка, кори, полиомиелита и туберкулеза показывает, что в отношении охвата иммунизацией не существует различий по признаку пола между сельскими и городскими районами. Уровень охвата вакцинацией является высоким, и никаких социально-экономических особенностей не наблюдается в отношении достаточно небольшого количества родителей, предпочитающих не вакцинировать своих детей. Мотивирующими факторами являются предпочтение альтернативных видов медицины и различные представления об опасности побочных эффектов.</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br w:type="page"/>
        <w:t>Таблица 21</w:t>
      </w: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t>Охват детей программой медицинской вакцинации,</w:t>
      </w:r>
      <w:r>
        <w:rPr>
          <w:b/>
          <w:bCs/>
          <w:sz w:val="23"/>
        </w:rPr>
        <w:br/>
        <w:t>1994, 1996 и 1999 годы (в %)</w:t>
      </w: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5897"/>
        <w:gridCol w:w="1247"/>
        <w:gridCol w:w="1247"/>
        <w:gridCol w:w="1247"/>
      </w:tblGrid>
      <w:tr w:rsidR="00000000">
        <w:tblPrEx>
          <w:tblCellMar>
            <w:top w:w="0" w:type="dxa"/>
            <w:bottom w:w="0" w:type="dxa"/>
          </w:tblCellMar>
        </w:tblPrEx>
        <w:trPr>
          <w:jc w:val="center"/>
        </w:trPr>
        <w:tc>
          <w:tcPr>
            <w:tcW w:w="5897" w:type="dxa"/>
            <w:tcBorders>
              <w:left w:val="single" w:sz="4" w:space="0" w:color="auto"/>
              <w:bottom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0"/>
              </w:rPr>
            </w:pPr>
          </w:p>
        </w:tc>
        <w:tc>
          <w:tcPr>
            <w:tcW w:w="1247" w:type="dxa"/>
            <w:tcBorders>
              <w:left w:val="single" w:sz="4" w:space="0" w:color="auto"/>
              <w:bottom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1994</w:t>
            </w:r>
          </w:p>
        </w:tc>
        <w:tc>
          <w:tcPr>
            <w:tcW w:w="1247" w:type="dxa"/>
            <w:tcBorders>
              <w:left w:val="single" w:sz="4" w:space="0" w:color="auto"/>
              <w:bottom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1996</w:t>
            </w:r>
          </w:p>
        </w:tc>
        <w:tc>
          <w:tcPr>
            <w:tcW w:w="1247" w:type="dxa"/>
            <w:tcBorders>
              <w:left w:val="single" w:sz="4" w:space="0" w:color="auto"/>
              <w:bottom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1999</w:t>
            </w:r>
          </w:p>
        </w:tc>
      </w:tr>
      <w:tr w:rsidR="00000000">
        <w:tblPrEx>
          <w:tblCellMar>
            <w:top w:w="0" w:type="dxa"/>
            <w:bottom w:w="0" w:type="dxa"/>
          </w:tblCellMar>
        </w:tblPrEx>
        <w:trPr>
          <w:jc w:val="center"/>
        </w:trPr>
        <w:tc>
          <w:tcPr>
            <w:tcW w:w="5897" w:type="dxa"/>
            <w:tcBorders>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0"/>
              </w:rPr>
            </w:pPr>
            <w:r>
              <w:rPr>
                <w:sz w:val="20"/>
              </w:rPr>
              <w:t>Коклюш 1 (5 недель)</w:t>
            </w:r>
          </w:p>
        </w:tc>
        <w:tc>
          <w:tcPr>
            <w:tcW w:w="1247" w:type="dxa"/>
            <w:tcBorders>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96</w:t>
            </w:r>
          </w:p>
        </w:tc>
        <w:tc>
          <w:tcPr>
            <w:tcW w:w="1247" w:type="dxa"/>
            <w:tcBorders>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94</w:t>
            </w:r>
          </w:p>
        </w:tc>
        <w:tc>
          <w:tcPr>
            <w:tcW w:w="1247" w:type="dxa"/>
            <w:tcBorders>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w:t>
            </w:r>
          </w:p>
        </w:tc>
      </w:tr>
      <w:tr w:rsidR="00000000">
        <w:tblPrEx>
          <w:tblCellMar>
            <w:top w:w="0" w:type="dxa"/>
            <w:bottom w:w="0" w:type="dxa"/>
          </w:tblCellMar>
        </w:tblPrEx>
        <w:trPr>
          <w:jc w:val="center"/>
        </w:trPr>
        <w:tc>
          <w:tcPr>
            <w:tcW w:w="589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0"/>
              </w:rPr>
            </w:pPr>
            <w:r>
              <w:rPr>
                <w:sz w:val="20"/>
              </w:rPr>
              <w:t>Коклюш 2 (9 недель/3 месяца</w:t>
            </w:r>
            <w:r>
              <w:rPr>
                <w:rStyle w:val="FootnoteReference"/>
              </w:rPr>
              <w:footnoteReference w:customMarkFollows="1" w:id="4"/>
              <w:t>a</w:t>
            </w:r>
            <w:r>
              <w:rPr>
                <w:sz w:val="20"/>
              </w:rPr>
              <w:t>)</w:t>
            </w:r>
          </w:p>
        </w:tc>
        <w:tc>
          <w:tcPr>
            <w:tcW w:w="124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91</w:t>
            </w:r>
          </w:p>
        </w:tc>
        <w:tc>
          <w:tcPr>
            <w:tcW w:w="124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86</w:t>
            </w:r>
          </w:p>
        </w:tc>
        <w:tc>
          <w:tcPr>
            <w:tcW w:w="124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w:t>
            </w:r>
          </w:p>
        </w:tc>
      </w:tr>
      <w:tr w:rsidR="00000000">
        <w:tblPrEx>
          <w:tblCellMar>
            <w:top w:w="0" w:type="dxa"/>
            <w:bottom w:w="0" w:type="dxa"/>
          </w:tblCellMar>
        </w:tblPrEx>
        <w:trPr>
          <w:jc w:val="center"/>
        </w:trPr>
        <w:tc>
          <w:tcPr>
            <w:tcW w:w="589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0"/>
              </w:rPr>
            </w:pPr>
            <w:r>
              <w:rPr>
                <w:sz w:val="20"/>
              </w:rPr>
              <w:t>Коклюш 3 (10 месяцев/12 месяцев</w:t>
            </w:r>
            <w:r>
              <w:rPr>
                <w:b/>
                <w:bCs/>
                <w:sz w:val="20"/>
                <w:vertAlign w:val="superscript"/>
              </w:rPr>
              <w:t>a</w:t>
            </w:r>
            <w:r>
              <w:rPr>
                <w:sz w:val="20"/>
              </w:rPr>
              <w:t>)</w:t>
            </w:r>
          </w:p>
        </w:tc>
        <w:tc>
          <w:tcPr>
            <w:tcW w:w="124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89</w:t>
            </w:r>
          </w:p>
        </w:tc>
        <w:tc>
          <w:tcPr>
            <w:tcW w:w="124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77</w:t>
            </w:r>
          </w:p>
        </w:tc>
        <w:tc>
          <w:tcPr>
            <w:tcW w:w="124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w:t>
            </w:r>
          </w:p>
        </w:tc>
      </w:tr>
      <w:tr w:rsidR="00000000">
        <w:tblPrEx>
          <w:tblCellMar>
            <w:top w:w="0" w:type="dxa"/>
            <w:bottom w:w="0" w:type="dxa"/>
          </w:tblCellMar>
        </w:tblPrEx>
        <w:trPr>
          <w:jc w:val="center"/>
        </w:trPr>
        <w:tc>
          <w:tcPr>
            <w:tcW w:w="589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0"/>
              </w:rPr>
            </w:pPr>
            <w:r>
              <w:rPr>
                <w:sz w:val="20"/>
              </w:rPr>
              <w:t>Дифтерия/столбняк/полиомиелит 1 (5 месяцев)</w:t>
            </w:r>
          </w:p>
        </w:tc>
        <w:tc>
          <w:tcPr>
            <w:tcW w:w="124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99</w:t>
            </w:r>
          </w:p>
        </w:tc>
        <w:tc>
          <w:tcPr>
            <w:tcW w:w="124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98</w:t>
            </w:r>
          </w:p>
        </w:tc>
        <w:tc>
          <w:tcPr>
            <w:tcW w:w="124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w:t>
            </w:r>
          </w:p>
        </w:tc>
      </w:tr>
      <w:tr w:rsidR="00000000">
        <w:tblPrEx>
          <w:tblCellMar>
            <w:top w:w="0" w:type="dxa"/>
            <w:bottom w:w="0" w:type="dxa"/>
          </w:tblCellMar>
        </w:tblPrEx>
        <w:trPr>
          <w:jc w:val="center"/>
        </w:trPr>
        <w:tc>
          <w:tcPr>
            <w:tcW w:w="589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0"/>
              </w:rPr>
            </w:pPr>
            <w:r>
              <w:rPr>
                <w:sz w:val="20"/>
              </w:rPr>
              <w:t>Дифтерия/столбняк/полиомиелит 2 (6 месяцев)</w:t>
            </w:r>
          </w:p>
        </w:tc>
        <w:tc>
          <w:tcPr>
            <w:tcW w:w="124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95</w:t>
            </w:r>
          </w:p>
        </w:tc>
        <w:tc>
          <w:tcPr>
            <w:tcW w:w="124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95</w:t>
            </w:r>
          </w:p>
        </w:tc>
        <w:tc>
          <w:tcPr>
            <w:tcW w:w="124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w:t>
            </w:r>
          </w:p>
        </w:tc>
      </w:tr>
      <w:tr w:rsidR="00000000">
        <w:tblPrEx>
          <w:tblCellMar>
            <w:top w:w="0" w:type="dxa"/>
            <w:bottom w:w="0" w:type="dxa"/>
          </w:tblCellMar>
        </w:tblPrEx>
        <w:trPr>
          <w:jc w:val="center"/>
        </w:trPr>
        <w:tc>
          <w:tcPr>
            <w:tcW w:w="589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0"/>
              </w:rPr>
            </w:pPr>
            <w:r>
              <w:rPr>
                <w:sz w:val="20"/>
              </w:rPr>
              <w:t>Дифтерия/столбняк/полиомиелит 3 (15 месяцев/12 месяцев</w:t>
            </w:r>
            <w:r>
              <w:rPr>
                <w:b/>
                <w:bCs/>
                <w:sz w:val="20"/>
                <w:vertAlign w:val="superscript"/>
              </w:rPr>
              <w:t>a</w:t>
            </w:r>
            <w:r>
              <w:rPr>
                <w:sz w:val="20"/>
              </w:rPr>
              <w:t>)</w:t>
            </w:r>
          </w:p>
        </w:tc>
        <w:tc>
          <w:tcPr>
            <w:tcW w:w="124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100</w:t>
            </w:r>
          </w:p>
        </w:tc>
        <w:tc>
          <w:tcPr>
            <w:tcW w:w="124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119</w:t>
            </w:r>
          </w:p>
        </w:tc>
        <w:tc>
          <w:tcPr>
            <w:tcW w:w="124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w:t>
            </w:r>
          </w:p>
        </w:tc>
      </w:tr>
      <w:tr w:rsidR="00000000">
        <w:tblPrEx>
          <w:tblCellMar>
            <w:top w:w="0" w:type="dxa"/>
            <w:bottom w:w="0" w:type="dxa"/>
          </w:tblCellMar>
        </w:tblPrEx>
        <w:trPr>
          <w:jc w:val="center"/>
        </w:trPr>
        <w:tc>
          <w:tcPr>
            <w:tcW w:w="589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0"/>
              </w:rPr>
            </w:pPr>
            <w:r>
              <w:rPr>
                <w:sz w:val="20"/>
              </w:rPr>
              <w:t>Дифтерия/столбняк/коклюш/полиомиелит 1 (3 месяца)</w:t>
            </w:r>
          </w:p>
        </w:tc>
        <w:tc>
          <w:tcPr>
            <w:tcW w:w="124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w:t>
            </w:r>
          </w:p>
        </w:tc>
        <w:tc>
          <w:tcPr>
            <w:tcW w:w="124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w:t>
            </w:r>
          </w:p>
        </w:tc>
        <w:tc>
          <w:tcPr>
            <w:tcW w:w="124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96</w:t>
            </w:r>
          </w:p>
        </w:tc>
      </w:tr>
      <w:tr w:rsidR="00000000">
        <w:tblPrEx>
          <w:tblCellMar>
            <w:top w:w="0" w:type="dxa"/>
            <w:bottom w:w="0" w:type="dxa"/>
          </w:tblCellMar>
        </w:tblPrEx>
        <w:trPr>
          <w:jc w:val="center"/>
        </w:trPr>
        <w:tc>
          <w:tcPr>
            <w:tcW w:w="589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0"/>
              </w:rPr>
            </w:pPr>
            <w:r>
              <w:rPr>
                <w:sz w:val="20"/>
              </w:rPr>
              <w:t>Дифтерия/столбняк/коклюш/полиомиелит 2 (5 месяцев)</w:t>
            </w:r>
          </w:p>
        </w:tc>
        <w:tc>
          <w:tcPr>
            <w:tcW w:w="124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w:t>
            </w:r>
          </w:p>
        </w:tc>
        <w:tc>
          <w:tcPr>
            <w:tcW w:w="124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w:t>
            </w:r>
          </w:p>
        </w:tc>
        <w:tc>
          <w:tcPr>
            <w:tcW w:w="124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99</w:t>
            </w:r>
          </w:p>
        </w:tc>
      </w:tr>
      <w:tr w:rsidR="00000000">
        <w:tblPrEx>
          <w:tblCellMar>
            <w:top w:w="0" w:type="dxa"/>
            <w:bottom w:w="0" w:type="dxa"/>
          </w:tblCellMar>
        </w:tblPrEx>
        <w:trPr>
          <w:jc w:val="center"/>
        </w:trPr>
        <w:tc>
          <w:tcPr>
            <w:tcW w:w="589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0"/>
              </w:rPr>
            </w:pPr>
            <w:r>
              <w:rPr>
                <w:sz w:val="20"/>
              </w:rPr>
              <w:t>Дифтерия/столбняк/коклюш/полиомиелит 3 (12 месяцев)</w:t>
            </w:r>
          </w:p>
        </w:tc>
        <w:tc>
          <w:tcPr>
            <w:tcW w:w="124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w:t>
            </w:r>
          </w:p>
        </w:tc>
        <w:tc>
          <w:tcPr>
            <w:tcW w:w="124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w:t>
            </w:r>
          </w:p>
        </w:tc>
        <w:tc>
          <w:tcPr>
            <w:tcW w:w="124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99</w:t>
            </w:r>
          </w:p>
        </w:tc>
      </w:tr>
      <w:tr w:rsidR="00000000">
        <w:tblPrEx>
          <w:tblCellMar>
            <w:top w:w="0" w:type="dxa"/>
            <w:bottom w:w="0" w:type="dxa"/>
          </w:tblCellMar>
        </w:tblPrEx>
        <w:trPr>
          <w:jc w:val="center"/>
        </w:trPr>
        <w:tc>
          <w:tcPr>
            <w:tcW w:w="589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0"/>
              </w:rPr>
            </w:pPr>
            <w:r>
              <w:rPr>
                <w:sz w:val="20"/>
              </w:rPr>
              <w:t>Бактериальный менингит 1 (5 м/3 месяца</w:t>
            </w:r>
            <w:r>
              <w:rPr>
                <w:rStyle w:val="FootnoteReference"/>
              </w:rPr>
              <w:footnoteReference w:customMarkFollows="1" w:id="5"/>
              <w:t>b</w:t>
            </w:r>
            <w:r>
              <w:rPr>
                <w:sz w:val="20"/>
              </w:rPr>
              <w:t>)</w:t>
            </w:r>
          </w:p>
        </w:tc>
        <w:tc>
          <w:tcPr>
            <w:tcW w:w="124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98</w:t>
            </w:r>
          </w:p>
        </w:tc>
        <w:tc>
          <w:tcPr>
            <w:tcW w:w="124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95</w:t>
            </w:r>
          </w:p>
        </w:tc>
        <w:tc>
          <w:tcPr>
            <w:tcW w:w="124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94</w:t>
            </w:r>
          </w:p>
        </w:tc>
      </w:tr>
      <w:tr w:rsidR="00000000">
        <w:tblPrEx>
          <w:tblCellMar>
            <w:top w:w="0" w:type="dxa"/>
            <w:bottom w:w="0" w:type="dxa"/>
          </w:tblCellMar>
        </w:tblPrEx>
        <w:trPr>
          <w:jc w:val="center"/>
        </w:trPr>
        <w:tc>
          <w:tcPr>
            <w:tcW w:w="589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0"/>
              </w:rPr>
            </w:pPr>
            <w:r>
              <w:rPr>
                <w:sz w:val="20"/>
              </w:rPr>
              <w:t>Бактериальный менингит 2 (6 м/5 месяцев</w:t>
            </w:r>
            <w:r>
              <w:rPr>
                <w:b/>
                <w:bCs/>
                <w:sz w:val="20"/>
                <w:vertAlign w:val="superscript"/>
              </w:rPr>
              <w:t>b</w:t>
            </w:r>
            <w:r>
              <w:rPr>
                <w:sz w:val="20"/>
              </w:rPr>
              <w:t>)</w:t>
            </w:r>
          </w:p>
        </w:tc>
        <w:tc>
          <w:tcPr>
            <w:tcW w:w="124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90</w:t>
            </w:r>
          </w:p>
        </w:tc>
        <w:tc>
          <w:tcPr>
            <w:tcW w:w="124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92</w:t>
            </w:r>
          </w:p>
        </w:tc>
        <w:tc>
          <w:tcPr>
            <w:tcW w:w="124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97</w:t>
            </w:r>
          </w:p>
        </w:tc>
      </w:tr>
      <w:tr w:rsidR="00000000">
        <w:tblPrEx>
          <w:tblCellMar>
            <w:top w:w="0" w:type="dxa"/>
            <w:bottom w:w="0" w:type="dxa"/>
          </w:tblCellMar>
        </w:tblPrEx>
        <w:trPr>
          <w:jc w:val="center"/>
        </w:trPr>
        <w:tc>
          <w:tcPr>
            <w:tcW w:w="589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0"/>
              </w:rPr>
            </w:pPr>
            <w:r>
              <w:rPr>
                <w:sz w:val="20"/>
              </w:rPr>
              <w:t>Бактериальный менингит 3 (16 м/15м</w:t>
            </w:r>
            <w:r>
              <w:rPr>
                <w:b/>
                <w:bCs/>
                <w:sz w:val="20"/>
                <w:vertAlign w:val="superscript"/>
              </w:rPr>
              <w:t>a</w:t>
            </w:r>
            <w:r>
              <w:rPr>
                <w:sz w:val="20"/>
              </w:rPr>
              <w:t>/12 месяцев</w:t>
            </w:r>
            <w:r>
              <w:rPr>
                <w:b/>
                <w:bCs/>
                <w:sz w:val="20"/>
                <w:vertAlign w:val="superscript"/>
              </w:rPr>
              <w:t>b</w:t>
            </w:r>
            <w:r>
              <w:rPr>
                <w:sz w:val="20"/>
              </w:rPr>
              <w:t>)</w:t>
            </w:r>
          </w:p>
        </w:tc>
        <w:tc>
          <w:tcPr>
            <w:tcW w:w="124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88</w:t>
            </w:r>
          </w:p>
        </w:tc>
        <w:tc>
          <w:tcPr>
            <w:tcW w:w="124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93</w:t>
            </w:r>
          </w:p>
        </w:tc>
        <w:tc>
          <w:tcPr>
            <w:tcW w:w="124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95</w:t>
            </w:r>
          </w:p>
        </w:tc>
      </w:tr>
      <w:tr w:rsidR="00000000">
        <w:tblPrEx>
          <w:tblCellMar>
            <w:top w:w="0" w:type="dxa"/>
            <w:bottom w:w="0" w:type="dxa"/>
          </w:tblCellMar>
        </w:tblPrEx>
        <w:trPr>
          <w:jc w:val="center"/>
        </w:trPr>
        <w:tc>
          <w:tcPr>
            <w:tcW w:w="589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0"/>
              </w:rPr>
            </w:pPr>
            <w:r>
              <w:rPr>
                <w:sz w:val="20"/>
              </w:rPr>
              <w:t>Пероральная полиовакцина 1 (2 года)</w:t>
            </w:r>
          </w:p>
        </w:tc>
        <w:tc>
          <w:tcPr>
            <w:tcW w:w="124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101</w:t>
            </w:r>
          </w:p>
        </w:tc>
        <w:tc>
          <w:tcPr>
            <w:tcW w:w="124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94</w:t>
            </w:r>
          </w:p>
        </w:tc>
        <w:tc>
          <w:tcPr>
            <w:tcW w:w="124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94</w:t>
            </w:r>
          </w:p>
        </w:tc>
      </w:tr>
      <w:tr w:rsidR="00000000">
        <w:tblPrEx>
          <w:tblCellMar>
            <w:top w:w="0" w:type="dxa"/>
            <w:bottom w:w="0" w:type="dxa"/>
          </w:tblCellMar>
        </w:tblPrEx>
        <w:trPr>
          <w:jc w:val="center"/>
        </w:trPr>
        <w:tc>
          <w:tcPr>
            <w:tcW w:w="589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0"/>
              </w:rPr>
            </w:pPr>
            <w:r>
              <w:rPr>
                <w:sz w:val="20"/>
              </w:rPr>
              <w:t>Пероральная полиовакцина 2 (3 года)</w:t>
            </w:r>
          </w:p>
        </w:tc>
        <w:tc>
          <w:tcPr>
            <w:tcW w:w="124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93</w:t>
            </w:r>
          </w:p>
        </w:tc>
        <w:tc>
          <w:tcPr>
            <w:tcW w:w="124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93</w:t>
            </w:r>
          </w:p>
        </w:tc>
        <w:tc>
          <w:tcPr>
            <w:tcW w:w="124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90</w:t>
            </w:r>
          </w:p>
        </w:tc>
      </w:tr>
      <w:tr w:rsidR="00000000">
        <w:tblPrEx>
          <w:tblCellMar>
            <w:top w:w="0" w:type="dxa"/>
            <w:bottom w:w="0" w:type="dxa"/>
          </w:tblCellMar>
        </w:tblPrEx>
        <w:trPr>
          <w:jc w:val="center"/>
        </w:trPr>
        <w:tc>
          <w:tcPr>
            <w:tcW w:w="589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0"/>
              </w:rPr>
            </w:pPr>
            <w:r>
              <w:rPr>
                <w:sz w:val="20"/>
              </w:rPr>
              <w:t>Пероральная полиовакцина 3 (4 года)</w:t>
            </w:r>
          </w:p>
        </w:tc>
        <w:tc>
          <w:tcPr>
            <w:tcW w:w="124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95</w:t>
            </w:r>
          </w:p>
        </w:tc>
        <w:tc>
          <w:tcPr>
            <w:tcW w:w="124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92</w:t>
            </w:r>
          </w:p>
        </w:tc>
        <w:tc>
          <w:tcPr>
            <w:tcW w:w="124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88</w:t>
            </w:r>
          </w:p>
        </w:tc>
      </w:tr>
      <w:tr w:rsidR="00000000">
        <w:tblPrEx>
          <w:tblCellMar>
            <w:top w:w="0" w:type="dxa"/>
            <w:bottom w:w="0" w:type="dxa"/>
          </w:tblCellMar>
        </w:tblPrEx>
        <w:trPr>
          <w:jc w:val="center"/>
        </w:trPr>
        <w:tc>
          <w:tcPr>
            <w:tcW w:w="589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0"/>
              </w:rPr>
            </w:pPr>
            <w:r>
              <w:rPr>
                <w:sz w:val="20"/>
              </w:rPr>
              <w:t>Дифтерийно-столбнячная ревакцинация (5 лет)</w:t>
            </w:r>
          </w:p>
        </w:tc>
        <w:tc>
          <w:tcPr>
            <w:tcW w:w="124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w:t>
            </w:r>
          </w:p>
        </w:tc>
        <w:tc>
          <w:tcPr>
            <w:tcW w:w="124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87</w:t>
            </w:r>
          </w:p>
        </w:tc>
        <w:tc>
          <w:tcPr>
            <w:tcW w:w="124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83</w:t>
            </w:r>
          </w:p>
        </w:tc>
      </w:tr>
      <w:tr w:rsidR="00000000">
        <w:tblPrEx>
          <w:tblCellMar>
            <w:top w:w="0" w:type="dxa"/>
            <w:bottom w:w="0" w:type="dxa"/>
          </w:tblCellMar>
        </w:tblPrEx>
        <w:trPr>
          <w:jc w:val="center"/>
        </w:trPr>
        <w:tc>
          <w:tcPr>
            <w:tcW w:w="589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0"/>
              </w:rPr>
            </w:pPr>
            <w:r>
              <w:rPr>
                <w:sz w:val="20"/>
              </w:rPr>
              <w:t>Корь, эпидемический паротит, краснуха 1 (15 месяцев)</w:t>
            </w:r>
          </w:p>
        </w:tc>
        <w:tc>
          <w:tcPr>
            <w:tcW w:w="124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88</w:t>
            </w:r>
          </w:p>
        </w:tc>
        <w:tc>
          <w:tcPr>
            <w:tcW w:w="124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85</w:t>
            </w:r>
          </w:p>
        </w:tc>
        <w:tc>
          <w:tcPr>
            <w:tcW w:w="1247" w:type="dxa"/>
            <w:tcBorders>
              <w:top w:val="nil"/>
              <w:left w:val="single" w:sz="4" w:space="0" w:color="auto"/>
              <w:bottom w:val="nil"/>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92</w:t>
            </w:r>
          </w:p>
        </w:tc>
      </w:tr>
      <w:tr w:rsidR="00000000">
        <w:tblPrEx>
          <w:tblCellMar>
            <w:top w:w="0" w:type="dxa"/>
            <w:bottom w:w="0" w:type="dxa"/>
          </w:tblCellMar>
        </w:tblPrEx>
        <w:trPr>
          <w:jc w:val="center"/>
        </w:trPr>
        <w:tc>
          <w:tcPr>
            <w:tcW w:w="5897" w:type="dxa"/>
            <w:tcBorders>
              <w:top w:val="nil"/>
              <w:left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0"/>
              </w:rPr>
            </w:pPr>
            <w:r>
              <w:rPr>
                <w:sz w:val="20"/>
              </w:rPr>
              <w:t>Корь, эпидемический паротит, краснуха 2 (12 лет)</w:t>
            </w:r>
          </w:p>
        </w:tc>
        <w:tc>
          <w:tcPr>
            <w:tcW w:w="1247" w:type="dxa"/>
            <w:tcBorders>
              <w:top w:val="nil"/>
              <w:left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78</w:t>
            </w:r>
          </w:p>
        </w:tc>
        <w:tc>
          <w:tcPr>
            <w:tcW w:w="1247" w:type="dxa"/>
            <w:tcBorders>
              <w:top w:val="nil"/>
              <w:left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91</w:t>
            </w:r>
          </w:p>
        </w:tc>
        <w:tc>
          <w:tcPr>
            <w:tcW w:w="1247" w:type="dxa"/>
            <w:tcBorders>
              <w:top w:val="nil"/>
              <w:left w:val="single" w:sz="4" w:space="0" w:color="auto"/>
              <w:right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sz w:val="20"/>
              </w:rPr>
            </w:pPr>
            <w:r>
              <w:rPr>
                <w:sz w:val="20"/>
              </w:rPr>
              <w:t>87</w:t>
            </w:r>
          </w:p>
        </w:tc>
      </w:tr>
    </w:tbl>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Heading1"/>
        <w:tabs>
          <w:tab w:val="clear" w:pos="567"/>
          <w:tab w:val="clear" w:pos="1701"/>
          <w:tab w:val="clear" w:pos="2268"/>
          <w:tab w:val="clear" w:pos="6237"/>
          <w:tab w:val="left" w:pos="680"/>
          <w:tab w:val="left" w:pos="1134"/>
        </w:tabs>
        <w:spacing w:before="120" w:line="240" w:lineRule="auto"/>
        <w:rPr>
          <w:bCs/>
          <w:sz w:val="23"/>
        </w:rPr>
      </w:pPr>
      <w:r>
        <w:rPr>
          <w:bCs/>
          <w:sz w:val="23"/>
        </w:rPr>
        <w:t>Пункт 50 e) руководящих принципов: Средняя продолжительность жизни</w:t>
      </w:r>
    </w:p>
    <w:p w:rsidR="00000000" w:rsidRDefault="00000000">
      <w:pPr>
        <w:pStyle w:val="Heading1"/>
        <w:tabs>
          <w:tab w:val="clear" w:pos="567"/>
          <w:tab w:val="clear" w:pos="1701"/>
          <w:tab w:val="clear" w:pos="2268"/>
          <w:tab w:val="clear" w:pos="6237"/>
          <w:tab w:val="left" w:pos="680"/>
          <w:tab w:val="left" w:pos="1134"/>
        </w:tabs>
        <w:spacing w:line="240" w:lineRule="auto"/>
        <w:rPr>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378.</w:t>
      </w:r>
      <w:r>
        <w:rPr>
          <w:sz w:val="23"/>
        </w:rPr>
        <w:tab/>
        <w:t>Средняя продолжительность жизни в Дании несколько возросла за период с 1980 по 1995 год по сравнению с другими странами ЕС. Средняя продолжительность жизни увеличилась на 0,7 года для женщин и на 1,4 года – для мужчин. Однако начиная с 1995 года в Дании наблюдалось значительное увеличение средней продолжительности жизни по сравнению с другими странами ЕС. Таким образом, средняя продолжительность жизни женщин в Дании в 1999 году возросла на один год – до 78,8 лет. Для мужчин в 1999 году прирост составил 1,4 года, их средняя продолжительность жизни увеличилась до 74 лет. Таким образом, рост средней продолжительности жизни с 1995 по 1999 год оставался неизменным или превысил прирост, наблюдавшийся в предыдущие 15 лет.</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br w:type="page"/>
        <w:t>379.</w:t>
      </w:r>
      <w:r>
        <w:rPr>
          <w:sz w:val="23"/>
        </w:rPr>
        <w:tab/>
        <w:t>В отношении средней продолжительности жизни не наблюдается каких-либо явных различий между сельскими и городскими районами. Различия скорее можно обнаружить в различных городских районах, обладающих различными социально-экономическими характеристиками, такими, как образ жизни, условия жизни, доход и занятость. Так, в период 1983–1999 годов было проведено комплексное исследование средней продолжительности жизни в 15 районах датской столицы (Копенгагена), которое позволило установить, что средняя продолжительность жизни различается на 6–7 лет в зависимости от района. Аналогичная тенденция наблюдается и в сельских районах.</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303" w:name="_Toc51496939"/>
      <w:bookmarkStart w:id="304" w:name="_Toc51497106"/>
      <w:bookmarkStart w:id="305" w:name="_Toc51497631"/>
      <w:r>
        <w:t>Пункт 50 f) руководящих принципов: Доступ к медицинскому обслуживанию общего профиля в пределах часа ходьбы или езды от медицинского учреждения</w:t>
      </w:r>
      <w:bookmarkEnd w:id="303"/>
      <w:bookmarkEnd w:id="304"/>
      <w:bookmarkEnd w:id="305"/>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380.</w:t>
      </w:r>
      <w:r>
        <w:rPr>
          <w:sz w:val="23"/>
        </w:rPr>
        <w:tab/>
        <w:t>Согласно оценкам, 99,9% населения имеют возможность пользоваться услугами квалифицированного медицинского персонала для лечения широко распространенных заболеваний и травм в пределах часа ходьбы или езды от медицинского учреждения. Такие медицинские центры регулярно снабжаются 20 основными лекарственными средствами.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306" w:name="_Toc51496940"/>
      <w:bookmarkStart w:id="307" w:name="_Toc51497107"/>
      <w:bookmarkStart w:id="308" w:name="_Toc51497632"/>
      <w:r>
        <w:t>Пункт 50 g) руководящих принципов: Доля беременных женщин, имеющих возможность пользоваться услугами квалифицированного медицинского персонала</w:t>
      </w:r>
      <w:bookmarkEnd w:id="306"/>
      <w:bookmarkEnd w:id="307"/>
      <w:bookmarkEnd w:id="308"/>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381.</w:t>
      </w:r>
      <w:r>
        <w:rPr>
          <w:sz w:val="23"/>
        </w:rPr>
        <w:tab/>
        <w:t xml:space="preserve">Доля беременных женщин, имеющих возможность пользоваться услугами квалифицированного медицинского персонала во время беременности, составляет, по оценкам, 99,9%, а доля беременных женщин, пользующихся услугами квалифицированного медицинского персонала во время родов, также, согласно оценкам, составляет 99,9%. В 1996 году уровень материнской смертности составлял 7,39 на 100 000 женщин.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309" w:name="_Toc51496941"/>
      <w:bookmarkStart w:id="310" w:name="_Toc51497108"/>
      <w:bookmarkStart w:id="311" w:name="_Toc51497633"/>
      <w:r>
        <w:t>Пункт 50 h) руководящих принципов: Доступ детей к услугам квалифицированного медицинского персонала</w:t>
      </w:r>
      <w:bookmarkEnd w:id="309"/>
      <w:bookmarkEnd w:id="310"/>
      <w:bookmarkEnd w:id="311"/>
    </w:p>
    <w:p w:rsidR="00000000" w:rsidRDefault="00000000">
      <w:pPr>
        <w:pStyle w:val="BodyText"/>
        <w:tabs>
          <w:tab w:val="clear" w:pos="567"/>
          <w:tab w:val="clear" w:pos="1701"/>
          <w:tab w:val="clear" w:pos="2268"/>
          <w:tab w:val="clear" w:pos="6237"/>
          <w:tab w:val="left" w:pos="680"/>
          <w:tab w:val="left" w:pos="1134"/>
        </w:tabs>
        <w:spacing w:before="0"/>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382.</w:t>
      </w:r>
      <w:r>
        <w:rPr>
          <w:sz w:val="23"/>
        </w:rPr>
        <w:tab/>
        <w:t xml:space="preserve">Доля детей, имеющих возможность пользоваться услугами квалифицированного медицинского персонала, по оценкам, составляет 99,9%.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383.</w:t>
      </w:r>
      <w:r>
        <w:rPr>
          <w:sz w:val="23"/>
        </w:rPr>
        <w:tab/>
        <w:t xml:space="preserve">Статистические данные с разбивкой по сельским/городским районам и по социально-экономическим группам в отношении показателей, упомянутых в подпунктах f)–h) пункта 50, отсутствуют.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312" w:name="_Toc51496942"/>
      <w:bookmarkStart w:id="313" w:name="_Toc51497109"/>
      <w:bookmarkStart w:id="314" w:name="_Toc51497634"/>
      <w:r>
        <w:t>Пункт 51 руководящих принципов: Различия в состоянии здоровья различных групп населения</w:t>
      </w:r>
      <w:bookmarkEnd w:id="312"/>
      <w:bookmarkEnd w:id="313"/>
      <w:bookmarkEnd w:id="314"/>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384.</w:t>
      </w:r>
      <w:r>
        <w:rPr>
          <w:sz w:val="23"/>
        </w:rPr>
        <w:tab/>
        <w:t>Состояние здоровья различных групп населения Дании кратко описано выше в связи с информацией относительно ожидаемой продолжительности жизни, уровня младенческой смертности и самостоятельной оценки состояния своего здоровья. Ниже приводится дополнительная важная информация о состоянии здоровья, например, общий уровень смертности и ожидаемое количество лет без болезней. Данные обзоров свидетельствуют о том, что состояние здоровья групп населения, находящихся в неблагоприятном положении, хуже, чем среди населения в целом.</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385.</w:t>
      </w:r>
      <w:r>
        <w:rPr>
          <w:sz w:val="23"/>
        </w:rPr>
        <w:tab/>
        <w:t xml:space="preserve">Большая доля курильщиков является основной причиной относительно высокого уровня смертности и, следовательно, низкой ожидаемой продолжительности жизни. Доля курящих женщин значительно превышает их количество в большинстве других стран ЕС. Распространенность рака легких среди женщин в Дании является самой высокой в Европе и более чем вдвое превышает средний показатель по странам ЕС. Другой основной причиной смертности являются сердечно-сосудистые болезни, возникающие в результате нездорового образа жизни, связанного с курением, чрезмерным потреблением спиртных напитков и слишком ограниченной физической нагрузкой.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386.</w:t>
      </w:r>
      <w:r>
        <w:rPr>
          <w:sz w:val="23"/>
        </w:rPr>
        <w:tab/>
        <w:t>Уровень смертности от рака легких и сердечно-сосудистных болезней наиболее высок среди категорий неквалифицированных трудящихся и безработных, проживающих в плохих жилищных условиях. Среди низших социальных групп особо распространенным является нездоровый образ жизни, и для них также характерны наиболее неблагоприятные условия жизни и труда.</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387.</w:t>
      </w:r>
      <w:r>
        <w:rPr>
          <w:sz w:val="23"/>
        </w:rPr>
        <w:tab/>
        <w:t>Комплексное национальное исследование уровней смертности и более низкой ожидаемой продолжительности жизни в период 1987–1998 годов позволило установить, что среди датчан, не имеющих профессиональной подготовки, уровень смертности был почти на 80% выше, чем среди датчан с высшим образованием. Даже если не учитывать нездоровый образ жизни, связанный с курением, употреблением спиртных напитков и недостаточностью упражнений, то среди датчан, не имеющих профессиональной подготовки, по-прежнему наблюдается более высокий риск смертности, немного превышающий 50%, по сравнению с датчанами, имеющими высшее образование. Более высокий риск смертности объясняется менее благоприятными условиями жизни, более нездоровыми условиями труда и в особенности значительно более высокой смертностью среди постоянно неработающих лиц.</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388.</w:t>
      </w:r>
      <w:r>
        <w:rPr>
          <w:sz w:val="23"/>
        </w:rPr>
        <w:tab/>
        <w:t>Обследования, касающиеся ожидаемых лет жизни без хронических заболеваний, свидетельствуют об аналогичной структуре, однако дают информацию скорее о профессиональном, чем об образовательном статусе. В период с 1986 по 1991 год было проведено комплексное обследование структуры заболеваемости датчан в возрасте от 30 до 64 лет. Среди женщин из управленческого звена канцелярский персонал, занимающий руководящие должности, может рассчитывать на то, что у него не возникнет хронических заболеваний на протяжении 83% срока его трудовой деятельности. Женщины-служащие, получающие жалованье, женщины, выполняющие инженерно-технические функции, работающие не по найму и неквалифицированные работники, могут рассчитывать на то, что у них не будет хронических заболеваний на протяжении от 72 до 74% срока их трудовой деятельности. Безработные женщины не будут подвергаться опасности хронических заболеваний только в течение 45% времени между 30 и 64 годами жизни.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389.</w:t>
      </w:r>
      <w:r>
        <w:rPr>
          <w:sz w:val="23"/>
        </w:rPr>
        <w:tab/>
        <w:t xml:space="preserve">Что касается мужчин, то вышеописанные социально-экономические тенденции являются более ярко выраженными. Мужчины, занимающие руководящие должности, могут рассчитывать на отсутствие хронических заболеваний в течение 76% срока их трудовой деятельности. Этот показатель для служащих и инженерно-технических работников составляет от 72 до 74%. Квалифицированные и неквалифицированные рабочие могут рассчитывать на отсутствие хронических заболеваний в течение 62% срока их трудовой деятельности, в то время как для безработных этот показатель составляет всего 30%. Таким образом, количество лет, прожитых при наличии или отсутствии хронических заболеваний, значительно варьируется в зависимости от социально-экономической группы, и в каждой социально-экономической группе женщины, как правило, обладают хорошим здоровьем на протяжении более длительного времени, чем их коллеги-мужчины.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315" w:name="_Toc51496943"/>
      <w:bookmarkStart w:id="316" w:name="_Toc51497110"/>
      <w:bookmarkStart w:id="317" w:name="_Toc51497635"/>
      <w:r>
        <w:t>Пункт 51 а) руководящих принципов: Изменения в национальной политике за отчетный период</w:t>
      </w:r>
      <w:bookmarkEnd w:id="315"/>
      <w:bookmarkEnd w:id="316"/>
      <w:bookmarkEnd w:id="317"/>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390.</w:t>
      </w:r>
      <w:r>
        <w:rPr>
          <w:sz w:val="23"/>
        </w:rPr>
        <w:tab/>
        <w:t>Как уже упоминалось в пункте 48 выше, в 1999 году правительством Дании была принята десятилетняя программа действий в области общественного здравоохранения и укрепления здоровья. Программа состоит из 17 задач, распределенных по группам, которые сосредоточены на факторах риска, возрастных группах, структуре и способствующей укреплению здоровья среде. Общая задача состоит в повышении ожидаемой продолжительности жизни и качества жизни с учетом обеспечения равенства в отношении здоровья. В связи с обеспечением равенства в отношении здоровья основную озабоченность вызывают следующие факторы риска: курение, злоупотребление алкоголем, несбалансированное питание и недостаточность физических упражнений. В Дании женщины живут приблизительно на пять лет дольше, чем мужчины. Наиболее низкая ожидаемая продолжительность жизни в Дании как для мужчин, так и для женщин, отмечается в Копенгагене. Оценка эффективности программы еще не проводилась.</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318" w:name="_Toc51496944"/>
      <w:bookmarkStart w:id="319" w:name="_Toc51497111"/>
      <w:bookmarkStart w:id="320" w:name="_Toc51497636"/>
      <w:r>
        <w:t>Пункт 51 b) руководящих принципов: Правительственные меры, необходимые для укрепления физического и психического здоровья уязвимых групп населения</w:t>
      </w:r>
      <w:bookmarkEnd w:id="318"/>
      <w:bookmarkEnd w:id="319"/>
      <w:bookmarkEnd w:id="320"/>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391.</w:t>
      </w:r>
      <w:r>
        <w:rPr>
          <w:sz w:val="23"/>
        </w:rPr>
        <w:tab/>
        <w:t>При определении необходимых мер в области охраны здоровья населения правительство учитывает такие вопросы, как ожидаемая продолжительность жизни, годы жизни, скорректированные на качество (КВАЛИ), физические функциональные способности, психические функциональные способности, заболеваемость, смертность, курение, чрезмерное потребление алкоголя, пищевые привычки, склонность к физическим упражнениям, индекс массы тела (ИМТ), количество смертей в результате дорожно-транспортных происшествий, образование, возраст и связь с рынком труда.</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321" w:name="_Toc51496945"/>
      <w:bookmarkStart w:id="322" w:name="_Toc51497112"/>
      <w:bookmarkStart w:id="323" w:name="_Toc51497637"/>
      <w:r>
        <w:t>Пункт 51 с) руководящих принципов: Правительственные меры по максимальному использованию имеющихся ресурсов</w:t>
      </w:r>
      <w:bookmarkEnd w:id="321"/>
      <w:bookmarkEnd w:id="322"/>
      <w:bookmarkEnd w:id="323"/>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392.</w:t>
      </w:r>
      <w:r>
        <w:rPr>
          <w:sz w:val="23"/>
        </w:rPr>
        <w:tab/>
        <w:t>Оценка правительственных программ, направленных на максимальное использование имеющихся ресурсов в целях укрепления физического и психического здоровья уязвимых групп населения, будет проведена прежде всего на макроэкономическом уровне. В ходе этой оценки будут проанализированы показатели, упомянутые выше, в ответе на пункт 51 b) руководящих принципов. Кроме того, предметом изучения станет осведомленность населения в отношении информации, содержащейся в каждом разделе программ.</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324" w:name="_Toc51496946"/>
      <w:bookmarkStart w:id="325" w:name="_Toc51497113"/>
      <w:bookmarkStart w:id="326" w:name="_Toc51497638"/>
      <w:r>
        <w:t>Пункт 51 d) руководящих принципов: Оценка эффективности программы правительства в области здравоохранения</w:t>
      </w:r>
      <w:bookmarkEnd w:id="324"/>
      <w:bookmarkEnd w:id="325"/>
      <w:bookmarkEnd w:id="326"/>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393.</w:t>
      </w:r>
      <w:r>
        <w:rPr>
          <w:sz w:val="23"/>
        </w:rPr>
        <w:tab/>
        <w:t xml:space="preserve">На момент составления доклада оценка эффективности программы датского правительства в области здравоохранения и укрепления здоровья еще не была завершена.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327" w:name="_Toc51496947"/>
      <w:bookmarkStart w:id="328" w:name="_Toc51497114"/>
      <w:bookmarkStart w:id="329" w:name="_Toc51497639"/>
      <w:r>
        <w:t>Пункт 51 е) руководящих принципов: Принятые правительством меры по сокращению мертворождаемости и младенческой смертности</w:t>
      </w:r>
      <w:bookmarkEnd w:id="327"/>
      <w:bookmarkEnd w:id="328"/>
      <w:bookmarkEnd w:id="329"/>
    </w:p>
    <w:p w:rsidR="00000000" w:rsidRDefault="00000000">
      <w:pPr>
        <w:pStyle w:val="BodyText"/>
        <w:tabs>
          <w:tab w:val="clear" w:pos="567"/>
          <w:tab w:val="clear" w:pos="1701"/>
          <w:tab w:val="clear" w:pos="2268"/>
          <w:tab w:val="clear" w:pos="6237"/>
          <w:tab w:val="left" w:pos="680"/>
          <w:tab w:val="left" w:pos="1134"/>
        </w:tabs>
        <w:spacing w:before="0"/>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394.</w:t>
      </w:r>
      <w:r>
        <w:rPr>
          <w:sz w:val="23"/>
        </w:rPr>
        <w:tab/>
        <w:t>Были предприняты инициативы в области предупреждения наркомании и алкоголизма, а также психосоциальных проблем среди беременных женщин в целях сокращения уровня мертворождаемости и младенческой смертности наряду с инициативами по обеспечению здорового развития ребенка.</w:t>
      </w:r>
    </w:p>
    <w:p w:rsidR="00000000" w:rsidRDefault="00000000">
      <w:pPr>
        <w:pStyle w:val="a0"/>
      </w:pPr>
      <w:bookmarkStart w:id="330" w:name="_Toc51496948"/>
      <w:bookmarkStart w:id="331" w:name="_Toc51497115"/>
      <w:bookmarkStart w:id="332" w:name="_Toc51497640"/>
      <w:r>
        <w:t xml:space="preserve">Пункт 50 </w:t>
      </w:r>
      <w:r>
        <w:rPr>
          <w:lang w:val="en-US"/>
        </w:rPr>
        <w:t>f</w:t>
      </w:r>
      <w:r>
        <w:t>)–</w:t>
      </w:r>
      <w:r>
        <w:rPr>
          <w:lang w:val="en-US"/>
        </w:rPr>
        <w:t>h</w:t>
      </w:r>
      <w:r>
        <w:t>) руководящих принципов: Принимаемые правительством меры в целях лечения эпидемических болезней</w:t>
      </w:r>
      <w:bookmarkEnd w:id="330"/>
      <w:bookmarkEnd w:id="331"/>
      <w:bookmarkEnd w:id="332"/>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395.</w:t>
      </w:r>
      <w:r>
        <w:rPr>
          <w:sz w:val="23"/>
        </w:rPr>
        <w:tab/>
        <w:t>Наряду с принятием правительственной программы в области здравоохранения и укрепления здоровья более значительное внимание уделяется профилактике эпидемических болезней. Лечение эпидемических, эндемических и профессиональных болезней осуществляется больницами и врачами общей практики.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333" w:name="_Toc51496949"/>
      <w:bookmarkStart w:id="334" w:name="_Toc51497116"/>
      <w:bookmarkStart w:id="335" w:name="_Toc51497641"/>
      <w:r>
        <w:t xml:space="preserve">Пункт 51 </w:t>
      </w:r>
      <w:r>
        <w:rPr>
          <w:lang w:val="en-US"/>
        </w:rPr>
        <w:t>i</w:t>
      </w:r>
      <w:r>
        <w:t>) руководящих принципов: Эффективность принимаемых правительством мер в области охраны здоровья уязвимых групп населения</w:t>
      </w:r>
      <w:bookmarkEnd w:id="333"/>
      <w:bookmarkEnd w:id="334"/>
      <w:bookmarkEnd w:id="335"/>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396.</w:t>
      </w:r>
      <w:r>
        <w:rPr>
          <w:sz w:val="23"/>
        </w:rPr>
        <w:tab/>
        <w:t>На момент завершения работы над докладом оценка программы датского правительства в области здравоохранения и укрепления здоровья еще не была завершена.</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336" w:name="_Toc51496950"/>
      <w:bookmarkStart w:id="337" w:name="_Toc51497117"/>
      <w:bookmarkStart w:id="338" w:name="_Toc51497642"/>
      <w:r>
        <w:t>Пункт 52 руководящих принципов: Охрана здоровья лиц пожилого возраста</w:t>
      </w:r>
      <w:bookmarkEnd w:id="336"/>
      <w:bookmarkEnd w:id="337"/>
      <w:bookmarkEnd w:id="338"/>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397.</w:t>
      </w:r>
      <w:r>
        <w:rPr>
          <w:sz w:val="23"/>
        </w:rPr>
        <w:tab/>
        <w:t>1 марта 2001 года вступили в силу положения, касающиеся выплаты медицинского пособия. Медицинское пособие подразумевает введение четких норм в отношении компенсации расходов пенсионеров на лекарства, стоматологическое лечение, физиотерапию, хиропрактические манипуляции, хироподию и психологическую помощь. Медицинское пособие покрывает 85% расходов пенсионеров на вышеупомянутые цели. Для получения медицинского пособия необходимо, чтобы общий текущий доход пенсионера и его супруги или совместно проживающего с ним лица не превышал 50 100 датских крон и чтобы годовой доход ниже размеров социальной пенсии не превышал 47 900 датских крон для одиноких лиц и 92 200 датских крон для семейных пар/совместно проживающих лиц.</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339" w:name="_Toc51496951"/>
      <w:bookmarkStart w:id="340" w:name="_Toc51497118"/>
      <w:bookmarkStart w:id="341" w:name="_Toc51497643"/>
      <w:r>
        <w:t>Пункт 53 руководящих принципов: Участие общественности в организации медико-санитарной помощи</w:t>
      </w:r>
      <w:bookmarkEnd w:id="339"/>
      <w:bookmarkEnd w:id="340"/>
      <w:bookmarkEnd w:id="341"/>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398.</w:t>
      </w:r>
      <w:r>
        <w:rPr>
          <w:sz w:val="23"/>
        </w:rPr>
        <w:tab/>
        <w:t>По данному вопросу см. информацию, представленную по пункту 48 руководящих принципов в отношении национальной политики Дании в области здравоохранения.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342" w:name="_Toc51496952"/>
      <w:bookmarkStart w:id="343" w:name="_Toc51497119"/>
      <w:bookmarkStart w:id="344" w:name="_Toc51497644"/>
      <w:r>
        <w:t>Пункт 54 руководящих принципов: Общая политика Дании в отношении информационных кампаний</w:t>
      </w:r>
      <w:bookmarkEnd w:id="342"/>
      <w:bookmarkEnd w:id="343"/>
      <w:bookmarkEnd w:id="344"/>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399.</w:t>
      </w:r>
      <w:r>
        <w:rPr>
          <w:sz w:val="23"/>
        </w:rPr>
        <w:tab/>
        <w:t>Две из 17 задач проводимой датским правительством программы в области общественного здравоохранения и укрепления здоровья на 1999–2008 годы, информация о которой была представлена по пункту 48, выше, посвящены медико-санитарному просвещению: задача 11, касающаяся начального образования, и задача 17, касающаяся просвещения и подготовки медицинских работников. В задаче 17 раскрывается суть медико-санитарного просвещения, включая подготовку учителей, и на уровне высшего образования – подготовку медицинских работников, включая врачей.</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400.</w:t>
      </w:r>
      <w:r>
        <w:rPr>
          <w:sz w:val="23"/>
        </w:rPr>
        <w:tab/>
        <w:t xml:space="preserve">На момент завершения работы над докладом оценка программы датского правительства в области здравоохранения и укрепления здоровья еще не была завершена.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401.</w:t>
      </w:r>
      <w:r>
        <w:rPr>
          <w:sz w:val="23"/>
        </w:rPr>
        <w:tab/>
        <w:t>Дания использует опыт других стран в области развития их систем здравоохранения. Кроме того, Дания применяет опыт, накопленный другими странами в области профилактики болезней и укрепления здоровья, а также опыт Европейского союза и Всемирной организации здравоохранения, с которыми министерство здравоохранения Дании обсуждает программу датского правительства в области общественного здравоохранения и укрепления здоровья.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345" w:name="_Toc51496953"/>
      <w:bookmarkStart w:id="346" w:name="_Toc51497120"/>
      <w:bookmarkStart w:id="347" w:name="_Toc51497645"/>
      <w:r>
        <w:t>Пункт 55 руководящих принципов: Международная помощь</w:t>
      </w:r>
      <w:bookmarkEnd w:id="345"/>
      <w:bookmarkEnd w:id="346"/>
      <w:bookmarkEnd w:id="347"/>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402.</w:t>
      </w:r>
      <w:r>
        <w:rPr>
          <w:sz w:val="23"/>
        </w:rPr>
        <w:tab/>
        <w:t>Дания не получает международной помощи.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
      </w:pPr>
      <w:bookmarkStart w:id="348" w:name="_Toc51496954"/>
      <w:bookmarkStart w:id="349" w:name="_Toc51497121"/>
      <w:bookmarkStart w:id="350" w:name="_Toc51497646"/>
      <w:r>
        <w:t>Статья 13</w:t>
      </w:r>
      <w:bookmarkEnd w:id="348"/>
      <w:bookmarkEnd w:id="349"/>
      <w:bookmarkEnd w:id="350"/>
    </w:p>
    <w:p w:rsidR="00000000" w:rsidRDefault="00000000">
      <w:pPr>
        <w:pStyle w:val="a"/>
      </w:pPr>
    </w:p>
    <w:p w:rsidR="00000000" w:rsidRDefault="00000000">
      <w:pPr>
        <w:pStyle w:val="a"/>
      </w:pPr>
      <w:bookmarkStart w:id="351" w:name="_Toc51496955"/>
      <w:bookmarkStart w:id="352" w:name="_Toc51497122"/>
      <w:bookmarkStart w:id="353" w:name="_Toc51497647"/>
      <w:r>
        <w:t>Право на образование</w:t>
      </w:r>
      <w:bookmarkEnd w:id="351"/>
      <w:bookmarkEnd w:id="352"/>
      <w:bookmarkEnd w:id="353"/>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pStyle w:val="a0"/>
      </w:pPr>
      <w:bookmarkStart w:id="354" w:name="_Toc51496956"/>
      <w:bookmarkStart w:id="355" w:name="_Toc51497123"/>
      <w:bookmarkStart w:id="356" w:name="_Toc51497648"/>
      <w:r>
        <w:t>Пункт 56 а) руководящих принципов: Всеобщее начальное образование</w:t>
      </w:r>
      <w:bookmarkEnd w:id="354"/>
      <w:bookmarkEnd w:id="355"/>
      <w:bookmarkEnd w:id="356"/>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403.</w:t>
      </w:r>
      <w:r>
        <w:rPr>
          <w:sz w:val="23"/>
        </w:rPr>
        <w:tab/>
        <w:t>В Дании обязательным является образование, а не посещение учебных заведений. Обязательное образование означает обязательное участие в учебном процессе, который осуществляется народной школой (государственная начальная и средняя школа первой ступени), или в процессе обучения, содержание которого отвечает общим требованиям, предъявляемым в народной школе. Образование является обязательным для детей, как правило, в возрасте от 7 до 16 лет, т. е. предусматривает девятилетнее обязательное обучение. Кроме того, проводятся факультативные дошкольные занятия в течение одного года и факультативный десятый год школьного обучения. В третьем периодическом докладе сообщалось, что 96% детей посещают факультативные одногодичные дошкольные занятия и 60% – факультативный десятый год школьного обучения. В 1998–1999</w:t>
      </w:r>
      <w:r>
        <w:rPr>
          <w:sz w:val="23"/>
          <w:lang w:val="en-US"/>
        </w:rPr>
        <w:t> </w:t>
      </w:r>
      <w:r>
        <w:rPr>
          <w:sz w:val="23"/>
        </w:rPr>
        <w:t>учебном году соответствующие показатели составляли 99,4% и 68%.</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404.</w:t>
      </w:r>
      <w:r>
        <w:rPr>
          <w:sz w:val="23"/>
        </w:rPr>
        <w:tab/>
        <w:t>Лица, осуществляющие опеку над детьми школьного возраста, должны следить, чтобы дети следовали требованию об обязательном образовании, и не должны препятствовать этому. В обязанности директоров школ входит контроль за посещаемостью учеников. В классах ежедневно ведется журнал посещаемости, в котором отмечается отсутствие учеников на занятиях. В случае пропуска учеником занятий его родители обязаны лично или в письменной форме представить объяснение причины пропусков. Директор школы решает вопрос о мерах, которые должны приниматься в случае невыполнения требования об обязательном образовании.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405.</w:t>
      </w:r>
      <w:r>
        <w:rPr>
          <w:sz w:val="23"/>
        </w:rPr>
        <w:tab/>
        <w:t>Обучение в народной школе является бесплатным; учебники, школьные принадлежности и материалы также предоставляются бесплатно. В независимых частных школах, где обучается 11,87% учеников, около 85% расходов субсидируется государством.</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357" w:name="_Toc51496957"/>
      <w:bookmarkStart w:id="358" w:name="_Toc51497124"/>
      <w:bookmarkStart w:id="359" w:name="_Toc51497649"/>
      <w:r>
        <w:t>Пункт 56 </w:t>
      </w:r>
      <w:r>
        <w:rPr>
          <w:lang w:val="en-US"/>
        </w:rPr>
        <w:t>b</w:t>
      </w:r>
      <w:r>
        <w:t>) руководящих принципов: Среднее образование второй ступени</w:t>
      </w:r>
      <w:bookmarkEnd w:id="357"/>
      <w:bookmarkEnd w:id="358"/>
      <w:bookmarkEnd w:id="359"/>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406.</w:t>
      </w:r>
      <w:r>
        <w:rPr>
          <w:sz w:val="23"/>
        </w:rPr>
        <w:tab/>
        <w:t>Среднее образование второй ступени (для учащихся в возрасте 16–19 лет) включает профессиональную подготовку и является, как правило, общедоступным. Профессиональное среднее образование и подготовка второй ступени открыты для всех учащихся, завершивших цикл обязательного образования в соответствии с Законом о народной школе. Со времени представления третьего периодического доклада в приеме учащихся для обучения по общему или профессиональному профилю среднего образования второй ступени произошли изменения. Сегодня принимаются все учащиеся, если предыдущая школа не заявляет, что они не отвечают предъявляемым требованиям. Другие учащиеся могут получить доступ к этому обучению через приемные экзамены. Обучение в системе среднего образования является бесплатным.</w:t>
      </w:r>
    </w:p>
    <w:p w:rsidR="00000000" w:rsidRDefault="00000000">
      <w:pPr>
        <w:pStyle w:val="a0"/>
      </w:pPr>
      <w:bookmarkStart w:id="360" w:name="_Toc51496958"/>
      <w:bookmarkStart w:id="361" w:name="_Toc51497125"/>
      <w:bookmarkStart w:id="362" w:name="_Toc51497650"/>
      <w:r>
        <w:t>Пункт 56 с) руководящих принципов: Высшее образование</w:t>
      </w:r>
      <w:bookmarkEnd w:id="360"/>
      <w:bookmarkEnd w:id="361"/>
      <w:bookmarkEnd w:id="362"/>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407.</w:t>
      </w:r>
      <w:r>
        <w:rPr>
          <w:sz w:val="23"/>
        </w:rPr>
        <w:tab/>
        <w:t>Высшее образование является общедоступным для учащихся, сдавших выпускные экзамены в средней школе второй ступени. Плата за обучение не взимается, однако студенты должны сами покрывать расходы на учебные материалы. С этой целью им, в частности, предоставляются студенческие займы и ссуды.</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408.</w:t>
      </w:r>
      <w:r>
        <w:rPr>
          <w:sz w:val="23"/>
        </w:rPr>
        <w:tab/>
        <w:t>В 2000 году государственные расходы на высшее образование составляли 18,6 млрд. датских крон. Эта сумма включает в себя 7,5 млрд. датских крон, израсходованных на студенческие ссуды.</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b/>
          <w:bCs/>
          <w:sz w:val="23"/>
        </w:rPr>
      </w:pPr>
      <w:r>
        <w:rPr>
          <w:b/>
          <w:bCs/>
          <w:sz w:val="23"/>
        </w:rPr>
        <w:t>Высшее образование для взрослых</w:t>
      </w:r>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409.</w:t>
      </w:r>
      <w:r>
        <w:rPr>
          <w:sz w:val="23"/>
        </w:rPr>
        <w:tab/>
        <w:t>Со времени представления третьего периодического доклада парламент Дании принял ряд законопроектов, которые объединяют продолжение учебы и дальнейшее прохождение программ образования в единую последовательную и транспарентную систему образования для взрослых (май 2000 года). Одна из главных целей реформы состоит в обеспечении соответствующего образования для взрослых и предложении взрослым учащимся возможностей для продолжения подготовки на всех уровнях – от специальности рабочего низкой квалификации до выпускника университета.</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410.</w:t>
      </w:r>
      <w:r>
        <w:rPr>
          <w:sz w:val="23"/>
        </w:rPr>
        <w:tab/>
        <w:t>Для начала обучения на продвинутых курсах взрослые участники должны иметь соответствующий уровень образования и опыт работы по соответствующему профилю не менее двух лет. Поскольку учащемуся предоставляется возможность повышать свое образование и одновременно работать в дневное время, обучение в основном осуществляется во внерабочее время, т. е. по вечерам, выходным и т. д.</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411.</w:t>
      </w:r>
      <w:r>
        <w:rPr>
          <w:sz w:val="23"/>
        </w:rPr>
        <w:tab/>
        <w:t>Государственная поддержка для образования взрослых (ГПОВ) направлена на предоставление финансовой поддержки взрослым, проходящим курс продвинутого обучения по краткосрочной, среднесрочной или долгосрочной программе. За потерю заработка или возможности трудоустройства предоставляется специальная компенсационная надбавка.</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412.</w:t>
      </w:r>
      <w:r>
        <w:rPr>
          <w:sz w:val="23"/>
        </w:rPr>
        <w:tab/>
        <w:t>Что касается образования взрослых на продвинутом уровне, то в дополнение к государственному финансированию учащимся предоставляются специальные выплаты.</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363" w:name="_Toc51496959"/>
      <w:bookmarkStart w:id="364" w:name="_Toc51497126"/>
      <w:bookmarkStart w:id="365" w:name="_Toc51497651"/>
      <w:r>
        <w:t>Пункт 56 d) руководящих принципов: Базовое образование</w:t>
      </w:r>
      <w:bookmarkEnd w:id="363"/>
      <w:bookmarkEnd w:id="364"/>
      <w:bookmarkEnd w:id="365"/>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413.</w:t>
      </w:r>
      <w:r>
        <w:rPr>
          <w:sz w:val="23"/>
        </w:rPr>
        <w:tab/>
        <w:t>В принципе все дети, воспитываемые в Дании, проходят полный курс начального обучения, поскольку начальное и среднее образование первой ступени является обязательным и бесплатным. Вместе с тем в особых случаях администрация школы имеет право по просьбе родителей разрешить ученику частичное или полное прохождение программы обязательного образования параллельно с освоением учащимся какой-либо специальности для работы по найму. Однако такая схема может применяться лишь по окончании не менее 7 классов. Если ученик использует эту возможность и оставляет школу, то школьная администрация должна проконсультировать его относительно возможностей продолжения обучения. При желании ученик может возвратиться в школу. Ученики, покидающие начальную школу после 7 класса, получают соответствующее свидетельство.</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414.</w:t>
      </w:r>
      <w:r>
        <w:rPr>
          <w:sz w:val="23"/>
        </w:rPr>
        <w:tab/>
        <w:t>См. также информацию по пункту 60 руководящих принципов.</w:t>
      </w:r>
    </w:p>
    <w:p w:rsidR="00000000" w:rsidRDefault="00000000">
      <w:pPr>
        <w:pStyle w:val="a0"/>
        <w:spacing w:line="235" w:lineRule="auto"/>
      </w:pPr>
      <w:bookmarkStart w:id="366" w:name="_Toc51496960"/>
      <w:bookmarkStart w:id="367" w:name="_Toc51497127"/>
      <w:bookmarkStart w:id="368" w:name="_Toc51497652"/>
      <w:r>
        <w:t>Пункт 57 руководящих принципов: Трудности, цели и контрольные показатели</w:t>
      </w:r>
      <w:bookmarkEnd w:id="366"/>
      <w:bookmarkEnd w:id="367"/>
      <w:bookmarkEnd w:id="368"/>
    </w:p>
    <w:p w:rsidR="00000000" w:rsidRDefault="00000000">
      <w:pPr>
        <w:tabs>
          <w:tab w:val="clear" w:pos="567"/>
          <w:tab w:val="clear" w:pos="1701"/>
          <w:tab w:val="clear" w:pos="2268"/>
          <w:tab w:val="clear" w:pos="6237"/>
          <w:tab w:val="left" w:pos="680"/>
          <w:tab w:val="left" w:pos="1134"/>
        </w:tabs>
        <w:spacing w:line="235" w:lineRule="auto"/>
        <w:rPr>
          <w:b/>
          <w:bCs/>
          <w:sz w:val="23"/>
        </w:rPr>
      </w:pPr>
    </w:p>
    <w:p w:rsidR="00000000" w:rsidRDefault="00000000">
      <w:pPr>
        <w:tabs>
          <w:tab w:val="clear" w:pos="567"/>
          <w:tab w:val="clear" w:pos="1701"/>
          <w:tab w:val="clear" w:pos="2268"/>
          <w:tab w:val="clear" w:pos="6237"/>
          <w:tab w:val="left" w:pos="680"/>
          <w:tab w:val="left" w:pos="1134"/>
        </w:tabs>
        <w:spacing w:line="235" w:lineRule="auto"/>
        <w:rPr>
          <w:b/>
          <w:bCs/>
          <w:sz w:val="23"/>
        </w:rPr>
      </w:pPr>
      <w:r>
        <w:rPr>
          <w:b/>
          <w:bCs/>
          <w:sz w:val="23"/>
        </w:rPr>
        <w:t>Нехватка учителей</w:t>
      </w:r>
    </w:p>
    <w:p w:rsidR="00000000" w:rsidRDefault="00000000">
      <w:pPr>
        <w:tabs>
          <w:tab w:val="clear" w:pos="567"/>
          <w:tab w:val="clear" w:pos="1701"/>
          <w:tab w:val="clear" w:pos="2268"/>
          <w:tab w:val="clear" w:pos="6237"/>
          <w:tab w:val="left" w:pos="680"/>
          <w:tab w:val="left" w:pos="1134"/>
        </w:tabs>
        <w:spacing w:line="235" w:lineRule="auto"/>
        <w:rPr>
          <w:b/>
          <w:bCs/>
          <w:sz w:val="23"/>
        </w:rPr>
      </w:pPr>
    </w:p>
    <w:p w:rsidR="00000000" w:rsidRDefault="00000000">
      <w:pPr>
        <w:tabs>
          <w:tab w:val="clear" w:pos="567"/>
          <w:tab w:val="clear" w:pos="1701"/>
          <w:tab w:val="clear" w:pos="2268"/>
          <w:tab w:val="clear" w:pos="6237"/>
          <w:tab w:val="left" w:pos="680"/>
          <w:tab w:val="left" w:pos="1134"/>
        </w:tabs>
        <w:spacing w:line="235" w:lineRule="auto"/>
        <w:rPr>
          <w:sz w:val="23"/>
        </w:rPr>
      </w:pPr>
      <w:r>
        <w:rPr>
          <w:sz w:val="23"/>
        </w:rPr>
        <w:t>415.</w:t>
      </w:r>
      <w:r>
        <w:rPr>
          <w:sz w:val="23"/>
        </w:rPr>
        <w:tab/>
        <w:t>В ближайшем будущем Дания может столкнуться с нехваткой квалифицированных учителей начальной и средней школы. В настоящее время министерство образования осуществляет оценку ситуации в целях подготовки необходимых контрмер.</w:t>
      </w:r>
    </w:p>
    <w:p w:rsidR="00000000" w:rsidRDefault="00000000">
      <w:pPr>
        <w:tabs>
          <w:tab w:val="clear" w:pos="567"/>
          <w:tab w:val="clear" w:pos="1701"/>
          <w:tab w:val="clear" w:pos="2268"/>
          <w:tab w:val="clear" w:pos="6237"/>
          <w:tab w:val="left" w:pos="680"/>
          <w:tab w:val="left" w:pos="1134"/>
        </w:tabs>
        <w:spacing w:line="235" w:lineRule="auto"/>
        <w:rPr>
          <w:sz w:val="23"/>
        </w:rPr>
      </w:pPr>
    </w:p>
    <w:p w:rsidR="00000000" w:rsidRDefault="00000000">
      <w:pPr>
        <w:tabs>
          <w:tab w:val="clear" w:pos="567"/>
          <w:tab w:val="clear" w:pos="1701"/>
          <w:tab w:val="clear" w:pos="2268"/>
          <w:tab w:val="clear" w:pos="6237"/>
          <w:tab w:val="left" w:pos="680"/>
          <w:tab w:val="left" w:pos="1134"/>
        </w:tabs>
        <w:spacing w:line="235" w:lineRule="auto"/>
        <w:rPr>
          <w:b/>
          <w:bCs/>
          <w:sz w:val="23"/>
        </w:rPr>
      </w:pPr>
      <w:r>
        <w:rPr>
          <w:b/>
          <w:bCs/>
          <w:sz w:val="23"/>
        </w:rPr>
        <w:t>Переход к среднему образованию и проблема отсева учащихся</w:t>
      </w:r>
    </w:p>
    <w:p w:rsidR="00000000" w:rsidRDefault="00000000">
      <w:pPr>
        <w:tabs>
          <w:tab w:val="clear" w:pos="567"/>
          <w:tab w:val="clear" w:pos="1701"/>
          <w:tab w:val="clear" w:pos="2268"/>
          <w:tab w:val="clear" w:pos="6237"/>
          <w:tab w:val="left" w:pos="680"/>
          <w:tab w:val="left" w:pos="1134"/>
        </w:tabs>
        <w:spacing w:line="235" w:lineRule="auto"/>
        <w:rPr>
          <w:b/>
          <w:bCs/>
          <w:sz w:val="23"/>
        </w:rPr>
      </w:pPr>
    </w:p>
    <w:p w:rsidR="00000000" w:rsidRDefault="00000000">
      <w:pPr>
        <w:tabs>
          <w:tab w:val="clear" w:pos="567"/>
          <w:tab w:val="clear" w:pos="1701"/>
          <w:tab w:val="clear" w:pos="2268"/>
          <w:tab w:val="clear" w:pos="6237"/>
          <w:tab w:val="left" w:pos="680"/>
          <w:tab w:val="left" w:pos="1134"/>
        </w:tabs>
        <w:spacing w:line="235" w:lineRule="auto"/>
        <w:rPr>
          <w:sz w:val="23"/>
        </w:rPr>
      </w:pPr>
      <w:r>
        <w:rPr>
          <w:sz w:val="23"/>
        </w:rPr>
        <w:t>416.</w:t>
      </w:r>
      <w:r>
        <w:rPr>
          <w:sz w:val="23"/>
        </w:rPr>
        <w:tab/>
        <w:t xml:space="preserve">Правительство ясно отдает себе отчет о проблеме отсева. С 1993 года главная задача политики Дании в области образования – дать всем (т. е. 95%) молодым людям широкое молодежное образование после обязательного школьного обучения. Так называемая программа УТА (Образование и подготовка для всех) лежит в основе всеобъемлющей и широкой перестройки системы обучения для содействия достижению целей программы: предоставлению всем молодым людям реальной возможности завершить так называемый молодежный курс обучения, т. е. курс образования для 16–19-летних в продолжение обязательного образования. </w:t>
      </w:r>
    </w:p>
    <w:p w:rsidR="00000000" w:rsidRDefault="00000000">
      <w:pPr>
        <w:tabs>
          <w:tab w:val="clear" w:pos="567"/>
          <w:tab w:val="clear" w:pos="1701"/>
          <w:tab w:val="clear" w:pos="2268"/>
          <w:tab w:val="clear" w:pos="6237"/>
          <w:tab w:val="left" w:pos="680"/>
          <w:tab w:val="left" w:pos="1134"/>
        </w:tabs>
        <w:spacing w:line="235" w:lineRule="auto"/>
        <w:rPr>
          <w:sz w:val="23"/>
        </w:rPr>
      </w:pPr>
    </w:p>
    <w:p w:rsidR="00000000" w:rsidRDefault="00000000">
      <w:pPr>
        <w:tabs>
          <w:tab w:val="clear" w:pos="567"/>
          <w:tab w:val="clear" w:pos="1701"/>
          <w:tab w:val="clear" w:pos="2268"/>
          <w:tab w:val="clear" w:pos="6237"/>
          <w:tab w:val="left" w:pos="680"/>
          <w:tab w:val="left" w:pos="1134"/>
        </w:tabs>
        <w:spacing w:line="235" w:lineRule="auto"/>
        <w:rPr>
          <w:sz w:val="23"/>
        </w:rPr>
      </w:pPr>
      <w:r>
        <w:rPr>
          <w:sz w:val="23"/>
        </w:rPr>
        <w:t>417.</w:t>
      </w:r>
      <w:r>
        <w:rPr>
          <w:sz w:val="23"/>
        </w:rPr>
        <w:tab/>
        <w:t>Что касается новых инициатив, предпринятых после представления третьего периодического доклада, то следует обратить внимание на реформу системы профессионального образования и подготовки Дании (ПОП), которая введена 1 января 2001 года. Реформа направлена на поддержку целей УТА путем разработки динамичных и привлекательных программ образования, являющихся более транспарентными, гибкими и открытыми для учащихся из различных социальных слоев и с различными стремлениями, в частности посредством предоставления большей свободы отдельным учащимся и более широких возможностей для выбора направления образования. Таким образом, реформа ПОП предусматривает создание системы, которая предлагает учащимся все виды специализированной индивидуальной подготовки. Еще одной целью реформы является обеспечение сочетания облегченного перехода от образования к работе с возможностью сдачи экзаменов для поступления в ВУЗ.</w:t>
      </w:r>
    </w:p>
    <w:p w:rsidR="00000000" w:rsidRDefault="00000000">
      <w:pPr>
        <w:tabs>
          <w:tab w:val="clear" w:pos="567"/>
          <w:tab w:val="clear" w:pos="1701"/>
          <w:tab w:val="clear" w:pos="2268"/>
          <w:tab w:val="clear" w:pos="6237"/>
          <w:tab w:val="left" w:pos="680"/>
          <w:tab w:val="left" w:pos="1134"/>
        </w:tabs>
        <w:spacing w:line="235" w:lineRule="auto"/>
        <w:rPr>
          <w:sz w:val="23"/>
        </w:rPr>
      </w:pPr>
    </w:p>
    <w:p w:rsidR="00000000" w:rsidRDefault="00000000">
      <w:pPr>
        <w:tabs>
          <w:tab w:val="clear" w:pos="567"/>
          <w:tab w:val="clear" w:pos="1701"/>
          <w:tab w:val="clear" w:pos="2268"/>
          <w:tab w:val="clear" w:pos="6237"/>
          <w:tab w:val="left" w:pos="680"/>
          <w:tab w:val="left" w:pos="1134"/>
        </w:tabs>
        <w:spacing w:line="235" w:lineRule="auto"/>
        <w:rPr>
          <w:sz w:val="23"/>
        </w:rPr>
      </w:pPr>
      <w:r>
        <w:rPr>
          <w:sz w:val="23"/>
        </w:rPr>
        <w:t>418.</w:t>
      </w:r>
      <w:r>
        <w:rPr>
          <w:sz w:val="23"/>
        </w:rPr>
        <w:tab/>
        <w:t>Сейчас еще преждевременно делать какие-либо выводы о последствиях этой конкретной инициативы. Однако результаты ряда других инициатив говорят о том, что гибкость и индивидуальная направленность программ образования отвечают особым потребностям широких групп молодежи в образовании. На основе последних полученных данных подсчитано, что 86% состава учащихся закончат среднее образование (1992 год – 80%).</w:t>
      </w:r>
    </w:p>
    <w:p w:rsidR="00000000" w:rsidRDefault="00000000">
      <w:pPr>
        <w:tabs>
          <w:tab w:val="clear" w:pos="567"/>
          <w:tab w:val="clear" w:pos="1701"/>
          <w:tab w:val="clear" w:pos="2268"/>
          <w:tab w:val="clear" w:pos="6237"/>
          <w:tab w:val="left" w:pos="680"/>
          <w:tab w:val="left" w:pos="1134"/>
        </w:tabs>
        <w:spacing w:line="235" w:lineRule="auto"/>
        <w:rPr>
          <w:sz w:val="23"/>
        </w:rPr>
      </w:pPr>
    </w:p>
    <w:p w:rsidR="00000000" w:rsidRDefault="00000000">
      <w:pPr>
        <w:tabs>
          <w:tab w:val="clear" w:pos="567"/>
          <w:tab w:val="clear" w:pos="1701"/>
          <w:tab w:val="clear" w:pos="2268"/>
          <w:tab w:val="clear" w:pos="6237"/>
          <w:tab w:val="left" w:pos="680"/>
          <w:tab w:val="left" w:pos="1134"/>
        </w:tabs>
        <w:spacing w:line="235" w:lineRule="auto"/>
        <w:rPr>
          <w:sz w:val="23"/>
        </w:rPr>
      </w:pPr>
      <w:r>
        <w:rPr>
          <w:sz w:val="23"/>
        </w:rPr>
        <w:t>419.</w:t>
      </w:r>
      <w:r>
        <w:rPr>
          <w:sz w:val="23"/>
        </w:rPr>
        <w:tab/>
        <w:t>Еще одной проблемой является обеспечение достаточного количества мест в системе трудовой подготовки, несмотря на тот факт, что большее число молодых людей получило возможность поступить на курсы трудового обучения на основе школьной базы. В настоящий момент правительство и участники рынка труда ведут переговоры по соглашению об увеличении количества мест в сфере трудового обучения.</w:t>
      </w:r>
    </w:p>
    <w:p w:rsidR="00000000" w:rsidRDefault="00000000">
      <w:pPr>
        <w:tabs>
          <w:tab w:val="clear" w:pos="567"/>
          <w:tab w:val="clear" w:pos="1701"/>
          <w:tab w:val="clear" w:pos="2268"/>
          <w:tab w:val="clear" w:pos="6237"/>
          <w:tab w:val="left" w:pos="680"/>
          <w:tab w:val="left" w:pos="1134"/>
        </w:tabs>
        <w:spacing w:line="235" w:lineRule="auto"/>
        <w:rPr>
          <w:sz w:val="23"/>
        </w:rPr>
      </w:pPr>
    </w:p>
    <w:p w:rsidR="00000000" w:rsidRDefault="00000000">
      <w:pPr>
        <w:pStyle w:val="a0"/>
        <w:spacing w:line="235" w:lineRule="auto"/>
      </w:pPr>
      <w:bookmarkStart w:id="369" w:name="_Toc51496961"/>
      <w:bookmarkStart w:id="370" w:name="_Toc51497128"/>
      <w:bookmarkStart w:id="371" w:name="_Toc51497653"/>
      <w:r>
        <w:t>Пункт 58 руководящих принципов: Уровень грамотности и охват населения базовым образованием</w:t>
      </w:r>
      <w:bookmarkEnd w:id="369"/>
      <w:bookmarkEnd w:id="370"/>
      <w:bookmarkEnd w:id="371"/>
    </w:p>
    <w:p w:rsidR="00000000" w:rsidRDefault="00000000">
      <w:pPr>
        <w:tabs>
          <w:tab w:val="clear" w:pos="567"/>
          <w:tab w:val="clear" w:pos="1701"/>
          <w:tab w:val="clear" w:pos="2268"/>
          <w:tab w:val="clear" w:pos="6237"/>
          <w:tab w:val="left" w:pos="680"/>
          <w:tab w:val="left" w:pos="1134"/>
        </w:tabs>
        <w:spacing w:line="235" w:lineRule="auto"/>
        <w:rPr>
          <w:b/>
          <w:bCs/>
          <w:sz w:val="23"/>
        </w:rPr>
      </w:pPr>
    </w:p>
    <w:p w:rsidR="00000000" w:rsidRDefault="00000000">
      <w:pPr>
        <w:tabs>
          <w:tab w:val="clear" w:pos="567"/>
          <w:tab w:val="clear" w:pos="1701"/>
          <w:tab w:val="clear" w:pos="2268"/>
          <w:tab w:val="clear" w:pos="6237"/>
          <w:tab w:val="left" w:pos="680"/>
          <w:tab w:val="left" w:pos="1134"/>
        </w:tabs>
        <w:spacing w:line="235" w:lineRule="auto"/>
        <w:rPr>
          <w:sz w:val="23"/>
        </w:rPr>
      </w:pPr>
      <w:r>
        <w:rPr>
          <w:b/>
          <w:bCs/>
          <w:sz w:val="23"/>
        </w:rPr>
        <w:t>Уровень грамотности – статистика и меры</w:t>
      </w:r>
    </w:p>
    <w:p w:rsidR="00000000" w:rsidRDefault="00000000">
      <w:pPr>
        <w:tabs>
          <w:tab w:val="clear" w:pos="567"/>
          <w:tab w:val="clear" w:pos="1701"/>
          <w:tab w:val="clear" w:pos="2268"/>
          <w:tab w:val="clear" w:pos="6237"/>
          <w:tab w:val="left" w:pos="680"/>
          <w:tab w:val="left" w:pos="1134"/>
        </w:tabs>
        <w:spacing w:line="235" w:lineRule="auto"/>
        <w:rPr>
          <w:sz w:val="23"/>
        </w:rPr>
      </w:pPr>
    </w:p>
    <w:p w:rsidR="00000000" w:rsidRDefault="00000000">
      <w:pPr>
        <w:tabs>
          <w:tab w:val="clear" w:pos="567"/>
          <w:tab w:val="clear" w:pos="1701"/>
          <w:tab w:val="clear" w:pos="2268"/>
          <w:tab w:val="clear" w:pos="6237"/>
          <w:tab w:val="left" w:pos="680"/>
          <w:tab w:val="left" w:pos="1134"/>
        </w:tabs>
        <w:spacing w:line="235" w:lineRule="auto"/>
        <w:rPr>
          <w:sz w:val="23"/>
        </w:rPr>
      </w:pPr>
      <w:r>
        <w:rPr>
          <w:sz w:val="23"/>
        </w:rPr>
        <w:t>420.</w:t>
      </w:r>
      <w:r>
        <w:rPr>
          <w:sz w:val="23"/>
        </w:rPr>
        <w:tab/>
        <w:t>Неграмотность зарегистрирована только среди иммигрантского населения. Из 43 595 иммигрантов, обучавшихся на курсах изучения датского в качестве второго языка в 1999 году, 12,32% прошли курсы ликвидации неграмотности. Однако это число могло бы быть и больше, поскольку уровень грамотности 1234 человек не был оценен в момент сбора данных.</w:t>
      </w:r>
    </w:p>
    <w:p w:rsidR="00000000" w:rsidRDefault="00000000">
      <w:pPr>
        <w:tabs>
          <w:tab w:val="clear" w:pos="567"/>
          <w:tab w:val="clear" w:pos="1701"/>
          <w:tab w:val="clear" w:pos="2268"/>
          <w:tab w:val="clear" w:pos="6237"/>
          <w:tab w:val="left" w:pos="680"/>
          <w:tab w:val="left" w:pos="1134"/>
        </w:tabs>
        <w:spacing w:line="230" w:lineRule="auto"/>
        <w:rPr>
          <w:sz w:val="23"/>
        </w:rPr>
      </w:pPr>
    </w:p>
    <w:p w:rsidR="00000000" w:rsidRDefault="00000000">
      <w:pPr>
        <w:tabs>
          <w:tab w:val="clear" w:pos="567"/>
          <w:tab w:val="clear" w:pos="1701"/>
          <w:tab w:val="clear" w:pos="2268"/>
          <w:tab w:val="clear" w:pos="6237"/>
          <w:tab w:val="left" w:pos="680"/>
          <w:tab w:val="left" w:pos="1134"/>
        </w:tabs>
        <w:spacing w:line="230" w:lineRule="auto"/>
        <w:rPr>
          <w:sz w:val="23"/>
        </w:rPr>
      </w:pPr>
      <w:r>
        <w:rPr>
          <w:sz w:val="23"/>
        </w:rPr>
        <w:t>421.</w:t>
      </w:r>
      <w:r>
        <w:rPr>
          <w:sz w:val="23"/>
        </w:rPr>
        <w:tab/>
        <w:t>См. также информацию по пункту 60 руководящих принципов.</w:t>
      </w:r>
    </w:p>
    <w:p w:rsidR="00000000" w:rsidRDefault="00000000">
      <w:pPr>
        <w:tabs>
          <w:tab w:val="clear" w:pos="567"/>
          <w:tab w:val="clear" w:pos="1701"/>
          <w:tab w:val="clear" w:pos="2268"/>
          <w:tab w:val="clear" w:pos="6237"/>
          <w:tab w:val="left" w:pos="680"/>
          <w:tab w:val="left" w:pos="1134"/>
        </w:tabs>
        <w:spacing w:line="230" w:lineRule="auto"/>
        <w:rPr>
          <w:sz w:val="23"/>
        </w:rPr>
      </w:pPr>
    </w:p>
    <w:p w:rsidR="00000000" w:rsidRDefault="00000000">
      <w:pPr>
        <w:tabs>
          <w:tab w:val="clear" w:pos="567"/>
          <w:tab w:val="clear" w:pos="1701"/>
          <w:tab w:val="clear" w:pos="2268"/>
          <w:tab w:val="clear" w:pos="6237"/>
          <w:tab w:val="left" w:pos="680"/>
          <w:tab w:val="left" w:pos="1134"/>
        </w:tabs>
        <w:spacing w:line="230" w:lineRule="auto"/>
        <w:rPr>
          <w:sz w:val="23"/>
        </w:rPr>
      </w:pPr>
      <w:r>
        <w:rPr>
          <w:sz w:val="23"/>
        </w:rPr>
        <w:t>422.</w:t>
      </w:r>
      <w:r>
        <w:rPr>
          <w:sz w:val="23"/>
        </w:rPr>
        <w:tab/>
        <w:t>К сожалению, как упоминается в третьем периодическом докладе, стало очевидным, что значительная часть взрослого населения Дании – главным образом лица с небольшим учебным стажем –недостаточно времени уделяют чтению. Недавнее исследование показало, что 300 000 взрослых граждан с трудом читают и понимают расписание или инструкции по приему медицинских препаратов на лекарственных флаконах. В результате поправки 1995 года к Закону о специальном образовании для взрослых созданы курсы чтения для взрослого населения. Цель курсов, в частности, состояла в том, чтобы дать участникам возможность пройти дополнительную подготовку на базовом уровне. Курсы являются бесплатными и открытыми для всех. В последние годы количество участников курсов чтения составило 5000 – 6000 человек в год.</w:t>
      </w:r>
    </w:p>
    <w:p w:rsidR="00000000" w:rsidRDefault="00000000">
      <w:pPr>
        <w:tabs>
          <w:tab w:val="clear" w:pos="567"/>
          <w:tab w:val="clear" w:pos="1701"/>
          <w:tab w:val="clear" w:pos="2268"/>
          <w:tab w:val="clear" w:pos="6237"/>
          <w:tab w:val="left" w:pos="680"/>
          <w:tab w:val="left" w:pos="1134"/>
        </w:tabs>
        <w:spacing w:line="230" w:lineRule="auto"/>
        <w:rPr>
          <w:sz w:val="23"/>
        </w:rPr>
      </w:pPr>
    </w:p>
    <w:p w:rsidR="00000000" w:rsidRDefault="00000000">
      <w:pPr>
        <w:tabs>
          <w:tab w:val="clear" w:pos="567"/>
          <w:tab w:val="clear" w:pos="1701"/>
          <w:tab w:val="clear" w:pos="2268"/>
          <w:tab w:val="clear" w:pos="6237"/>
          <w:tab w:val="left" w:pos="680"/>
          <w:tab w:val="left" w:pos="1134"/>
        </w:tabs>
        <w:spacing w:line="230" w:lineRule="auto"/>
        <w:rPr>
          <w:sz w:val="23"/>
        </w:rPr>
      </w:pPr>
      <w:r>
        <w:rPr>
          <w:sz w:val="23"/>
        </w:rPr>
        <w:t>423.</w:t>
      </w:r>
      <w:r>
        <w:rPr>
          <w:sz w:val="23"/>
        </w:rPr>
        <w:tab/>
        <w:t>В контексте общей реформы вышеупомянутой системы образования для взрослых был принят новый закон в целях развития основных навыков взрослых, например, в области чтения, письма и математики (Закон о подготовительном образовании для взрослых, май 2000 года). По сравнению с предыдущими инициативами реформа подготовительного образования для взрослых (ПОВ) является более эффективной и целенаправленной мерой. Кроме того, преподавание в рамках программы ПОВ построено с учетом повседневной жизни участников. Это означает, что многие мероприятия проводятся в дневное время на рабочем месте, а не в учебных заведениях. Еще преждевременно давать оценку результатам реформы.</w:t>
      </w:r>
    </w:p>
    <w:p w:rsidR="00000000" w:rsidRDefault="00000000">
      <w:pPr>
        <w:tabs>
          <w:tab w:val="clear" w:pos="567"/>
          <w:tab w:val="clear" w:pos="1701"/>
          <w:tab w:val="clear" w:pos="2268"/>
          <w:tab w:val="clear" w:pos="6237"/>
          <w:tab w:val="left" w:pos="680"/>
          <w:tab w:val="left" w:pos="1134"/>
        </w:tabs>
        <w:spacing w:line="230" w:lineRule="auto"/>
        <w:rPr>
          <w:sz w:val="23"/>
        </w:rPr>
      </w:pPr>
    </w:p>
    <w:p w:rsidR="00000000" w:rsidRDefault="00000000">
      <w:pPr>
        <w:tabs>
          <w:tab w:val="clear" w:pos="567"/>
          <w:tab w:val="clear" w:pos="1701"/>
          <w:tab w:val="clear" w:pos="2268"/>
          <w:tab w:val="clear" w:pos="6237"/>
          <w:tab w:val="left" w:pos="680"/>
          <w:tab w:val="left" w:pos="1134"/>
        </w:tabs>
        <w:spacing w:line="230" w:lineRule="auto"/>
        <w:rPr>
          <w:sz w:val="23"/>
        </w:rPr>
      </w:pPr>
      <w:r>
        <w:rPr>
          <w:sz w:val="23"/>
        </w:rPr>
        <w:t>424.</w:t>
      </w:r>
      <w:r>
        <w:rPr>
          <w:sz w:val="23"/>
        </w:rPr>
        <w:tab/>
        <w:t>Участие в программе ПОВ является бесплатным, и взрослые лица, имеющие неполное формальное образование и занятые на производстве, получают государственную поддержку (ГПОВ).</w:t>
      </w:r>
    </w:p>
    <w:p w:rsidR="00000000" w:rsidRDefault="00000000">
      <w:pPr>
        <w:tabs>
          <w:tab w:val="clear" w:pos="567"/>
          <w:tab w:val="clear" w:pos="1701"/>
          <w:tab w:val="clear" w:pos="2268"/>
          <w:tab w:val="clear" w:pos="6237"/>
          <w:tab w:val="left" w:pos="680"/>
          <w:tab w:val="left" w:pos="1134"/>
        </w:tabs>
        <w:spacing w:line="230" w:lineRule="auto"/>
        <w:rPr>
          <w:sz w:val="23"/>
        </w:rPr>
      </w:pPr>
    </w:p>
    <w:p w:rsidR="00000000" w:rsidRDefault="00000000">
      <w:pPr>
        <w:keepNext/>
        <w:tabs>
          <w:tab w:val="clear" w:pos="567"/>
          <w:tab w:val="clear" w:pos="1701"/>
          <w:tab w:val="clear" w:pos="2268"/>
          <w:tab w:val="clear" w:pos="6237"/>
          <w:tab w:val="left" w:pos="680"/>
          <w:tab w:val="left" w:pos="1134"/>
        </w:tabs>
        <w:spacing w:line="230" w:lineRule="auto"/>
        <w:rPr>
          <w:sz w:val="23"/>
        </w:rPr>
      </w:pPr>
      <w:r>
        <w:rPr>
          <w:b/>
          <w:bCs/>
          <w:sz w:val="23"/>
        </w:rPr>
        <w:t>Статистика охвата населения базовым образованием</w:t>
      </w:r>
    </w:p>
    <w:p w:rsidR="00000000" w:rsidRDefault="00000000">
      <w:pPr>
        <w:keepNext/>
        <w:tabs>
          <w:tab w:val="clear" w:pos="567"/>
          <w:tab w:val="clear" w:pos="1701"/>
          <w:tab w:val="clear" w:pos="2268"/>
          <w:tab w:val="clear" w:pos="6237"/>
          <w:tab w:val="left" w:pos="680"/>
          <w:tab w:val="left" w:pos="1134"/>
        </w:tabs>
        <w:spacing w:line="230" w:lineRule="auto"/>
        <w:rPr>
          <w:sz w:val="23"/>
        </w:rPr>
      </w:pPr>
    </w:p>
    <w:p w:rsidR="00000000" w:rsidRDefault="00000000">
      <w:pPr>
        <w:tabs>
          <w:tab w:val="clear" w:pos="567"/>
          <w:tab w:val="clear" w:pos="1701"/>
          <w:tab w:val="clear" w:pos="2268"/>
          <w:tab w:val="clear" w:pos="6237"/>
          <w:tab w:val="left" w:pos="680"/>
          <w:tab w:val="left" w:pos="1134"/>
        </w:tabs>
        <w:spacing w:line="230" w:lineRule="auto"/>
        <w:rPr>
          <w:sz w:val="23"/>
        </w:rPr>
      </w:pPr>
      <w:r>
        <w:rPr>
          <w:sz w:val="23"/>
        </w:rPr>
        <w:t>425.</w:t>
      </w:r>
      <w:r>
        <w:rPr>
          <w:sz w:val="23"/>
        </w:rPr>
        <w:tab/>
        <w:t>Как сказано в пункте 56 а) руководящих принципов, каждый ребенок (включая детей иммигрантов и беженцев) должен получать обязательное образование. Поэтому охват базовым образованием по всей стране составляет 100%.</w:t>
      </w:r>
    </w:p>
    <w:p w:rsidR="00000000" w:rsidRDefault="00000000">
      <w:pPr>
        <w:tabs>
          <w:tab w:val="clear" w:pos="567"/>
          <w:tab w:val="clear" w:pos="1701"/>
          <w:tab w:val="clear" w:pos="2268"/>
          <w:tab w:val="clear" w:pos="6237"/>
          <w:tab w:val="left" w:pos="680"/>
          <w:tab w:val="left" w:pos="1134"/>
        </w:tabs>
        <w:spacing w:line="230" w:lineRule="auto"/>
        <w:rPr>
          <w:sz w:val="23"/>
        </w:rPr>
      </w:pPr>
    </w:p>
    <w:p w:rsidR="00000000" w:rsidRDefault="00000000">
      <w:pPr>
        <w:keepNext/>
        <w:tabs>
          <w:tab w:val="clear" w:pos="567"/>
          <w:tab w:val="clear" w:pos="1701"/>
          <w:tab w:val="clear" w:pos="2268"/>
          <w:tab w:val="clear" w:pos="6237"/>
          <w:tab w:val="left" w:pos="680"/>
          <w:tab w:val="left" w:pos="1134"/>
        </w:tabs>
        <w:spacing w:line="230" w:lineRule="auto"/>
        <w:rPr>
          <w:sz w:val="23"/>
        </w:rPr>
      </w:pPr>
      <w:r>
        <w:rPr>
          <w:b/>
          <w:bCs/>
          <w:sz w:val="23"/>
        </w:rPr>
        <w:t>Статистические данные об обучении взрослого населения и непрерывной профессиональной подготовке</w:t>
      </w:r>
    </w:p>
    <w:p w:rsidR="00000000" w:rsidRDefault="00000000">
      <w:pPr>
        <w:keepNext/>
        <w:tabs>
          <w:tab w:val="clear" w:pos="567"/>
          <w:tab w:val="clear" w:pos="1701"/>
          <w:tab w:val="clear" w:pos="2268"/>
          <w:tab w:val="clear" w:pos="6237"/>
          <w:tab w:val="left" w:pos="680"/>
          <w:tab w:val="left" w:pos="1134"/>
        </w:tabs>
        <w:spacing w:line="230" w:lineRule="auto"/>
        <w:rPr>
          <w:sz w:val="23"/>
        </w:rPr>
      </w:pPr>
    </w:p>
    <w:p w:rsidR="00000000" w:rsidRDefault="00000000">
      <w:pPr>
        <w:tabs>
          <w:tab w:val="clear" w:pos="567"/>
          <w:tab w:val="clear" w:pos="1701"/>
          <w:tab w:val="clear" w:pos="2268"/>
          <w:tab w:val="clear" w:pos="6237"/>
          <w:tab w:val="left" w:pos="680"/>
          <w:tab w:val="left" w:pos="1134"/>
        </w:tabs>
        <w:spacing w:line="230" w:lineRule="auto"/>
        <w:rPr>
          <w:sz w:val="23"/>
        </w:rPr>
      </w:pPr>
      <w:r>
        <w:rPr>
          <w:sz w:val="23"/>
        </w:rPr>
        <w:t>426.</w:t>
      </w:r>
      <w:r>
        <w:rPr>
          <w:sz w:val="23"/>
        </w:rPr>
        <w:tab/>
        <w:t>Наиболее важными элементами обучения взрослых являются учебные курсы для рынка труда; открытая система образования; формальная система общего обучения для взрослых; обучение в свободное время; и народная средняя школа.</w:t>
      </w:r>
    </w:p>
    <w:p w:rsidR="00000000" w:rsidRDefault="00000000">
      <w:pPr>
        <w:tabs>
          <w:tab w:val="clear" w:pos="567"/>
          <w:tab w:val="clear" w:pos="1701"/>
          <w:tab w:val="clear" w:pos="2268"/>
          <w:tab w:val="clear" w:pos="6237"/>
          <w:tab w:val="left" w:pos="680"/>
          <w:tab w:val="left" w:pos="1134"/>
        </w:tabs>
        <w:spacing w:line="230" w:lineRule="auto"/>
        <w:rPr>
          <w:sz w:val="23"/>
        </w:rPr>
      </w:pPr>
    </w:p>
    <w:p w:rsidR="00000000" w:rsidRDefault="00000000">
      <w:pPr>
        <w:tabs>
          <w:tab w:val="clear" w:pos="567"/>
          <w:tab w:val="clear" w:pos="1701"/>
          <w:tab w:val="clear" w:pos="2268"/>
          <w:tab w:val="clear" w:pos="6237"/>
          <w:tab w:val="left" w:pos="680"/>
          <w:tab w:val="left" w:pos="1134"/>
        </w:tabs>
        <w:spacing w:line="230" w:lineRule="auto"/>
        <w:rPr>
          <w:sz w:val="23"/>
        </w:rPr>
      </w:pPr>
      <w:r>
        <w:rPr>
          <w:sz w:val="23"/>
        </w:rPr>
        <w:t>427.</w:t>
      </w:r>
      <w:r>
        <w:rPr>
          <w:sz w:val="23"/>
        </w:rPr>
        <w:tab/>
        <w:t>Количество обучающихся может быть выражено эквивалентным количеством учащихся, занимающихся по очной программе. За исключением обучения в свободное время, в 1999 году в системе государственного образования для взрослых обучалось 112 804 человека в пересчете на очный эквивалент (1993 год – 87 772). Количество учащихся в системе обучения в свободное время в очном эквиваленте составляло 30 000 человек.</w:t>
      </w:r>
    </w:p>
    <w:p w:rsidR="00000000" w:rsidRDefault="00000000">
      <w:pPr>
        <w:tabs>
          <w:tab w:val="clear" w:pos="567"/>
          <w:tab w:val="clear" w:pos="1701"/>
          <w:tab w:val="clear" w:pos="2268"/>
          <w:tab w:val="clear" w:pos="6237"/>
          <w:tab w:val="left" w:pos="680"/>
          <w:tab w:val="left" w:pos="1134"/>
        </w:tabs>
        <w:spacing w:line="230" w:lineRule="auto"/>
        <w:rPr>
          <w:sz w:val="23"/>
        </w:rPr>
      </w:pPr>
    </w:p>
    <w:p w:rsidR="00000000" w:rsidRDefault="00000000">
      <w:pPr>
        <w:tabs>
          <w:tab w:val="clear" w:pos="567"/>
          <w:tab w:val="clear" w:pos="1701"/>
          <w:tab w:val="clear" w:pos="2268"/>
          <w:tab w:val="clear" w:pos="6237"/>
          <w:tab w:val="left" w:pos="680"/>
          <w:tab w:val="left" w:pos="1134"/>
        </w:tabs>
        <w:spacing w:line="230" w:lineRule="auto"/>
        <w:rPr>
          <w:sz w:val="23"/>
        </w:rPr>
      </w:pPr>
      <w:r>
        <w:rPr>
          <w:sz w:val="23"/>
        </w:rPr>
        <w:t>428.</w:t>
      </w:r>
      <w:r>
        <w:rPr>
          <w:sz w:val="23"/>
        </w:rPr>
        <w:tab/>
        <w:t>В 1999 году 17 419 человек в очном эквиваленте поступили на один или несколько курсов обучения для рынка труда (1993 год – 12 697). Включая продолжение подготовки учителей и педагогов центров дневного ухода, 31 798 учащихся в очном эквиваленте поступили на один или несколько учебных курсов на основании Закона об открытом образовании (1993 год – 23 825); 28</w:t>
      </w:r>
      <w:r>
        <w:rPr>
          <w:sz w:val="23"/>
          <w:lang w:val="en-US"/>
        </w:rPr>
        <w:t> </w:t>
      </w:r>
      <w:r>
        <w:rPr>
          <w:sz w:val="23"/>
        </w:rPr>
        <w:t>485 учащихся в очном эквиваленте поступили на формальный общий курс обучения для взрослых (1993 год – 26 391) и 5499 учащихся в очном эквиваленте поступили в средние народные школы (1993 год – 7369). Количество учащихся в очном эквиваленте в дневных средних народных школах составило 9456 человек (1993 год – 5600), тогда как количество учащихся в очном эквиваленте на курсах изучения датского в качестве второго языка составило 17 223 человека (1993 год – 11 890), на курсах чтения ПОВ – 628 человек (1996 год – 234) и 1 738 человек обучались по программе лечебного курса и специального образования для взрослых (1996 год – 1153).</w:t>
      </w:r>
    </w:p>
    <w:p w:rsidR="00000000" w:rsidRDefault="00000000">
      <w:pPr>
        <w:tabs>
          <w:tab w:val="clear" w:pos="567"/>
          <w:tab w:val="clear" w:pos="1701"/>
          <w:tab w:val="clear" w:pos="2268"/>
          <w:tab w:val="clear" w:pos="6237"/>
          <w:tab w:val="left" w:pos="680"/>
          <w:tab w:val="left" w:pos="1134"/>
        </w:tabs>
        <w:spacing w:line="230" w:lineRule="auto"/>
        <w:rPr>
          <w:sz w:val="23"/>
        </w:rPr>
      </w:pPr>
    </w:p>
    <w:p w:rsidR="00000000" w:rsidRDefault="00000000">
      <w:pPr>
        <w:pStyle w:val="Heading1"/>
        <w:tabs>
          <w:tab w:val="clear" w:pos="567"/>
          <w:tab w:val="clear" w:pos="1701"/>
          <w:tab w:val="clear" w:pos="2268"/>
          <w:tab w:val="clear" w:pos="6237"/>
          <w:tab w:val="left" w:pos="680"/>
          <w:tab w:val="left" w:pos="1134"/>
        </w:tabs>
        <w:spacing w:line="230" w:lineRule="auto"/>
        <w:rPr>
          <w:bCs/>
          <w:sz w:val="23"/>
        </w:rPr>
      </w:pPr>
      <w:r>
        <w:rPr>
          <w:bCs/>
          <w:sz w:val="23"/>
        </w:rPr>
        <w:t>Показатели успешного завершения обучения</w:t>
      </w:r>
    </w:p>
    <w:p w:rsidR="00000000" w:rsidRDefault="00000000">
      <w:pPr>
        <w:pStyle w:val="Heading1"/>
        <w:tabs>
          <w:tab w:val="clear" w:pos="567"/>
          <w:tab w:val="clear" w:pos="1701"/>
          <w:tab w:val="clear" w:pos="2268"/>
          <w:tab w:val="clear" w:pos="6237"/>
          <w:tab w:val="left" w:pos="680"/>
          <w:tab w:val="left" w:pos="1134"/>
        </w:tabs>
        <w:spacing w:line="230" w:lineRule="auto"/>
        <w:rPr>
          <w:bCs/>
          <w:sz w:val="23"/>
        </w:rPr>
      </w:pPr>
    </w:p>
    <w:p w:rsidR="00000000" w:rsidRDefault="00000000">
      <w:pPr>
        <w:tabs>
          <w:tab w:val="clear" w:pos="567"/>
          <w:tab w:val="clear" w:pos="1701"/>
          <w:tab w:val="clear" w:pos="2268"/>
          <w:tab w:val="clear" w:pos="6237"/>
          <w:tab w:val="left" w:pos="680"/>
          <w:tab w:val="left" w:pos="1134"/>
        </w:tabs>
        <w:spacing w:line="230" w:lineRule="auto"/>
        <w:rPr>
          <w:sz w:val="23"/>
        </w:rPr>
      </w:pPr>
      <w:r>
        <w:rPr>
          <w:sz w:val="23"/>
        </w:rPr>
        <w:t>429.</w:t>
      </w:r>
      <w:r>
        <w:rPr>
          <w:sz w:val="23"/>
        </w:rPr>
        <w:tab/>
        <w:t>Предполагается, что в общей сложности 96% молодых юношей и девушек, которые оставили начальную школу и среднюю школу первой ступени в конце 1997/98 учебного года, продолжат учебу в системе образования.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t>Таблица 22</w:t>
      </w: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pStyle w:val="BodyText"/>
        <w:tabs>
          <w:tab w:val="clear" w:pos="567"/>
          <w:tab w:val="clear" w:pos="1701"/>
          <w:tab w:val="clear" w:pos="2268"/>
          <w:tab w:val="clear" w:pos="6237"/>
          <w:tab w:val="left" w:pos="680"/>
          <w:tab w:val="left" w:pos="1134"/>
        </w:tabs>
        <w:spacing w:before="0"/>
        <w:jc w:val="center"/>
        <w:rPr>
          <w:sz w:val="23"/>
        </w:rPr>
      </w:pPr>
      <w:r>
        <w:rPr>
          <w:sz w:val="23"/>
        </w:rPr>
        <w:t xml:space="preserve">Процентная доля учащихся, прошедших обучение по полной программе, </w:t>
      </w:r>
      <w:r>
        <w:rPr>
          <w:sz w:val="23"/>
        </w:rPr>
        <w:br/>
        <w:t>в разбивке по уровню образования (1998 год)</w:t>
      </w:r>
    </w:p>
    <w:p w:rsidR="00000000" w:rsidRDefault="00000000">
      <w:pPr>
        <w:tabs>
          <w:tab w:val="clear" w:pos="567"/>
          <w:tab w:val="clear" w:pos="1701"/>
          <w:tab w:val="clear" w:pos="2268"/>
          <w:tab w:val="clear" w:pos="6237"/>
          <w:tab w:val="left" w:pos="680"/>
          <w:tab w:val="left" w:pos="1134"/>
        </w:tabs>
        <w:spacing w:line="240" w:lineRule="auto"/>
        <w:rPr>
          <w:sz w:val="23"/>
        </w:rPr>
      </w:pPr>
    </w:p>
    <w:tbl>
      <w:tblPr>
        <w:tblW w:w="0" w:type="auto"/>
        <w:jc w:val="center"/>
        <w:tblInd w:w="482"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6804"/>
        <w:gridCol w:w="1134"/>
      </w:tblGrid>
      <w:tr w:rsidR="00000000">
        <w:tblPrEx>
          <w:tblCellMar>
            <w:top w:w="0" w:type="dxa"/>
            <w:bottom w:w="0" w:type="dxa"/>
          </w:tblCellMar>
        </w:tblPrEx>
        <w:trPr>
          <w:jc w:val="center"/>
        </w:trPr>
        <w:tc>
          <w:tcPr>
            <w:tcW w:w="6804" w:type="dxa"/>
          </w:tcPr>
          <w:p w:rsidR="00000000" w:rsidRDefault="00000000">
            <w:pPr>
              <w:tabs>
                <w:tab w:val="clear" w:pos="567"/>
                <w:tab w:val="clear" w:pos="1701"/>
                <w:tab w:val="clear" w:pos="2268"/>
                <w:tab w:val="clear" w:pos="6237"/>
                <w:tab w:val="left" w:pos="680"/>
                <w:tab w:val="left" w:pos="1134"/>
              </w:tabs>
              <w:spacing w:line="240" w:lineRule="auto"/>
              <w:rPr>
                <w:b/>
                <w:bCs/>
                <w:sz w:val="23"/>
              </w:rPr>
            </w:pPr>
            <w:r>
              <w:rPr>
                <w:b/>
                <w:bCs/>
                <w:sz w:val="23"/>
              </w:rPr>
              <w:t>Общее и среднее образование второй ступени:</w:t>
            </w:r>
          </w:p>
        </w:tc>
        <w:tc>
          <w:tcPr>
            <w:tcW w:w="1134" w:type="dxa"/>
          </w:tcPr>
          <w:p w:rsidR="00000000" w:rsidRDefault="00000000">
            <w:pPr>
              <w:tabs>
                <w:tab w:val="clear" w:pos="567"/>
                <w:tab w:val="clear" w:pos="1701"/>
                <w:tab w:val="clear" w:pos="2268"/>
                <w:tab w:val="clear" w:pos="6237"/>
                <w:tab w:val="left" w:pos="680"/>
                <w:tab w:val="left" w:pos="1134"/>
              </w:tabs>
              <w:spacing w:line="240" w:lineRule="auto"/>
              <w:rPr>
                <w:sz w:val="23"/>
              </w:rPr>
            </w:pPr>
          </w:p>
        </w:tc>
      </w:tr>
      <w:tr w:rsidR="00000000">
        <w:tblPrEx>
          <w:tblCellMar>
            <w:top w:w="0" w:type="dxa"/>
            <w:bottom w:w="0" w:type="dxa"/>
          </w:tblCellMar>
        </w:tblPrEx>
        <w:trPr>
          <w:jc w:val="center"/>
        </w:trPr>
        <w:tc>
          <w:tcPr>
            <w:tcW w:w="6804" w:type="dxa"/>
          </w:tcPr>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 xml:space="preserve">Гимназии и программы </w:t>
            </w:r>
            <w:r>
              <w:rPr>
                <w:sz w:val="23"/>
                <w:lang w:val="en-US"/>
              </w:rPr>
              <w:t>HF</w:t>
            </w:r>
          </w:p>
        </w:tc>
        <w:tc>
          <w:tcPr>
            <w:tcW w:w="1134" w:type="dxa"/>
          </w:tcPr>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84</w:t>
            </w:r>
          </w:p>
        </w:tc>
      </w:tr>
      <w:tr w:rsidR="00000000">
        <w:tblPrEx>
          <w:tblCellMar>
            <w:top w:w="0" w:type="dxa"/>
            <w:bottom w:w="0" w:type="dxa"/>
          </w:tblCellMar>
        </w:tblPrEx>
        <w:trPr>
          <w:jc w:val="center"/>
        </w:trPr>
        <w:tc>
          <w:tcPr>
            <w:tcW w:w="6804" w:type="dxa"/>
          </w:tcPr>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Программы ННХ и НТХ</w:t>
            </w:r>
          </w:p>
        </w:tc>
        <w:tc>
          <w:tcPr>
            <w:tcW w:w="1134" w:type="dxa"/>
          </w:tcPr>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80</w:t>
            </w:r>
          </w:p>
        </w:tc>
      </w:tr>
      <w:tr w:rsidR="00000000">
        <w:tblPrEx>
          <w:tblCellMar>
            <w:top w:w="0" w:type="dxa"/>
            <w:bottom w:w="0" w:type="dxa"/>
          </w:tblCellMar>
        </w:tblPrEx>
        <w:trPr>
          <w:jc w:val="center"/>
        </w:trPr>
        <w:tc>
          <w:tcPr>
            <w:tcW w:w="6804" w:type="dxa"/>
          </w:tcPr>
          <w:p w:rsidR="00000000" w:rsidRDefault="00000000">
            <w:pPr>
              <w:tabs>
                <w:tab w:val="clear" w:pos="567"/>
                <w:tab w:val="clear" w:pos="1701"/>
                <w:tab w:val="clear" w:pos="2268"/>
                <w:tab w:val="clear" w:pos="6237"/>
                <w:tab w:val="left" w:pos="680"/>
                <w:tab w:val="left" w:pos="1134"/>
              </w:tabs>
              <w:spacing w:line="240" w:lineRule="auto"/>
              <w:rPr>
                <w:sz w:val="23"/>
              </w:rPr>
            </w:pPr>
          </w:p>
        </w:tc>
        <w:tc>
          <w:tcPr>
            <w:tcW w:w="1134" w:type="dxa"/>
          </w:tcPr>
          <w:p w:rsidR="00000000" w:rsidRDefault="00000000">
            <w:pPr>
              <w:tabs>
                <w:tab w:val="clear" w:pos="567"/>
                <w:tab w:val="clear" w:pos="1701"/>
                <w:tab w:val="clear" w:pos="2268"/>
                <w:tab w:val="clear" w:pos="6237"/>
                <w:tab w:val="left" w:pos="680"/>
                <w:tab w:val="left" w:pos="1134"/>
              </w:tabs>
              <w:spacing w:line="240" w:lineRule="auto"/>
              <w:rPr>
                <w:sz w:val="23"/>
              </w:rPr>
            </w:pPr>
          </w:p>
        </w:tc>
      </w:tr>
      <w:tr w:rsidR="00000000">
        <w:tblPrEx>
          <w:tblCellMar>
            <w:top w:w="0" w:type="dxa"/>
            <w:bottom w:w="0" w:type="dxa"/>
          </w:tblCellMar>
        </w:tblPrEx>
        <w:trPr>
          <w:jc w:val="center"/>
        </w:trPr>
        <w:tc>
          <w:tcPr>
            <w:tcW w:w="6804" w:type="dxa"/>
          </w:tcPr>
          <w:p w:rsidR="00000000" w:rsidRDefault="00000000">
            <w:pPr>
              <w:tabs>
                <w:tab w:val="clear" w:pos="567"/>
                <w:tab w:val="clear" w:pos="1701"/>
                <w:tab w:val="clear" w:pos="2268"/>
                <w:tab w:val="clear" w:pos="6237"/>
                <w:tab w:val="left" w:pos="680"/>
                <w:tab w:val="left" w:pos="1134"/>
              </w:tabs>
              <w:spacing w:line="240" w:lineRule="auto"/>
              <w:rPr>
                <w:b/>
                <w:bCs/>
                <w:sz w:val="23"/>
              </w:rPr>
            </w:pPr>
            <w:r>
              <w:rPr>
                <w:b/>
                <w:bCs/>
                <w:sz w:val="23"/>
              </w:rPr>
              <w:t>Профессиональная подготовка в средних учебных заведениях второй ступени и т. д.:</w:t>
            </w:r>
          </w:p>
        </w:tc>
        <w:tc>
          <w:tcPr>
            <w:tcW w:w="1134" w:type="dxa"/>
          </w:tcPr>
          <w:p w:rsidR="00000000" w:rsidRDefault="00000000">
            <w:pPr>
              <w:tabs>
                <w:tab w:val="clear" w:pos="567"/>
                <w:tab w:val="clear" w:pos="1701"/>
                <w:tab w:val="clear" w:pos="2268"/>
                <w:tab w:val="clear" w:pos="6237"/>
                <w:tab w:val="left" w:pos="680"/>
                <w:tab w:val="left" w:pos="1134"/>
              </w:tabs>
              <w:spacing w:line="240" w:lineRule="auto"/>
              <w:rPr>
                <w:b/>
                <w:bCs/>
                <w:sz w:val="23"/>
                <w:u w:val="single"/>
              </w:rPr>
            </w:pPr>
          </w:p>
        </w:tc>
      </w:tr>
      <w:tr w:rsidR="00000000">
        <w:tblPrEx>
          <w:tblCellMar>
            <w:top w:w="0" w:type="dxa"/>
            <w:bottom w:w="0" w:type="dxa"/>
          </w:tblCellMar>
        </w:tblPrEx>
        <w:trPr>
          <w:jc w:val="center"/>
        </w:trPr>
        <w:tc>
          <w:tcPr>
            <w:tcW w:w="6804" w:type="dxa"/>
          </w:tcPr>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 xml:space="preserve">Курсы технической подготовки </w:t>
            </w:r>
          </w:p>
        </w:tc>
        <w:tc>
          <w:tcPr>
            <w:tcW w:w="1134" w:type="dxa"/>
          </w:tcPr>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79</w:t>
            </w:r>
          </w:p>
        </w:tc>
      </w:tr>
      <w:tr w:rsidR="00000000">
        <w:tblPrEx>
          <w:tblCellMar>
            <w:top w:w="0" w:type="dxa"/>
            <w:bottom w:w="0" w:type="dxa"/>
          </w:tblCellMar>
        </w:tblPrEx>
        <w:trPr>
          <w:jc w:val="center"/>
        </w:trPr>
        <w:tc>
          <w:tcPr>
            <w:tcW w:w="6804" w:type="dxa"/>
          </w:tcPr>
          <w:p w:rsidR="00000000" w:rsidRDefault="00000000">
            <w:pPr>
              <w:tabs>
                <w:tab w:val="clear" w:pos="567"/>
                <w:tab w:val="clear" w:pos="1701"/>
                <w:tab w:val="clear" w:pos="2268"/>
                <w:tab w:val="clear" w:pos="6237"/>
                <w:tab w:val="left" w:pos="680"/>
                <w:tab w:val="left" w:pos="1134"/>
              </w:tabs>
              <w:spacing w:line="240" w:lineRule="auto"/>
              <w:rPr>
                <w:b/>
                <w:bCs/>
                <w:sz w:val="23"/>
                <w:vertAlign w:val="superscript"/>
              </w:rPr>
            </w:pPr>
            <w:r>
              <w:rPr>
                <w:sz w:val="23"/>
              </w:rPr>
              <w:t>Школьная программа ПОП и т. д.</w:t>
            </w:r>
            <w:r>
              <w:rPr>
                <w:rStyle w:val="FootnoteReference"/>
              </w:rPr>
              <w:footnoteReference w:customMarkFollows="1" w:id="6"/>
              <w:t>a</w:t>
            </w:r>
          </w:p>
        </w:tc>
        <w:tc>
          <w:tcPr>
            <w:tcW w:w="1134" w:type="dxa"/>
          </w:tcPr>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85</w:t>
            </w:r>
          </w:p>
        </w:tc>
      </w:tr>
      <w:tr w:rsidR="00000000">
        <w:tblPrEx>
          <w:tblCellMar>
            <w:top w:w="0" w:type="dxa"/>
            <w:bottom w:w="0" w:type="dxa"/>
          </w:tblCellMar>
        </w:tblPrEx>
        <w:trPr>
          <w:jc w:val="center"/>
        </w:trPr>
        <w:tc>
          <w:tcPr>
            <w:tcW w:w="6804" w:type="dxa"/>
          </w:tcPr>
          <w:p w:rsidR="00000000" w:rsidRDefault="00000000">
            <w:pPr>
              <w:tabs>
                <w:tab w:val="clear" w:pos="567"/>
                <w:tab w:val="clear" w:pos="1701"/>
                <w:tab w:val="clear" w:pos="2268"/>
                <w:tab w:val="clear" w:pos="6237"/>
                <w:tab w:val="left" w:pos="680"/>
                <w:tab w:val="left" w:pos="1134"/>
              </w:tabs>
              <w:spacing w:line="240" w:lineRule="auto"/>
              <w:rPr>
                <w:b/>
                <w:bCs/>
                <w:sz w:val="23"/>
                <w:vertAlign w:val="superscript"/>
              </w:rPr>
            </w:pPr>
            <w:r>
              <w:rPr>
                <w:sz w:val="23"/>
              </w:rPr>
              <w:t>Основные курсы ПОП и т. д.</w:t>
            </w:r>
            <w:r>
              <w:rPr>
                <w:rStyle w:val="FootnoteReference"/>
              </w:rPr>
              <w:footnoteReference w:customMarkFollows="1" w:id="7"/>
              <w:t>b</w:t>
            </w:r>
          </w:p>
        </w:tc>
        <w:tc>
          <w:tcPr>
            <w:tcW w:w="1134" w:type="dxa"/>
          </w:tcPr>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86</w:t>
            </w:r>
          </w:p>
        </w:tc>
      </w:tr>
      <w:tr w:rsidR="00000000">
        <w:tblPrEx>
          <w:tblCellMar>
            <w:top w:w="0" w:type="dxa"/>
            <w:bottom w:w="0" w:type="dxa"/>
          </w:tblCellMar>
        </w:tblPrEx>
        <w:trPr>
          <w:jc w:val="center"/>
        </w:trPr>
        <w:tc>
          <w:tcPr>
            <w:tcW w:w="6804" w:type="dxa"/>
          </w:tcPr>
          <w:p w:rsidR="00000000" w:rsidRDefault="00000000">
            <w:pPr>
              <w:tabs>
                <w:tab w:val="clear" w:pos="567"/>
                <w:tab w:val="clear" w:pos="1701"/>
                <w:tab w:val="clear" w:pos="2268"/>
                <w:tab w:val="clear" w:pos="6237"/>
                <w:tab w:val="left" w:pos="680"/>
                <w:tab w:val="left" w:pos="1134"/>
              </w:tabs>
              <w:spacing w:line="240" w:lineRule="auto"/>
              <w:rPr>
                <w:sz w:val="23"/>
              </w:rPr>
            </w:pPr>
          </w:p>
        </w:tc>
        <w:tc>
          <w:tcPr>
            <w:tcW w:w="1134" w:type="dxa"/>
          </w:tcPr>
          <w:p w:rsidR="00000000" w:rsidRDefault="00000000">
            <w:pPr>
              <w:tabs>
                <w:tab w:val="clear" w:pos="567"/>
                <w:tab w:val="clear" w:pos="1701"/>
                <w:tab w:val="clear" w:pos="2268"/>
                <w:tab w:val="clear" w:pos="6237"/>
                <w:tab w:val="left" w:pos="680"/>
                <w:tab w:val="left" w:pos="1134"/>
              </w:tabs>
              <w:spacing w:line="240" w:lineRule="auto"/>
              <w:rPr>
                <w:sz w:val="23"/>
              </w:rPr>
            </w:pPr>
          </w:p>
        </w:tc>
      </w:tr>
      <w:tr w:rsidR="00000000">
        <w:tblPrEx>
          <w:tblCellMar>
            <w:top w:w="0" w:type="dxa"/>
            <w:bottom w:w="0" w:type="dxa"/>
          </w:tblCellMar>
        </w:tblPrEx>
        <w:trPr>
          <w:jc w:val="center"/>
        </w:trPr>
        <w:tc>
          <w:tcPr>
            <w:tcW w:w="6804" w:type="dxa"/>
          </w:tcPr>
          <w:p w:rsidR="00000000" w:rsidRDefault="00000000">
            <w:pPr>
              <w:tabs>
                <w:tab w:val="clear" w:pos="567"/>
                <w:tab w:val="clear" w:pos="1701"/>
                <w:tab w:val="clear" w:pos="2268"/>
                <w:tab w:val="clear" w:pos="6237"/>
                <w:tab w:val="left" w:pos="680"/>
                <w:tab w:val="left" w:pos="1134"/>
              </w:tabs>
              <w:spacing w:line="240" w:lineRule="auto"/>
              <w:rPr>
                <w:b/>
                <w:bCs/>
                <w:sz w:val="23"/>
              </w:rPr>
            </w:pPr>
            <w:r>
              <w:rPr>
                <w:b/>
                <w:bCs/>
                <w:sz w:val="23"/>
              </w:rPr>
              <w:t>Высшее образование:</w:t>
            </w:r>
          </w:p>
        </w:tc>
        <w:tc>
          <w:tcPr>
            <w:tcW w:w="1134" w:type="dxa"/>
          </w:tcPr>
          <w:p w:rsidR="00000000" w:rsidRDefault="00000000">
            <w:pPr>
              <w:tabs>
                <w:tab w:val="clear" w:pos="567"/>
                <w:tab w:val="clear" w:pos="1701"/>
                <w:tab w:val="clear" w:pos="2268"/>
                <w:tab w:val="clear" w:pos="6237"/>
                <w:tab w:val="left" w:pos="680"/>
                <w:tab w:val="left" w:pos="1134"/>
              </w:tabs>
              <w:spacing w:line="240" w:lineRule="auto"/>
              <w:rPr>
                <w:sz w:val="23"/>
              </w:rPr>
            </w:pPr>
          </w:p>
        </w:tc>
      </w:tr>
      <w:tr w:rsidR="00000000">
        <w:tblPrEx>
          <w:tblCellMar>
            <w:top w:w="0" w:type="dxa"/>
            <w:bottom w:w="0" w:type="dxa"/>
          </w:tblCellMar>
        </w:tblPrEx>
        <w:trPr>
          <w:jc w:val="center"/>
        </w:trPr>
        <w:tc>
          <w:tcPr>
            <w:tcW w:w="6804" w:type="dxa"/>
          </w:tcPr>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Краткосрочный курс</w:t>
            </w:r>
          </w:p>
        </w:tc>
        <w:tc>
          <w:tcPr>
            <w:tcW w:w="1134" w:type="dxa"/>
          </w:tcPr>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73</w:t>
            </w:r>
          </w:p>
        </w:tc>
      </w:tr>
      <w:tr w:rsidR="00000000">
        <w:tblPrEx>
          <w:tblCellMar>
            <w:top w:w="0" w:type="dxa"/>
            <w:bottom w:w="0" w:type="dxa"/>
          </w:tblCellMar>
        </w:tblPrEx>
        <w:trPr>
          <w:jc w:val="center"/>
        </w:trPr>
        <w:tc>
          <w:tcPr>
            <w:tcW w:w="6804" w:type="dxa"/>
          </w:tcPr>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Среднесрочный курс</w:t>
            </w:r>
          </w:p>
        </w:tc>
        <w:tc>
          <w:tcPr>
            <w:tcW w:w="1134" w:type="dxa"/>
          </w:tcPr>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73</w:t>
            </w:r>
          </w:p>
        </w:tc>
      </w:tr>
      <w:tr w:rsidR="00000000">
        <w:tblPrEx>
          <w:tblCellMar>
            <w:top w:w="0" w:type="dxa"/>
            <w:bottom w:w="0" w:type="dxa"/>
          </w:tblCellMar>
        </w:tblPrEx>
        <w:trPr>
          <w:jc w:val="center"/>
        </w:trPr>
        <w:tc>
          <w:tcPr>
            <w:tcW w:w="6804" w:type="dxa"/>
          </w:tcPr>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Программы на степень бакалавра</w:t>
            </w:r>
          </w:p>
        </w:tc>
        <w:tc>
          <w:tcPr>
            <w:tcW w:w="1134" w:type="dxa"/>
          </w:tcPr>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54</w:t>
            </w:r>
          </w:p>
        </w:tc>
      </w:tr>
      <w:tr w:rsidR="00000000">
        <w:tblPrEx>
          <w:tblCellMar>
            <w:top w:w="0" w:type="dxa"/>
            <w:bottom w:w="0" w:type="dxa"/>
          </w:tblCellMar>
        </w:tblPrEx>
        <w:trPr>
          <w:jc w:val="center"/>
        </w:trPr>
        <w:tc>
          <w:tcPr>
            <w:tcW w:w="6804" w:type="dxa"/>
          </w:tcPr>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Основные университетские курсы</w:t>
            </w:r>
          </w:p>
        </w:tc>
        <w:tc>
          <w:tcPr>
            <w:tcW w:w="1134" w:type="dxa"/>
          </w:tcPr>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83</w:t>
            </w:r>
          </w:p>
        </w:tc>
      </w:tr>
      <w:tr w:rsidR="00000000">
        <w:tblPrEx>
          <w:tblCellMar>
            <w:top w:w="0" w:type="dxa"/>
            <w:bottom w:w="0" w:type="dxa"/>
          </w:tblCellMar>
        </w:tblPrEx>
        <w:trPr>
          <w:jc w:val="center"/>
        </w:trPr>
        <w:tc>
          <w:tcPr>
            <w:tcW w:w="6804" w:type="dxa"/>
          </w:tcPr>
          <w:p w:rsidR="00000000" w:rsidRDefault="00000000">
            <w:pPr>
              <w:tabs>
                <w:tab w:val="clear" w:pos="567"/>
                <w:tab w:val="clear" w:pos="1701"/>
                <w:tab w:val="clear" w:pos="2268"/>
                <w:tab w:val="clear" w:pos="6237"/>
                <w:tab w:val="left" w:pos="680"/>
                <w:tab w:val="left" w:pos="1134"/>
              </w:tabs>
              <w:spacing w:line="240" w:lineRule="auto"/>
              <w:rPr>
                <w:b/>
                <w:bCs/>
                <w:sz w:val="23"/>
                <w:vertAlign w:val="superscript"/>
              </w:rPr>
            </w:pPr>
            <w:r>
              <w:rPr>
                <w:sz w:val="23"/>
              </w:rPr>
              <w:t>Программы для всех выпускников</w:t>
            </w:r>
            <w:r>
              <w:rPr>
                <w:rStyle w:val="FootnoteReference"/>
              </w:rPr>
              <w:footnoteReference w:customMarkFollows="1" w:id="8"/>
              <w:t>c</w:t>
            </w:r>
          </w:p>
        </w:tc>
        <w:tc>
          <w:tcPr>
            <w:tcW w:w="1134" w:type="dxa"/>
          </w:tcPr>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70</w:t>
            </w:r>
          </w:p>
        </w:tc>
      </w:tr>
      <w:tr w:rsidR="00000000">
        <w:tblPrEx>
          <w:tblCellMar>
            <w:top w:w="0" w:type="dxa"/>
            <w:bottom w:w="0" w:type="dxa"/>
          </w:tblCellMar>
        </w:tblPrEx>
        <w:trPr>
          <w:jc w:val="center"/>
        </w:trPr>
        <w:tc>
          <w:tcPr>
            <w:tcW w:w="6804" w:type="dxa"/>
          </w:tcPr>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Отдельные программы для выпускников</w:t>
            </w:r>
          </w:p>
        </w:tc>
        <w:tc>
          <w:tcPr>
            <w:tcW w:w="1134" w:type="dxa"/>
          </w:tcPr>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77</w:t>
            </w:r>
          </w:p>
        </w:tc>
      </w:tr>
      <w:tr w:rsidR="00000000">
        <w:tblPrEx>
          <w:tblCellMar>
            <w:top w:w="0" w:type="dxa"/>
            <w:bottom w:w="0" w:type="dxa"/>
          </w:tblCellMar>
        </w:tblPrEx>
        <w:trPr>
          <w:jc w:val="center"/>
        </w:trPr>
        <w:tc>
          <w:tcPr>
            <w:tcW w:w="6804" w:type="dxa"/>
          </w:tcPr>
          <w:p w:rsidR="00000000" w:rsidRDefault="00000000">
            <w:pPr>
              <w:tabs>
                <w:tab w:val="clear" w:pos="567"/>
                <w:tab w:val="clear" w:pos="1701"/>
                <w:tab w:val="clear" w:pos="2268"/>
                <w:tab w:val="clear" w:pos="6237"/>
                <w:tab w:val="left" w:pos="680"/>
                <w:tab w:val="left" w:pos="1134"/>
              </w:tabs>
              <w:spacing w:line="240" w:lineRule="auto"/>
              <w:rPr>
                <w:b/>
                <w:bCs/>
                <w:sz w:val="23"/>
                <w:vertAlign w:val="superscript"/>
              </w:rPr>
            </w:pPr>
            <w:r>
              <w:rPr>
                <w:sz w:val="23"/>
              </w:rPr>
              <w:t>Программы на ученую степень (д-р философии)</w:t>
            </w:r>
            <w:r>
              <w:rPr>
                <w:rStyle w:val="FootnoteReference"/>
              </w:rPr>
              <w:footnoteReference w:customMarkFollows="1" w:id="9"/>
              <w:t>d</w:t>
            </w:r>
          </w:p>
        </w:tc>
        <w:tc>
          <w:tcPr>
            <w:tcW w:w="1134" w:type="dxa"/>
          </w:tcPr>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48</w:t>
            </w:r>
          </w:p>
        </w:tc>
      </w:tr>
    </w:tbl>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430.</w:t>
      </w:r>
      <w:r>
        <w:rPr>
          <w:sz w:val="23"/>
        </w:rPr>
        <w:tab/>
        <w:t>Однако незавершение курса не означает, что учащийся исключен из системы образования. Он вполне может перейти на другой курс. Поэтому ваше внимание обращается на приводимую ниже таблицу. В ней приводятся сведения о профиле образования учащихся на основе последних имеющихся данных:</w:t>
      </w:r>
    </w:p>
    <w:p w:rsidR="00000000" w:rsidRDefault="00000000">
      <w:pPr>
        <w:tabs>
          <w:tab w:val="clear" w:pos="567"/>
          <w:tab w:val="clear" w:pos="1701"/>
          <w:tab w:val="clear" w:pos="2268"/>
          <w:tab w:val="clear" w:pos="6237"/>
          <w:tab w:val="left" w:pos="680"/>
          <w:tab w:val="left" w:pos="1134"/>
        </w:tabs>
        <w:spacing w:line="240" w:lineRule="auto"/>
        <w:jc w:val="center"/>
        <w:rPr>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t>Таблица 23</w:t>
      </w: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t>Предполагаемые данные о профиле образования учащихся в 1998 году (в процентах)</w:t>
      </w:r>
    </w:p>
    <w:p w:rsidR="00000000" w:rsidRDefault="00000000">
      <w:pPr>
        <w:pStyle w:val="FootnoteText"/>
        <w:tabs>
          <w:tab w:val="clear" w:pos="567"/>
          <w:tab w:val="clear" w:pos="1701"/>
          <w:tab w:val="clear" w:pos="2268"/>
          <w:tab w:val="clear" w:pos="6237"/>
          <w:tab w:val="left" w:pos="680"/>
          <w:tab w:val="left" w:pos="1134"/>
        </w:tabs>
        <w:rPr>
          <w:sz w:val="23"/>
        </w:rPr>
      </w:pPr>
    </w:p>
    <w:tbl>
      <w:tblPr>
        <w:tblW w:w="964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5557"/>
        <w:gridCol w:w="1361"/>
        <w:gridCol w:w="1361"/>
        <w:gridCol w:w="1361"/>
      </w:tblGrid>
      <w:tr w:rsidR="00000000">
        <w:tblPrEx>
          <w:tblCellMar>
            <w:top w:w="0" w:type="dxa"/>
            <w:bottom w:w="0" w:type="dxa"/>
          </w:tblCellMar>
        </w:tblPrEx>
        <w:tc>
          <w:tcPr>
            <w:tcW w:w="5557" w:type="dxa"/>
            <w:tcBorders>
              <w:bottom w:val="single" w:sz="4" w:space="0" w:color="auto"/>
            </w:tcBorders>
          </w:tcPr>
          <w:p w:rsidR="00000000" w:rsidRDefault="00000000">
            <w:pPr>
              <w:pStyle w:val="16"/>
              <w:tabs>
                <w:tab w:val="clear" w:pos="567"/>
                <w:tab w:val="clear" w:pos="1701"/>
                <w:tab w:val="clear" w:pos="2268"/>
                <w:tab w:val="clear" w:pos="6237"/>
                <w:tab w:val="left" w:pos="680"/>
                <w:tab w:val="left" w:pos="1134"/>
              </w:tabs>
              <w:spacing w:before="40" w:after="40" w:line="240" w:lineRule="auto"/>
              <w:rPr>
                <w:sz w:val="23"/>
              </w:rPr>
            </w:pPr>
          </w:p>
        </w:tc>
        <w:tc>
          <w:tcPr>
            <w:tcW w:w="1361" w:type="dxa"/>
            <w:tcBorders>
              <w:bottom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b/>
                <w:bCs/>
                <w:sz w:val="23"/>
              </w:rPr>
            </w:pPr>
            <w:r>
              <w:rPr>
                <w:b/>
                <w:bCs/>
                <w:sz w:val="23"/>
              </w:rPr>
              <w:t>Мальчики</w:t>
            </w:r>
          </w:p>
        </w:tc>
        <w:tc>
          <w:tcPr>
            <w:tcW w:w="1361" w:type="dxa"/>
            <w:tcBorders>
              <w:bottom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b/>
                <w:bCs/>
                <w:sz w:val="23"/>
              </w:rPr>
            </w:pPr>
            <w:r>
              <w:rPr>
                <w:b/>
                <w:bCs/>
                <w:sz w:val="23"/>
              </w:rPr>
              <w:t>Девочки</w:t>
            </w:r>
          </w:p>
        </w:tc>
        <w:tc>
          <w:tcPr>
            <w:tcW w:w="1361" w:type="dxa"/>
            <w:tcBorders>
              <w:bottom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b/>
                <w:bCs/>
                <w:sz w:val="23"/>
              </w:rPr>
            </w:pPr>
            <w:r>
              <w:rPr>
                <w:b/>
                <w:bCs/>
                <w:sz w:val="23"/>
              </w:rPr>
              <w:t>Всего</w:t>
            </w:r>
          </w:p>
        </w:tc>
      </w:tr>
      <w:tr w:rsidR="00000000">
        <w:tblPrEx>
          <w:tblCellMar>
            <w:top w:w="0" w:type="dxa"/>
            <w:bottom w:w="0" w:type="dxa"/>
          </w:tblCellMar>
        </w:tblPrEx>
        <w:tc>
          <w:tcPr>
            <w:tcW w:w="5557" w:type="dxa"/>
            <w:tcBorders>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Только обязательное образование</w:t>
            </w:r>
          </w:p>
        </w:tc>
        <w:tc>
          <w:tcPr>
            <w:tcW w:w="1361" w:type="dxa"/>
            <w:tcBorders>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ind w:right="284"/>
              <w:jc w:val="right"/>
              <w:rPr>
                <w:sz w:val="23"/>
              </w:rPr>
            </w:pPr>
            <w:r>
              <w:rPr>
                <w:sz w:val="23"/>
              </w:rPr>
              <w:t>17</w:t>
            </w:r>
          </w:p>
        </w:tc>
        <w:tc>
          <w:tcPr>
            <w:tcW w:w="1361" w:type="dxa"/>
            <w:tcBorders>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ind w:right="284"/>
              <w:jc w:val="right"/>
              <w:rPr>
                <w:sz w:val="23"/>
              </w:rPr>
            </w:pPr>
            <w:r>
              <w:rPr>
                <w:sz w:val="23"/>
              </w:rPr>
              <w:t>12</w:t>
            </w:r>
          </w:p>
        </w:tc>
        <w:tc>
          <w:tcPr>
            <w:tcW w:w="1361" w:type="dxa"/>
            <w:tcBorders>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ind w:right="284"/>
              <w:jc w:val="right"/>
              <w:rPr>
                <w:sz w:val="23"/>
              </w:rPr>
            </w:pPr>
            <w:r>
              <w:rPr>
                <w:sz w:val="23"/>
              </w:rPr>
              <w:t>14</w:t>
            </w:r>
          </w:p>
        </w:tc>
      </w:tr>
      <w:tr w:rsidR="00000000">
        <w:tblPrEx>
          <w:tblCellMar>
            <w:top w:w="0" w:type="dxa"/>
            <w:bottom w:w="0" w:type="dxa"/>
          </w:tblCellMar>
        </w:tblPrEx>
        <w:tc>
          <w:tcPr>
            <w:tcW w:w="5557"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Образование с правом на продолжение обучения</w:t>
            </w:r>
          </w:p>
        </w:tc>
        <w:tc>
          <w:tcPr>
            <w:tcW w:w="1361"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ind w:right="284"/>
              <w:jc w:val="right"/>
              <w:rPr>
                <w:sz w:val="23"/>
              </w:rPr>
            </w:pPr>
            <w:r>
              <w:rPr>
                <w:sz w:val="23"/>
              </w:rPr>
              <w:t>9</w:t>
            </w:r>
          </w:p>
        </w:tc>
        <w:tc>
          <w:tcPr>
            <w:tcW w:w="1361"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ind w:right="284"/>
              <w:jc w:val="right"/>
              <w:rPr>
                <w:sz w:val="23"/>
              </w:rPr>
            </w:pPr>
            <w:r>
              <w:rPr>
                <w:sz w:val="23"/>
              </w:rPr>
              <w:t>8</w:t>
            </w:r>
          </w:p>
        </w:tc>
        <w:tc>
          <w:tcPr>
            <w:tcW w:w="1361"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ind w:right="284"/>
              <w:jc w:val="right"/>
              <w:rPr>
                <w:sz w:val="23"/>
              </w:rPr>
            </w:pPr>
            <w:r>
              <w:rPr>
                <w:sz w:val="23"/>
              </w:rPr>
              <w:t>9</w:t>
            </w:r>
          </w:p>
        </w:tc>
      </w:tr>
      <w:tr w:rsidR="00000000">
        <w:tblPrEx>
          <w:tblCellMar>
            <w:top w:w="0" w:type="dxa"/>
            <w:bottom w:w="0" w:type="dxa"/>
          </w:tblCellMar>
        </w:tblPrEx>
        <w:tc>
          <w:tcPr>
            <w:tcW w:w="5557"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Образование с присвоением профессиональной квалификации</w:t>
            </w:r>
          </w:p>
        </w:tc>
        <w:tc>
          <w:tcPr>
            <w:tcW w:w="1361"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ind w:right="284"/>
              <w:jc w:val="right"/>
              <w:rPr>
                <w:sz w:val="23"/>
              </w:rPr>
            </w:pPr>
            <w:r>
              <w:rPr>
                <w:sz w:val="23"/>
              </w:rPr>
              <w:t>74</w:t>
            </w:r>
          </w:p>
        </w:tc>
        <w:tc>
          <w:tcPr>
            <w:tcW w:w="1361"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ind w:right="284"/>
              <w:jc w:val="right"/>
              <w:rPr>
                <w:sz w:val="23"/>
              </w:rPr>
            </w:pPr>
            <w:r>
              <w:rPr>
                <w:sz w:val="23"/>
              </w:rPr>
              <w:t>80</w:t>
            </w:r>
          </w:p>
        </w:tc>
        <w:tc>
          <w:tcPr>
            <w:tcW w:w="1361"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ind w:right="284"/>
              <w:jc w:val="right"/>
              <w:rPr>
                <w:sz w:val="23"/>
              </w:rPr>
            </w:pPr>
            <w:r>
              <w:rPr>
                <w:sz w:val="23"/>
              </w:rPr>
              <w:t>77</w:t>
            </w:r>
          </w:p>
        </w:tc>
      </w:tr>
      <w:tr w:rsidR="00000000">
        <w:tblPrEx>
          <w:tblCellMar>
            <w:top w:w="0" w:type="dxa"/>
            <w:bottom w:w="0" w:type="dxa"/>
          </w:tblCellMar>
        </w:tblPrEx>
        <w:tc>
          <w:tcPr>
            <w:tcW w:w="5557" w:type="dxa"/>
            <w:tcBorders>
              <w:top w:val="nil"/>
              <w:bottom w:val="nil"/>
            </w:tcBorders>
          </w:tcPr>
          <w:p w:rsidR="00000000" w:rsidRDefault="00000000">
            <w:pPr>
              <w:tabs>
                <w:tab w:val="clear" w:pos="567"/>
                <w:tab w:val="clear" w:pos="1701"/>
                <w:tab w:val="clear" w:pos="2268"/>
                <w:tab w:val="clear" w:pos="6237"/>
                <w:tab w:val="left" w:pos="369"/>
                <w:tab w:val="left" w:pos="680"/>
                <w:tab w:val="left" w:pos="1134"/>
              </w:tabs>
              <w:spacing w:before="40" w:after="40" w:line="240" w:lineRule="auto"/>
              <w:rPr>
                <w:sz w:val="23"/>
              </w:rPr>
            </w:pPr>
            <w:r>
              <w:rPr>
                <w:sz w:val="23"/>
              </w:rPr>
              <w:t>Высшее образование</w:t>
            </w:r>
          </w:p>
        </w:tc>
        <w:tc>
          <w:tcPr>
            <w:tcW w:w="1361"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ind w:right="284"/>
              <w:jc w:val="right"/>
              <w:rPr>
                <w:sz w:val="23"/>
              </w:rPr>
            </w:pPr>
            <w:r>
              <w:rPr>
                <w:sz w:val="23"/>
              </w:rPr>
              <w:t>34</w:t>
            </w:r>
          </w:p>
        </w:tc>
        <w:tc>
          <w:tcPr>
            <w:tcW w:w="1361"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ind w:right="284"/>
              <w:jc w:val="right"/>
              <w:rPr>
                <w:sz w:val="23"/>
              </w:rPr>
            </w:pPr>
            <w:r>
              <w:rPr>
                <w:sz w:val="23"/>
              </w:rPr>
              <w:t>47</w:t>
            </w:r>
          </w:p>
        </w:tc>
        <w:tc>
          <w:tcPr>
            <w:tcW w:w="1361"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ind w:right="284"/>
              <w:jc w:val="right"/>
              <w:rPr>
                <w:sz w:val="23"/>
              </w:rPr>
            </w:pPr>
            <w:r>
              <w:rPr>
                <w:sz w:val="23"/>
              </w:rPr>
              <w:t>40</w:t>
            </w:r>
          </w:p>
        </w:tc>
      </w:tr>
      <w:tr w:rsidR="00000000">
        <w:tblPrEx>
          <w:tblCellMar>
            <w:top w:w="0" w:type="dxa"/>
            <w:bottom w:w="0" w:type="dxa"/>
          </w:tblCellMar>
        </w:tblPrEx>
        <w:tc>
          <w:tcPr>
            <w:tcW w:w="5557" w:type="dxa"/>
            <w:tcBorders>
              <w:top w:val="nil"/>
              <w:bottom w:val="nil"/>
            </w:tcBorders>
          </w:tcPr>
          <w:p w:rsidR="00000000" w:rsidRDefault="00000000">
            <w:pPr>
              <w:tabs>
                <w:tab w:val="clear" w:pos="567"/>
                <w:tab w:val="clear" w:pos="1701"/>
                <w:tab w:val="clear" w:pos="2268"/>
                <w:tab w:val="clear" w:pos="6237"/>
                <w:tab w:val="left" w:pos="369"/>
                <w:tab w:val="left" w:pos="680"/>
                <w:tab w:val="left" w:pos="1134"/>
              </w:tabs>
              <w:spacing w:before="40" w:after="40" w:line="240" w:lineRule="auto"/>
              <w:rPr>
                <w:sz w:val="23"/>
              </w:rPr>
            </w:pPr>
            <w:r>
              <w:rPr>
                <w:sz w:val="23"/>
              </w:rPr>
              <w:t>Прочее</w:t>
            </w:r>
          </w:p>
        </w:tc>
        <w:tc>
          <w:tcPr>
            <w:tcW w:w="1361"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ind w:right="284"/>
              <w:jc w:val="right"/>
              <w:rPr>
                <w:sz w:val="23"/>
              </w:rPr>
            </w:pPr>
            <w:r>
              <w:rPr>
                <w:sz w:val="23"/>
              </w:rPr>
              <w:t>40</w:t>
            </w:r>
          </w:p>
        </w:tc>
        <w:tc>
          <w:tcPr>
            <w:tcW w:w="1361"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ind w:right="284"/>
              <w:jc w:val="right"/>
              <w:rPr>
                <w:sz w:val="23"/>
              </w:rPr>
            </w:pPr>
            <w:r>
              <w:rPr>
                <w:sz w:val="23"/>
              </w:rPr>
              <w:t>33</w:t>
            </w:r>
          </w:p>
        </w:tc>
        <w:tc>
          <w:tcPr>
            <w:tcW w:w="1361"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ind w:right="284"/>
              <w:jc w:val="right"/>
              <w:rPr>
                <w:sz w:val="23"/>
              </w:rPr>
            </w:pPr>
            <w:r>
              <w:rPr>
                <w:sz w:val="23"/>
              </w:rPr>
              <w:t>37</w:t>
            </w:r>
          </w:p>
        </w:tc>
      </w:tr>
      <w:tr w:rsidR="00000000">
        <w:tblPrEx>
          <w:tblCellMar>
            <w:top w:w="0" w:type="dxa"/>
            <w:bottom w:w="0" w:type="dxa"/>
          </w:tblCellMar>
        </w:tblPrEx>
        <w:tc>
          <w:tcPr>
            <w:tcW w:w="5557"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rPr>
                <w:b/>
                <w:bCs/>
                <w:sz w:val="23"/>
              </w:rPr>
            </w:pPr>
            <w:r>
              <w:rPr>
                <w:b/>
                <w:bCs/>
                <w:sz w:val="23"/>
              </w:rPr>
              <w:t>Всего</w:t>
            </w:r>
          </w:p>
        </w:tc>
        <w:tc>
          <w:tcPr>
            <w:tcW w:w="1361"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ind w:right="284"/>
              <w:jc w:val="right"/>
              <w:rPr>
                <w:b/>
                <w:bCs/>
                <w:sz w:val="23"/>
              </w:rPr>
            </w:pPr>
            <w:r>
              <w:rPr>
                <w:b/>
                <w:bCs/>
                <w:sz w:val="23"/>
              </w:rPr>
              <w:t>100</w:t>
            </w:r>
          </w:p>
        </w:tc>
        <w:tc>
          <w:tcPr>
            <w:tcW w:w="1361"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ind w:right="284"/>
              <w:jc w:val="right"/>
              <w:rPr>
                <w:b/>
                <w:bCs/>
                <w:sz w:val="23"/>
              </w:rPr>
            </w:pPr>
            <w:r>
              <w:rPr>
                <w:b/>
                <w:bCs/>
                <w:sz w:val="23"/>
              </w:rPr>
              <w:t>100</w:t>
            </w:r>
          </w:p>
        </w:tc>
        <w:tc>
          <w:tcPr>
            <w:tcW w:w="1361"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ind w:right="284"/>
              <w:jc w:val="right"/>
              <w:rPr>
                <w:b/>
                <w:bCs/>
                <w:sz w:val="23"/>
              </w:rPr>
            </w:pPr>
            <w:r>
              <w:rPr>
                <w:b/>
                <w:bCs/>
                <w:sz w:val="23"/>
              </w:rPr>
              <w:t>100</w:t>
            </w:r>
          </w:p>
        </w:tc>
      </w:tr>
      <w:tr w:rsidR="00000000">
        <w:tblPrEx>
          <w:tblCellMar>
            <w:top w:w="0" w:type="dxa"/>
            <w:bottom w:w="0" w:type="dxa"/>
          </w:tblCellMar>
        </w:tblPrEx>
        <w:tc>
          <w:tcPr>
            <w:tcW w:w="5557" w:type="dxa"/>
            <w:tcBorders>
              <w:top w:val="nil"/>
            </w:tcBorders>
          </w:tcPr>
          <w:p w:rsidR="00000000" w:rsidRDefault="00000000">
            <w:pPr>
              <w:tabs>
                <w:tab w:val="clear" w:pos="567"/>
                <w:tab w:val="clear" w:pos="1701"/>
                <w:tab w:val="clear" w:pos="2268"/>
                <w:tab w:val="clear" w:pos="6237"/>
                <w:tab w:val="left" w:pos="680"/>
                <w:tab w:val="left" w:pos="1134"/>
              </w:tabs>
              <w:spacing w:before="40" w:after="40" w:line="240" w:lineRule="auto"/>
              <w:rPr>
                <w:b/>
                <w:bCs/>
                <w:sz w:val="23"/>
              </w:rPr>
            </w:pPr>
            <w:r>
              <w:rPr>
                <w:b/>
                <w:bCs/>
                <w:sz w:val="23"/>
              </w:rPr>
              <w:t>Численность учащихся</w:t>
            </w:r>
          </w:p>
        </w:tc>
        <w:tc>
          <w:tcPr>
            <w:tcW w:w="1361" w:type="dxa"/>
            <w:tcBorders>
              <w:top w:val="nil"/>
            </w:tcBorders>
          </w:tcPr>
          <w:p w:rsidR="00000000" w:rsidRDefault="00000000">
            <w:pPr>
              <w:tabs>
                <w:tab w:val="clear" w:pos="567"/>
                <w:tab w:val="clear" w:pos="1701"/>
                <w:tab w:val="clear" w:pos="2268"/>
                <w:tab w:val="clear" w:pos="6237"/>
                <w:tab w:val="left" w:pos="680"/>
                <w:tab w:val="left" w:pos="1134"/>
              </w:tabs>
              <w:spacing w:before="40" w:after="40" w:line="240" w:lineRule="auto"/>
              <w:ind w:right="284"/>
              <w:jc w:val="right"/>
              <w:rPr>
                <w:b/>
                <w:bCs/>
                <w:sz w:val="23"/>
              </w:rPr>
            </w:pPr>
            <w:r>
              <w:rPr>
                <w:b/>
                <w:bCs/>
                <w:sz w:val="23"/>
              </w:rPr>
              <w:t>27 900</w:t>
            </w:r>
          </w:p>
        </w:tc>
        <w:tc>
          <w:tcPr>
            <w:tcW w:w="1361" w:type="dxa"/>
            <w:tcBorders>
              <w:top w:val="nil"/>
            </w:tcBorders>
          </w:tcPr>
          <w:p w:rsidR="00000000" w:rsidRDefault="00000000">
            <w:pPr>
              <w:tabs>
                <w:tab w:val="clear" w:pos="567"/>
                <w:tab w:val="clear" w:pos="1701"/>
                <w:tab w:val="clear" w:pos="2268"/>
                <w:tab w:val="clear" w:pos="6237"/>
                <w:tab w:val="left" w:pos="680"/>
                <w:tab w:val="left" w:pos="1134"/>
              </w:tabs>
              <w:spacing w:before="40" w:after="40" w:line="240" w:lineRule="auto"/>
              <w:ind w:right="284"/>
              <w:jc w:val="right"/>
              <w:rPr>
                <w:b/>
                <w:bCs/>
                <w:sz w:val="23"/>
              </w:rPr>
            </w:pPr>
            <w:r>
              <w:rPr>
                <w:b/>
                <w:bCs/>
                <w:sz w:val="23"/>
              </w:rPr>
              <w:t>27 100</w:t>
            </w:r>
          </w:p>
        </w:tc>
        <w:tc>
          <w:tcPr>
            <w:tcW w:w="1361" w:type="dxa"/>
            <w:tcBorders>
              <w:top w:val="nil"/>
            </w:tcBorders>
          </w:tcPr>
          <w:p w:rsidR="00000000" w:rsidRDefault="00000000">
            <w:pPr>
              <w:tabs>
                <w:tab w:val="clear" w:pos="567"/>
                <w:tab w:val="clear" w:pos="1701"/>
                <w:tab w:val="clear" w:pos="2268"/>
                <w:tab w:val="clear" w:pos="6237"/>
                <w:tab w:val="left" w:pos="680"/>
                <w:tab w:val="left" w:pos="1134"/>
              </w:tabs>
              <w:spacing w:before="40" w:after="40" w:line="240" w:lineRule="auto"/>
              <w:ind w:right="284"/>
              <w:jc w:val="right"/>
              <w:rPr>
                <w:b/>
                <w:bCs/>
                <w:sz w:val="23"/>
              </w:rPr>
            </w:pPr>
            <w:r>
              <w:rPr>
                <w:b/>
                <w:bCs/>
                <w:sz w:val="23"/>
              </w:rPr>
              <w:t>55 000</w:t>
            </w:r>
          </w:p>
        </w:tc>
      </w:tr>
    </w:tbl>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spacing w:before="120"/>
      </w:pPr>
      <w:bookmarkStart w:id="372" w:name="_Toc51496962"/>
      <w:bookmarkStart w:id="373" w:name="_Toc51497129"/>
      <w:bookmarkStart w:id="374" w:name="_Toc51497654"/>
      <w:r>
        <w:t>Пункт 59 руководящих принципов: Расходы на образование, школьная система и т. д.</w:t>
      </w:r>
      <w:bookmarkEnd w:id="372"/>
      <w:bookmarkEnd w:id="373"/>
      <w:bookmarkEnd w:id="374"/>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431.</w:t>
      </w:r>
      <w:r>
        <w:rPr>
          <w:sz w:val="23"/>
        </w:rPr>
        <w:tab/>
        <w:t>В 1998 году общий объем государственных расходов на образование составил 88,3 млрд. датских крон, что составляет 7,6% валового национального продукта страны.</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432.</w:t>
      </w:r>
      <w:r>
        <w:rPr>
          <w:sz w:val="23"/>
        </w:rPr>
        <w:tab/>
        <w:t xml:space="preserve">Сведения о системе образования Дании см. в приложении III, а также в Интернете по адресу: </w:t>
      </w:r>
      <w:r>
        <w:rPr>
          <w:sz w:val="23"/>
          <w:lang w:val="en-US"/>
        </w:rPr>
        <w:t>http</w:t>
      </w:r>
      <w:r>
        <w:rPr>
          <w:sz w:val="23"/>
        </w:rPr>
        <w:t>://</w:t>
      </w:r>
      <w:r>
        <w:rPr>
          <w:sz w:val="23"/>
          <w:lang w:val="en-US"/>
        </w:rPr>
        <w:t>www</w:t>
      </w:r>
      <w:r>
        <w:rPr>
          <w:sz w:val="23"/>
        </w:rPr>
        <w:t>.</w:t>
      </w:r>
      <w:r>
        <w:rPr>
          <w:sz w:val="23"/>
          <w:lang w:val="en-US"/>
        </w:rPr>
        <w:t>eng</w:t>
      </w:r>
      <w:r>
        <w:rPr>
          <w:sz w:val="23"/>
        </w:rPr>
        <w:t>.</w:t>
      </w:r>
      <w:r>
        <w:rPr>
          <w:sz w:val="23"/>
          <w:lang w:val="en-US"/>
        </w:rPr>
        <w:t>uvm</w:t>
      </w:r>
      <w:r>
        <w:rPr>
          <w:sz w:val="23"/>
        </w:rPr>
        <w:t>.</w:t>
      </w:r>
      <w:r>
        <w:rPr>
          <w:sz w:val="23"/>
          <w:lang w:val="en-US"/>
        </w:rPr>
        <w:t>dk</w:t>
      </w:r>
      <w:r>
        <w:rPr>
          <w:sz w:val="23"/>
        </w:rPr>
        <w:t>//</w:t>
      </w:r>
      <w:r>
        <w:rPr>
          <w:sz w:val="23"/>
          <w:lang w:val="en-US"/>
        </w:rPr>
        <w:t>education</w:t>
      </w:r>
      <w:r>
        <w:rPr>
          <w:sz w:val="23"/>
        </w:rPr>
        <w:t>/</w:t>
      </w:r>
      <w:r>
        <w:rPr>
          <w:sz w:val="23"/>
          <w:lang w:val="en-US"/>
        </w:rPr>
        <w:t>General</w:t>
      </w:r>
      <w:r>
        <w:rPr>
          <w:sz w:val="23"/>
        </w:rPr>
        <w:t>/</w:t>
      </w:r>
      <w:r>
        <w:rPr>
          <w:sz w:val="23"/>
          <w:lang w:val="en-US"/>
        </w:rPr>
        <w:t>diagram</w:t>
      </w:r>
      <w:r>
        <w:rPr>
          <w:sz w:val="23"/>
        </w:rPr>
        <w:t>.</w:t>
      </w:r>
      <w:r>
        <w:rPr>
          <w:sz w:val="23"/>
          <w:lang w:val="en-US"/>
        </w:rPr>
        <w:t>htm</w:t>
      </w:r>
      <w:r>
        <w:rPr>
          <w:sz w:val="23"/>
        </w:rPr>
        <w:t>.</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433.</w:t>
      </w:r>
      <w:r>
        <w:rPr>
          <w:sz w:val="23"/>
        </w:rPr>
        <w:tab/>
        <w:t>Народные школы Дании – это общеобразовательные школы, которые включают весь период обязательного обучения, т. е. получение начального образования и среднего образования первой степени. Это единая школа без распределения учащихся по способностям на каком бы то ни было уровне. В рамках Закона о народной школе министерство образования издает для народных школ руководящие положения и инструкции. Муниципальные школы, большинство из которых являются народными, курируются и управляются муниципальными советами. Вместе с представителями отдельных школ муниципальный совет принимает решения по реализации общих целей и основных направлений учебных программ, утвержденных министерством образования. Муниципальный совет несет общую ответственность за школьные учебные заведения соответствующего муниципалитета.</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434.</w:t>
      </w:r>
      <w:r>
        <w:rPr>
          <w:sz w:val="23"/>
        </w:rPr>
        <w:tab/>
        <w:t>Частные школы, посещаемые детьми в возрасте обязательного школьного обучения, обеспечивают весь комплекс подготовки по программе народной школы, т. е. с первого по девятый/десятый класс с охватом как начального образования, так и среднего образования первой ступени. Единственное требование, предъявляемое к частному образованию, заключается в том, чтобы его программа преподавания соизмерялась с программой муниципальных школ. Министерство образования предоставляет частной школе право проводить выпускные экзамены по программе муниципальных школ и тем самым косвенно осуществляет контроль за качеством подготовки. Однако в принципе не правительственные органы, а сами родители учащихся индивидуальных частных школ должны проверять, соответствует ли обучение в этих школах стандартам муниципальных школ.</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435.</w:t>
      </w:r>
      <w:r>
        <w:rPr>
          <w:sz w:val="23"/>
        </w:rPr>
        <w:tab/>
        <w:t>В 1998 году программа обязательного начального и среднего образования преподавалась в 2364 школах. Число гимназий, средних подготовительных школ и т. д. составляло 150. В стране насчитывалось 252 профессионально-технических училища и 194 высших учебных заведения.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436.</w:t>
      </w:r>
      <w:r>
        <w:rPr>
          <w:sz w:val="23"/>
        </w:rPr>
        <w:tab/>
        <w:t>Необходимость строительства новых школ возросла, поскольку началось увеличение численности учащихся. Поэтому в 2000 году правительство и Национальная ассоциация местных органов власти Дании согласились увеличить финансирование строительства новых школ: в 2001 и 2002 годах местные органы власти смогли ежегодно выделять на эти цели по 3,5 млрд. датских крон.</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437.</w:t>
      </w:r>
      <w:r>
        <w:rPr>
          <w:sz w:val="23"/>
        </w:rPr>
        <w:tab/>
        <w:t>Ввиду небольших размеров национальной территории доступ учащихся в школы географически не затруднен. Следует отметить, однако, что Дания является страной, включающей множество мелких заселенных островов. Но поскольку расстояние до материка в большинстве случае незначительно и морское сообщение между островами и прибрежной материковой зоной в обычные рабочие часы функционирует нормально, это, как правило, не вызывает серьезных проблем. Положения Закона о народной школе поддерживают создание небольших школ, с тем чтобы освободить детей младшего возраста от поездок на материк для посещения занятий.</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438.</w:t>
      </w:r>
      <w:r>
        <w:rPr>
          <w:sz w:val="23"/>
        </w:rPr>
        <w:tab/>
        <w:t>В целях дальнейшего сохранения небольших школ в сельских районах недавно было принято исключение, разрешающее совместное административное управление этими школами и/или их интеграцию с центрами по уходу за детьми в дневное время.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375" w:name="_Toc51496963"/>
      <w:bookmarkStart w:id="376" w:name="_Toc51497130"/>
      <w:bookmarkStart w:id="377" w:name="_Toc51497655"/>
      <w:r>
        <w:t>Пункт 60 а) руководящих принципов: Соотношение мужчин и женщин с различным уровнем образования</w:t>
      </w:r>
      <w:bookmarkEnd w:id="375"/>
      <w:bookmarkEnd w:id="376"/>
      <w:bookmarkEnd w:id="377"/>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439.</w:t>
      </w:r>
      <w:r>
        <w:rPr>
          <w:sz w:val="23"/>
        </w:rPr>
        <w:tab/>
        <w:t>См. ответ на вопрос 58.</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440.</w:t>
      </w:r>
      <w:r>
        <w:rPr>
          <w:sz w:val="23"/>
        </w:rPr>
        <w:tab/>
        <w:t>За исключением некоторых видов образования для взрослых на продвинутом уровне обучение в учебных заведениях Дании бесплатное. Поддержка учащихся, которая предоставляется им после 18 лет, обеспечивается государством в форме государственных ссуд и займов на образование и является единственным сколько-нибудь значительным источником материальной помощи. Эта поддержка предназначена главным образом для покрытия расходов на проживание, приобретение учебников и других учебных материалов. Механизм поддержки основан на принципе равенства возможностей. Каждый должен иметь возможность для прохождения курса обучения независимо от его/ее социального происхождения.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441.</w:t>
      </w:r>
      <w:r>
        <w:rPr>
          <w:sz w:val="23"/>
        </w:rPr>
        <w:tab/>
        <w:t>Нижеследующая таблица отражает степень практического применения принципа равного доступа к различным уровням образования: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br w:type="page"/>
        <w:t>Таблица 24</w:t>
      </w: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t xml:space="preserve">Распределение населения (15–69 лет) в разбивке по полу и уровню образования, 1999 год </w:t>
      </w:r>
      <w:r>
        <w:rPr>
          <w:b/>
          <w:bCs/>
          <w:sz w:val="23"/>
        </w:rPr>
        <w:br/>
        <w:t>(в процентах)</w:t>
      </w:r>
    </w:p>
    <w:p w:rsidR="00000000" w:rsidRDefault="00000000">
      <w:pPr>
        <w:tabs>
          <w:tab w:val="clear" w:pos="567"/>
          <w:tab w:val="clear" w:pos="1701"/>
          <w:tab w:val="clear" w:pos="2268"/>
          <w:tab w:val="clear" w:pos="6237"/>
          <w:tab w:val="left" w:pos="680"/>
          <w:tab w:val="left" w:pos="1134"/>
        </w:tabs>
        <w:spacing w:line="240" w:lineRule="auto"/>
        <w:rPr>
          <w:b/>
          <w:bCs/>
          <w:sz w:val="23"/>
        </w:rPr>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5557"/>
        <w:gridCol w:w="1361"/>
        <w:gridCol w:w="1361"/>
        <w:gridCol w:w="1361"/>
      </w:tblGrid>
      <w:tr w:rsidR="00000000">
        <w:tblPrEx>
          <w:tblCellMar>
            <w:top w:w="0" w:type="dxa"/>
            <w:bottom w:w="0" w:type="dxa"/>
          </w:tblCellMar>
        </w:tblPrEx>
        <w:tc>
          <w:tcPr>
            <w:tcW w:w="5557" w:type="dxa"/>
            <w:tcBorders>
              <w:bottom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p>
        </w:tc>
        <w:tc>
          <w:tcPr>
            <w:tcW w:w="1361" w:type="dxa"/>
            <w:tcBorders>
              <w:bottom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b/>
                <w:bCs/>
                <w:sz w:val="23"/>
              </w:rPr>
            </w:pPr>
            <w:r>
              <w:rPr>
                <w:b/>
                <w:bCs/>
                <w:sz w:val="23"/>
              </w:rPr>
              <w:t>Мужчины</w:t>
            </w:r>
          </w:p>
        </w:tc>
        <w:tc>
          <w:tcPr>
            <w:tcW w:w="1361" w:type="dxa"/>
            <w:tcBorders>
              <w:bottom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b/>
                <w:bCs/>
                <w:sz w:val="23"/>
              </w:rPr>
            </w:pPr>
            <w:r>
              <w:rPr>
                <w:b/>
                <w:bCs/>
                <w:sz w:val="23"/>
              </w:rPr>
              <w:t>Женщины</w:t>
            </w:r>
          </w:p>
        </w:tc>
        <w:tc>
          <w:tcPr>
            <w:tcW w:w="1361" w:type="dxa"/>
            <w:tcBorders>
              <w:bottom w:val="single" w:sz="4" w:space="0" w:color="auto"/>
            </w:tcBorders>
          </w:tcPr>
          <w:p w:rsidR="00000000" w:rsidRDefault="00000000">
            <w:pPr>
              <w:tabs>
                <w:tab w:val="clear" w:pos="567"/>
                <w:tab w:val="clear" w:pos="1701"/>
                <w:tab w:val="clear" w:pos="2268"/>
                <w:tab w:val="clear" w:pos="6237"/>
                <w:tab w:val="left" w:pos="680"/>
                <w:tab w:val="left" w:pos="1134"/>
              </w:tabs>
              <w:spacing w:before="40" w:after="40" w:line="240" w:lineRule="auto"/>
              <w:jc w:val="center"/>
              <w:rPr>
                <w:b/>
                <w:bCs/>
                <w:sz w:val="23"/>
              </w:rPr>
            </w:pPr>
            <w:r>
              <w:rPr>
                <w:b/>
                <w:bCs/>
                <w:sz w:val="23"/>
              </w:rPr>
              <w:t>Всего</w:t>
            </w:r>
          </w:p>
        </w:tc>
      </w:tr>
      <w:tr w:rsidR="00000000">
        <w:tblPrEx>
          <w:tblCellMar>
            <w:top w:w="0" w:type="dxa"/>
            <w:bottom w:w="0" w:type="dxa"/>
          </w:tblCellMar>
        </w:tblPrEx>
        <w:tc>
          <w:tcPr>
            <w:tcW w:w="5557" w:type="dxa"/>
            <w:tcBorders>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Всего</w:t>
            </w:r>
          </w:p>
        </w:tc>
        <w:tc>
          <w:tcPr>
            <w:tcW w:w="1361" w:type="dxa"/>
            <w:tcBorders>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ind w:right="284"/>
              <w:jc w:val="right"/>
              <w:rPr>
                <w:sz w:val="23"/>
              </w:rPr>
            </w:pPr>
            <w:r>
              <w:rPr>
                <w:sz w:val="23"/>
              </w:rPr>
              <w:t>100,0</w:t>
            </w:r>
          </w:p>
        </w:tc>
        <w:tc>
          <w:tcPr>
            <w:tcW w:w="1361" w:type="dxa"/>
            <w:tcBorders>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ind w:right="284"/>
              <w:jc w:val="right"/>
              <w:rPr>
                <w:sz w:val="23"/>
              </w:rPr>
            </w:pPr>
            <w:r>
              <w:rPr>
                <w:sz w:val="23"/>
              </w:rPr>
              <w:t>100,0</w:t>
            </w:r>
          </w:p>
        </w:tc>
        <w:tc>
          <w:tcPr>
            <w:tcW w:w="1361" w:type="dxa"/>
            <w:tcBorders>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ind w:right="284"/>
              <w:jc w:val="right"/>
              <w:rPr>
                <w:sz w:val="23"/>
              </w:rPr>
            </w:pPr>
            <w:r>
              <w:rPr>
                <w:sz w:val="23"/>
              </w:rPr>
              <w:t>100,0</w:t>
            </w:r>
          </w:p>
        </w:tc>
      </w:tr>
      <w:tr w:rsidR="00000000">
        <w:tblPrEx>
          <w:tblCellMar>
            <w:top w:w="0" w:type="dxa"/>
            <w:bottom w:w="0" w:type="dxa"/>
          </w:tblCellMar>
        </w:tblPrEx>
        <w:tc>
          <w:tcPr>
            <w:tcW w:w="5557"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Только обязательное образование</w:t>
            </w:r>
          </w:p>
        </w:tc>
        <w:tc>
          <w:tcPr>
            <w:tcW w:w="1361"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ind w:right="284"/>
              <w:jc w:val="right"/>
              <w:rPr>
                <w:sz w:val="23"/>
              </w:rPr>
            </w:pPr>
            <w:r>
              <w:rPr>
                <w:sz w:val="23"/>
              </w:rPr>
              <w:t>29,7</w:t>
            </w:r>
          </w:p>
        </w:tc>
        <w:tc>
          <w:tcPr>
            <w:tcW w:w="1361"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ind w:right="284"/>
              <w:jc w:val="right"/>
              <w:rPr>
                <w:sz w:val="23"/>
              </w:rPr>
            </w:pPr>
            <w:r>
              <w:rPr>
                <w:sz w:val="23"/>
              </w:rPr>
              <w:t>35,7</w:t>
            </w:r>
          </w:p>
        </w:tc>
        <w:tc>
          <w:tcPr>
            <w:tcW w:w="1361"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ind w:right="284"/>
              <w:jc w:val="right"/>
              <w:rPr>
                <w:sz w:val="23"/>
              </w:rPr>
            </w:pPr>
            <w:r>
              <w:rPr>
                <w:sz w:val="23"/>
              </w:rPr>
              <w:t>32,7</w:t>
            </w:r>
          </w:p>
        </w:tc>
      </w:tr>
      <w:tr w:rsidR="00000000">
        <w:tblPrEx>
          <w:tblCellMar>
            <w:top w:w="0" w:type="dxa"/>
            <w:bottom w:w="0" w:type="dxa"/>
          </w:tblCellMar>
        </w:tblPrEx>
        <w:tc>
          <w:tcPr>
            <w:tcW w:w="5557"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Образование с правом на продолжение обучения</w:t>
            </w:r>
          </w:p>
        </w:tc>
        <w:tc>
          <w:tcPr>
            <w:tcW w:w="1361"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ind w:right="284"/>
              <w:jc w:val="right"/>
              <w:rPr>
                <w:sz w:val="23"/>
              </w:rPr>
            </w:pPr>
            <w:r>
              <w:rPr>
                <w:sz w:val="23"/>
              </w:rPr>
              <w:t>4,9</w:t>
            </w:r>
          </w:p>
        </w:tc>
        <w:tc>
          <w:tcPr>
            <w:tcW w:w="1361"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ind w:right="284"/>
              <w:jc w:val="right"/>
              <w:rPr>
                <w:sz w:val="23"/>
              </w:rPr>
            </w:pPr>
            <w:r>
              <w:rPr>
                <w:sz w:val="23"/>
              </w:rPr>
              <w:t>6,0</w:t>
            </w:r>
          </w:p>
        </w:tc>
        <w:tc>
          <w:tcPr>
            <w:tcW w:w="1361"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ind w:right="284"/>
              <w:jc w:val="right"/>
              <w:rPr>
                <w:sz w:val="23"/>
              </w:rPr>
            </w:pPr>
            <w:r>
              <w:rPr>
                <w:sz w:val="23"/>
              </w:rPr>
              <w:t>5,4</w:t>
            </w:r>
          </w:p>
        </w:tc>
      </w:tr>
      <w:tr w:rsidR="00000000">
        <w:tblPrEx>
          <w:tblCellMar>
            <w:top w:w="0" w:type="dxa"/>
            <w:bottom w:w="0" w:type="dxa"/>
          </w:tblCellMar>
        </w:tblPrEx>
        <w:tc>
          <w:tcPr>
            <w:tcW w:w="5557"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Образование с присвоением профессиональной квалификации</w:t>
            </w:r>
          </w:p>
        </w:tc>
        <w:tc>
          <w:tcPr>
            <w:tcW w:w="1361"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ind w:right="284"/>
              <w:jc w:val="right"/>
              <w:rPr>
                <w:sz w:val="23"/>
              </w:rPr>
            </w:pPr>
            <w:r>
              <w:rPr>
                <w:sz w:val="23"/>
              </w:rPr>
              <w:t>59,5</w:t>
            </w:r>
          </w:p>
        </w:tc>
        <w:tc>
          <w:tcPr>
            <w:tcW w:w="1361"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ind w:right="284"/>
              <w:jc w:val="right"/>
              <w:rPr>
                <w:sz w:val="23"/>
              </w:rPr>
            </w:pPr>
            <w:r>
              <w:rPr>
                <w:sz w:val="23"/>
              </w:rPr>
              <w:t>52,7</w:t>
            </w:r>
          </w:p>
        </w:tc>
        <w:tc>
          <w:tcPr>
            <w:tcW w:w="1361"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ind w:right="284"/>
              <w:jc w:val="right"/>
              <w:rPr>
                <w:sz w:val="23"/>
              </w:rPr>
            </w:pPr>
            <w:r>
              <w:rPr>
                <w:sz w:val="23"/>
              </w:rPr>
              <w:t>56,1</w:t>
            </w:r>
          </w:p>
        </w:tc>
      </w:tr>
      <w:tr w:rsidR="00000000">
        <w:tblPrEx>
          <w:tblCellMar>
            <w:top w:w="0" w:type="dxa"/>
            <w:bottom w:w="0" w:type="dxa"/>
          </w:tblCellMar>
        </w:tblPrEx>
        <w:tc>
          <w:tcPr>
            <w:tcW w:w="5557"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Высшее образование</w:t>
            </w:r>
          </w:p>
        </w:tc>
        <w:tc>
          <w:tcPr>
            <w:tcW w:w="1361"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ind w:right="284"/>
              <w:jc w:val="right"/>
              <w:rPr>
                <w:sz w:val="23"/>
              </w:rPr>
            </w:pPr>
            <w:r>
              <w:rPr>
                <w:sz w:val="23"/>
              </w:rPr>
              <w:t>18,9</w:t>
            </w:r>
          </w:p>
        </w:tc>
        <w:tc>
          <w:tcPr>
            <w:tcW w:w="1361"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ind w:right="284"/>
              <w:jc w:val="right"/>
              <w:rPr>
                <w:sz w:val="23"/>
              </w:rPr>
            </w:pPr>
            <w:r>
              <w:rPr>
                <w:sz w:val="23"/>
              </w:rPr>
              <w:t>20,6</w:t>
            </w:r>
          </w:p>
        </w:tc>
        <w:tc>
          <w:tcPr>
            <w:tcW w:w="1361"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ind w:right="284"/>
              <w:jc w:val="right"/>
              <w:rPr>
                <w:sz w:val="23"/>
              </w:rPr>
            </w:pPr>
            <w:r>
              <w:rPr>
                <w:sz w:val="23"/>
              </w:rPr>
              <w:t>19,7</w:t>
            </w:r>
          </w:p>
        </w:tc>
      </w:tr>
      <w:tr w:rsidR="00000000">
        <w:tblPrEx>
          <w:tblCellMar>
            <w:top w:w="0" w:type="dxa"/>
            <w:bottom w:w="0" w:type="dxa"/>
          </w:tblCellMar>
        </w:tblPrEx>
        <w:tc>
          <w:tcPr>
            <w:tcW w:w="5557"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Прочее</w:t>
            </w:r>
          </w:p>
        </w:tc>
        <w:tc>
          <w:tcPr>
            <w:tcW w:w="1361"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ind w:right="284"/>
              <w:jc w:val="right"/>
              <w:rPr>
                <w:sz w:val="23"/>
              </w:rPr>
            </w:pPr>
            <w:r>
              <w:rPr>
                <w:sz w:val="23"/>
              </w:rPr>
              <w:t>40,6</w:t>
            </w:r>
          </w:p>
        </w:tc>
        <w:tc>
          <w:tcPr>
            <w:tcW w:w="1361"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ind w:right="284"/>
              <w:jc w:val="right"/>
              <w:rPr>
                <w:sz w:val="23"/>
              </w:rPr>
            </w:pPr>
            <w:r>
              <w:rPr>
                <w:sz w:val="23"/>
              </w:rPr>
              <w:t>32,1</w:t>
            </w:r>
          </w:p>
        </w:tc>
        <w:tc>
          <w:tcPr>
            <w:tcW w:w="1361" w:type="dxa"/>
            <w:tcBorders>
              <w:top w:val="nil"/>
              <w:bottom w:val="nil"/>
            </w:tcBorders>
          </w:tcPr>
          <w:p w:rsidR="00000000" w:rsidRDefault="00000000">
            <w:pPr>
              <w:tabs>
                <w:tab w:val="clear" w:pos="567"/>
                <w:tab w:val="clear" w:pos="1701"/>
                <w:tab w:val="clear" w:pos="2268"/>
                <w:tab w:val="clear" w:pos="6237"/>
                <w:tab w:val="left" w:pos="680"/>
                <w:tab w:val="left" w:pos="1134"/>
              </w:tabs>
              <w:spacing w:before="40" w:after="40" w:line="240" w:lineRule="auto"/>
              <w:ind w:right="284"/>
              <w:jc w:val="right"/>
              <w:rPr>
                <w:sz w:val="23"/>
              </w:rPr>
            </w:pPr>
            <w:r>
              <w:rPr>
                <w:sz w:val="23"/>
              </w:rPr>
              <w:t>36,4</w:t>
            </w:r>
          </w:p>
        </w:tc>
      </w:tr>
      <w:tr w:rsidR="00000000">
        <w:tblPrEx>
          <w:tblCellMar>
            <w:top w:w="0" w:type="dxa"/>
            <w:bottom w:w="0" w:type="dxa"/>
          </w:tblCellMar>
        </w:tblPrEx>
        <w:tc>
          <w:tcPr>
            <w:tcW w:w="5557" w:type="dxa"/>
            <w:tcBorders>
              <w:top w:val="nil"/>
            </w:tcBorders>
          </w:tcPr>
          <w:p w:rsidR="00000000" w:rsidRDefault="00000000">
            <w:pPr>
              <w:tabs>
                <w:tab w:val="clear" w:pos="567"/>
                <w:tab w:val="clear" w:pos="1701"/>
                <w:tab w:val="clear" w:pos="2268"/>
                <w:tab w:val="clear" w:pos="6237"/>
                <w:tab w:val="left" w:pos="680"/>
                <w:tab w:val="left" w:pos="1134"/>
              </w:tabs>
              <w:spacing w:before="40" w:after="40" w:line="240" w:lineRule="auto"/>
              <w:rPr>
                <w:sz w:val="23"/>
              </w:rPr>
            </w:pPr>
            <w:r>
              <w:rPr>
                <w:sz w:val="23"/>
              </w:rPr>
              <w:t>Нет сведений</w:t>
            </w:r>
          </w:p>
        </w:tc>
        <w:tc>
          <w:tcPr>
            <w:tcW w:w="1361" w:type="dxa"/>
            <w:tcBorders>
              <w:top w:val="nil"/>
            </w:tcBorders>
          </w:tcPr>
          <w:p w:rsidR="00000000" w:rsidRDefault="00000000">
            <w:pPr>
              <w:tabs>
                <w:tab w:val="clear" w:pos="567"/>
                <w:tab w:val="clear" w:pos="1701"/>
                <w:tab w:val="clear" w:pos="2268"/>
                <w:tab w:val="clear" w:pos="6237"/>
                <w:tab w:val="left" w:pos="680"/>
                <w:tab w:val="left" w:pos="1134"/>
              </w:tabs>
              <w:spacing w:before="40" w:after="40" w:line="240" w:lineRule="auto"/>
              <w:ind w:right="284"/>
              <w:jc w:val="right"/>
              <w:rPr>
                <w:sz w:val="23"/>
              </w:rPr>
            </w:pPr>
            <w:r>
              <w:rPr>
                <w:sz w:val="23"/>
              </w:rPr>
              <w:t>6,0</w:t>
            </w:r>
          </w:p>
        </w:tc>
        <w:tc>
          <w:tcPr>
            <w:tcW w:w="1361" w:type="dxa"/>
            <w:tcBorders>
              <w:top w:val="nil"/>
            </w:tcBorders>
          </w:tcPr>
          <w:p w:rsidR="00000000" w:rsidRDefault="00000000">
            <w:pPr>
              <w:tabs>
                <w:tab w:val="clear" w:pos="567"/>
                <w:tab w:val="clear" w:pos="1701"/>
                <w:tab w:val="clear" w:pos="2268"/>
                <w:tab w:val="clear" w:pos="6237"/>
                <w:tab w:val="left" w:pos="680"/>
                <w:tab w:val="left" w:pos="1134"/>
              </w:tabs>
              <w:spacing w:before="40" w:after="40" w:line="240" w:lineRule="auto"/>
              <w:ind w:right="284"/>
              <w:jc w:val="right"/>
              <w:rPr>
                <w:sz w:val="23"/>
              </w:rPr>
            </w:pPr>
            <w:r>
              <w:rPr>
                <w:sz w:val="23"/>
              </w:rPr>
              <w:t>5,7</w:t>
            </w:r>
          </w:p>
        </w:tc>
        <w:tc>
          <w:tcPr>
            <w:tcW w:w="1361" w:type="dxa"/>
            <w:tcBorders>
              <w:top w:val="nil"/>
            </w:tcBorders>
          </w:tcPr>
          <w:p w:rsidR="00000000" w:rsidRDefault="00000000">
            <w:pPr>
              <w:tabs>
                <w:tab w:val="clear" w:pos="567"/>
                <w:tab w:val="clear" w:pos="1701"/>
                <w:tab w:val="clear" w:pos="2268"/>
                <w:tab w:val="clear" w:pos="6237"/>
                <w:tab w:val="left" w:pos="680"/>
                <w:tab w:val="left" w:pos="1134"/>
              </w:tabs>
              <w:spacing w:before="40" w:after="40" w:line="240" w:lineRule="auto"/>
              <w:ind w:right="284"/>
              <w:jc w:val="right"/>
              <w:rPr>
                <w:sz w:val="23"/>
              </w:rPr>
            </w:pPr>
            <w:r>
              <w:rPr>
                <w:sz w:val="23"/>
              </w:rPr>
              <w:t>5,8</w:t>
            </w:r>
          </w:p>
        </w:tc>
      </w:tr>
    </w:tbl>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pStyle w:val="a0"/>
        <w:spacing w:before="120"/>
      </w:pPr>
      <w:bookmarkStart w:id="378" w:name="_Toc51496964"/>
      <w:bookmarkStart w:id="379" w:name="_Toc51497131"/>
      <w:bookmarkStart w:id="380" w:name="_Toc51497656"/>
      <w:r>
        <w:t>Пункт 60 b)–с) руководящих принципов: Малоимущие группы населения и меры, обеспечивающие равный доступ к образованию</w:t>
      </w:r>
      <w:bookmarkEnd w:id="378"/>
      <w:bookmarkEnd w:id="379"/>
      <w:bookmarkEnd w:id="380"/>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b/>
          <w:bCs/>
          <w:sz w:val="23"/>
        </w:rPr>
      </w:pPr>
      <w:r>
        <w:rPr>
          <w:b/>
          <w:bCs/>
          <w:sz w:val="23"/>
        </w:rPr>
        <w:t>Лечебное обучение и специальное образование</w:t>
      </w:r>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442.</w:t>
      </w:r>
      <w:r>
        <w:rPr>
          <w:sz w:val="23"/>
        </w:rPr>
        <w:tab/>
        <w:t>Дети с проблемами чтения и письма получают специальное образование при обычных школах. Дети с серьезными физическими или психологическими расстройствами посещают специальные школы. Для взрослых местные органы власти обязаны организовывать курсы чтения.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b/>
          <w:bCs/>
          <w:sz w:val="23"/>
        </w:rPr>
      </w:pPr>
      <w:r>
        <w:rPr>
          <w:b/>
          <w:bCs/>
          <w:sz w:val="23"/>
        </w:rPr>
        <w:t>Базовое образование для иммигрантов и беженцев</w:t>
      </w:r>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443.</w:t>
      </w:r>
      <w:r>
        <w:rPr>
          <w:sz w:val="23"/>
        </w:rPr>
        <w:tab/>
        <w:t xml:space="preserve">Всем иммигрантам и беженцам, законно проживающим в Дании, предлагается вводная программа, предусматривающая курс датского языка и основ устройства датского общества в сочетании с трудовым воспитанием. Эта программа основана на индивидуальном плане действий.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FootnoteText"/>
        <w:tabs>
          <w:tab w:val="clear" w:pos="567"/>
          <w:tab w:val="clear" w:pos="1701"/>
          <w:tab w:val="clear" w:pos="2268"/>
          <w:tab w:val="clear" w:pos="6237"/>
          <w:tab w:val="left" w:pos="680"/>
          <w:tab w:val="left" w:pos="1134"/>
        </w:tabs>
        <w:rPr>
          <w:sz w:val="23"/>
        </w:rPr>
      </w:pPr>
      <w:r>
        <w:rPr>
          <w:sz w:val="23"/>
        </w:rPr>
        <w:t>444.</w:t>
      </w:r>
      <w:r>
        <w:rPr>
          <w:sz w:val="23"/>
        </w:rPr>
        <w:tab/>
        <w:t xml:space="preserve">Цель обучения датскому как второму языку состоит в предоставлении участникам возможностей приобретения основных знаний для дальнейшего образования, а также приобретения общих навыков и знаний, которые связаны с трудовой жизнью и способствуют активному участию этих лиц в жизни датского общества. </w:t>
      </w:r>
    </w:p>
    <w:p w:rsidR="00000000" w:rsidRDefault="00000000">
      <w:pPr>
        <w:pStyle w:val="FootnoteText"/>
        <w:tabs>
          <w:tab w:val="clear" w:pos="567"/>
          <w:tab w:val="clear" w:pos="1701"/>
          <w:tab w:val="clear" w:pos="2268"/>
          <w:tab w:val="clear" w:pos="6237"/>
          <w:tab w:val="left" w:pos="680"/>
          <w:tab w:val="left" w:pos="1134"/>
        </w:tabs>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445.</w:t>
      </w:r>
      <w:r>
        <w:rPr>
          <w:sz w:val="23"/>
        </w:rPr>
        <w:tab/>
        <w:t>Эта программа предназначена для лиц, имеющих вид на жительство, лиц, которые по нынешнему законодательству имеют право бессрочно проживать в Дании, и граждан Дании, которые по особым причинам недостаточно владеют датским языком для жизни в датском обществе.</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446.</w:t>
      </w:r>
      <w:r>
        <w:rPr>
          <w:sz w:val="23"/>
        </w:rPr>
        <w:tab/>
        <w:t>Обучение предоставляется бесплатно.</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b/>
          <w:bCs/>
          <w:sz w:val="23"/>
        </w:rPr>
      </w:pPr>
      <w:r>
        <w:rPr>
          <w:b/>
          <w:bCs/>
          <w:sz w:val="23"/>
        </w:rPr>
        <w:br w:type="page"/>
        <w:t>Статистические данные об участии в программе курсов изучения датского в качестве второго языка</w:t>
      </w:r>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447.</w:t>
      </w:r>
      <w:r>
        <w:rPr>
          <w:sz w:val="23"/>
        </w:rPr>
        <w:tab/>
        <w:t>В 1999 году в этой программе в общей сложности участвовало 43 595 человек, что соответствует 17 223 учащимся очного отделения. Обучение участников рассчитано в среднем на 300 уроков.</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b/>
          <w:bCs/>
          <w:sz w:val="23"/>
        </w:rPr>
      </w:pPr>
      <w:r>
        <w:rPr>
          <w:b/>
          <w:bCs/>
          <w:sz w:val="23"/>
        </w:rPr>
        <w:t>Примеры дошкольных учебных мероприятий</w:t>
      </w:r>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448.</w:t>
      </w:r>
      <w:r>
        <w:rPr>
          <w:sz w:val="23"/>
        </w:rPr>
        <w:tab/>
        <w:t xml:space="preserve">Согласно Закону № 486 от 1 июля 1998 года двуязычным детям в центрах дневного ухода оказывается дополнительная помощь, если установлено, что их лингвистическое развитие не может достаточным образом стимулироваться учебным заведением. Кроме того, двуязычные дети, которые не посещают центров дневного ухода, имеют право на стимулирование лингвистического развития в объеме до 15 часов в неделю. За эту подготовку отвечают муниципалитеты, и министерство образования предприняло ряд инициатив для мотивации, направления и стимулирования работы в этой области.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b/>
          <w:bCs/>
          <w:sz w:val="23"/>
        </w:rPr>
      </w:pPr>
      <w:r>
        <w:rPr>
          <w:b/>
          <w:bCs/>
          <w:sz w:val="23"/>
        </w:rPr>
        <w:t>Примеры мер в интересах начальной школы и средней школы первой ступени</w:t>
      </w:r>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449.</w:t>
      </w:r>
      <w:r>
        <w:rPr>
          <w:sz w:val="23"/>
        </w:rPr>
        <w:tab/>
        <w:t>В 1996 году на активизацию процесса интеграции, в том числе и в школах, было выделено 100 млн. датских крон. Результаты этой программы распространяются сейчас среди всех школ и муниципалитетов.</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450.</w:t>
      </w:r>
      <w:r>
        <w:rPr>
          <w:sz w:val="23"/>
        </w:rPr>
        <w:tab/>
        <w:t>В августе текущего года учебные колледжи получили возможность предлагать в ряду основных предметов обучения датский в качестве второго языка.</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b/>
          <w:bCs/>
          <w:sz w:val="23"/>
        </w:rPr>
        <w:t>Среднее и высшее образование иммигрантов</w:t>
      </w:r>
      <w:r>
        <w:rPr>
          <w:rStyle w:val="FootnoteReference"/>
          <w:sz w:val="23"/>
        </w:rPr>
        <w:footnoteReference w:id="10"/>
      </w:r>
      <w:r>
        <w:rPr>
          <w:b/>
          <w:bCs/>
          <w:sz w:val="23"/>
        </w:rPr>
        <w:t xml:space="preserve"> и потомков иммигрантов из третьих стран</w:t>
      </w:r>
      <w:r>
        <w:rPr>
          <w:rStyle w:val="FootnoteReference"/>
          <w:sz w:val="23"/>
        </w:rPr>
        <w:footnoteReference w:id="11"/>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451.</w:t>
      </w:r>
      <w:r>
        <w:rPr>
          <w:sz w:val="23"/>
        </w:rPr>
        <w:tab/>
        <w:t>90% потомков иммигрантов из третьих стран продолжают свое образование после обязательного обучения, тогда как среди всего населения в целом этот показатель составляет 95% (1998). Коэффициент потомков иммигрантов из третьих стран, которые продолжают учебу после получения общего среднего образования, также примерно соответствует аналогичному коэффициенту в случае всего населения – соответственно, 87 и 95%.</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452.</w:t>
      </w:r>
      <w:r>
        <w:rPr>
          <w:sz w:val="23"/>
        </w:rPr>
        <w:tab/>
        <w:t>Однако среди этих групп показатели отсева</w:t>
      </w:r>
      <w:r>
        <w:rPr>
          <w:rStyle w:val="FootnoteReference"/>
          <w:sz w:val="23"/>
        </w:rPr>
        <w:footnoteReference w:id="12"/>
      </w:r>
      <w:r>
        <w:rPr>
          <w:sz w:val="23"/>
        </w:rPr>
        <w:t xml:space="preserve"> несколько выше. Если 86% всех учащихся, которые учатся в профессионально-технических училищах, заканчивают их, то только 76% иммигрантов из третьих стран и 77% потомков иммигрантов завершают свое образование. В</w:t>
      </w:r>
      <w:r>
        <w:rPr>
          <w:sz w:val="23"/>
          <w:lang w:val="en-US"/>
        </w:rPr>
        <w:t> </w:t>
      </w:r>
      <w:r>
        <w:rPr>
          <w:sz w:val="23"/>
        </w:rPr>
        <w:t>сфере высшего образования, например среднесрочного высшего образования, 67% иммигрантов из третьих стран и 53%</w:t>
      </w:r>
      <w:r>
        <w:rPr>
          <w:rStyle w:val="FootnoteReference"/>
          <w:sz w:val="23"/>
        </w:rPr>
        <w:footnoteReference w:id="13"/>
      </w:r>
      <w:r>
        <w:rPr>
          <w:sz w:val="23"/>
        </w:rPr>
        <w:t xml:space="preserve"> их потомков завершают образование, тогда как в случае всего населения этот показатель составляет 74%.</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453.</w:t>
      </w:r>
      <w:r>
        <w:rPr>
          <w:sz w:val="23"/>
        </w:rPr>
        <w:tab/>
        <w:t>Эти данные были опубликованы в сентябре 2000 года. Сейчас они анализируются в целях выяснения причин слабой успеваемости иммигрантов и их потомков по сравнению с другими группами населения. Вместе с тем в целях обеспечения выравнивания уровня образования различных групп иммигрантов по сравнению с аналогичным уровнем населения в целом уже принят ряд мер.</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b/>
          <w:bCs/>
          <w:sz w:val="23"/>
        </w:rPr>
      </w:pPr>
      <w:r>
        <w:rPr>
          <w:b/>
          <w:bCs/>
          <w:sz w:val="23"/>
        </w:rPr>
        <w:t>Примеры мер в интересах иммигрантов в области среднего и высшего образования</w:t>
      </w:r>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454.</w:t>
      </w:r>
      <w:r>
        <w:rPr>
          <w:sz w:val="23"/>
        </w:rPr>
        <w:tab/>
        <w:t>Образование двуязычных учащихся средней школы второй ступени является приоритетным объектом программ научных исследований и разработок, и в обоснование дополнительной подготовки учителей опубликован ряд докладов.</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455.</w:t>
      </w:r>
      <w:r>
        <w:rPr>
          <w:sz w:val="23"/>
        </w:rPr>
        <w:tab/>
        <w:t>В 1999 году министерство образования провело семинар для средних школ второй ступени с большим количеством двуязычных учащихся. Цель семинара заключалась в предоставлении этим школам более эффективных механизмов повышения качества обучения и жизни в этих школах в целом.</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456.</w:t>
      </w:r>
      <w:r>
        <w:rPr>
          <w:sz w:val="23"/>
        </w:rPr>
        <w:tab/>
        <w:t>В различных секторах системы медицинского просвещения были созданы курсы по организации разъяснительной работы и курсы специального назначения для подготовки двуязычных специалистов, работающих в учреждениях по уходу за детьми в дневное время. В настоящее время обсуждается вопрос о принятии мер в интересах иммигрантов, имеющих образование в области информационных технологий. Рассматриваются также меры в интересах иммигрантов в возрасте 16–25 лет, которые только что прибыли и, следовательно, не имеют датского начального образования, т. е. базы, на которой будут основываться последующие ступени образования.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381" w:name="_Toc51496965"/>
      <w:bookmarkStart w:id="382" w:name="_Toc51497132"/>
      <w:bookmarkStart w:id="383" w:name="_Toc51497657"/>
      <w:r>
        <w:t>Пункт 60 d) руководящих принципов: Языковые возможности</w:t>
      </w:r>
      <w:bookmarkEnd w:id="381"/>
      <w:bookmarkEnd w:id="382"/>
      <w:bookmarkEnd w:id="383"/>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457.</w:t>
      </w:r>
      <w:r>
        <w:rPr>
          <w:sz w:val="23"/>
        </w:rPr>
        <w:tab/>
        <w:t>Двуязычным учащимся начальной школы и средней школы первой ступени муниципальные советы предлагают подготовку по родному языку. Весной этого года министр образования издал новое распоряжение по дальнейшему повышению качества подготовки в этой области.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458.</w:t>
      </w:r>
      <w:r>
        <w:rPr>
          <w:sz w:val="23"/>
        </w:rPr>
        <w:tab/>
        <w:t>Согласно закону о начальной школе и средней школе первой ступени любой ученик может выбрать тот или иной язык иммигрантов в качестве факультативного предмета. Цель этой меры заключается в расширении двуязычного и межкультурного общения между молодыми иммигрантами и беженцами.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384" w:name="_Toc51496966"/>
      <w:bookmarkStart w:id="385" w:name="_Toc51497133"/>
      <w:bookmarkStart w:id="386" w:name="_Toc51497658"/>
      <w:r>
        <w:t>Пункт 61 руководящих принципов: Положение преподавательского состава</w:t>
      </w:r>
      <w:bookmarkEnd w:id="384"/>
      <w:bookmarkEnd w:id="385"/>
      <w:bookmarkEnd w:id="386"/>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459.</w:t>
      </w:r>
      <w:r>
        <w:rPr>
          <w:sz w:val="23"/>
        </w:rPr>
        <w:tab/>
        <w:t>Условия найма большинства преподавателей регулируются коллективными трудовыми договорами. Однако часть из них (в основном это преподаватели начальной школы и средней школы первой ступени) имеют статус, сходный со статусом гражданских служащих, и работают как гражданские служащие. С 1993 года все преподаватели этого уровня принимаются на работу по коллективным трудовым договорам. Сегодня (июнь 2001 года) количество гражданских служащих и преподавателей, нанятых по коллективным трудовым договорам, составляет соответственно 39 406 человек (включая директоров школ и педагогов подготовительных классов) и 24 092.</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460.</w:t>
      </w:r>
      <w:r>
        <w:rPr>
          <w:sz w:val="23"/>
        </w:rPr>
        <w:tab/>
        <w:t>Оклады преподавателей зависят от коллективных договоров, на основании которых они и принимаются на работу. Указанные ниже оклады включают в себя базовый оклад, фиксированные надбавки, пенсионный взнос преподавателей (5%) и отпускные (1,5%) (2000/01):</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t>Таблица 25</w:t>
      </w: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pStyle w:val="10"/>
        <w:tabs>
          <w:tab w:val="clear" w:pos="567"/>
          <w:tab w:val="clear" w:pos="1701"/>
          <w:tab w:val="clear" w:pos="2268"/>
          <w:tab w:val="clear" w:pos="6237"/>
          <w:tab w:val="left" w:pos="680"/>
          <w:tab w:val="left" w:pos="1134"/>
        </w:tabs>
        <w:spacing w:line="240" w:lineRule="auto"/>
        <w:rPr>
          <w:bCs/>
          <w:sz w:val="23"/>
        </w:rPr>
      </w:pPr>
      <w:r>
        <w:rPr>
          <w:bCs/>
          <w:sz w:val="23"/>
        </w:rPr>
        <w:t>Оклады преподавателей начальной школы и средней школы первой ступени (приблизительно, в датских кронах)</w:t>
      </w:r>
    </w:p>
    <w:p w:rsidR="00000000" w:rsidRDefault="00000000">
      <w:pPr>
        <w:pStyle w:val="FootnoteText"/>
        <w:tabs>
          <w:tab w:val="clear" w:pos="567"/>
          <w:tab w:val="clear" w:pos="1701"/>
          <w:tab w:val="clear" w:pos="2268"/>
          <w:tab w:val="clear" w:pos="6237"/>
          <w:tab w:val="left" w:pos="680"/>
          <w:tab w:val="left" w:pos="1134"/>
        </w:tabs>
        <w:rPr>
          <w:sz w:val="23"/>
        </w:rPr>
      </w:pPr>
    </w:p>
    <w:tbl>
      <w:tblPr>
        <w:tblW w:w="0" w:type="auto"/>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3" w:type="dxa"/>
          <w:right w:w="113" w:type="dxa"/>
        </w:tblCellMar>
        <w:tblLook w:val="0000" w:firstRow="0" w:lastRow="0" w:firstColumn="0" w:lastColumn="0" w:noHBand="0" w:noVBand="0"/>
      </w:tblPr>
      <w:tblGrid>
        <w:gridCol w:w="6545"/>
        <w:gridCol w:w="1496"/>
      </w:tblGrid>
      <w:tr w:rsidR="00000000">
        <w:tblPrEx>
          <w:tblCellMar>
            <w:top w:w="0" w:type="dxa"/>
            <w:bottom w:w="0" w:type="dxa"/>
          </w:tblCellMar>
        </w:tblPrEx>
        <w:trPr>
          <w:jc w:val="center"/>
        </w:trPr>
        <w:tc>
          <w:tcPr>
            <w:tcW w:w="6545" w:type="dxa"/>
          </w:tcPr>
          <w:p w:rsidR="00000000" w:rsidRDefault="00000000">
            <w:pPr>
              <w:tabs>
                <w:tab w:val="clear" w:pos="567"/>
                <w:tab w:val="clear" w:pos="1701"/>
                <w:tab w:val="clear" w:pos="2268"/>
                <w:tab w:val="clear" w:pos="6237"/>
                <w:tab w:val="left" w:pos="680"/>
                <w:tab w:val="left" w:pos="1134"/>
              </w:tabs>
              <w:spacing w:before="80" w:after="80" w:line="240" w:lineRule="auto"/>
              <w:rPr>
                <w:sz w:val="23"/>
              </w:rPr>
            </w:pPr>
            <w:r>
              <w:rPr>
                <w:sz w:val="23"/>
              </w:rPr>
              <w:t xml:space="preserve">Минимальный стаж (годовой доход) </w:t>
            </w:r>
          </w:p>
        </w:tc>
        <w:tc>
          <w:tcPr>
            <w:tcW w:w="1496" w:type="dxa"/>
          </w:tcPr>
          <w:p w:rsidR="00000000" w:rsidRDefault="00000000">
            <w:pPr>
              <w:tabs>
                <w:tab w:val="clear" w:pos="567"/>
                <w:tab w:val="clear" w:pos="1701"/>
                <w:tab w:val="clear" w:pos="2268"/>
                <w:tab w:val="clear" w:pos="6237"/>
                <w:tab w:val="left" w:pos="680"/>
                <w:tab w:val="left" w:pos="1134"/>
              </w:tabs>
              <w:spacing w:before="80" w:after="80" w:line="240" w:lineRule="auto"/>
              <w:jc w:val="center"/>
              <w:rPr>
                <w:sz w:val="23"/>
              </w:rPr>
            </w:pPr>
            <w:r>
              <w:rPr>
                <w:sz w:val="23"/>
              </w:rPr>
              <w:t>245 000</w:t>
            </w:r>
          </w:p>
        </w:tc>
      </w:tr>
      <w:tr w:rsidR="00000000">
        <w:tblPrEx>
          <w:tblCellMar>
            <w:top w:w="0" w:type="dxa"/>
            <w:bottom w:w="0" w:type="dxa"/>
          </w:tblCellMar>
        </w:tblPrEx>
        <w:trPr>
          <w:jc w:val="center"/>
        </w:trPr>
        <w:tc>
          <w:tcPr>
            <w:tcW w:w="6545" w:type="dxa"/>
          </w:tcPr>
          <w:p w:rsidR="00000000" w:rsidRDefault="00000000">
            <w:pPr>
              <w:tabs>
                <w:tab w:val="clear" w:pos="567"/>
                <w:tab w:val="clear" w:pos="1701"/>
                <w:tab w:val="clear" w:pos="2268"/>
                <w:tab w:val="clear" w:pos="6237"/>
                <w:tab w:val="left" w:pos="680"/>
                <w:tab w:val="left" w:pos="1134"/>
              </w:tabs>
              <w:spacing w:before="80" w:after="80" w:line="240" w:lineRule="auto"/>
              <w:rPr>
                <w:sz w:val="23"/>
              </w:rPr>
            </w:pPr>
            <w:r>
              <w:rPr>
                <w:sz w:val="23"/>
              </w:rPr>
              <w:t>Максимальный стаж (годовой доход)</w:t>
            </w:r>
          </w:p>
        </w:tc>
        <w:tc>
          <w:tcPr>
            <w:tcW w:w="1496" w:type="dxa"/>
          </w:tcPr>
          <w:p w:rsidR="00000000" w:rsidRDefault="00000000">
            <w:pPr>
              <w:tabs>
                <w:tab w:val="clear" w:pos="567"/>
                <w:tab w:val="clear" w:pos="1701"/>
                <w:tab w:val="clear" w:pos="2268"/>
                <w:tab w:val="clear" w:pos="6237"/>
                <w:tab w:val="left" w:pos="680"/>
                <w:tab w:val="left" w:pos="1134"/>
              </w:tabs>
              <w:spacing w:before="80" w:after="80" w:line="240" w:lineRule="auto"/>
              <w:jc w:val="center"/>
              <w:rPr>
                <w:sz w:val="23"/>
              </w:rPr>
            </w:pPr>
            <w:r>
              <w:rPr>
                <w:sz w:val="23"/>
              </w:rPr>
              <w:t>285 000</w:t>
            </w:r>
          </w:p>
        </w:tc>
      </w:tr>
    </w:tbl>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before="120" w:line="240" w:lineRule="auto"/>
        <w:jc w:val="center"/>
        <w:rPr>
          <w:b/>
          <w:bCs/>
          <w:sz w:val="23"/>
        </w:rPr>
      </w:pPr>
      <w:r>
        <w:rPr>
          <w:b/>
          <w:bCs/>
          <w:sz w:val="23"/>
        </w:rPr>
        <w:t>Таблица 26</w:t>
      </w: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t>Оклады преподавателей общеобразовательной средней школы второй ступени</w:t>
      </w:r>
    </w:p>
    <w:p w:rsidR="00000000" w:rsidRDefault="00000000">
      <w:pPr>
        <w:pStyle w:val="10"/>
        <w:tabs>
          <w:tab w:val="clear" w:pos="567"/>
          <w:tab w:val="clear" w:pos="1701"/>
          <w:tab w:val="clear" w:pos="2268"/>
          <w:tab w:val="clear" w:pos="6237"/>
          <w:tab w:val="left" w:pos="680"/>
          <w:tab w:val="left" w:pos="1134"/>
        </w:tabs>
        <w:spacing w:line="240" w:lineRule="auto"/>
        <w:rPr>
          <w:bCs/>
          <w:sz w:val="23"/>
        </w:rPr>
      </w:pPr>
    </w:p>
    <w:tbl>
      <w:tblPr>
        <w:tblW w:w="0" w:type="auto"/>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3" w:type="dxa"/>
          <w:right w:w="113" w:type="dxa"/>
        </w:tblCellMar>
        <w:tblLook w:val="0000" w:firstRow="0" w:lastRow="0" w:firstColumn="0" w:lastColumn="0" w:noHBand="0" w:noVBand="0"/>
      </w:tblPr>
      <w:tblGrid>
        <w:gridCol w:w="6545"/>
        <w:gridCol w:w="1496"/>
      </w:tblGrid>
      <w:tr w:rsidR="00000000">
        <w:tblPrEx>
          <w:tblCellMar>
            <w:top w:w="0" w:type="dxa"/>
            <w:bottom w:w="0" w:type="dxa"/>
          </w:tblCellMar>
        </w:tblPrEx>
        <w:trPr>
          <w:jc w:val="center"/>
        </w:trPr>
        <w:tc>
          <w:tcPr>
            <w:tcW w:w="6545" w:type="dxa"/>
          </w:tcPr>
          <w:p w:rsidR="00000000" w:rsidRDefault="00000000">
            <w:pPr>
              <w:pStyle w:val="FootnoteText"/>
              <w:tabs>
                <w:tab w:val="clear" w:pos="567"/>
                <w:tab w:val="clear" w:pos="1701"/>
                <w:tab w:val="clear" w:pos="2268"/>
                <w:tab w:val="clear" w:pos="6237"/>
                <w:tab w:val="left" w:pos="680"/>
                <w:tab w:val="left" w:pos="1134"/>
              </w:tabs>
              <w:spacing w:before="80" w:after="80"/>
              <w:rPr>
                <w:sz w:val="23"/>
              </w:rPr>
            </w:pPr>
            <w:r>
              <w:rPr>
                <w:sz w:val="23"/>
              </w:rPr>
              <w:t>Минимальный стаж (годовой доход)</w:t>
            </w:r>
          </w:p>
        </w:tc>
        <w:tc>
          <w:tcPr>
            <w:tcW w:w="1496" w:type="dxa"/>
          </w:tcPr>
          <w:p w:rsidR="00000000" w:rsidRDefault="00000000">
            <w:pPr>
              <w:pStyle w:val="FootnoteText"/>
              <w:tabs>
                <w:tab w:val="clear" w:pos="567"/>
                <w:tab w:val="clear" w:pos="1701"/>
                <w:tab w:val="clear" w:pos="2268"/>
                <w:tab w:val="clear" w:pos="6237"/>
                <w:tab w:val="left" w:pos="680"/>
                <w:tab w:val="left" w:pos="1134"/>
              </w:tabs>
              <w:spacing w:before="80" w:after="80"/>
              <w:rPr>
                <w:sz w:val="23"/>
              </w:rPr>
            </w:pPr>
            <w:r>
              <w:rPr>
                <w:sz w:val="23"/>
              </w:rPr>
              <w:t>260 000</w:t>
            </w:r>
          </w:p>
        </w:tc>
      </w:tr>
      <w:tr w:rsidR="00000000">
        <w:tblPrEx>
          <w:tblCellMar>
            <w:top w:w="0" w:type="dxa"/>
            <w:bottom w:w="0" w:type="dxa"/>
          </w:tblCellMar>
        </w:tblPrEx>
        <w:trPr>
          <w:jc w:val="center"/>
        </w:trPr>
        <w:tc>
          <w:tcPr>
            <w:tcW w:w="6545" w:type="dxa"/>
          </w:tcPr>
          <w:p w:rsidR="00000000" w:rsidRDefault="00000000">
            <w:pPr>
              <w:tabs>
                <w:tab w:val="clear" w:pos="567"/>
                <w:tab w:val="clear" w:pos="1701"/>
                <w:tab w:val="clear" w:pos="2268"/>
                <w:tab w:val="clear" w:pos="6237"/>
                <w:tab w:val="left" w:pos="680"/>
                <w:tab w:val="left" w:pos="1134"/>
              </w:tabs>
              <w:spacing w:before="80" w:after="80" w:line="240" w:lineRule="auto"/>
              <w:rPr>
                <w:sz w:val="23"/>
              </w:rPr>
            </w:pPr>
            <w:r>
              <w:rPr>
                <w:sz w:val="23"/>
              </w:rPr>
              <w:t>Максимальный стаж (годовой доход)</w:t>
            </w:r>
          </w:p>
        </w:tc>
        <w:tc>
          <w:tcPr>
            <w:tcW w:w="1496" w:type="dxa"/>
          </w:tcPr>
          <w:p w:rsidR="00000000" w:rsidRDefault="00000000">
            <w:pPr>
              <w:tabs>
                <w:tab w:val="clear" w:pos="567"/>
                <w:tab w:val="clear" w:pos="1701"/>
                <w:tab w:val="clear" w:pos="2268"/>
                <w:tab w:val="clear" w:pos="6237"/>
                <w:tab w:val="left" w:pos="680"/>
                <w:tab w:val="left" w:pos="1134"/>
              </w:tabs>
              <w:spacing w:before="80" w:after="80" w:line="240" w:lineRule="auto"/>
              <w:rPr>
                <w:sz w:val="23"/>
              </w:rPr>
            </w:pPr>
            <w:r>
              <w:rPr>
                <w:sz w:val="23"/>
              </w:rPr>
              <w:t>350 000</w:t>
            </w:r>
          </w:p>
        </w:tc>
      </w:tr>
    </w:tbl>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before="120" w:line="240" w:lineRule="auto"/>
        <w:jc w:val="center"/>
        <w:rPr>
          <w:b/>
          <w:bCs/>
          <w:sz w:val="23"/>
        </w:rPr>
      </w:pPr>
      <w:r>
        <w:rPr>
          <w:b/>
          <w:bCs/>
          <w:sz w:val="23"/>
        </w:rPr>
        <w:t>Таблица 27</w:t>
      </w: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t>Оклады преподавателей системы среднего специального образования</w:t>
      </w:r>
    </w:p>
    <w:p w:rsidR="00000000" w:rsidRDefault="00000000">
      <w:pPr>
        <w:pStyle w:val="FootnoteText"/>
        <w:tabs>
          <w:tab w:val="clear" w:pos="567"/>
          <w:tab w:val="clear" w:pos="1701"/>
          <w:tab w:val="clear" w:pos="2268"/>
          <w:tab w:val="clear" w:pos="6237"/>
          <w:tab w:val="left" w:pos="680"/>
          <w:tab w:val="left" w:pos="1134"/>
        </w:tabs>
        <w:rPr>
          <w:sz w:val="23"/>
        </w:rPr>
      </w:pPr>
    </w:p>
    <w:tbl>
      <w:tblPr>
        <w:tblW w:w="0" w:type="auto"/>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3" w:type="dxa"/>
          <w:right w:w="113" w:type="dxa"/>
        </w:tblCellMar>
        <w:tblLook w:val="0000" w:firstRow="0" w:lastRow="0" w:firstColumn="0" w:lastColumn="0" w:noHBand="0" w:noVBand="0"/>
      </w:tblPr>
      <w:tblGrid>
        <w:gridCol w:w="6545"/>
        <w:gridCol w:w="1496"/>
      </w:tblGrid>
      <w:tr w:rsidR="00000000">
        <w:tblPrEx>
          <w:tblCellMar>
            <w:top w:w="0" w:type="dxa"/>
            <w:bottom w:w="0" w:type="dxa"/>
          </w:tblCellMar>
        </w:tblPrEx>
        <w:trPr>
          <w:jc w:val="center"/>
        </w:trPr>
        <w:tc>
          <w:tcPr>
            <w:tcW w:w="6545" w:type="dxa"/>
          </w:tcPr>
          <w:p w:rsidR="00000000" w:rsidRDefault="00000000">
            <w:pPr>
              <w:pStyle w:val="FootnoteText"/>
              <w:tabs>
                <w:tab w:val="clear" w:pos="567"/>
                <w:tab w:val="clear" w:pos="1701"/>
                <w:tab w:val="clear" w:pos="2268"/>
                <w:tab w:val="clear" w:pos="6237"/>
                <w:tab w:val="left" w:pos="680"/>
                <w:tab w:val="left" w:pos="1134"/>
              </w:tabs>
              <w:spacing w:before="80" w:after="80"/>
              <w:rPr>
                <w:sz w:val="23"/>
              </w:rPr>
            </w:pPr>
            <w:r>
              <w:rPr>
                <w:sz w:val="23"/>
              </w:rPr>
              <w:t>Минимальный стаж (годовой доход)</w:t>
            </w:r>
          </w:p>
        </w:tc>
        <w:tc>
          <w:tcPr>
            <w:tcW w:w="1496" w:type="dxa"/>
          </w:tcPr>
          <w:p w:rsidR="00000000" w:rsidRDefault="00000000">
            <w:pPr>
              <w:pStyle w:val="FootnoteText"/>
              <w:tabs>
                <w:tab w:val="clear" w:pos="567"/>
                <w:tab w:val="clear" w:pos="1701"/>
                <w:tab w:val="clear" w:pos="2268"/>
                <w:tab w:val="clear" w:pos="6237"/>
                <w:tab w:val="left" w:pos="680"/>
                <w:tab w:val="left" w:pos="1134"/>
              </w:tabs>
              <w:spacing w:before="80" w:after="80"/>
              <w:rPr>
                <w:sz w:val="23"/>
              </w:rPr>
            </w:pPr>
            <w:r>
              <w:rPr>
                <w:sz w:val="23"/>
              </w:rPr>
              <w:t>240 000</w:t>
            </w:r>
          </w:p>
        </w:tc>
      </w:tr>
      <w:tr w:rsidR="00000000">
        <w:tblPrEx>
          <w:tblCellMar>
            <w:top w:w="0" w:type="dxa"/>
            <w:bottom w:w="0" w:type="dxa"/>
          </w:tblCellMar>
        </w:tblPrEx>
        <w:trPr>
          <w:jc w:val="center"/>
        </w:trPr>
        <w:tc>
          <w:tcPr>
            <w:tcW w:w="6545" w:type="dxa"/>
          </w:tcPr>
          <w:p w:rsidR="00000000" w:rsidRDefault="00000000">
            <w:pPr>
              <w:pStyle w:val="FootnoteText"/>
              <w:tabs>
                <w:tab w:val="clear" w:pos="567"/>
                <w:tab w:val="clear" w:pos="1701"/>
                <w:tab w:val="clear" w:pos="2268"/>
                <w:tab w:val="clear" w:pos="6237"/>
                <w:tab w:val="left" w:pos="680"/>
                <w:tab w:val="left" w:pos="1134"/>
              </w:tabs>
              <w:spacing w:before="80" w:after="80"/>
              <w:rPr>
                <w:sz w:val="23"/>
              </w:rPr>
            </w:pPr>
            <w:r>
              <w:rPr>
                <w:sz w:val="23"/>
              </w:rPr>
              <w:t>Максимальный стаж (годовой доход)</w:t>
            </w:r>
          </w:p>
        </w:tc>
        <w:tc>
          <w:tcPr>
            <w:tcW w:w="1496" w:type="dxa"/>
          </w:tcPr>
          <w:p w:rsidR="00000000" w:rsidRDefault="00000000">
            <w:pPr>
              <w:pStyle w:val="FootnoteText"/>
              <w:tabs>
                <w:tab w:val="clear" w:pos="567"/>
                <w:tab w:val="clear" w:pos="1701"/>
                <w:tab w:val="clear" w:pos="2268"/>
                <w:tab w:val="clear" w:pos="6237"/>
                <w:tab w:val="left" w:pos="680"/>
                <w:tab w:val="left" w:pos="1134"/>
              </w:tabs>
              <w:spacing w:before="80" w:after="80"/>
              <w:rPr>
                <w:sz w:val="23"/>
              </w:rPr>
            </w:pPr>
            <w:r>
              <w:rPr>
                <w:sz w:val="23"/>
              </w:rPr>
              <w:t>290 000</w:t>
            </w:r>
          </w:p>
        </w:tc>
      </w:tr>
    </w:tbl>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461.</w:t>
      </w:r>
      <w:r>
        <w:rPr>
          <w:sz w:val="23"/>
        </w:rPr>
        <w:tab/>
        <w:t>Оклады преподавателей университетов с максимальным стажем составляют приблизительно 450 000 датских крон.</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462.</w:t>
      </w:r>
      <w:r>
        <w:rPr>
          <w:sz w:val="23"/>
        </w:rPr>
        <w:tab/>
        <w:t>Оклады преподавателей в целом соответствуют уровню окладов других гражданских служащих. Поэтому никаких специальных мер по улучшению условий их жизни не предусматривается.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387" w:name="_Toc51496967"/>
      <w:bookmarkStart w:id="388" w:name="_Toc51497134"/>
      <w:bookmarkStart w:id="389" w:name="_Toc51497659"/>
      <w:r>
        <w:t>Пункт 62 руководящих принципов: Частные школы</w:t>
      </w:r>
      <w:bookmarkEnd w:id="387"/>
      <w:bookmarkEnd w:id="388"/>
      <w:bookmarkEnd w:id="389"/>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463.</w:t>
      </w:r>
      <w:r>
        <w:rPr>
          <w:sz w:val="23"/>
        </w:rPr>
        <w:tab/>
        <w:t>Частные школы в системе начального и среднего образования первой и второй ступени традиционно получают значительные государственные субсидии (примерно 85%).</w:t>
      </w: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464.</w:t>
      </w:r>
      <w:r>
        <w:rPr>
          <w:sz w:val="23"/>
        </w:rPr>
        <w:tab/>
        <w:t xml:space="preserve">На уровне начального и среднего образования первой ступени частные школы посещает около 11,87% учащихся. На уровне общего среднего образования второй ступени на их долю приходится 4,6% учащихся.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465.</w:t>
      </w:r>
      <w:r>
        <w:rPr>
          <w:sz w:val="23"/>
        </w:rPr>
        <w:tab/>
        <w:t>Создание таких частных учебных заведений или получение к ним доступа не связано с какими-либо препятствиями. В стране в целом насчитывается 452 частные школы. Условно их можно разделить на следующие категории: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numPr>
          <w:ilvl w:val="1"/>
          <w:numId w:val="8"/>
        </w:numPr>
        <w:tabs>
          <w:tab w:val="clear" w:pos="567"/>
          <w:tab w:val="clear" w:pos="1701"/>
          <w:tab w:val="clear" w:pos="2208"/>
          <w:tab w:val="clear" w:pos="2268"/>
          <w:tab w:val="clear" w:pos="6237"/>
          <w:tab w:val="left" w:pos="680"/>
          <w:tab w:val="left" w:pos="1134"/>
        </w:tabs>
        <w:spacing w:line="240" w:lineRule="auto"/>
        <w:ind w:left="1134" w:hanging="454"/>
        <w:rPr>
          <w:sz w:val="23"/>
        </w:rPr>
      </w:pPr>
      <w:r>
        <w:rPr>
          <w:sz w:val="23"/>
        </w:rPr>
        <w:t xml:space="preserve">независимые (грюндвигские) школы в сельских районах; </w:t>
      </w:r>
    </w:p>
    <w:p w:rsidR="00000000" w:rsidRDefault="00000000">
      <w:pPr>
        <w:tabs>
          <w:tab w:val="clear" w:pos="567"/>
          <w:tab w:val="clear" w:pos="1701"/>
          <w:tab w:val="clear" w:pos="2268"/>
          <w:tab w:val="clear" w:pos="6237"/>
          <w:tab w:val="left" w:pos="680"/>
          <w:tab w:val="left" w:pos="1134"/>
        </w:tabs>
        <w:spacing w:line="240" w:lineRule="auto"/>
        <w:ind w:left="1134" w:hanging="454"/>
        <w:rPr>
          <w:sz w:val="23"/>
        </w:rPr>
      </w:pPr>
    </w:p>
    <w:p w:rsidR="00000000" w:rsidRDefault="00000000">
      <w:pPr>
        <w:numPr>
          <w:ilvl w:val="1"/>
          <w:numId w:val="8"/>
        </w:numPr>
        <w:tabs>
          <w:tab w:val="clear" w:pos="567"/>
          <w:tab w:val="clear" w:pos="1701"/>
          <w:tab w:val="clear" w:pos="2208"/>
          <w:tab w:val="clear" w:pos="2268"/>
          <w:tab w:val="clear" w:pos="6237"/>
          <w:tab w:val="left" w:pos="680"/>
          <w:tab w:val="left" w:pos="1134"/>
        </w:tabs>
        <w:spacing w:line="240" w:lineRule="auto"/>
        <w:ind w:left="1134" w:hanging="454"/>
        <w:rPr>
          <w:sz w:val="23"/>
        </w:rPr>
      </w:pPr>
      <w:r>
        <w:rPr>
          <w:sz w:val="23"/>
        </w:rPr>
        <w:t xml:space="preserve">средние школы первой ступени с уклоном на теоретические науки; </w:t>
      </w:r>
    </w:p>
    <w:p w:rsidR="00000000" w:rsidRDefault="00000000">
      <w:pPr>
        <w:tabs>
          <w:tab w:val="clear" w:pos="567"/>
          <w:tab w:val="clear" w:pos="1701"/>
          <w:tab w:val="clear" w:pos="2268"/>
          <w:tab w:val="clear" w:pos="6237"/>
          <w:tab w:val="left" w:pos="680"/>
          <w:tab w:val="left" w:pos="1134"/>
        </w:tabs>
        <w:spacing w:line="240" w:lineRule="auto"/>
        <w:ind w:left="1134" w:hanging="454"/>
        <w:rPr>
          <w:sz w:val="23"/>
        </w:rPr>
      </w:pPr>
    </w:p>
    <w:p w:rsidR="00000000" w:rsidRDefault="00000000">
      <w:pPr>
        <w:numPr>
          <w:ilvl w:val="1"/>
          <w:numId w:val="8"/>
        </w:numPr>
        <w:tabs>
          <w:tab w:val="clear" w:pos="567"/>
          <w:tab w:val="clear" w:pos="1701"/>
          <w:tab w:val="clear" w:pos="2208"/>
          <w:tab w:val="clear" w:pos="2268"/>
          <w:tab w:val="clear" w:pos="6237"/>
          <w:tab w:val="left" w:pos="680"/>
          <w:tab w:val="left" w:pos="1134"/>
        </w:tabs>
        <w:spacing w:line="240" w:lineRule="auto"/>
        <w:ind w:left="1134" w:hanging="454"/>
        <w:rPr>
          <w:sz w:val="23"/>
        </w:rPr>
      </w:pPr>
      <w:r>
        <w:rPr>
          <w:sz w:val="23"/>
        </w:rPr>
        <w:t xml:space="preserve">религиозные или приходские школы; </w:t>
      </w:r>
    </w:p>
    <w:p w:rsidR="00000000" w:rsidRDefault="00000000">
      <w:pPr>
        <w:tabs>
          <w:tab w:val="clear" w:pos="567"/>
          <w:tab w:val="clear" w:pos="1701"/>
          <w:tab w:val="clear" w:pos="2268"/>
          <w:tab w:val="clear" w:pos="6237"/>
          <w:tab w:val="left" w:pos="680"/>
          <w:tab w:val="left" w:pos="1134"/>
        </w:tabs>
        <w:spacing w:line="240" w:lineRule="auto"/>
        <w:ind w:left="680"/>
        <w:rPr>
          <w:sz w:val="23"/>
        </w:rPr>
      </w:pPr>
    </w:p>
    <w:p w:rsidR="00000000" w:rsidRDefault="00000000">
      <w:pPr>
        <w:numPr>
          <w:ilvl w:val="1"/>
          <w:numId w:val="8"/>
        </w:numPr>
        <w:tabs>
          <w:tab w:val="clear" w:pos="567"/>
          <w:tab w:val="clear" w:pos="1701"/>
          <w:tab w:val="clear" w:pos="2208"/>
          <w:tab w:val="clear" w:pos="2268"/>
          <w:tab w:val="clear" w:pos="6237"/>
          <w:tab w:val="left" w:pos="680"/>
          <w:tab w:val="left" w:pos="1134"/>
        </w:tabs>
        <w:spacing w:line="240" w:lineRule="auto"/>
        <w:ind w:left="1134" w:hanging="454"/>
        <w:rPr>
          <w:sz w:val="23"/>
        </w:rPr>
      </w:pPr>
      <w:r>
        <w:rPr>
          <w:sz w:val="23"/>
        </w:rPr>
        <w:t xml:space="preserve">прогрессивные свободные школы; </w:t>
      </w:r>
    </w:p>
    <w:p w:rsidR="00000000" w:rsidRDefault="00000000">
      <w:pPr>
        <w:tabs>
          <w:tab w:val="clear" w:pos="567"/>
          <w:tab w:val="clear" w:pos="1701"/>
          <w:tab w:val="clear" w:pos="2268"/>
          <w:tab w:val="clear" w:pos="6237"/>
          <w:tab w:val="left" w:pos="680"/>
          <w:tab w:val="left" w:pos="1134"/>
        </w:tabs>
        <w:spacing w:line="240" w:lineRule="auto"/>
        <w:ind w:left="1134" w:hanging="454"/>
        <w:rPr>
          <w:sz w:val="23"/>
        </w:rPr>
      </w:pPr>
    </w:p>
    <w:p w:rsidR="00000000" w:rsidRDefault="00000000">
      <w:pPr>
        <w:numPr>
          <w:ilvl w:val="1"/>
          <w:numId w:val="8"/>
        </w:numPr>
        <w:tabs>
          <w:tab w:val="clear" w:pos="567"/>
          <w:tab w:val="clear" w:pos="1701"/>
          <w:tab w:val="clear" w:pos="2208"/>
          <w:tab w:val="clear" w:pos="2268"/>
          <w:tab w:val="clear" w:pos="6237"/>
          <w:tab w:val="left" w:pos="680"/>
          <w:tab w:val="left" w:pos="1134"/>
        </w:tabs>
        <w:spacing w:line="240" w:lineRule="auto"/>
        <w:ind w:left="1134" w:hanging="454"/>
        <w:rPr>
          <w:sz w:val="23"/>
        </w:rPr>
      </w:pPr>
      <w:r>
        <w:rPr>
          <w:sz w:val="23"/>
        </w:rPr>
        <w:t xml:space="preserve">школы, имеющие особую педагогическую цель, например школы Рудольфа Штайнера; </w:t>
      </w:r>
    </w:p>
    <w:p w:rsidR="00000000" w:rsidRDefault="00000000">
      <w:pPr>
        <w:tabs>
          <w:tab w:val="clear" w:pos="567"/>
          <w:tab w:val="clear" w:pos="1701"/>
          <w:tab w:val="clear" w:pos="2268"/>
          <w:tab w:val="clear" w:pos="6237"/>
          <w:tab w:val="left" w:pos="680"/>
          <w:tab w:val="left" w:pos="1134"/>
        </w:tabs>
        <w:spacing w:line="240" w:lineRule="auto"/>
        <w:ind w:left="1134" w:hanging="454"/>
        <w:rPr>
          <w:sz w:val="23"/>
        </w:rPr>
      </w:pPr>
    </w:p>
    <w:p w:rsidR="00000000" w:rsidRDefault="00000000">
      <w:pPr>
        <w:numPr>
          <w:ilvl w:val="1"/>
          <w:numId w:val="8"/>
        </w:numPr>
        <w:tabs>
          <w:tab w:val="clear" w:pos="567"/>
          <w:tab w:val="clear" w:pos="1701"/>
          <w:tab w:val="clear" w:pos="2208"/>
          <w:tab w:val="clear" w:pos="2268"/>
          <w:tab w:val="clear" w:pos="6237"/>
          <w:tab w:val="left" w:pos="680"/>
          <w:tab w:val="left" w:pos="1134"/>
        </w:tabs>
        <w:spacing w:line="240" w:lineRule="auto"/>
        <w:ind w:left="1134" w:hanging="454"/>
        <w:rPr>
          <w:sz w:val="23"/>
        </w:rPr>
      </w:pPr>
      <w:r>
        <w:rPr>
          <w:sz w:val="23"/>
        </w:rPr>
        <w:t>школы для германского меньшинства и иммигрантские школы.</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390" w:name="_Toc51496968"/>
      <w:bookmarkStart w:id="391" w:name="_Toc51497135"/>
      <w:bookmarkStart w:id="392" w:name="_Toc51497660"/>
      <w:r>
        <w:t>Пункт 63 руководящих принципов: Изменения в национальной политике в области образования, происшедшие за отчетный период</w:t>
      </w:r>
      <w:bookmarkEnd w:id="390"/>
      <w:bookmarkEnd w:id="391"/>
      <w:bookmarkEnd w:id="392"/>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466.</w:t>
      </w:r>
      <w:r>
        <w:rPr>
          <w:sz w:val="23"/>
        </w:rPr>
        <w:tab/>
        <w:t>Правительству не известно о каких-либо негативных изменениях, затрагивающих права, закрепленные в статье 13. Цель его деятельности – постоянно укреплять права и поощрять практическое осуществление права на равный доступ к образованию, повышая тем самым уровень образования населения в целом.</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393" w:name="_Toc51496969"/>
      <w:bookmarkStart w:id="394" w:name="_Toc51497136"/>
      <w:bookmarkStart w:id="395" w:name="_Toc51497661"/>
      <w:r>
        <w:t>Пункт 64 руководящих принципов: Международная помощь</w:t>
      </w:r>
      <w:bookmarkEnd w:id="393"/>
      <w:bookmarkEnd w:id="394"/>
      <w:bookmarkEnd w:id="395"/>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467.</w:t>
      </w:r>
      <w:r>
        <w:rPr>
          <w:sz w:val="23"/>
        </w:rPr>
        <w:tab/>
        <w:t>Дания не получает помощи на цели развития.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
      </w:pPr>
      <w:bookmarkStart w:id="396" w:name="_Toc51496970"/>
      <w:bookmarkStart w:id="397" w:name="_Toc51497137"/>
      <w:bookmarkStart w:id="398" w:name="_Toc51497662"/>
      <w:r>
        <w:t>Статья 14</w:t>
      </w:r>
      <w:bookmarkEnd w:id="396"/>
      <w:bookmarkEnd w:id="397"/>
      <w:bookmarkEnd w:id="398"/>
    </w:p>
    <w:p w:rsidR="00000000" w:rsidRDefault="00000000">
      <w:pPr>
        <w:pStyle w:val="a"/>
      </w:pPr>
    </w:p>
    <w:p w:rsidR="00000000" w:rsidRDefault="00000000">
      <w:pPr>
        <w:pStyle w:val="a"/>
      </w:pPr>
      <w:bookmarkStart w:id="399" w:name="_Toc51496971"/>
      <w:bookmarkStart w:id="400" w:name="_Toc51497138"/>
      <w:bookmarkStart w:id="401" w:name="_Toc51497663"/>
      <w:r>
        <w:t>Обязательное образование</w:t>
      </w:r>
      <w:bookmarkEnd w:id="399"/>
      <w:bookmarkEnd w:id="400"/>
      <w:bookmarkEnd w:id="401"/>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pStyle w:val="a0"/>
      </w:pPr>
      <w:bookmarkStart w:id="402" w:name="_Toc51496972"/>
      <w:bookmarkStart w:id="403" w:name="_Toc51497139"/>
      <w:bookmarkStart w:id="404" w:name="_Toc51497664"/>
      <w:r>
        <w:t>Пункт 65 руководящих принципов: Меры, планируемые на случай отсутствия обязательного и бесплатного начального образования</w:t>
      </w:r>
      <w:bookmarkEnd w:id="402"/>
      <w:bookmarkEnd w:id="403"/>
      <w:bookmarkEnd w:id="404"/>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468.</w:t>
      </w:r>
      <w:r>
        <w:rPr>
          <w:sz w:val="23"/>
        </w:rPr>
        <w:tab/>
        <w:t>Это положение не относится к Дании.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
      </w:pPr>
      <w:r>
        <w:br w:type="page"/>
      </w:r>
      <w:bookmarkStart w:id="405" w:name="_Toc51496973"/>
      <w:bookmarkStart w:id="406" w:name="_Toc51497140"/>
      <w:bookmarkStart w:id="407" w:name="_Toc51497665"/>
      <w:r>
        <w:t>Статья 15</w:t>
      </w:r>
      <w:bookmarkEnd w:id="405"/>
      <w:bookmarkEnd w:id="406"/>
      <w:bookmarkEnd w:id="407"/>
      <w:r>
        <w:t xml:space="preserve"> </w:t>
      </w:r>
    </w:p>
    <w:p w:rsidR="00000000" w:rsidRDefault="00000000">
      <w:pPr>
        <w:pStyle w:val="a"/>
      </w:pPr>
    </w:p>
    <w:p w:rsidR="00000000" w:rsidRDefault="00000000">
      <w:pPr>
        <w:pStyle w:val="a"/>
      </w:pPr>
      <w:bookmarkStart w:id="408" w:name="_Toc51496974"/>
      <w:bookmarkStart w:id="409" w:name="_Toc51497141"/>
      <w:bookmarkStart w:id="410" w:name="_Toc51497666"/>
      <w:r>
        <w:t>Культура и наука</w:t>
      </w:r>
      <w:bookmarkEnd w:id="408"/>
      <w:bookmarkEnd w:id="409"/>
      <w:bookmarkEnd w:id="410"/>
    </w:p>
    <w:p w:rsidR="00000000" w:rsidRDefault="00000000">
      <w:pPr>
        <w:tabs>
          <w:tab w:val="clear" w:pos="567"/>
          <w:tab w:val="clear" w:pos="1701"/>
          <w:tab w:val="clear" w:pos="2268"/>
          <w:tab w:val="clear" w:pos="6237"/>
          <w:tab w:val="left" w:pos="680"/>
          <w:tab w:val="left" w:pos="1134"/>
        </w:tabs>
        <w:spacing w:line="240" w:lineRule="auto"/>
        <w:jc w:val="center"/>
        <w:rPr>
          <w:sz w:val="23"/>
        </w:rPr>
      </w:pPr>
    </w:p>
    <w:p w:rsidR="00000000" w:rsidRDefault="00000000">
      <w:pPr>
        <w:pStyle w:val="a0"/>
      </w:pPr>
      <w:bookmarkStart w:id="411" w:name="_Toc51496975"/>
      <w:bookmarkStart w:id="412" w:name="_Toc51497142"/>
      <w:bookmarkStart w:id="413" w:name="_Toc51497667"/>
      <w:r>
        <w:t>Пункт 66 руководящих принципов: Государственные меры по обеспечению права всех людей на участие в культурной и научной жизни</w:t>
      </w:r>
      <w:bookmarkEnd w:id="411"/>
      <w:bookmarkEnd w:id="412"/>
      <w:bookmarkEnd w:id="413"/>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469.</w:t>
      </w:r>
      <w:r>
        <w:rPr>
          <w:sz w:val="23"/>
        </w:rPr>
        <w:tab/>
        <w:t>Эти меры подробно описаны в третьем периодическом докладе Дании (пункты 357–379). Основные условия, цели и средства осуществления политики Дании в области культуры остаются неизменными. Поэтому нижеследующие замечания основаны на кратких резюме, содержащихся в третьем периодическом докладе, и касаются развития событий со времени его представления.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470.</w:t>
      </w:r>
      <w:r>
        <w:rPr>
          <w:sz w:val="23"/>
        </w:rPr>
        <w:tab/>
        <w:t>Законодательство в области культуры основано на принципе свободы выражения мнений. Оно преследует цель поощрять каждого, кто живет или гостит в Дании, к активному участию в культурной жизни в самом широком смысле этого слова. Законодательство в области культуры основано на "принципе независимости", который, среди прочего, предполагает децентрализацию и наличие автономных экспертных советов. Цель политики и законодательства в области культуры состоит в поощрении и поддержке инициатив государственного или частного секторов, а также инициатив отдельных лиц, групп, учреждений, организаций, регионов и т. д.</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471.</w:t>
      </w:r>
      <w:r>
        <w:rPr>
          <w:sz w:val="23"/>
        </w:rPr>
        <w:tab/>
        <w:t>Кроме того, их цель заключается в поощрении и поддержке их деятельности по развитию культурной самобытности и сотрудничества между различными культурными сообществами.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414" w:name="_Toc51496976"/>
      <w:bookmarkStart w:id="415" w:name="_Toc51497143"/>
      <w:bookmarkStart w:id="416" w:name="_Toc51497668"/>
      <w:r>
        <w:t>Пункт 66 а) руководящих принципов: Наличие средств</w:t>
      </w:r>
      <w:bookmarkEnd w:id="414"/>
      <w:bookmarkEnd w:id="415"/>
      <w:bookmarkEnd w:id="416"/>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472.</w:t>
      </w:r>
      <w:r>
        <w:rPr>
          <w:sz w:val="23"/>
        </w:rPr>
        <w:tab/>
        <w:t>См. введение выше. Средства на развитие культуры, участие в культурной деятельности и мероприятиях предоставляются государством, административно-территориальными единицами, муниципалитетами и частными фондами/спонсорами.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417" w:name="_Toc51496977"/>
      <w:bookmarkStart w:id="418" w:name="_Toc51497144"/>
      <w:bookmarkStart w:id="419" w:name="_Toc51497669"/>
      <w:r>
        <w:t>Пункт 66 b) руководящих принципов: Институциональная инфраструктура</w:t>
      </w:r>
      <w:bookmarkEnd w:id="417"/>
      <w:bookmarkEnd w:id="418"/>
      <w:bookmarkEnd w:id="419"/>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473.</w:t>
      </w:r>
      <w:r>
        <w:rPr>
          <w:sz w:val="23"/>
        </w:rPr>
        <w:tab/>
        <w:t>См. введение выше и описание, содержащееся в третьем периодическом докладе.</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420" w:name="_Toc51496978"/>
      <w:bookmarkStart w:id="421" w:name="_Toc51497145"/>
      <w:bookmarkStart w:id="422" w:name="_Toc51497670"/>
      <w:r>
        <w:t>Пункт 66 с) руководящих принципов: Поощрение культурной самобытности</w:t>
      </w:r>
      <w:bookmarkEnd w:id="420"/>
      <w:bookmarkEnd w:id="421"/>
      <w:bookmarkEnd w:id="422"/>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474.</w:t>
      </w:r>
      <w:r>
        <w:rPr>
          <w:sz w:val="23"/>
        </w:rPr>
        <w:tab/>
        <w:t>См. введение выше и описание, содержащееся в третьем периодическом докладе.</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423" w:name="_Toc51496979"/>
      <w:bookmarkStart w:id="424" w:name="_Toc51497146"/>
      <w:bookmarkStart w:id="425" w:name="_Toc51497671"/>
      <w:r>
        <w:t xml:space="preserve">Пункт 66 </w:t>
      </w:r>
      <w:r>
        <w:rPr>
          <w:lang w:val="en-US"/>
        </w:rPr>
        <w:t>d</w:t>
      </w:r>
      <w:r>
        <w:t>) руководящих принципов: Пользование культурным наследием</w:t>
      </w:r>
      <w:bookmarkEnd w:id="423"/>
      <w:bookmarkEnd w:id="424"/>
      <w:bookmarkEnd w:id="425"/>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475.</w:t>
      </w:r>
      <w:r>
        <w:rPr>
          <w:sz w:val="23"/>
        </w:rPr>
        <w:tab/>
        <w:t>Как указывалось выше во введении и в третьем периодическом докладе, Дания поощряет развитие всех культур и повсеместное взаимодействие между культурами. В последние годы учреждения и организации культуры предприняли ряд инициатив в целях уделения особого внимания многокультурному обществу. Публичные библиотеки и иммигрантская библиотека предприняли конкретные усилия по предоставлению этническим меньшинствам иностранной литературы, музыки и т. д. Кроме того, в целой сети библиотек имеется Интернет-служба, предназначенная для расширения доступа меньшинств к информации о правах, обязательствах и возможностях, существующих в датском обществе. Спортивные организации, профсоюзы и клубы Дании осведомлены об усилиях по укреплению интеграции меньшинств в общество посредством развития спортивной жизни на местах.</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426" w:name="_Toc51496980"/>
      <w:bookmarkStart w:id="427" w:name="_Toc51497147"/>
      <w:bookmarkStart w:id="428" w:name="_Toc51497672"/>
      <w:r>
        <w:t>Пункт 66 е) руководящих принципов: Роль средств массовой информации</w:t>
      </w:r>
      <w:bookmarkEnd w:id="426"/>
      <w:bookmarkEnd w:id="427"/>
      <w:bookmarkEnd w:id="428"/>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476.</w:t>
      </w:r>
      <w:r>
        <w:rPr>
          <w:sz w:val="23"/>
        </w:rPr>
        <w:tab/>
        <w:t xml:space="preserve">Как описано в третьем периодическом докладе, средства массовой информации, включая две государственные радио- и телевизионные станции Дании, играют важную роль, опираясь на законодательство и практику, в поощрении участия населения в культурной жизни.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429" w:name="_Toc51496981"/>
      <w:bookmarkStart w:id="430" w:name="_Toc51497148"/>
      <w:bookmarkStart w:id="431" w:name="_Toc51497673"/>
      <w:r>
        <w:t xml:space="preserve">Пункт 66 </w:t>
      </w:r>
      <w:r>
        <w:rPr>
          <w:lang w:val="en-US"/>
        </w:rPr>
        <w:t>f</w:t>
      </w:r>
      <w:r>
        <w:t>) руководящих принципов: Сохранение и использование культурного наследия</w:t>
      </w:r>
      <w:bookmarkEnd w:id="429"/>
      <w:bookmarkEnd w:id="430"/>
      <w:bookmarkEnd w:id="431"/>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477.</w:t>
      </w:r>
      <w:r>
        <w:rPr>
          <w:sz w:val="23"/>
        </w:rPr>
        <w:tab/>
        <w:t>Ситуация в этой области описана в третьем периодическом докладе. Дания осуществляет большую работу как в национальном, так и в международном плане по преобразованию соответствующих данных о культурном наследии в цифровой формат для их сохранения в будущем и обеспечения к ним доступа общественности.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432" w:name="_Toc51496982"/>
      <w:bookmarkStart w:id="433" w:name="_Toc51497149"/>
      <w:bookmarkStart w:id="434" w:name="_Toc51497674"/>
      <w:r>
        <w:t xml:space="preserve">Пункт 66 </w:t>
      </w:r>
      <w:r>
        <w:rPr>
          <w:lang w:val="en-US"/>
        </w:rPr>
        <w:t>g</w:t>
      </w:r>
      <w:r>
        <w:t>) руководящих принципов: Защита свободы художественного творчества</w:t>
      </w:r>
      <w:bookmarkEnd w:id="432"/>
      <w:bookmarkEnd w:id="433"/>
      <w:bookmarkEnd w:id="434"/>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478.</w:t>
      </w:r>
      <w:r>
        <w:rPr>
          <w:sz w:val="23"/>
        </w:rPr>
        <w:tab/>
        <w:t xml:space="preserve">Как сказано выше во введении и в третьем периодическом докладе, свобода выражения мнений является основным элементом политики Дании в области культуры, которая основана на Конституции Королевства Дании (Закон № 169 от 5 июня 1953 года). Поэтому законодательство по вопросам культуры и его осуществление не ограничивают эту свободу. Вместе с тем ограничения или руководящие принципы по конкретным вопросам обусловлены общим законодательством, например Уголовным кодексом, который, в частности, предусматривает меры, направленные против подстрекательства к актам насилия и расизма и их совершения.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435" w:name="_Toc51496983"/>
      <w:bookmarkStart w:id="436" w:name="_Toc51497150"/>
      <w:bookmarkStart w:id="437" w:name="_Toc51497675"/>
      <w:r>
        <w:t xml:space="preserve">Пункт 66 </w:t>
      </w:r>
      <w:r>
        <w:rPr>
          <w:lang w:val="en-US"/>
        </w:rPr>
        <w:t>h</w:t>
      </w:r>
      <w:r>
        <w:t>) руководящих принципов: Профессиональное образование в области культуры и искусства</w:t>
      </w:r>
      <w:bookmarkEnd w:id="435"/>
      <w:bookmarkEnd w:id="436"/>
      <w:bookmarkEnd w:id="437"/>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479.</w:t>
      </w:r>
      <w:r>
        <w:rPr>
          <w:sz w:val="23"/>
        </w:rPr>
        <w:tab/>
        <w:t>Как описано в третьем периодическом докладе, профессиональное образование в Дании в области культуры включает в себя изящные искусства, архитектуру, проектирование, народное творчество, музыку, театр (балет, оперу, драму), кино и библиотечное дело.</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438" w:name="_Toc51496984"/>
      <w:bookmarkStart w:id="439" w:name="_Toc51497151"/>
      <w:bookmarkStart w:id="440" w:name="_Toc51497676"/>
      <w:r>
        <w:t xml:space="preserve">Пункт 66 </w:t>
      </w:r>
      <w:r>
        <w:rPr>
          <w:lang w:val="en-US"/>
        </w:rPr>
        <w:t>i</w:t>
      </w:r>
      <w:r>
        <w:t>) руководящих принципов: Другие меры по сохранению, развитию и распространению культуры</w:t>
      </w:r>
      <w:bookmarkEnd w:id="438"/>
      <w:bookmarkEnd w:id="439"/>
      <w:bookmarkEnd w:id="440"/>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480.</w:t>
      </w:r>
      <w:r>
        <w:rPr>
          <w:sz w:val="23"/>
        </w:rPr>
        <w:tab/>
        <w:t xml:space="preserve">В настоящее время Дания проводит корректировку основных условий культурной жизни в целях учета развития ситуации, в частности появления новых технологий, носителей информации, цифровых форматов и т. д.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441" w:name="_Toc51496985"/>
      <w:bookmarkStart w:id="442" w:name="_Toc51497152"/>
      <w:bookmarkStart w:id="443" w:name="_Toc51497677"/>
      <w:r>
        <w:t>Пункт 67 руководящих принципов: Меры по осуществлению права каждого на использование преимуществ научного прогресса</w:t>
      </w:r>
      <w:bookmarkEnd w:id="441"/>
      <w:bookmarkEnd w:id="442"/>
      <w:bookmarkEnd w:id="443"/>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481.</w:t>
      </w:r>
      <w:r>
        <w:rPr>
          <w:sz w:val="23"/>
        </w:rPr>
        <w:tab/>
        <w:t>Положения Конституции Дании по правам человека служат также для защиты права каждого на использование преимуществ научного прогресса и их применение.</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r>
        <w:br w:type="page"/>
      </w:r>
      <w:bookmarkStart w:id="444" w:name="_Toc51496986"/>
      <w:bookmarkStart w:id="445" w:name="_Toc51497153"/>
      <w:bookmarkStart w:id="446" w:name="_Toc51497678"/>
      <w:r>
        <w:t>Пункт 67 а) руководящих принципов: Принятые меры по обеспечению применения достижений научно-технического прогресса на благо всего общества</w:t>
      </w:r>
      <w:bookmarkEnd w:id="444"/>
      <w:bookmarkEnd w:id="445"/>
      <w:bookmarkEnd w:id="446"/>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482.</w:t>
      </w:r>
      <w:r>
        <w:rPr>
          <w:sz w:val="23"/>
        </w:rPr>
        <w:tab/>
        <w:t>Государственная научная система Дании обязана представлять обществу результаты научных исследований для использования в государственном и частном секторах. С 1993 года правительство Дании увеличило ассигнования на научные исследования и опытно-конструкторские разработки, особенно через адресные программы по решению проблем в конкретных областях.</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483.</w:t>
      </w:r>
      <w:r>
        <w:rPr>
          <w:sz w:val="23"/>
        </w:rPr>
        <w:tab/>
        <w:t>Новый закон 1999 года об изобретениях в государственных научно-исследовательских институтах призван содействовать применению научных изобретений на благо общества и производственного сектора.</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484.</w:t>
      </w:r>
      <w:r>
        <w:rPr>
          <w:sz w:val="23"/>
        </w:rPr>
        <w:tab/>
        <w:t>Применение результатов научных исследований в государственном и частном секторах будет способствовать прогрессу на благо всего общества, например в области медицинского ухода и лечения или производства новой продукции, предлагаемой на рынок.</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447" w:name="_Toc51496987"/>
      <w:bookmarkStart w:id="448" w:name="_Toc51497154"/>
      <w:bookmarkStart w:id="449" w:name="_Toc51497679"/>
      <w:r>
        <w:t>Пункт 67 b) руководящих принципов: Принятые меры по поощрению распространения информации о научно-техническом прогрессе</w:t>
      </w:r>
      <w:bookmarkEnd w:id="447"/>
      <w:bookmarkEnd w:id="448"/>
      <w:bookmarkEnd w:id="449"/>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485.</w:t>
      </w:r>
      <w:r>
        <w:rPr>
          <w:sz w:val="23"/>
        </w:rPr>
        <w:tab/>
        <w:t>В последние годы правительство Дании заключило договоры с датскими университетами и другими государственными научно-исследовательскими институтами. В них подчеркивается обязательство упомянутых институтов поощрять и распространять информацию о научно-техническом прогрессе, например путем увеличения числа научных изданий.</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486.</w:t>
      </w:r>
      <w:r>
        <w:rPr>
          <w:sz w:val="23"/>
        </w:rPr>
        <w:tab/>
        <w:t>В целях поддержки тесного сотрудничества между учеными на национальном и международном уровнях осуществляется обновление Датской научно-исследовательской сети.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450" w:name="_Toc51496988"/>
      <w:bookmarkStart w:id="451" w:name="_Toc51497155"/>
      <w:bookmarkStart w:id="452" w:name="_Toc51497680"/>
      <w:r>
        <w:t>Пункт 67 с) руководящих принципов: Принятые меры по предотвращению использования достижений научно-технического прогресса в целях, противоречащих правам человека</w:t>
      </w:r>
      <w:bookmarkEnd w:id="450"/>
      <w:bookmarkEnd w:id="451"/>
      <w:bookmarkEnd w:id="452"/>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487.</w:t>
      </w:r>
      <w:r>
        <w:rPr>
          <w:sz w:val="23"/>
        </w:rPr>
        <w:tab/>
        <w:t xml:space="preserve">Цель Закона Дании о создании комитетов по научной этике и о проектах биомедицинских исследований заключается в защите физического и психологического благосостояния граждан путем определения четких условий проведения научных исследований над человеком.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488.</w:t>
      </w:r>
      <w:r>
        <w:rPr>
          <w:sz w:val="23"/>
        </w:rPr>
        <w:tab/>
        <w:t xml:space="preserve">Административное распоряжение 2000 года о сознательном согласии граждан на участие в биомедицинских исследовательских проектах включает в себя и разъясняет в юридически обязательной форме всю совокупность правил, касающихся сознательного согласия лиц, являющихся объектами проектов биомедицинских исследований.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489.</w:t>
      </w:r>
      <w:r>
        <w:rPr>
          <w:sz w:val="23"/>
        </w:rPr>
        <w:tab/>
        <w:t>Кроме того, в 2000 году был опубликован информационный бюллетень для потенциальных участников проектов биомедицинских исследований с изложением прав лиц, подвергающихся таким исследованиям.</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490.</w:t>
      </w:r>
      <w:r>
        <w:rPr>
          <w:sz w:val="23"/>
        </w:rPr>
        <w:tab/>
        <w:t>Исследования в области клонирования, включающие создание генетических копий людей, запрещены. Это положение вытекает из закона Дании о воспроизведении людей медицинскими средствами в связи с лечением, диагностированием и исследованиями (статья 28). Следует отметить, что согласно статье 2 этого закона воспроизведение людей медицинскими средствами недопустимо, за исключением случаев, когда оно направлено на оплодотворение генетически неизмененной яйцеклетки с помощью генетически неизмененной клетки спермы. Кроме того, согласно статье 21 новые методы лечения, диагностирования и т. д. не применяются при воспроизведении людей медицинскими средствами до тех пор, пока их не утвердит министр здравоохранения с учетом требований этики и медицинской практики. Министр здравоохранения устанавливает правила регистрации и утверждения новых методов лечения, диагностирования и т. д. в отношении воспроизведения людей медицинскими средствами.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491.</w:t>
      </w:r>
      <w:r>
        <w:rPr>
          <w:sz w:val="23"/>
        </w:rPr>
        <w:tab/>
        <w:t>В 2001 году был создан новый правительственный комитет для описания новых технологий в сфере медицинских исследований: генная диагностика, генная терапия, использование эмбриональных клеток человека и ксенотрансплантация.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492.</w:t>
      </w:r>
      <w:r>
        <w:rPr>
          <w:sz w:val="23"/>
        </w:rPr>
        <w:tab/>
        <w:t>Предполагалось, что Комитет представит свой доклад министру информационных технологий и научных исследований в конце 2002 года. Доклад будет включать в себя рекомендации по будущей деятельности на основе изучения соответствующей литературы и обсуждений с исследователями по вопросам приобретения передовых знаний об этих новых технологиях.</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453" w:name="_Toc51496989"/>
      <w:bookmarkStart w:id="454" w:name="_Toc51497156"/>
      <w:bookmarkStart w:id="455" w:name="_Toc51497681"/>
      <w:r>
        <w:t>Пункт 67 d) руководящих принципов: Ограничения на осуществление этого права отдельными лицами</w:t>
      </w:r>
      <w:bookmarkEnd w:id="453"/>
      <w:bookmarkEnd w:id="454"/>
      <w:bookmarkEnd w:id="455"/>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493.</w:t>
      </w:r>
      <w:r>
        <w:rPr>
          <w:sz w:val="23"/>
        </w:rPr>
        <w:tab/>
        <w:t>Каких-либо ограничений на осуществление права отдельных лиц пользоваться благами научно-технического прогресса нет.</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456" w:name="_Toc51496990"/>
      <w:bookmarkStart w:id="457" w:name="_Toc51497157"/>
      <w:bookmarkStart w:id="458" w:name="_Toc51497682"/>
      <w:r>
        <w:t>Пункт 68 руководящих принципов: Защита моральных и материальных интересов, вытекающих из научной работы</w:t>
      </w:r>
      <w:bookmarkEnd w:id="456"/>
      <w:bookmarkEnd w:id="457"/>
      <w:bookmarkEnd w:id="458"/>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494.</w:t>
      </w:r>
      <w:r>
        <w:rPr>
          <w:sz w:val="23"/>
        </w:rPr>
        <w:tab/>
        <w:t>Новый Закон Дании о государственных исследованиях в области прав интеллектуальной собственности был принят парламентом Дании в 1999 году. Закон направлен на обеспечение использования результатов исследований, полученных за счет государственных средств, на благо общества и производственного сектора Дании. Согласно этому новому Закону университеты могут заявлять права на интеллектуальную собственность в связи с изобретениями, сделанными их сотрудниками. Поступления от патентов на права интеллектуальной собственности должны распределяться между изобретателями и учреждением, создавая тем самым стимул для всех сторон к творческому поиску и использованию научных изобретений.</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495.</w:t>
      </w:r>
      <w:r>
        <w:rPr>
          <w:sz w:val="23"/>
        </w:rPr>
        <w:tab/>
        <w:t>Одна из статей Закона гласит, что особое внимание следует уделять этическим вопросам, если об этом просит учреждение или научный работник.</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459" w:name="_Toc51496991"/>
      <w:bookmarkStart w:id="460" w:name="_Toc51497158"/>
      <w:bookmarkStart w:id="461" w:name="_Toc51497683"/>
      <w:r>
        <w:t>Пункт 69 а) руководящих принципов: Предпринятые шаги по сохранению, развитию и распространению научной информации</w:t>
      </w:r>
      <w:bookmarkEnd w:id="459"/>
      <w:bookmarkEnd w:id="460"/>
      <w:bookmarkEnd w:id="461"/>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b/>
          <w:bCs/>
          <w:sz w:val="23"/>
        </w:rPr>
      </w:pPr>
      <w:r>
        <w:rPr>
          <w:b/>
          <w:bCs/>
          <w:sz w:val="23"/>
        </w:rPr>
        <w:t>Меры на конституционном уровне</w:t>
      </w:r>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496.</w:t>
      </w:r>
      <w:r>
        <w:rPr>
          <w:sz w:val="23"/>
        </w:rPr>
        <w:tab/>
        <w:t>На конституционном уровне никаких изменений не произошло.</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b/>
          <w:bCs/>
          <w:sz w:val="23"/>
        </w:rPr>
      </w:pPr>
      <w:r>
        <w:rPr>
          <w:b/>
          <w:bCs/>
          <w:sz w:val="23"/>
        </w:rPr>
        <w:t>Меры в рамках системы образования</w:t>
      </w:r>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497.</w:t>
      </w:r>
      <w:r>
        <w:rPr>
          <w:sz w:val="23"/>
        </w:rPr>
        <w:tab/>
        <w:t>Законом, принятым в мае 2000 года, учебные заведения, предлагающие среднесрочные программы высшего образования, будут сгруппированы в центры высшего образования. Цель этой новой формы организации заключается в укреплении и развитии среднесрочных программ путем распространения научных знаний, полученных университетами и другими центрами высшего образования.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b/>
          <w:bCs/>
          <w:sz w:val="23"/>
        </w:rPr>
      </w:pPr>
      <w:r>
        <w:rPr>
          <w:b/>
          <w:bCs/>
          <w:sz w:val="23"/>
        </w:rPr>
        <w:t>Меры, принятые через средства массовой информации</w:t>
      </w:r>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498.</w:t>
      </w:r>
      <w:r>
        <w:rPr>
          <w:sz w:val="23"/>
        </w:rPr>
        <w:tab/>
        <w:t>Датская научно-исследовательская сеть ("</w:t>
      </w:r>
      <w:r>
        <w:rPr>
          <w:sz w:val="23"/>
          <w:lang w:val="en-US"/>
        </w:rPr>
        <w:t>Forskningsnettet</w:t>
      </w:r>
      <w:r>
        <w:rPr>
          <w:sz w:val="23"/>
        </w:rPr>
        <w:t>") является поставщиком высокоскоростных Интернет-услуг для университетов и научно-исследовательских институтов Дании. В настоящее время эта сеть располагает примерно 110 подписчиками. Министерство информационных технологий и научных исследований Дании оказывает сети финансовую поддержку. Эта сеть всегда была на передовых рубежах применения новейших Интернет-технологий. Начиная с осени 2000 года сеть предлагает своим подписчикам новую высокоскоростную закрытую магистраль для испытаний и опытно-конструкторских разработок, которая связывает Лингбу и Копенгаген с Оденсе, Аргусом и Альборгом.</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499.</w:t>
      </w:r>
      <w:r>
        <w:rPr>
          <w:sz w:val="23"/>
        </w:rPr>
        <w:tab/>
        <w:t xml:space="preserve">По сравнению с коммерческими провайдерами Интернет-услуг эта сеть предлагает своим подписчикам в научных кругах широкий комплекс современных возможностей с особым упором на высокоскоростную международную связь, высокую информационную безопасность и весьма надежное обслуживание. Кроме того, подписчики сети </w:t>
      </w:r>
      <w:r>
        <w:rPr>
          <w:sz w:val="23"/>
          <w:lang w:val="en-US"/>
        </w:rPr>
        <w:t>Forskningsnettet</w:t>
      </w:r>
      <w:r>
        <w:rPr>
          <w:sz w:val="23"/>
        </w:rPr>
        <w:t xml:space="preserve"> могут влиять на ее будущую деятельность через различные рабочие группы.</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462" w:name="_Toc51496992"/>
      <w:bookmarkStart w:id="463" w:name="_Toc51497159"/>
      <w:bookmarkStart w:id="464" w:name="_Toc51497684"/>
      <w:r>
        <w:t>Пункт 69 b) руководящих принципов: Другие практические шаги</w:t>
      </w:r>
      <w:bookmarkEnd w:id="462"/>
      <w:bookmarkEnd w:id="463"/>
      <w:bookmarkEnd w:id="464"/>
    </w:p>
    <w:p w:rsidR="00000000" w:rsidRDefault="00000000">
      <w:pPr>
        <w:pStyle w:val="Heading1"/>
        <w:tabs>
          <w:tab w:val="clear" w:pos="567"/>
          <w:tab w:val="clear" w:pos="1701"/>
          <w:tab w:val="clear" w:pos="2268"/>
          <w:tab w:val="clear" w:pos="6237"/>
          <w:tab w:val="left" w:pos="680"/>
          <w:tab w:val="left" w:pos="1134"/>
        </w:tabs>
        <w:spacing w:line="240" w:lineRule="auto"/>
        <w:rPr>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500.</w:t>
      </w:r>
      <w:r>
        <w:rPr>
          <w:sz w:val="23"/>
        </w:rPr>
        <w:tab/>
        <w:t xml:space="preserve">В целях поощрения развития и распространения данных научно-технических исследований при всех университетах и высших учебных заведениях были созданы библиотеки.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501.</w:t>
      </w:r>
      <w:r>
        <w:rPr>
          <w:sz w:val="23"/>
        </w:rPr>
        <w:tab/>
        <w:t xml:space="preserve">Датская национальная научно-исследовательская база данных отражает общую картину текущих и опубликованных в Дании научных исследований. База данных была создана министерством научных исследований и информационных технологий и сегодня является частью Датской электронной научно-исследовательской библиотеки. С 1998 года, когда начался сбор и накопление информации о результатах завершенных и текущих датских научных исследований, база данных значительно увеличилась и включает свыше 150 000 научных статей. Датская национальная научно-исследовательская база данных основана на информации, поступающей из университетов, высших учебных заведений, государственных научно-исследовательских институтов, научных советов и других государственных учреждений, осуществляющих научные исследования. Количество поставщиков информации для базы данных постоянно растет.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465" w:name="_Toc51496993"/>
      <w:bookmarkStart w:id="466" w:name="_Toc51497160"/>
      <w:bookmarkStart w:id="467" w:name="_Toc51497685"/>
      <w:r>
        <w:t>Пункт 70 а) руководящих принципов: Меры по поощрению осуществления этой свободы, включая создание всех необходимых условий для научных исследований</w:t>
      </w:r>
      <w:bookmarkEnd w:id="465"/>
      <w:bookmarkEnd w:id="466"/>
      <w:bookmarkEnd w:id="467"/>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502.</w:t>
      </w:r>
      <w:r>
        <w:rPr>
          <w:sz w:val="23"/>
        </w:rPr>
        <w:tab/>
        <w:t xml:space="preserve">Фундаментальные исследования осуществляются главным образом в университетах и высших учебных заведениях. В основном они проводятся за счет базовых ассигнований, распределять которые эти учреждения могут самостоятельно в соответствии с Законом об университетах, который регулирует деятельность этих учреждений.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503.</w:t>
      </w:r>
      <w:r>
        <w:rPr>
          <w:sz w:val="23"/>
        </w:rPr>
        <w:tab/>
        <w:t>Отдельные исследователи, как правило, могут свободно выбирать тему, методику исследований и средства обнародования результатов исследований.</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504.</w:t>
      </w:r>
      <w:r>
        <w:rPr>
          <w:sz w:val="23"/>
        </w:rPr>
        <w:tab/>
        <w:t>В последние годы были предприняты многочисленные новые научно-исследовательские программы и выделены дополнительные средства. В функции шести независимых датских научных советов входит распределение средств, которое производится исключительно на основе критерия качества.</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505.</w:t>
      </w:r>
      <w:r>
        <w:rPr>
          <w:sz w:val="23"/>
        </w:rPr>
        <w:tab/>
        <w:t xml:space="preserve">Для стимулирования дальнейшего сотрудничества между различными учреждениями, работающими в разных областях знаний, а также для повышения качества работы и развития конкуренции за получение новых ассигнований была принята новая стратегия. Ее цель заключается в объединении крупных научно-исследовательских групп в образцовые сети и содействии развитию отношений между государственным и частным секторами.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468" w:name="_Toc51496994"/>
      <w:bookmarkStart w:id="469" w:name="_Toc51497161"/>
      <w:bookmarkStart w:id="470" w:name="_Toc51497686"/>
      <w:r>
        <w:t>Пункт 70 b) руководящих принципов: Меры по обеспечению свободного обмена научной информацией между учеными</w:t>
      </w:r>
      <w:bookmarkEnd w:id="468"/>
      <w:bookmarkEnd w:id="469"/>
      <w:bookmarkEnd w:id="470"/>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506.</w:t>
      </w:r>
      <w:r>
        <w:rPr>
          <w:sz w:val="23"/>
        </w:rPr>
        <w:tab/>
        <w:t>Закон об университетах предусматривает, что высшие учебные заведения, как правило, способствуют распространению знаний о своих методах работы и результатах научных исследований.</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507.</w:t>
      </w:r>
      <w:r>
        <w:rPr>
          <w:sz w:val="23"/>
        </w:rPr>
        <w:tab/>
        <w:t>В 2000 году был принят комплекс руководящих принципов, обеспечивающих обнародование результатов государственных исследований, финансируемых частными спонсорами. Этот комплекс преследует цель предоставления общественности необходимой информации о частных спонсорах и о масштабах их финансового участия.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508.</w:t>
      </w:r>
      <w:r>
        <w:rPr>
          <w:sz w:val="23"/>
        </w:rPr>
        <w:tab/>
        <w:t>В 2000 году Комитет подготовил доклад по вопросам налаживания научного сотрудничества и контактов между университетами и частными предприятиями. Комитет сделал ряд рекомендаций по обеспечению открытости и транспарентности и составил краткую памятку по составлению договоров о сотрудничестве. В ней говорится, что результаты этой формы научных исследований всегда подлежат опубликованию.</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471" w:name="_Toc51496995"/>
      <w:bookmarkStart w:id="472" w:name="_Toc51497162"/>
      <w:bookmarkStart w:id="473" w:name="_Toc51497687"/>
      <w:r>
        <w:t>Пункт 70 с) руководящих принципов: Меры в поддержку научных обществ, профессиональных ассоциаций и т. д.</w:t>
      </w:r>
      <w:bookmarkEnd w:id="471"/>
      <w:bookmarkEnd w:id="472"/>
      <w:bookmarkEnd w:id="473"/>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509.</w:t>
      </w:r>
      <w:r>
        <w:rPr>
          <w:sz w:val="23"/>
        </w:rPr>
        <w:tab/>
        <w:t>Правительство оказывает финансовую поддержку таким научным обществам, как Королевская датская академия наук и литературы, Научное общество и другие. Налоговая система Дании позволяет работникам списывать взносы в профессиональные ассоциации со своих подоходных налогов. Это является косвенной поддержкой профессиональных ассоциаций.</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474" w:name="_Toc51496996"/>
      <w:bookmarkStart w:id="475" w:name="_Toc51497163"/>
      <w:bookmarkStart w:id="476" w:name="_Toc51497688"/>
      <w:r>
        <w:t>Пункт 71 руководящих принципов: Меры по расширению международных контактов и сотрудничества в научной области</w:t>
      </w:r>
      <w:bookmarkEnd w:id="474"/>
      <w:bookmarkEnd w:id="475"/>
      <w:bookmarkEnd w:id="476"/>
    </w:p>
    <w:p w:rsidR="00000000" w:rsidRDefault="00000000">
      <w:pPr>
        <w:pStyle w:val="BodyText"/>
        <w:tabs>
          <w:tab w:val="clear" w:pos="567"/>
          <w:tab w:val="clear" w:pos="1701"/>
          <w:tab w:val="clear" w:pos="2268"/>
          <w:tab w:val="clear" w:pos="6237"/>
          <w:tab w:val="left" w:pos="680"/>
          <w:tab w:val="left" w:pos="1134"/>
        </w:tabs>
        <w:spacing w:before="0"/>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510.</w:t>
      </w:r>
      <w:r>
        <w:rPr>
          <w:sz w:val="23"/>
        </w:rPr>
        <w:tab/>
        <w:t>Правительство Дании активно поощряет международные контакты и сотрудничество в научной области, а также регулярное участие ученых в международных конференциях, семинарах, симпозиумах и т. д. Интернационализация является целью национальной политики в области научно-исследовательской подготовки.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r>
        <w:br w:type="page"/>
      </w:r>
      <w:bookmarkStart w:id="477" w:name="_Toc51496997"/>
      <w:bookmarkStart w:id="478" w:name="_Toc51497164"/>
      <w:bookmarkStart w:id="479" w:name="_Toc51497689"/>
      <w:r>
        <w:t>Пункт 71 а) руководящих принципов: Максимальное использование имеющихся возможностей</w:t>
      </w:r>
      <w:bookmarkEnd w:id="477"/>
      <w:bookmarkEnd w:id="478"/>
      <w:bookmarkEnd w:id="479"/>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511.</w:t>
      </w:r>
      <w:r>
        <w:rPr>
          <w:sz w:val="23"/>
        </w:rPr>
        <w:tab/>
        <w:t>Дания является членом целого ряда международных организаций по научному сотрудничеству, например Европейской организации ядерных исследований (ЦЕРН), Европейского космического агентства (ЕКА), Европейской южной обсерватории (ЕЮО), Европейской лаборатории молекулярной биологии (ЕЛМБ) и других. Благодаря этому датские ученые работают в международных научно-исследовательских центрах и могут полностью использовать открывающиеся перед ними международные возможности.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512.</w:t>
      </w:r>
      <w:r>
        <w:rPr>
          <w:sz w:val="23"/>
        </w:rPr>
        <w:tab/>
        <w:t>Кроме того, Дания активно участвует в научном сотрудничестве в рамках Европейского союза и в региональном сотрудничестве между странами Северной Европы.</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480" w:name="_Toc51496998"/>
      <w:bookmarkStart w:id="481" w:name="_Toc51497165"/>
      <w:bookmarkStart w:id="482" w:name="_Toc51497690"/>
      <w:r>
        <w:t>Пункт 71 b) руководящих принципов: Участие ученых в международных конференциях и</w:t>
      </w:r>
      <w:r>
        <w:rPr>
          <w:lang w:val="en-US"/>
        </w:rPr>
        <w:t> </w:t>
      </w:r>
      <w:r>
        <w:t>т. д.</w:t>
      </w:r>
      <w:bookmarkEnd w:id="480"/>
      <w:bookmarkEnd w:id="481"/>
      <w:bookmarkEnd w:id="482"/>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513.</w:t>
      </w:r>
      <w:r>
        <w:rPr>
          <w:sz w:val="23"/>
        </w:rPr>
        <w:tab/>
        <w:t>Университеты получают базовое финансирование, которое позволяет ученым принимать участие в международных конференциях. Научные советы также предоставляют субсидии для этих целей. Датский совет по научной подготовке предоставляет трехгодичные субсидии для особо одаренных аспирантов, которые хотят проводить свои исследования за рубежом в составе лучших исследовательских групп. Другие аспиранты в основном имеют гарантированную финансовую поддержку для обучения за границей в течение нескольких месяцев: 49% датских аспирантов провели за рубежом не менее 3-х месяцев.</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483" w:name="_Toc51496999"/>
      <w:bookmarkStart w:id="484" w:name="_Toc51497166"/>
      <w:bookmarkStart w:id="485" w:name="_Toc51497691"/>
      <w:r>
        <w:t>Пункт 72 руководящих принципов: Возможные отрицательные последствия национальной политики в этой области</w:t>
      </w:r>
      <w:bookmarkEnd w:id="483"/>
      <w:bookmarkEnd w:id="484"/>
      <w:bookmarkEnd w:id="485"/>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514.</w:t>
      </w:r>
      <w:r>
        <w:rPr>
          <w:sz w:val="23"/>
        </w:rPr>
        <w:tab/>
        <w:t>Правительству не известно о каких-либо отрицательных изменениях, отражающихся на правах, закрепленных в статье 15.</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486" w:name="_Toc51497000"/>
      <w:bookmarkStart w:id="487" w:name="_Toc51497167"/>
      <w:bookmarkStart w:id="488" w:name="_Toc51497692"/>
      <w:r>
        <w:t>Пункт 73 руководящих принципов: Другие недавно представленные соответствующие доклады</w:t>
      </w:r>
      <w:bookmarkEnd w:id="486"/>
      <w:bookmarkEnd w:id="487"/>
      <w:bookmarkEnd w:id="488"/>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515.</w:t>
      </w:r>
      <w:r>
        <w:rPr>
          <w:sz w:val="23"/>
        </w:rPr>
        <w:tab/>
        <w:t>Других соответствующих докладов представлено не было.</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0"/>
      </w:pPr>
      <w:bookmarkStart w:id="489" w:name="_Toc51497001"/>
      <w:bookmarkStart w:id="490" w:name="_Toc51497168"/>
      <w:bookmarkStart w:id="491" w:name="_Toc51497693"/>
      <w:r>
        <w:t>Пункт 74 руководящих принципов: Международная помощь</w:t>
      </w:r>
      <w:bookmarkEnd w:id="489"/>
      <w:bookmarkEnd w:id="490"/>
      <w:bookmarkEnd w:id="491"/>
    </w:p>
    <w:p w:rsidR="00000000" w:rsidRDefault="00000000">
      <w:pPr>
        <w:tabs>
          <w:tab w:val="clear" w:pos="567"/>
          <w:tab w:val="clear" w:pos="1701"/>
          <w:tab w:val="clear" w:pos="2268"/>
          <w:tab w:val="clear" w:pos="6237"/>
          <w:tab w:val="left" w:pos="680"/>
          <w:tab w:val="left" w:pos="1134"/>
        </w:tabs>
        <w:spacing w:line="240" w:lineRule="auto"/>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516.</w:t>
      </w:r>
      <w:r>
        <w:rPr>
          <w:sz w:val="23"/>
        </w:rPr>
        <w:tab/>
        <w:t>Дания не получает международной помощи.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pStyle w:val="a"/>
      </w:pPr>
      <w:r>
        <w:br w:type="page"/>
      </w:r>
      <w:bookmarkStart w:id="492" w:name="_Toc51497002"/>
      <w:bookmarkStart w:id="493" w:name="_Toc51497169"/>
      <w:bookmarkStart w:id="494" w:name="_Toc51497694"/>
      <w:r>
        <w:t>ДОКЛАД ГРЕНЛАНДИИ</w:t>
      </w:r>
      <w:bookmarkEnd w:id="492"/>
      <w:bookmarkEnd w:id="493"/>
      <w:bookmarkEnd w:id="494"/>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t>Статья 1</w:t>
      </w: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t>Право на самоопределение</w:t>
      </w: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517.</w:t>
      </w:r>
      <w:r>
        <w:rPr>
          <w:sz w:val="23"/>
        </w:rPr>
        <w:tab/>
        <w:t>См. информацию, содержащуюся в третьем периодическом докладе по статье 1.</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t>Статья 2</w:t>
      </w: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t>Осуществление Пакта и дискриминация</w:t>
      </w: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518.</w:t>
      </w:r>
      <w:r>
        <w:rPr>
          <w:sz w:val="23"/>
        </w:rPr>
        <w:tab/>
        <w:t>Являясь частью Дании, Гренландия участвует в самых различных форумах по международному сотрудничеству. В соответствии с системой самоуправления Гренландии в ней действуют следующие различные типы законодательных актов:</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ab/>
        <w:t>а)</w:t>
      </w:r>
      <w:r>
        <w:rPr>
          <w:sz w:val="23"/>
        </w:rPr>
        <w:tab/>
        <w:t>закон Дании (сокращенно ЗД), принимаемый парламентом Дании (фолькетингом) и регулирующий функции, которые не переданы в ведение правительства самоуправления Гренландии;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ab/>
        <w:t>b)</w:t>
      </w:r>
      <w:r>
        <w:rPr>
          <w:sz w:val="23"/>
        </w:rPr>
        <w:tab/>
        <w:t>закон, принимаемый парламентом самоуправления Гренландии (сокращенно ЗГ), регулирующий функции, которые переданы в ведение правительства самоуправления Гренландии, но в отношении которых экономические последствия не охватываются блочными субсидиями правительства Дании для правительства самоуправления Гренландии;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ab/>
        <w:t>с)</w:t>
      </w:r>
      <w:r>
        <w:rPr>
          <w:sz w:val="23"/>
        </w:rPr>
        <w:tab/>
        <w:t>постановление парламента Гренландии (сокращенно ППГ), принимаемое парламентом самоуправления Гренландии и регулирующее функции, переданные в ведение правительства самоуправления Гренландии. Финансирование этих функций является частью блочных субсидий правительства Дании для правительства самоуправления Гренландии;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ab/>
        <w:t>d)</w:t>
      </w:r>
      <w:r>
        <w:rPr>
          <w:sz w:val="23"/>
        </w:rPr>
        <w:tab/>
        <w:t>распоряжение органов самоуправления (сокращенно РОСУ), издаваемое органами управления Гренландии;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ab/>
        <w:t>e)</w:t>
      </w:r>
      <w:r>
        <w:rPr>
          <w:sz w:val="23"/>
        </w:rPr>
        <w:tab/>
        <w:t>распоряжение о пролонгации (РП), используемое для обеспечения вступления в силу в Гренландии действующего ЗД. Некоторые ЗД применяются в Гренландии одновременно с их применением в Дании;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ab/>
        <w:t>f)</w:t>
      </w:r>
      <w:r>
        <w:rPr>
          <w:sz w:val="23"/>
        </w:rPr>
        <w:tab/>
        <w:t>постановление Дании (сокращенно ПД) – постановление Дании, которое также действует в Гренландии.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519.</w:t>
      </w:r>
      <w:r>
        <w:rPr>
          <w:sz w:val="23"/>
        </w:rPr>
        <w:tab/>
        <w:t>Гренландия не имеет права проводить независимую внешнюю политику. В этом контексте следует отметить, что с 1984 года вместе с двумя другими самоуправляющимися территориями в регионе Северной Европы Гренландия участвует в сотрудничестве между странами Северной Европы. Такое участие осуществляется на равноправной основе, поскольку парламент Дании включил в свою делегацию в Северном совете двух членов парламента Гренландии и поскольку члены парламента Гренландии принимают участие в совещаниях Совета министров стран Северной Европы, который является официальным форумом межправительственного сотрудничества между пятью североевропейскими странами. Представители Гренландии не имеют права голоса, однако могут выступать и представлять свои предложения.</w:t>
      </w: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520.</w:t>
      </w:r>
      <w:r>
        <w:rPr>
          <w:sz w:val="23"/>
        </w:rPr>
        <w:tab/>
        <w:t>Действующее законодательство не допускает на территории Гренландии дискриминации по признаку расы, цвета кожи, языка, религии, политических или иных убеждений, национального или социального происхождения, имущественного положения, рождения или иного обстоятельства. Однако следует отметить, что в ЗГ № 27 от 30 октября 1992 года о регулировании роста численности рабочей силы в Гренландии содержатся положения, предусматривающие, что местное население имеет преимущественное право на работу в том случае, когда предложение рабочей силы из числа гренландцев является достаточным. Поэтому в таких случаях наниматель должен связываться с местным бюро по вопросам рынка труда, с тем чтобы получить разрешение на наем лиц, не являющихся представителями коренного населения. Такое разрешение будет выдано в том случае, если центр по трудоустройству не сможет предоставить кандидатов из числа коренного населения Гренландии или кандидатов, имеющих особые связи с Гренландией. Согласно этому закону гренландцы и иные лица пользуются равными правами в тех случаях, когда лицо, не являющееся гренландцем, проживало в Гренландии не менее семи лет за последние десять лет или когда оно имеет особые связи с Гренландией, например, в контексте родственных отношений.</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521.</w:t>
      </w:r>
      <w:r>
        <w:rPr>
          <w:sz w:val="23"/>
        </w:rPr>
        <w:tab/>
        <w:t>Этот Закон следует также рассматривать в контексте особого статуса Гренландии в Королевстве Дании, в соответствии с которым Гренландия считается районом, отличающимся от остальной части Дании с точки зрения языка, культуры и, в некоторых отношениях, уровня развития. Как и развивающиеся страны, Гренландия имеет особые потребности, касающиеся обучения и обеспечения занятости коренного населения.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t>Статья 3</w:t>
      </w: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t>Равенство между мужчинами и женщинами</w:t>
      </w: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522.</w:t>
      </w:r>
      <w:r>
        <w:rPr>
          <w:sz w:val="23"/>
        </w:rPr>
        <w:tab/>
        <w:t>В Гренландии нет никаких правил и положений, которые не позволяли бы некоторым группам населения пользоваться общественными благами или коллективными правами по признаку пола.</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t>Статья 4</w:t>
      </w: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t>Ограничения</w:t>
      </w: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523.</w:t>
      </w:r>
      <w:r>
        <w:rPr>
          <w:sz w:val="23"/>
        </w:rPr>
        <w:tab/>
        <w:t>Следует отметить, что многие из прав, закрепленных в Пакте, уже зафиксированы в Конституции Дании, положения которой действуют также и в Гренландии.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t>Статья 5</w:t>
      </w: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t>Деятельность, направленная на уничтожение или ограничение прав</w:t>
      </w: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524.</w:t>
      </w:r>
      <w:r>
        <w:rPr>
          <w:sz w:val="23"/>
        </w:rPr>
        <w:tab/>
        <w:t>У Гренландии нет каких-либо замечаний по статье 5 Пакта.</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t>Статья 6</w:t>
      </w: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t>Право на труд</w:t>
      </w: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525.</w:t>
      </w:r>
      <w:r>
        <w:rPr>
          <w:sz w:val="23"/>
        </w:rPr>
        <w:tab/>
        <w:t>Занятость в Гренландии обеспечивается главным образом путем целенаправленного развития торговли и промышленности. В последние годы основное внимание уделялось развитию рыболовства, туризма и, в долгосрочной перспективе, добыче сырьевых материалов. Кроме того, органы государственной власти финансируют инициативы, направленные на создание рабочих мест для безработных. Эти инициативы организуются на местном уровне отдельными муниципалитетами и осуществляются с учетом местных условий и возможностей.</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526.</w:t>
      </w:r>
      <w:r>
        <w:rPr>
          <w:sz w:val="23"/>
        </w:rPr>
        <w:tab/>
        <w:t>Муниципалитеты также проводят деятельность по профессиональной ориентации, которая осуществляется частично в форме коллективной профессиональной подготовки и консультирования по вопросам профессиональной деятельности молодежи в школах и частично в форме работы с отдельными лицами в муниципальных бюро по трудоустройству. Кроме того, предоставляются консультации по вопросам профессиональной подготовки на рынке труда. Юридической основой этой деятельности являются ППГ № 11 от 16 декабря 1998 года об обеспечении занятости и РОСУ № 42 от 28 сентября 1994 года о субсидиях для муниципальных программ создания рабочих мест.</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527.</w:t>
      </w:r>
      <w:r>
        <w:rPr>
          <w:sz w:val="23"/>
        </w:rPr>
        <w:tab/>
        <w:t>В статье 15 ППГ № 2 от 31 мая 1999 года, касающейся профессиональной подготовки, предусматривается, что при каждом муниципалитете учреждается комитет в целях обеспечения того, чтобы профессиональная подготовка стала частью деятельности местной общины.</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528.</w:t>
      </w:r>
      <w:r>
        <w:rPr>
          <w:sz w:val="23"/>
        </w:rPr>
        <w:tab/>
        <w:t>В статье 1 РОСУ № 5 от 3 сентября 1982 года о консультировании по вопросам профессиональной деятельности и обучения указывается, что целью такого консультирования является оказание помощи отдельным лицам в выборе формы обучения или профессиональной деятельности для удовлетворения общественных потребностей в рабочей силе. Кроме того, консультированием по вопросам профессиональной деятельности и обучения охвачены все граждане Гренландии, и такие консультации предоставляются бесплатно муниципальными бюро по трудоустройству, муниципальными или региональными органами по вопросам профессиональной ориентации, начальными и средними школами первой ступени, а также профессионально-техническими училищами.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529.</w:t>
      </w:r>
      <w:r>
        <w:rPr>
          <w:sz w:val="23"/>
        </w:rPr>
        <w:tab/>
        <w:t xml:space="preserve">Управление по делам культуры, образования, научных исследований и церкви ежегодно публикует справочник </w:t>
      </w:r>
      <w:r>
        <w:rPr>
          <w:sz w:val="23"/>
          <w:lang w:val="en-US"/>
        </w:rPr>
        <w:t>Sunngu</w:t>
      </w:r>
      <w:r>
        <w:rPr>
          <w:sz w:val="23"/>
        </w:rPr>
        <w:t xml:space="preserve"> ("Ключевые вопросы образования и профессиональной подготовки в Гренландии и Дании"), который используется в ходе консультативной деятельности. В этом справочнике, который имеется в Интернете, рассматриваются все формы образования и профессиональной подготовки, которым оказывается поддержка соответственно в Гренландии и Дании.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t>Статья 7</w:t>
      </w: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t>Справедливые и благоприятные условия труда</w:t>
      </w: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530.</w:t>
      </w:r>
      <w:r>
        <w:rPr>
          <w:sz w:val="23"/>
        </w:rPr>
        <w:tab/>
        <w:t>В Гренландии справедливая заработная плата, одинаковая за один и тот же объем выполняемой работы, обеспечивается путем заключения коллективных договоров, подписываемых между органами государственной власти и профессиональными союзами. Однако следует отметить, что в силу ряда исторических факторов профсоюзы в Дании сумели сохранить определенные преимущества, связанные с оплатой труда, и другие оговариваемые в коллективных договорах преимущества для своих членов, которые не являются коренными гренландцами и таким образом имеют статус приглашенных работников. В заключенных в последнее время коллективных договорах эти различия постепенно устраняются и в дальнейшем наем будет производиться на одинаковых условиях для работ равной ценности.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531.</w:t>
      </w:r>
      <w:r>
        <w:rPr>
          <w:sz w:val="23"/>
        </w:rPr>
        <w:tab/>
        <w:t>Большинство рабочих мест в стране сосредоточено в государственном секторе или в секторе государственных предприятий. Государственные соглашения, заключаемые по этим рабочим местам, оказывают побочное воздействие на остальные секторы рынка труда.</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532.</w:t>
      </w:r>
      <w:r>
        <w:rPr>
          <w:sz w:val="23"/>
        </w:rPr>
        <w:tab/>
        <w:t>Безопасность и гигиена труда, периоды отдыха, досуг и разумное ограничение рабочего времени обеспечиваются положениями ЗД № 295 от 4 июня 1986 года о гигиене и безопасности труда и соответствующими дополнительными положениями. Аналогичным образом, законодательство Гренландии предусматривает оплачиваемые отпуска и отпускные пособия. Пособия за работу в праздничные дни, за исключением воскресений, определяются коллективными договорами.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t xml:space="preserve">Статья 8 </w:t>
      </w: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tabs>
          <w:tab w:val="clear" w:pos="567"/>
          <w:tab w:val="clear" w:pos="1701"/>
          <w:tab w:val="clear" w:pos="2268"/>
          <w:tab w:val="clear" w:pos="6237"/>
          <w:tab w:val="left" w:pos="680"/>
          <w:tab w:val="left" w:pos="1134"/>
        </w:tabs>
        <w:spacing w:line="240" w:lineRule="auto"/>
        <w:jc w:val="center"/>
        <w:rPr>
          <w:sz w:val="23"/>
        </w:rPr>
      </w:pPr>
      <w:r>
        <w:rPr>
          <w:b/>
          <w:bCs/>
          <w:sz w:val="23"/>
        </w:rPr>
        <w:t>Профсоюзы</w:t>
      </w:r>
    </w:p>
    <w:p w:rsidR="00000000" w:rsidRDefault="00000000">
      <w:pPr>
        <w:tabs>
          <w:tab w:val="clear" w:pos="567"/>
          <w:tab w:val="clear" w:pos="1701"/>
          <w:tab w:val="clear" w:pos="2268"/>
          <w:tab w:val="clear" w:pos="6237"/>
          <w:tab w:val="left" w:pos="680"/>
          <w:tab w:val="left" w:pos="1134"/>
        </w:tabs>
        <w:spacing w:line="240" w:lineRule="auto"/>
        <w:jc w:val="center"/>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533.</w:t>
      </w:r>
      <w:r>
        <w:rPr>
          <w:sz w:val="23"/>
        </w:rPr>
        <w:tab/>
        <w:t>В законодательстве отсутствуют какие-либо положения, препятствующие членству в профсоюзах, созданию профсоюзов или осуществлению профсоюзами совместной деятельности. Аналогичным образом, в законодательстве отсутствуют какие-либо положения, препятствующие проведению коллективных забастовок. Однако забастовки государственных служащих не разрешаются. В полиции и вооруженных силах действует законодательство Дании.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534.</w:t>
      </w:r>
      <w:r>
        <w:rPr>
          <w:sz w:val="23"/>
        </w:rPr>
        <w:tab/>
        <w:t>Коллективные договоры, действующие на территории всей Гренландии, были заключены приблизительно с 35 организациями, большинство из которых расположено в Гренландии. Крупнейшей организацией является Организация труда Гренландии (</w:t>
      </w:r>
      <w:r>
        <w:rPr>
          <w:sz w:val="23"/>
          <w:lang w:val="en-US"/>
        </w:rPr>
        <w:t>Silinermik</w:t>
      </w:r>
      <w:r>
        <w:rPr>
          <w:sz w:val="23"/>
        </w:rPr>
        <w:t xml:space="preserve"> </w:t>
      </w:r>
      <w:r>
        <w:rPr>
          <w:sz w:val="23"/>
          <w:lang w:val="en-US"/>
        </w:rPr>
        <w:t>Inuutissarsiuteqartut</w:t>
      </w:r>
      <w:r>
        <w:rPr>
          <w:sz w:val="23"/>
        </w:rPr>
        <w:t xml:space="preserve"> </w:t>
      </w:r>
      <w:r>
        <w:rPr>
          <w:sz w:val="23"/>
          <w:lang w:val="en-US"/>
        </w:rPr>
        <w:t>Kattuffiat</w:t>
      </w:r>
      <w:r>
        <w:rPr>
          <w:sz w:val="23"/>
        </w:rPr>
        <w:t>).</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t>Статья 9</w:t>
      </w: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tabs>
          <w:tab w:val="clear" w:pos="567"/>
          <w:tab w:val="clear" w:pos="1701"/>
          <w:tab w:val="clear" w:pos="2268"/>
          <w:tab w:val="clear" w:pos="6237"/>
          <w:tab w:val="left" w:pos="680"/>
          <w:tab w:val="left" w:pos="1134"/>
        </w:tabs>
        <w:spacing w:line="240" w:lineRule="auto"/>
        <w:jc w:val="center"/>
        <w:rPr>
          <w:sz w:val="23"/>
        </w:rPr>
      </w:pPr>
      <w:r>
        <w:rPr>
          <w:b/>
          <w:bCs/>
          <w:sz w:val="23"/>
        </w:rPr>
        <w:t>Социальное обеспечение</w:t>
      </w:r>
    </w:p>
    <w:p w:rsidR="00000000" w:rsidRDefault="00000000">
      <w:pPr>
        <w:tabs>
          <w:tab w:val="clear" w:pos="567"/>
          <w:tab w:val="clear" w:pos="1701"/>
          <w:tab w:val="clear" w:pos="2268"/>
          <w:tab w:val="clear" w:pos="6237"/>
          <w:tab w:val="left" w:pos="680"/>
          <w:tab w:val="left" w:pos="1134"/>
        </w:tabs>
        <w:spacing w:line="240" w:lineRule="auto"/>
        <w:jc w:val="center"/>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535.</w:t>
      </w:r>
      <w:r>
        <w:rPr>
          <w:sz w:val="23"/>
        </w:rPr>
        <w:tab/>
        <w:t>В Гренландии действуют описываемые ниже системы социального обеспечения.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536.</w:t>
      </w:r>
      <w:r>
        <w:rPr>
          <w:sz w:val="23"/>
        </w:rPr>
        <w:tab/>
        <w:t>Размер пособий по болезни регулируется ППГ № 15 от 12 ноября 1991 года о государственных пособиях, рассчитываемых на основе соответствующих тарифов. Однако в период болезни значительное количество работников получают зарплату или оклад в соответствии с положениями коллективных договоров. Юридическое положение лиц, не относящихся к каким-либо трудовым организациям, указанным в ППГ о помощи, рассчитываемой на основе соответствующих тарифов, или лиц, имеющих оплачиваемый отпуск по болезни, регулируется положениями ППГ № 10 от 1 ноября 1982 года о государственной помощи (пособия, размер которых рассчитывается на основе индивидуальной оценки).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537.</w:t>
      </w:r>
      <w:r>
        <w:rPr>
          <w:sz w:val="23"/>
        </w:rPr>
        <w:tab/>
        <w:t>Если отсутствие на работе вызвано производственной травмой или профессиональным заболеванием, то согласно ЗД № 943 от 16 октября 2000 года о страховании в случае производственных травм работнику ежедневно выплачивается денежное пособие. Эта схема действует на основе договоров страхования, заключаемых нанимателем.</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538.</w:t>
      </w:r>
      <w:r>
        <w:rPr>
          <w:sz w:val="23"/>
        </w:rPr>
        <w:tab/>
        <w:t>ППГ № 12 от 31 октября 1996 года, ППГ № 12 от 30 октября 1998 года и ППГ № 6 от 11</w:t>
      </w:r>
      <w:r>
        <w:rPr>
          <w:sz w:val="23"/>
          <w:lang w:val="en-US"/>
        </w:rPr>
        <w:t> </w:t>
      </w:r>
      <w:r>
        <w:rPr>
          <w:sz w:val="23"/>
        </w:rPr>
        <w:t>ноября 2000 года касаются отпуска и пособий по беременности, родам и усыновлению или удочерению. В соответствии с положениями коллективных договоров некоторые лица, получающие заработную плату, имеют право на полностью оплачиваемый отпуск по беременности и родам. Для получения денежных выплат соответствующие лица должны относиться к самодеятельному населению.</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539.</w:t>
      </w:r>
      <w:r>
        <w:rPr>
          <w:sz w:val="23"/>
        </w:rPr>
        <w:tab/>
        <w:t>Согласно положениям ППГ № 10 от 30 октября 1998 года, ППГ № 8 от 29 октября 1999 года и ППГ № 12 от 12 ноября 2001 года о государственных пенсиях все лица старше 63</w:t>
      </w:r>
      <w:r>
        <w:rPr>
          <w:sz w:val="23"/>
          <w:lang w:val="en-US"/>
        </w:rPr>
        <w:t> </w:t>
      </w:r>
      <w:r>
        <w:rPr>
          <w:sz w:val="23"/>
        </w:rPr>
        <w:t>лет, постоянно проживающие в Гренландии, имеют право на получение пенсии от правительства самоуправления. В соответствии с ППГ № 11 от 30 октября 1998 года о домах для престарелых пожилые лица могут иметь право на проживание в домах для престарелых, лечебницах и т. д. после проведения конкретной оценки их потребностей. Помощь может также оказываться по месту жительства.</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540.</w:t>
      </w:r>
      <w:r>
        <w:rPr>
          <w:sz w:val="23"/>
        </w:rPr>
        <w:tab/>
        <w:t>Правила, регулирующие выплату пособий физически или умственно неполноценным лицам, содержатся в ППГ № 7 от 3 ноября 1994 года, ППГ № 13 от 31 октября 1996 года и ППГ № 1 от 23 мая 2000 года об оказании помощи лицам с серьезными недостатками. ППГ содержат положения о предоставлении вспомогательного оборудования, оказании поддержки для найма младшего медицинского персонала, обеспечивающего уход, поддержки в вопросах реабилитации, пребывании в специализированных домах для инвалидов, переоборудовании жилья, туристических поездках и т. д. Кроме того, в постановлении о пенсиях содержатся нормативные положения, касающиеся выплаты пенсий по инвалидности нетрудоспособным лицам.</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541.</w:t>
      </w:r>
      <w:r>
        <w:rPr>
          <w:sz w:val="23"/>
        </w:rPr>
        <w:tab/>
        <w:t>Положения, касающиеся выплаты пособий родственникам, потерявшим кормильцев в результате несчастных случаев на производстве, содержатся в РП по ЗД № 943 от 16 октября 2000 года о страховании на случай производственных травм.</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542.</w:t>
      </w:r>
      <w:r>
        <w:rPr>
          <w:sz w:val="23"/>
        </w:rPr>
        <w:tab/>
        <w:t>Положения, касающиеся выплаты пособий по безработице, содержатся в ППГ № 15 от 12</w:t>
      </w:r>
      <w:r>
        <w:rPr>
          <w:sz w:val="23"/>
          <w:lang w:val="en-US"/>
        </w:rPr>
        <w:t> </w:t>
      </w:r>
      <w:r>
        <w:rPr>
          <w:sz w:val="23"/>
        </w:rPr>
        <w:t>ноября 2001 года о государственных пособиях, рассчитываемых на основе соответствующих тарифов. Это постановление определяет пособия, выплачиваемые членам ряда профсоюзов. Лица, не охватываемые этим постановлением, могут получать пособия в рамках постановления о государственной помощи.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543.</w:t>
      </w:r>
      <w:r>
        <w:rPr>
          <w:sz w:val="23"/>
        </w:rPr>
        <w:tab/>
        <w:t>Пособия на детей, определяемые на основе уровня дохода, выплачиваются в соответствии с ППГ № 11 от 31 октября 1996 года о пособиях на детей. В соответствии с положением о пенсиях пенсионеры имеют право на получение дополнительных пособий на детей. В ППГ № 9 от 30 октября 1992 года об оказании помощи детям и молодежи содержатся положения о помощи несовершеннолетним в тех случаях, когда им требуется особая поддержка.</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544.</w:t>
      </w:r>
      <w:r>
        <w:rPr>
          <w:sz w:val="23"/>
        </w:rPr>
        <w:tab/>
        <w:t>Все вышеуказанные пособия и выплаты по линии социального обеспечения, за исключением страховых выплат в связи с производственными травмами, полностью финансируются органами государственной власти. Законодательство не препятствует созданию коллективных страховых планов. По соглашению между работодателями и профсоюзами пенсионные фонды созданы большинством групп, относящихся к государственному сектору рынка труда. Участие неквалифицированных и квалифицированных рабочих в этих фондах все еще остается довольно низким. В 1995–1997 годах Комиссия по социальной реформе рекомендовала вернуться к системе выплаты пособий и надбавок по линии социального страхования. Процесс восстановления социального законодательства все еще не завершен.</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br w:type="page"/>
        <w:t>Статья 10</w:t>
      </w: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t>Семья, мать и ребенок</w:t>
      </w: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545.</w:t>
      </w:r>
      <w:r>
        <w:rPr>
          <w:sz w:val="23"/>
        </w:rPr>
        <w:tab/>
        <w:t>В законодательстве Дании содержится широкий круг нормативных положений, регулирующих юридический статус семьи. В Гренландии действует РП № 307 от 14 мая 1993 года о вступлении в силу Закона о заключении и расторжении брака. В статье 1 этого распоряжения содержатся следующие положения: "Лицо в возрасте моложе 18 лет не может вступать в брак без разрешения национального омбудсмена". В статье 2 (1) указывается: "Ни</w:t>
      </w:r>
      <w:r>
        <w:rPr>
          <w:sz w:val="23"/>
          <w:lang w:val="en-US"/>
        </w:rPr>
        <w:t> </w:t>
      </w:r>
      <w:r>
        <w:rPr>
          <w:sz w:val="23"/>
        </w:rPr>
        <w:t>одно лицо в возрасте моложе 18 лет, которое ранее не состояло в браке, не может вступать в брак без согласия своих родителей". См. также информацию по статье 9, касающуюся отпуска по беременности и родам.</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546.</w:t>
      </w:r>
      <w:r>
        <w:rPr>
          <w:sz w:val="23"/>
        </w:rPr>
        <w:tab/>
        <w:t>Следует отметить, что ЗД № 295 от 4 июня 1986 года о гигиене и безопасности труда ограничивает возможности использования детского труда в Гренландии. В соответствии с этим законом дети в возрасте до 15 лет обычно не могут работать по найму, за исключением легкой работы в течение 2 часов в день. Министр занятости Дании принял особые правила, касающиеся выполнения работ, характер которых может представлять угрозу для безопасности, здоровья или развития молодых людей.</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t>Статья 11</w:t>
      </w: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t>Право на надлежащие условия жизни</w:t>
      </w: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547.</w:t>
      </w:r>
      <w:r>
        <w:rPr>
          <w:sz w:val="23"/>
        </w:rPr>
        <w:tab/>
        <w:t>В период 80-х и 90-х годов темпы роста в Гренландии были весьма нестабильными. В начале 80-х годов темпы роста колебались в значительных пределах. В период с 1985 по 1989 год отмечался значительный рост, рассчитанный по ВВП на душу населения с фиксированными ценами. Затем рост снизился, и в 1990–1993 годах отмечалась отрицательная тенденция. После 1994 года развитие было в основном положительным. В период с 1998 по 1999 год рост составлял 7,2%. Однако недавно появились признаки замедления развития экономики вплоть до стагнации. Это объясняется сокращением доходов от рыболовства и рыбной промышленности (промысел креветок и гренландского палтуса).</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548.</w:t>
      </w:r>
      <w:r>
        <w:rPr>
          <w:sz w:val="23"/>
        </w:rPr>
        <w:tab/>
        <w:t>Частный сектор в Гренландии основан на рыболовстве, добыче сырья (горная промышленность и нефтедобыча), туризме и другой деятельности на побережье. Рыболовство является важнейшим сектором экономики. 25% рабочей силы занято в секторе рыболовства, а 92% экспорта Гренландии составляют рыбопродукты. Экономическое развитие в значительной степени зависит от цен и объема экспорта рыбы. В последние годы значительно снижались цены на креветки, в результате чего в Гренландии может возникнуть стагнация.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549.</w:t>
      </w:r>
      <w:r>
        <w:rPr>
          <w:sz w:val="23"/>
        </w:rPr>
        <w:tab/>
        <w:t>Рост ВВП в последнее время в значительной степени является результатом положительной тенденции в области занятости с 1993 года в сочетании с низкими темпами инфляции и ростом личных доходов. Однако эта тенденция, по-видимому, начинает изменяться. Динамика располагаемого национального продукта на душу населения следует этой тенденции, однако изменения носят малозначительный характер, учитывая блоковые субсидии от Дании.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550.</w:t>
      </w:r>
      <w:r>
        <w:rPr>
          <w:sz w:val="23"/>
        </w:rPr>
        <w:tab/>
        <w:t>Уровень безработицы в Гренландии сократился с 8% в 1998 году до 7% в 1999 году и 6% в 2000 и 2001 годах. Ожидается, что стагнация в сфере рыболовства приведет к незначительному росту безработицы. Однако в Гренландии все еще отмечается хорошая ситуация в сфере занятости. Следует добавить, что около 20% населения, проживающего в населенных пунктах, не учитывается в статистике.</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551.</w:t>
      </w:r>
      <w:r>
        <w:rPr>
          <w:sz w:val="23"/>
        </w:rPr>
        <w:tab/>
        <w:t>Инфляция: в период с 2000 по 2001 год инфляция возросла на 2,9%. В последние годы цены росли более быстрыми темпами, чем ранее.</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552.</w:t>
      </w:r>
      <w:r>
        <w:rPr>
          <w:sz w:val="23"/>
        </w:rPr>
        <w:tab/>
        <w:t>Финансирование практически всего объема жилищного строительства в Гренландии осуществляется частично или полностью за счет государственных средств, т. е. средств правительства самоуправления и муниципалитетов Гренландии. Такая практика существует в сфере арендуемого жилья, кооперативного жилья и строительства домов, рассчитанных на одну семью. В 1987 году правительство Дании передало в ведение правительства самоуправления Гренландии соответствующие функции в сфере жилья. В последующий период правительство самоуправления установило соответствующие нормы в этой области. В сфере жилья в Гренландии установлен целевой показатель, предусматривающий, что каждая совместно проживающая пара и все одинокие лица в возрасте старше 20 лет должны быть обеспечены жильем.</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553.</w:t>
      </w:r>
      <w:r>
        <w:rPr>
          <w:sz w:val="23"/>
        </w:rPr>
        <w:tab/>
        <w:t>Строительство жилья, финансируемого государством, регулируется ЗД № 944 от 23 декабря 1986 года о субсидиях на строительство жилья и ППГ № 5 от 31 мая 2001 года о строительстве кооперативного жилья. Аренда жилых помещений регулируется положениями ППГ № 3 от 13 июня 1994 года об аренде жилья.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554.</w:t>
      </w:r>
      <w:r>
        <w:rPr>
          <w:sz w:val="23"/>
        </w:rPr>
        <w:tab/>
        <w:t>С 1 января 2002 года малообеспеченным семьям предоставляются жилищные льготы во исполнение ППГ № 3 от 31 мая 2001 года о льготах при аренде жилья. Размер льгот зависит от оценки уровня арендной платы, а также от размеров, состава и доходов семьи.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t>Статья 12</w:t>
      </w: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t>Наивысший возможный уровень охраны здоровья</w:t>
      </w: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555.</w:t>
      </w:r>
      <w:r>
        <w:rPr>
          <w:sz w:val="23"/>
        </w:rPr>
        <w:tab/>
        <w:t>1 января 1992 года при передаче функций по управлению службами здравоохранения, ранее находившимися в ведении правительства Дании, в Гренландии были установлены целевые показатели программы Всемирной организации здравоохранения "Здоровье для всех к 2000</w:t>
      </w:r>
      <w:r>
        <w:rPr>
          <w:sz w:val="23"/>
          <w:lang w:val="en-US"/>
        </w:rPr>
        <w:t> </w:t>
      </w:r>
      <w:r>
        <w:rPr>
          <w:sz w:val="23"/>
        </w:rPr>
        <w:t>году". В этой связи всем гражданам Гренландии должны быть предоставлены оптимальные возможности для достижения высокого уровня жизни путем обеспечения всеобщего доступа к службам сектора здравоохранения.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556.</w:t>
      </w:r>
      <w:r>
        <w:rPr>
          <w:sz w:val="23"/>
        </w:rPr>
        <w:tab/>
        <w:t xml:space="preserve">В целом службы здравоохранения Гренландии организованы в соответствии с основными принципами, изложенными в Пакте.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557.</w:t>
      </w:r>
      <w:r>
        <w:rPr>
          <w:sz w:val="23"/>
        </w:rPr>
        <w:tab/>
        <w:t>В рамках деятельности по достижению целевых показателей, установленных в программе "Здоровье для всех к 2000 году", широкий круг медицинских услуг предоставляется бесплатно. Постоянно предпринимаются усилия для активизации просветительской деятельности по вопросам здравоохранения. Цель заключается в адаптации пропаганды медицинских знаний к условиям Гренландии и одновременно в обеспечении высокого качества служб здравоохранения.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558.</w:t>
      </w:r>
      <w:r>
        <w:rPr>
          <w:sz w:val="23"/>
        </w:rPr>
        <w:tab/>
        <w:t>Гренландия отдает себе отчет в том, что профилактика является важным элементом деятельности по повышению качества медицинского обслуживания населения в целом. Поэтому службы здравоохранения стремятся построить свою деятельность так, чтобы каждый гражданин знал о своей основной ответственности за охрану собственного здоровья.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559.</w:t>
      </w:r>
      <w:r>
        <w:rPr>
          <w:sz w:val="23"/>
        </w:rPr>
        <w:tab/>
        <w:t>Регулярно принимаются меры по оценке услуг, оказываемых службами здравоохранения Гренландии, и повышению их эффективности и результативности. После того как функции в области здравоохранения были переданы в ведение Гренландии, в рамках проводимой политики были приняты следующие законодательные акты:</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ab/>
        <w:t>а)</w:t>
      </w:r>
      <w:r>
        <w:rPr>
          <w:sz w:val="23"/>
        </w:rPr>
        <w:tab/>
        <w:t>ППГ № 15 от 6 ноября 1997 года о медицинском обслуживании и т. д. Это постановление устанавливает общие принципы медицинского обслуживания в Гренландии и описывает услуги, оказываемые гражданам. Законодательство включает в себя также правила выдачи медицинскому персоналу разрешений на осуществление деятельности в области здравоохранения, правила, определяющие области профессиональной деятельности медицинского персонала, а также правила, относящиеся к вакцинации, медицинским препаратам и доставке больных в лечебные учреждения;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ab/>
        <w:t>b)</w:t>
      </w:r>
      <w:r>
        <w:rPr>
          <w:sz w:val="23"/>
        </w:rPr>
        <w:tab/>
        <w:t>ППГ № 3 от 23 мая 2000 года о регулировании и организации деятельности сектора здравоохранения содержит общие принципы, касающиеся организации и структуры сектора здравоохранения, включая контроль за деятельностью сектора со стороны парламента. Это законодательство включает правила, касающиеся разделения страны на округа и функций, выполняемых медицинскими учреждениями. Кроме того, были приняты правила, касающиеся создания окружных медицинских советов, включая ряд правил по профилактическим мерам. Одна из таких мер была закреплена в ППГ № 4 от 23 мая 2000 года о табаке, местах, где курение запрещено, и маркировке табачных изделий;</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ab/>
        <w:t>с)</w:t>
      </w:r>
      <w:r>
        <w:rPr>
          <w:sz w:val="23"/>
        </w:rPr>
        <w:tab/>
        <w:t>ППГ № 6 от 31 мая 2001 года о юридических правах пациентов обеспечивает достоинство, целостность и самостоятельность решений, принимаемых пациентами. Кроме того, оно обеспечивает конфиденциальность в отношениях между пациентом и медицинским персоналом.</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t>Статья 13</w:t>
      </w: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t>Право на образование</w:t>
      </w: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560.</w:t>
      </w:r>
      <w:r>
        <w:rPr>
          <w:sz w:val="23"/>
        </w:rPr>
        <w:tab/>
        <w:t>В Гренландии не действует никакое законодательство, противоречащее правам, закрепленным в статье 13 (1) Пакта.</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561.</w:t>
      </w:r>
      <w:r>
        <w:rPr>
          <w:sz w:val="23"/>
        </w:rPr>
        <w:tab/>
        <w:t>В Конституции Дании от 5 июня 1953 года указывается, то все дети в возрастной группе, охватываемой обязательным образованием, имеют право на бесплатное начальное и среднее образование первой ступени. Однако родители и опекуны, обеспечивающие обучение своих детей по стандартам, сравнимым с общими стандартами системы государственного образования, не обязаны отдавать своих детей в государственные начальные и средние школы первой ступени.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562.</w:t>
      </w:r>
      <w:r>
        <w:rPr>
          <w:sz w:val="23"/>
        </w:rPr>
        <w:tab/>
        <w:t>Как представляется, нормы, касающиеся начального образования в Гренландии, соответствуют требованиям Пакта относительно начального образования. Эти нормы полностью соответствуют нормам, действующим в государственных школах Дании. Начальное образование в Гренландии регулируется положениями ППГ № 1 от 6 июня 1997 года о государственных школах.</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563.</w:t>
      </w:r>
      <w:r>
        <w:rPr>
          <w:sz w:val="23"/>
        </w:rPr>
        <w:tab/>
        <w:t>В ППГ отмечается, что любой ребенок, проживающий в Гренландии, в обязательном порядке должен посещать школу на протяжении девяти лет, начиная с того года, когда ему исполняется шесть лет. Кроме того, в нем говорится, что система обязательного образования предусматривает необходимость обучения детей в государственных начальных и средних школах первой ступени или учебных заведениях, стандарты которых эквивалентны стандартам, установленным в рамках государственной системы начального и среднего образования первой ступени. По соответствующей просьбе любой ученик может быть освобожден от изучения закона божьего, если его родители представляют директору школы письменное заявление о том, что они желают обеспечить религиозное образование своего ребенка своими собственными силами.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564.</w:t>
      </w:r>
      <w:r>
        <w:rPr>
          <w:sz w:val="23"/>
        </w:rPr>
        <w:tab/>
        <w:t>Можно утверждать, что действующее в Гренландии законодательство соответствует требованиям, закрепленным в Пакте, поскольку:</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ab/>
        <w:t>а)</w:t>
      </w:r>
      <w:r>
        <w:rPr>
          <w:sz w:val="23"/>
        </w:rPr>
        <w:tab/>
        <w:t>начальное образование является обязательным и бесплатным;</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ab/>
        <w:t>b)</w:t>
      </w:r>
      <w:r>
        <w:rPr>
          <w:sz w:val="23"/>
        </w:rPr>
        <w:tab/>
        <w:t>родители и опекуны имеют право выбирать школы, не входящие в систему государственного образования;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ab/>
        <w:t>с)</w:t>
      </w:r>
      <w:r>
        <w:rPr>
          <w:sz w:val="23"/>
        </w:rPr>
        <w:tab/>
        <w:t>родители и опекуны имеют право обеспечить религиозное и нравственное образование своих детей в соответствии со своими убеждениями.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565.</w:t>
      </w:r>
      <w:r>
        <w:rPr>
          <w:sz w:val="23"/>
        </w:rPr>
        <w:tab/>
        <w:t>В Гренландии система среднего образования ориентируется главным образом на профессиональную подготовку и обучение. Ее деятельность регулируется соответствующим законодательством, включая ППГ № 2 от 31 мая 1999 года о курсах профессиональной подготовки и обучения, которое вводит основную и децентрализованную профессиональную подготовку. Требования в отношении принятия в учреждения профессиональной подготовки и обучения считаются выполненными, если учащиеся заключают договор о трудовой практике и отвечают конкретным приемным требованиям, указанным в соответствующих постановлениях по вопросам подготовки и обучения.</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566.</w:t>
      </w:r>
      <w:r>
        <w:rPr>
          <w:sz w:val="23"/>
        </w:rPr>
        <w:tab/>
        <w:t>Это постановление охватывает вопросы основного и децентрализованного профессионального обучения и подготовки в Гренландии в следующих основных областях: металлообработка; строительство; коммерческие дисциплины и делопроизводство; сфера питания; рыболовство; социальная служба; сфера здравоохранения; графика; сфера обслуживания. Кроме того, ведется подготовка кадров по таким специальностям, как овцеводство и туризм. В ряде указанных выше областей обеспечивается также профессиональная подготовка, обучение соответствующих специалистов и повышение их квалификации.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567.</w:t>
      </w:r>
      <w:r>
        <w:rPr>
          <w:sz w:val="23"/>
        </w:rPr>
        <w:tab/>
        <w:t>В ППГ № 2 указывается, что такого рода профессиональная подготовка и обучение являются бесплатными и что правительство самоуправления вправе решать вопрос о том, будут ли участники частично или полностью оплачивать учебные материалы, которые становятся их собственностью.</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568.</w:t>
      </w:r>
      <w:r>
        <w:rPr>
          <w:sz w:val="23"/>
        </w:rPr>
        <w:tab/>
        <w:t>Система высшего образования Гренландии является органическим продолжением обучения. Образование в этой области регулируется ЗД № 582 от 29 ноября 1978 года о профессиональной подготовке и обучении.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569.</w:t>
      </w:r>
      <w:r>
        <w:rPr>
          <w:sz w:val="23"/>
        </w:rPr>
        <w:tab/>
        <w:t>Правительство самоуправления Гренландии предлагает среднее образование второй ступени во исполнение ЗД № 431 от 13 июня 1990 года о среднем образовании второй ступени и т. д. и ППГ № 108 от 17 февраля 1992 года. Кроме того, высшее образование предлагается по следующим специальностям:</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ab/>
        <w:t>а)</w:t>
      </w:r>
      <w:r>
        <w:rPr>
          <w:sz w:val="23"/>
        </w:rPr>
        <w:tab/>
        <w:t>младший медицинский персонал (ППГ № 7 от 29 октября 1999 года о подготовке медсестер);</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ab/>
      </w:r>
      <w:r>
        <w:rPr>
          <w:sz w:val="23"/>
          <w:lang w:val="en-US"/>
        </w:rPr>
        <w:t>b</w:t>
      </w:r>
      <w:r>
        <w:rPr>
          <w:sz w:val="23"/>
        </w:rPr>
        <w:t>)</w:t>
      </w:r>
      <w:r>
        <w:rPr>
          <w:sz w:val="23"/>
        </w:rPr>
        <w:tab/>
        <w:t>журналистика (ППГ № 6 от 30 октября 1995 года о подготовке журналистов);</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ab/>
      </w:r>
      <w:r>
        <w:rPr>
          <w:sz w:val="23"/>
          <w:lang w:val="en-US"/>
        </w:rPr>
        <w:t>c</w:t>
      </w:r>
      <w:r>
        <w:rPr>
          <w:sz w:val="23"/>
        </w:rPr>
        <w:t>)</w:t>
      </w:r>
      <w:r>
        <w:rPr>
          <w:sz w:val="23"/>
        </w:rPr>
        <w:tab/>
        <w:t>учителя начальных и средних школ первой ступени (ППГ № 2 от 2 мая 1996 года о подготовке учителей государственных школ);</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ab/>
      </w:r>
      <w:r>
        <w:rPr>
          <w:sz w:val="23"/>
          <w:lang w:val="en-US"/>
        </w:rPr>
        <w:t>d</w:t>
      </w:r>
      <w:r>
        <w:rPr>
          <w:sz w:val="23"/>
        </w:rPr>
        <w:t>)</w:t>
      </w:r>
      <w:r>
        <w:rPr>
          <w:sz w:val="23"/>
        </w:rPr>
        <w:tab/>
        <w:t xml:space="preserve">социальные работники (ППГ № 10 от 31 октября 1996 года о подготовке социальных работников);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ab/>
      </w:r>
      <w:r>
        <w:rPr>
          <w:sz w:val="23"/>
          <w:lang w:val="en-US"/>
        </w:rPr>
        <w:t>e</w:t>
      </w:r>
      <w:r>
        <w:rPr>
          <w:sz w:val="23"/>
        </w:rPr>
        <w:t>)</w:t>
      </w:r>
      <w:r>
        <w:rPr>
          <w:sz w:val="23"/>
        </w:rPr>
        <w:tab/>
        <w:t>социальная педагогика (ППГ № 2 от 20 мая 1998 года о подготовке воспитателей детских садов и т. д.);</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ab/>
      </w:r>
      <w:r>
        <w:rPr>
          <w:sz w:val="23"/>
          <w:lang w:val="en-US"/>
        </w:rPr>
        <w:t>f</w:t>
      </w:r>
      <w:r>
        <w:rPr>
          <w:sz w:val="23"/>
        </w:rPr>
        <w:t>)</w:t>
      </w:r>
      <w:r>
        <w:rPr>
          <w:sz w:val="23"/>
        </w:rPr>
        <w:tab/>
        <w:t>университетское образование (ППГ № 16 от 31 октября 1996 года о Гренландском университете (</w:t>
      </w:r>
      <w:r>
        <w:rPr>
          <w:sz w:val="23"/>
          <w:lang w:val="en-US"/>
        </w:rPr>
        <w:t>Ilisimatusafik</w:t>
      </w:r>
      <w:r>
        <w:rPr>
          <w:sz w:val="23"/>
        </w:rPr>
        <w:t>).</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570.</w:t>
      </w:r>
      <w:r>
        <w:rPr>
          <w:sz w:val="23"/>
        </w:rPr>
        <w:tab/>
        <w:t>Для всех этих видов обучения характерна общая особенность: оно бесплатно для студентов и открыто для любого лица, отвечающего конкретным вступительным требованиям.</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571.</w:t>
      </w:r>
      <w:r>
        <w:rPr>
          <w:sz w:val="23"/>
        </w:rPr>
        <w:tab/>
        <w:t>В настоящее время осуществляется пересмотр законодательства о подготовке социальных работников, при этом одна из целей такого пересмотра заключается в ужесточении требований в отношении приема, с тем чтобы привести их в соответствие со вступительными требованиями, действующими в других областях высшего образования. В дальнейшем общее требование будет заключаться в том, что к поступлению в учебное заведение могут быть допущены лишь те лица, которые успешно сдали ряд экзаменов на уровне А.</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572.</w:t>
      </w:r>
      <w:r>
        <w:rPr>
          <w:sz w:val="23"/>
        </w:rPr>
        <w:tab/>
        <w:t>В разъяснениях, касающихся начального, среднего и высшего образования, указывается, что система образования Гренландии должна охватывать все уровни. Учащиеся из Гренландии могут обращаться с просьбой о приеме в учебное заведение как в Дании, так и в Гренландии. Что</w:t>
      </w:r>
      <w:r>
        <w:rPr>
          <w:sz w:val="23"/>
          <w:lang w:val="en-US"/>
        </w:rPr>
        <w:t> </w:t>
      </w:r>
      <w:r>
        <w:rPr>
          <w:sz w:val="23"/>
        </w:rPr>
        <w:t>касается приема в учебное заведение в Дании, то жители Гренландии пользуются такими же правами, что и жители Дании. Как разъясняется ниже, принятым в учебное заведение в Дании, предоставляются соответствующие стипендии.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573.</w:t>
      </w:r>
      <w:r>
        <w:rPr>
          <w:sz w:val="23"/>
        </w:rPr>
        <w:tab/>
        <w:t xml:space="preserve">Согласно ППГ № 3 от 2 мая 1996 года о пособиях на образование и консультирование по вопросам профессиональной деятельности стипендии предоставляются для обучения по специальностям, определяемым правительством самоуправления. В настоящее время стипендии выделяются для обучения по всем специальностям, указанным в </w:t>
      </w:r>
      <w:r>
        <w:rPr>
          <w:sz w:val="23"/>
          <w:lang w:val="en-US"/>
        </w:rPr>
        <w:t>Sunngu</w:t>
      </w:r>
      <w:r>
        <w:rPr>
          <w:sz w:val="23"/>
        </w:rPr>
        <w:t xml:space="preserve"> ("Ключевые вопросы образования и профессиональной подготовки в Гренландии и Дании") (ср. статья 1 РОСУ № 17 от 3 июля 1995 года о стипендиях). Однако управление по делам культуры, образования и церкви может принимать решения о выделении стипендий для обучения и по другим специальностям. Кроме того, стипендии могут предоставляться для продолжения образования, т. е. для сдачи общих экзаменов по окончании школы (ОЭОШ), экзаменов по окончании средних специальных учебных заведений (ЭОСУЗ) и квалификационных экзаменов для поступления в вузы (КЭВ).</w:t>
      </w: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574.</w:t>
      </w:r>
      <w:r>
        <w:rPr>
          <w:sz w:val="23"/>
        </w:rPr>
        <w:tab/>
        <w:t>Для получения стипендии необходимо отвечать следующим требованиям:</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ab/>
        <w:t>а)</w:t>
      </w:r>
      <w:r>
        <w:rPr>
          <w:sz w:val="23"/>
        </w:rPr>
        <w:tab/>
        <w:t>быть гражданином Дании;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ab/>
      </w:r>
      <w:r>
        <w:rPr>
          <w:sz w:val="23"/>
          <w:lang w:val="en-US"/>
        </w:rPr>
        <w:t>b</w:t>
      </w:r>
      <w:r>
        <w:rPr>
          <w:sz w:val="23"/>
        </w:rPr>
        <w:t>)</w:t>
      </w:r>
      <w:r>
        <w:rPr>
          <w:sz w:val="23"/>
        </w:rPr>
        <w:tab/>
        <w:t>иметь постоянный адрес в Гренландии для получения образования в Гренландии;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ab/>
        <w:t>с)</w:t>
      </w:r>
      <w:r>
        <w:rPr>
          <w:sz w:val="23"/>
        </w:rPr>
        <w:tab/>
        <w:t>постоянно проживать в Гренландии на момент обращения с просьбой о стипендии и проживать в Гренландии на протяжении не менее пяти лет до обращения с просьбой или постоянно проживать в Гренландии на протяжении не менее десяти лет, при этом период проживания за пределами Гренландии не должен превышать трех лет.</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575.</w:t>
      </w:r>
      <w:r>
        <w:rPr>
          <w:sz w:val="23"/>
        </w:rPr>
        <w:tab/>
        <w:t>Стипендии предоставляются в форме ежемесячных денежных выплат. Кроме того, могут предоставляться пособия на детей, пособия для приобретения необходимых учебников, пособия на приобретение медицинских препаратов, пособия на случай срочной стоматологической помощи и пособия для оплаты проезда в автобусах и поездах. Студенты имеют также право на бесплатный проезд в транспорте, бесплатные поездки на каникулы и бесплатный провоз личных вещей. Кроме того, они могут обращаться с просьбой о предоставлении ссуды на обучение.</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576.</w:t>
      </w:r>
      <w:r>
        <w:rPr>
          <w:sz w:val="23"/>
        </w:rPr>
        <w:tab/>
        <w:t>Кроме того, стипендии могут предоставляться школьникам, обучающимся в старших классах начальной и средней школы первой ступени (ср. ППГ № 5 от 28 октября 1982 года о стипендиях для учащихся старших классов начальной и средней школы первой ступени). Эти стипендии выделяются для обеспечения того, чтобы такие школьники могли продолжать свое обучение в средней школе первой ступени после окончания девятого класса (ср. ППГ № 1 от 6</w:t>
      </w:r>
      <w:r>
        <w:rPr>
          <w:sz w:val="23"/>
          <w:lang w:val="en-US"/>
        </w:rPr>
        <w:t> </w:t>
      </w:r>
      <w:r>
        <w:rPr>
          <w:sz w:val="23"/>
        </w:rPr>
        <w:t>июня 1997 года о государственных школах).</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577.</w:t>
      </w:r>
      <w:r>
        <w:rPr>
          <w:sz w:val="23"/>
        </w:rPr>
        <w:tab/>
        <w:t>В действующем законодательстве предусматриваются указанные ниже возможности для продолжения обучения лицами, не получившими или не завершившими образование по программе начальной и средней школы первой ступени.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578.</w:t>
      </w:r>
      <w:r>
        <w:rPr>
          <w:sz w:val="23"/>
        </w:rPr>
        <w:tab/>
        <w:t>Во-первых, можно продолжать базовое образование по программе начальной и средней школы первой ступени на протяжении одного или двух лет в десятом и одиннадцатом классах. Такая система продолжения образования получает финансовую поддержку в соответствии с положениями ППГ № 5 от 28 октября 1982 года об оказании помощи при обучении в старших классах начальной и средней школы первой ступени. Кроме того, в рамках системы среднего образования второй ступени в Гренландии можно прослушать учебный курс по какому-либо одному предмету (ср. РОСУ об учащихся системы среднего образования второй ступени Гренландии). В связи с занятиями на таких курсах выплачиваются стипендии (ср. РОСУ о стипендиях). Эти курсы являются бесплатными.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579.</w:t>
      </w:r>
      <w:r>
        <w:rPr>
          <w:sz w:val="23"/>
        </w:rPr>
        <w:tab/>
        <w:t>Кроме того, можно прослушать учебный курс для взрослых по какому-либо одному предмету (см. РОСУ о продолжении обучения в целях подготовки к сдаче экзаменов по курсу средней общеобразовательной школы первой ступени и школьных выпускных экзаменов). Это сделано с целью предоставления лицам, не сумевшим окончить начальную и среднюю школу первой ступени, возможностей для гармоничного развития личности и приобретения навыков и знаний, необходимых для получения доступа к высшему образованию. Согласно статье 8 за обучение на таких курсах взимается плата (ср. положения, касающиеся участия в системе образования для взрослых). Однако книги и другие учебные материалы предоставляются студентам бесплатно.</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t>Статья 14</w:t>
      </w: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t>Обязательное образование</w:t>
      </w: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580.</w:t>
      </w:r>
      <w:r>
        <w:rPr>
          <w:sz w:val="23"/>
        </w:rPr>
        <w:tab/>
        <w:t>Поскольку, как представляется, действующее в Гренландии законодательство отвечает требованиям, изложенным в статье 13 Пакта, какого-либо подобного плана мероприятий для постепенной реализации положений статьи 14 подготовлено не было.</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t>Статья 15</w:t>
      </w: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r>
        <w:rPr>
          <w:b/>
          <w:bCs/>
          <w:sz w:val="23"/>
        </w:rPr>
        <w:t>Культура и наука</w:t>
      </w:r>
    </w:p>
    <w:p w:rsidR="00000000" w:rsidRDefault="00000000">
      <w:pPr>
        <w:tabs>
          <w:tab w:val="clear" w:pos="567"/>
          <w:tab w:val="clear" w:pos="1701"/>
          <w:tab w:val="clear" w:pos="2268"/>
          <w:tab w:val="clear" w:pos="6237"/>
          <w:tab w:val="left" w:pos="680"/>
          <w:tab w:val="left" w:pos="1134"/>
        </w:tabs>
        <w:spacing w:line="240" w:lineRule="auto"/>
        <w:jc w:val="center"/>
        <w:rPr>
          <w:b/>
          <w:bCs/>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581.</w:t>
      </w:r>
      <w:r>
        <w:rPr>
          <w:sz w:val="23"/>
        </w:rPr>
        <w:tab/>
        <w:t>Действующее в Гренландии законодательство не содержит каких-либо положений, ограничивающих право на участие в культурной жизни. В Гренландии обеспечена свобода ассоциации.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582.</w:t>
      </w:r>
      <w:r>
        <w:rPr>
          <w:sz w:val="23"/>
        </w:rPr>
        <w:tab/>
        <w:t xml:space="preserve">Ряд общенациональных творческих и культурных организаций, учреждений и ассоциаций получают субсидии, предоставляемые в соответствии с Законом о финансировании, принятом парламентом самоуправления по статье "Другая деятельность по организации досуга, культуры и общего образования и информирования общественности". К числу таких организаций относятся: Федерация женских ассоциаций Гренландии, </w:t>
      </w:r>
      <w:r>
        <w:rPr>
          <w:sz w:val="23"/>
          <w:lang w:val="en-US"/>
        </w:rPr>
        <w:t>Kalaallit</w:t>
      </w:r>
      <w:r>
        <w:rPr>
          <w:sz w:val="23"/>
        </w:rPr>
        <w:t xml:space="preserve"> </w:t>
      </w:r>
      <w:r>
        <w:rPr>
          <w:sz w:val="23"/>
          <w:lang w:val="en-US"/>
        </w:rPr>
        <w:t>Nunsaanni</w:t>
      </w:r>
      <w:r>
        <w:rPr>
          <w:sz w:val="23"/>
        </w:rPr>
        <w:t xml:space="preserve"> </w:t>
      </w:r>
      <w:r>
        <w:rPr>
          <w:sz w:val="23"/>
          <w:lang w:val="en-US"/>
        </w:rPr>
        <w:t>peqatigiinniat</w:t>
      </w:r>
      <w:r>
        <w:rPr>
          <w:sz w:val="23"/>
        </w:rPr>
        <w:t xml:space="preserve"> </w:t>
      </w:r>
      <w:r>
        <w:rPr>
          <w:sz w:val="23"/>
          <w:lang w:val="en-US"/>
        </w:rPr>
        <w:t>kattuffiat</w:t>
      </w:r>
      <w:r>
        <w:rPr>
          <w:sz w:val="23"/>
        </w:rPr>
        <w:t xml:space="preserve">, Федерация инуитов, </w:t>
      </w:r>
      <w:r>
        <w:rPr>
          <w:sz w:val="23"/>
          <w:lang w:val="en-US"/>
        </w:rPr>
        <w:t>Silamiut</w:t>
      </w:r>
      <w:r>
        <w:rPr>
          <w:sz w:val="23"/>
        </w:rPr>
        <w:t xml:space="preserve">, Институт Севера, </w:t>
      </w:r>
      <w:r>
        <w:rPr>
          <w:sz w:val="23"/>
          <w:lang w:val="en-US"/>
        </w:rPr>
        <w:t>Kalaaleq</w:t>
      </w:r>
      <w:r>
        <w:rPr>
          <w:sz w:val="23"/>
        </w:rPr>
        <w:t xml:space="preserve">, местные радио- и телевизионные станции, </w:t>
      </w:r>
      <w:r>
        <w:rPr>
          <w:sz w:val="23"/>
          <w:lang w:val="en-US"/>
        </w:rPr>
        <w:t>Kalaallit</w:t>
      </w:r>
      <w:r>
        <w:rPr>
          <w:sz w:val="23"/>
        </w:rPr>
        <w:t xml:space="preserve"> </w:t>
      </w:r>
      <w:r>
        <w:rPr>
          <w:sz w:val="23"/>
          <w:lang w:val="en-US"/>
        </w:rPr>
        <w:t>Nunaanni</w:t>
      </w:r>
      <w:r>
        <w:rPr>
          <w:sz w:val="23"/>
        </w:rPr>
        <w:t xml:space="preserve"> </w:t>
      </w:r>
      <w:r>
        <w:rPr>
          <w:sz w:val="23"/>
          <w:lang w:val="en-US"/>
        </w:rPr>
        <w:t>Erinarsoqatigiit</w:t>
      </w:r>
      <w:r>
        <w:rPr>
          <w:sz w:val="23"/>
        </w:rPr>
        <w:t xml:space="preserve"> </w:t>
      </w:r>
      <w:r>
        <w:rPr>
          <w:sz w:val="23"/>
          <w:lang w:val="en-US"/>
        </w:rPr>
        <w:t>kattuffiat</w:t>
      </w:r>
      <w:r>
        <w:rPr>
          <w:sz w:val="23"/>
        </w:rPr>
        <w:t xml:space="preserve">, местные газеты, группа "Гренландия", </w:t>
      </w:r>
      <w:r>
        <w:rPr>
          <w:sz w:val="23"/>
          <w:lang w:val="en-US"/>
        </w:rPr>
        <w:t>Inuuneq</w:t>
      </w:r>
      <w:r>
        <w:rPr>
          <w:sz w:val="23"/>
        </w:rPr>
        <w:t xml:space="preserve"> </w:t>
      </w:r>
      <w:r>
        <w:rPr>
          <w:sz w:val="23"/>
          <w:lang w:val="en-US"/>
        </w:rPr>
        <w:t>Nakuuneq</w:t>
      </w:r>
      <w:r>
        <w:rPr>
          <w:sz w:val="23"/>
        </w:rPr>
        <w:t xml:space="preserve">, </w:t>
      </w:r>
      <w:r>
        <w:rPr>
          <w:sz w:val="23"/>
          <w:lang w:val="en-US"/>
        </w:rPr>
        <w:t>Sorlak</w:t>
      </w:r>
      <w:r>
        <w:rPr>
          <w:sz w:val="23"/>
        </w:rPr>
        <w:t xml:space="preserve">, </w:t>
      </w:r>
      <w:r>
        <w:rPr>
          <w:sz w:val="23"/>
          <w:lang w:val="en-US"/>
        </w:rPr>
        <w:t>Sukorsaq</w:t>
      </w:r>
      <w:r>
        <w:rPr>
          <w:sz w:val="23"/>
        </w:rPr>
        <w:t xml:space="preserve">, скауты Гренландии, Гренландская спортивная ассоциация, </w:t>
      </w:r>
      <w:r>
        <w:rPr>
          <w:sz w:val="23"/>
          <w:lang w:val="en-US"/>
        </w:rPr>
        <w:t>Kalallit</w:t>
      </w:r>
      <w:r>
        <w:rPr>
          <w:sz w:val="23"/>
        </w:rPr>
        <w:t xml:space="preserve"> </w:t>
      </w:r>
      <w:r>
        <w:rPr>
          <w:sz w:val="23"/>
          <w:lang w:val="en-US"/>
        </w:rPr>
        <w:t>Roede</w:t>
      </w:r>
      <w:r>
        <w:rPr>
          <w:sz w:val="23"/>
        </w:rPr>
        <w:t xml:space="preserve"> </w:t>
      </w:r>
      <w:r>
        <w:rPr>
          <w:sz w:val="23"/>
          <w:lang w:val="en-US"/>
        </w:rPr>
        <w:t>Korsiat</w:t>
      </w:r>
      <w:r>
        <w:rPr>
          <w:sz w:val="23"/>
        </w:rPr>
        <w:t xml:space="preserve"> и </w:t>
      </w:r>
      <w:r>
        <w:rPr>
          <w:sz w:val="23"/>
          <w:lang w:val="en-US"/>
        </w:rPr>
        <w:t>Kattuffik</w:t>
      </w:r>
      <w:r>
        <w:rPr>
          <w:sz w:val="23"/>
        </w:rPr>
        <w:t xml:space="preserve"> "</w:t>
      </w:r>
      <w:r>
        <w:rPr>
          <w:sz w:val="23"/>
          <w:lang w:val="en-US"/>
        </w:rPr>
        <w:t>Utoqqaat</w:t>
      </w:r>
      <w:r>
        <w:rPr>
          <w:sz w:val="23"/>
        </w:rPr>
        <w:t xml:space="preserve"> </w:t>
      </w:r>
      <w:r>
        <w:rPr>
          <w:sz w:val="23"/>
          <w:lang w:val="en-US"/>
        </w:rPr>
        <w:t>Nipaat</w:t>
      </w:r>
      <w:r>
        <w:rPr>
          <w:sz w:val="23"/>
        </w:rPr>
        <w:t>".</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583.</w:t>
      </w:r>
      <w:r>
        <w:rPr>
          <w:sz w:val="23"/>
        </w:rPr>
        <w:tab/>
        <w:t>По статье "Культурные инициативы" предоставляются субсидии для всех видов культурной деятельности. Субсидии обычно выделяются организациям и ассоциациям культуры или физическим лицам для осуществления специальных проектов. По статье "Помощь деятелям культуры" предоставляются субсидии деятелям культуры в областях изобразительного искусства, литературы, музыки, народного творчества, художественного дизайна и исследований по проблемам культуры. Правительство самоуправления предоставляет также субсидии учреждениям по организации совещаний и общинным центрам, а также гренландским центрам в Дании. Субсидии, предоставляемые местным художественным и культурным организациям, выделяются в соответствии с ППГ № 5 от 9 апреля 1992 года об организации досуга.</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584.</w:t>
      </w:r>
      <w:r>
        <w:rPr>
          <w:sz w:val="23"/>
        </w:rPr>
        <w:tab/>
        <w:t>В состав институциональной инфраструктуры Гренландии входят также музеи и архивы (ср. ППГ № 6 от 30 октября 1998 года о музеях и ППГ № 22 от 30 октября 1998 года об архивах). Казначейство Гренландии финансирует Гренландский национальный музей и архив. Национальный музей выделяет субсидии для местных музеев. Музеи расположены в 16 из 18</w:t>
      </w:r>
      <w:r>
        <w:rPr>
          <w:sz w:val="23"/>
          <w:lang w:val="en-US"/>
        </w:rPr>
        <w:t> </w:t>
      </w:r>
      <w:r>
        <w:rPr>
          <w:sz w:val="23"/>
        </w:rPr>
        <w:t>муниципалитетов.</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585.</w:t>
      </w:r>
      <w:r>
        <w:rPr>
          <w:sz w:val="23"/>
        </w:rPr>
        <w:tab/>
        <w:t>ППГ № 4 от 15 сентября 1979 года о библиотеках содержит положения о центральной национальной библиотеке и публичных библиотеках каждого муниципалитета, которые имеют отделения в населенных пунктах.</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586.</w:t>
      </w:r>
      <w:r>
        <w:rPr>
          <w:sz w:val="23"/>
        </w:rPr>
        <w:tab/>
        <w:t>В столице Гренландии Нууке создан Гренландский дворец культуры. Во Дворце культуры расположены театр, кинозал, выставочный зал и служебные помещения. Во всех городах и большинстве населенных пунктов имеются общинные центры или конференц-залы.</w:t>
      </w:r>
    </w:p>
    <w:p w:rsidR="00000000" w:rsidRDefault="00000000">
      <w:pPr>
        <w:tabs>
          <w:tab w:val="clear" w:pos="567"/>
          <w:tab w:val="clear" w:pos="1701"/>
          <w:tab w:val="clear" w:pos="2268"/>
          <w:tab w:val="clear" w:pos="6237"/>
          <w:tab w:val="left" w:pos="680"/>
          <w:tab w:val="left" w:pos="1134"/>
        </w:tabs>
        <w:spacing w:line="226" w:lineRule="auto"/>
        <w:rPr>
          <w:sz w:val="23"/>
        </w:rPr>
      </w:pPr>
      <w:r>
        <w:rPr>
          <w:sz w:val="23"/>
        </w:rPr>
        <w:t>587.</w:t>
      </w:r>
      <w:r>
        <w:rPr>
          <w:sz w:val="23"/>
        </w:rPr>
        <w:tab/>
        <w:t xml:space="preserve">В Гренландии действует только одна профессиональная театральная труппа: </w:t>
      </w:r>
      <w:r>
        <w:rPr>
          <w:sz w:val="23"/>
          <w:lang w:val="en-US"/>
        </w:rPr>
        <w:t>Silamiut</w:t>
      </w:r>
      <w:r>
        <w:rPr>
          <w:sz w:val="23"/>
        </w:rPr>
        <w:t>. Вышеупомянутые общинные центры и конференц-залы также используются для выступлений местных любительских театральных коллективов.</w:t>
      </w:r>
    </w:p>
    <w:p w:rsidR="00000000" w:rsidRDefault="00000000">
      <w:pPr>
        <w:tabs>
          <w:tab w:val="clear" w:pos="567"/>
          <w:tab w:val="clear" w:pos="1701"/>
          <w:tab w:val="clear" w:pos="2268"/>
          <w:tab w:val="clear" w:pos="6237"/>
          <w:tab w:val="left" w:pos="680"/>
          <w:tab w:val="left" w:pos="1134"/>
        </w:tabs>
        <w:spacing w:line="226" w:lineRule="auto"/>
        <w:rPr>
          <w:sz w:val="23"/>
        </w:rPr>
      </w:pPr>
    </w:p>
    <w:p w:rsidR="00000000" w:rsidRDefault="00000000">
      <w:pPr>
        <w:tabs>
          <w:tab w:val="clear" w:pos="567"/>
          <w:tab w:val="clear" w:pos="1701"/>
          <w:tab w:val="clear" w:pos="2268"/>
          <w:tab w:val="clear" w:pos="6237"/>
          <w:tab w:val="left" w:pos="680"/>
          <w:tab w:val="left" w:pos="1134"/>
        </w:tabs>
        <w:spacing w:line="226" w:lineRule="auto"/>
        <w:rPr>
          <w:sz w:val="23"/>
        </w:rPr>
      </w:pPr>
      <w:r>
        <w:rPr>
          <w:sz w:val="23"/>
        </w:rPr>
        <w:t>588.</w:t>
      </w:r>
      <w:r>
        <w:rPr>
          <w:sz w:val="23"/>
        </w:rPr>
        <w:tab/>
        <w:t>В некоторых муниципалитетах созданы мастерские народного творчества. Художественная школа Гренландии (</w:t>
      </w:r>
      <w:r>
        <w:rPr>
          <w:sz w:val="23"/>
          <w:lang w:val="en-US"/>
        </w:rPr>
        <w:t>Eqqumiitsuliorfik</w:t>
      </w:r>
      <w:r>
        <w:rPr>
          <w:sz w:val="23"/>
        </w:rPr>
        <w:t>) организует одно</w:t>
      </w:r>
      <w:r>
        <w:rPr>
          <w:sz w:val="23"/>
        </w:rPr>
        <w:noBreakHyphen/>
        <w:t xml:space="preserve"> или двухгодичные курсы по рисованию, технике графики, дизайну логотипов, живописи, скульптуре и соответствующей теории.</w:t>
      </w:r>
    </w:p>
    <w:p w:rsidR="00000000" w:rsidRDefault="00000000">
      <w:pPr>
        <w:tabs>
          <w:tab w:val="clear" w:pos="567"/>
          <w:tab w:val="clear" w:pos="1701"/>
          <w:tab w:val="clear" w:pos="2268"/>
          <w:tab w:val="clear" w:pos="6237"/>
          <w:tab w:val="left" w:pos="680"/>
          <w:tab w:val="left" w:pos="1134"/>
        </w:tabs>
        <w:spacing w:line="226" w:lineRule="auto"/>
        <w:rPr>
          <w:sz w:val="23"/>
        </w:rPr>
      </w:pPr>
    </w:p>
    <w:p w:rsidR="00000000" w:rsidRDefault="00000000">
      <w:pPr>
        <w:tabs>
          <w:tab w:val="clear" w:pos="567"/>
          <w:tab w:val="clear" w:pos="1701"/>
          <w:tab w:val="clear" w:pos="2268"/>
          <w:tab w:val="clear" w:pos="6237"/>
          <w:tab w:val="left" w:pos="680"/>
          <w:tab w:val="left" w:pos="1134"/>
        </w:tabs>
        <w:spacing w:line="226" w:lineRule="auto"/>
        <w:rPr>
          <w:sz w:val="23"/>
        </w:rPr>
      </w:pPr>
      <w:r>
        <w:rPr>
          <w:sz w:val="23"/>
        </w:rPr>
        <w:t>589.</w:t>
      </w:r>
      <w:r>
        <w:rPr>
          <w:sz w:val="23"/>
        </w:rPr>
        <w:tab/>
        <w:t>Для обучения и образования за пределами Гренландии могут выделяться стипендии в форме ежемесячных фиксированных сумм, дотаций на аренду жилья и субсидий для приобретения учебных материалов. Кроме того, оплачиваются расходы по проезду к месту обучения и обратно.</w:t>
      </w:r>
    </w:p>
    <w:p w:rsidR="00000000" w:rsidRDefault="00000000">
      <w:pPr>
        <w:tabs>
          <w:tab w:val="clear" w:pos="567"/>
          <w:tab w:val="clear" w:pos="1701"/>
          <w:tab w:val="clear" w:pos="2268"/>
          <w:tab w:val="clear" w:pos="6237"/>
          <w:tab w:val="left" w:pos="680"/>
          <w:tab w:val="left" w:pos="1134"/>
        </w:tabs>
        <w:spacing w:line="226" w:lineRule="auto"/>
        <w:rPr>
          <w:sz w:val="23"/>
        </w:rPr>
      </w:pPr>
    </w:p>
    <w:p w:rsidR="00000000" w:rsidRDefault="00000000">
      <w:pPr>
        <w:tabs>
          <w:tab w:val="clear" w:pos="567"/>
          <w:tab w:val="clear" w:pos="1701"/>
          <w:tab w:val="clear" w:pos="2268"/>
          <w:tab w:val="clear" w:pos="6237"/>
          <w:tab w:val="left" w:pos="680"/>
          <w:tab w:val="left" w:pos="1134"/>
        </w:tabs>
        <w:spacing w:line="226" w:lineRule="auto"/>
        <w:rPr>
          <w:sz w:val="23"/>
        </w:rPr>
      </w:pPr>
      <w:r>
        <w:rPr>
          <w:sz w:val="23"/>
        </w:rPr>
        <w:t>590.</w:t>
      </w:r>
      <w:r>
        <w:rPr>
          <w:sz w:val="23"/>
        </w:rPr>
        <w:tab/>
        <w:t xml:space="preserve">Дания, включая и Гренландию, ратифицировала Бернскую конвенцию 1886 года (с поправками, внесенными в 1971 году). </w:t>
      </w:r>
    </w:p>
    <w:p w:rsidR="00000000" w:rsidRDefault="00000000">
      <w:pPr>
        <w:tabs>
          <w:tab w:val="clear" w:pos="567"/>
          <w:tab w:val="clear" w:pos="1701"/>
          <w:tab w:val="clear" w:pos="2268"/>
          <w:tab w:val="clear" w:pos="6237"/>
          <w:tab w:val="left" w:pos="680"/>
          <w:tab w:val="left" w:pos="1134"/>
        </w:tabs>
        <w:spacing w:line="226" w:lineRule="auto"/>
        <w:rPr>
          <w:sz w:val="23"/>
        </w:rPr>
      </w:pPr>
    </w:p>
    <w:p w:rsidR="00000000" w:rsidRDefault="00000000">
      <w:pPr>
        <w:tabs>
          <w:tab w:val="clear" w:pos="567"/>
          <w:tab w:val="clear" w:pos="1701"/>
          <w:tab w:val="clear" w:pos="2268"/>
          <w:tab w:val="clear" w:pos="6237"/>
          <w:tab w:val="left" w:pos="680"/>
          <w:tab w:val="left" w:pos="1134"/>
        </w:tabs>
        <w:spacing w:line="226" w:lineRule="auto"/>
        <w:rPr>
          <w:sz w:val="23"/>
        </w:rPr>
      </w:pPr>
      <w:r>
        <w:rPr>
          <w:sz w:val="23"/>
        </w:rPr>
        <w:t>591.</w:t>
      </w:r>
      <w:r>
        <w:rPr>
          <w:sz w:val="23"/>
        </w:rPr>
        <w:tab/>
        <w:t>Гренландия не имеет самостоятельного законодательства по вопросам авторских прав. Закон № 158 от 14 июня 1995 года об авторских правах применяется в Гренландии.</w:t>
      </w:r>
    </w:p>
    <w:p w:rsidR="00000000" w:rsidRDefault="00000000">
      <w:pPr>
        <w:tabs>
          <w:tab w:val="clear" w:pos="567"/>
          <w:tab w:val="clear" w:pos="1701"/>
          <w:tab w:val="clear" w:pos="2268"/>
          <w:tab w:val="clear" w:pos="6237"/>
          <w:tab w:val="left" w:pos="680"/>
          <w:tab w:val="left" w:pos="1134"/>
        </w:tabs>
        <w:spacing w:line="226" w:lineRule="auto"/>
        <w:rPr>
          <w:sz w:val="23"/>
        </w:rPr>
      </w:pPr>
    </w:p>
    <w:p w:rsidR="00000000" w:rsidRDefault="00000000">
      <w:pPr>
        <w:tabs>
          <w:tab w:val="clear" w:pos="567"/>
          <w:tab w:val="clear" w:pos="1701"/>
          <w:tab w:val="clear" w:pos="2268"/>
          <w:tab w:val="clear" w:pos="6237"/>
          <w:tab w:val="left" w:pos="680"/>
          <w:tab w:val="left" w:pos="1134"/>
        </w:tabs>
        <w:spacing w:line="226" w:lineRule="auto"/>
        <w:rPr>
          <w:sz w:val="23"/>
        </w:rPr>
      </w:pPr>
      <w:r>
        <w:rPr>
          <w:sz w:val="23"/>
        </w:rPr>
        <w:t>592.</w:t>
      </w:r>
      <w:r>
        <w:rPr>
          <w:sz w:val="23"/>
        </w:rPr>
        <w:tab/>
        <w:t>Ниже указаны законодательные акты о мерах по защите, развитию и распространению достижений науки и культуры, а также о свободе научных исследований и творческой деятельности:</w:t>
      </w:r>
    </w:p>
    <w:p w:rsidR="00000000" w:rsidRDefault="00000000">
      <w:pPr>
        <w:tabs>
          <w:tab w:val="clear" w:pos="567"/>
          <w:tab w:val="clear" w:pos="1701"/>
          <w:tab w:val="clear" w:pos="2268"/>
          <w:tab w:val="clear" w:pos="6237"/>
          <w:tab w:val="left" w:pos="680"/>
          <w:tab w:val="left" w:pos="1134"/>
        </w:tabs>
        <w:spacing w:line="226" w:lineRule="auto"/>
        <w:rPr>
          <w:sz w:val="23"/>
        </w:rPr>
      </w:pPr>
    </w:p>
    <w:p w:rsidR="00000000" w:rsidRDefault="00000000">
      <w:pPr>
        <w:tabs>
          <w:tab w:val="clear" w:pos="567"/>
          <w:tab w:val="clear" w:pos="1701"/>
          <w:tab w:val="clear" w:pos="2268"/>
          <w:tab w:val="clear" w:pos="6237"/>
          <w:tab w:val="left" w:pos="680"/>
          <w:tab w:val="left" w:pos="1134"/>
        </w:tabs>
        <w:spacing w:line="226" w:lineRule="auto"/>
        <w:rPr>
          <w:sz w:val="23"/>
        </w:rPr>
      </w:pPr>
      <w:r>
        <w:rPr>
          <w:sz w:val="23"/>
        </w:rPr>
        <w:tab/>
        <w:t>а)</w:t>
      </w:r>
      <w:r>
        <w:rPr>
          <w:sz w:val="23"/>
        </w:rPr>
        <w:tab/>
        <w:t>ППГ № 6 от 30 октября 1998 года о музеях и ППГ № 22 от 30 октября 1998 года об архивах. Гренландский национальный музей и архивы являются учреждением, относящимся к ведению правительства самоуправления Гренландии. Оно финансируется посредством государственных субсидий и обязано регистрировать, собирать, охранять, изучать и распространять сведения о культурном наследии Гренландии, включая искусство и этнографию;</w:t>
      </w:r>
    </w:p>
    <w:p w:rsidR="00000000" w:rsidRDefault="00000000">
      <w:pPr>
        <w:tabs>
          <w:tab w:val="clear" w:pos="567"/>
          <w:tab w:val="clear" w:pos="1701"/>
          <w:tab w:val="clear" w:pos="2268"/>
          <w:tab w:val="clear" w:pos="6237"/>
          <w:tab w:val="left" w:pos="680"/>
          <w:tab w:val="left" w:pos="1134"/>
        </w:tabs>
        <w:spacing w:line="226" w:lineRule="auto"/>
        <w:rPr>
          <w:sz w:val="23"/>
        </w:rPr>
      </w:pPr>
    </w:p>
    <w:p w:rsidR="00000000" w:rsidRDefault="00000000">
      <w:pPr>
        <w:tabs>
          <w:tab w:val="clear" w:pos="567"/>
          <w:tab w:val="clear" w:pos="1701"/>
          <w:tab w:val="clear" w:pos="2268"/>
          <w:tab w:val="clear" w:pos="6237"/>
          <w:tab w:val="left" w:pos="680"/>
          <w:tab w:val="left" w:pos="1134"/>
        </w:tabs>
        <w:spacing w:line="226" w:lineRule="auto"/>
        <w:rPr>
          <w:sz w:val="23"/>
        </w:rPr>
      </w:pPr>
      <w:r>
        <w:rPr>
          <w:sz w:val="23"/>
        </w:rPr>
        <w:tab/>
        <w:t xml:space="preserve">b) </w:t>
      </w:r>
      <w:r>
        <w:rPr>
          <w:sz w:val="23"/>
        </w:rPr>
        <w:tab/>
        <w:t>ППГ № 4 от 15 сентября 1979 года о публичных библиотеках. Публичные библиотеки Гренландии обязаны содействовать развитию информационной, просветительской и культурной деятельности путем бесплатного предоставления книг и других соответствующих материалов в распоряжение всех заинтересованных сторон, а также путем осуществления информационной деятельности. При отборе материалов библиотеки должны уделять особое внимание качеству, разнообразию и тематической направленности. Политическая или религиозная цензура не допускаются;</w:t>
      </w:r>
    </w:p>
    <w:p w:rsidR="00000000" w:rsidRDefault="00000000">
      <w:pPr>
        <w:tabs>
          <w:tab w:val="clear" w:pos="567"/>
          <w:tab w:val="clear" w:pos="1701"/>
          <w:tab w:val="clear" w:pos="2268"/>
          <w:tab w:val="clear" w:pos="6237"/>
          <w:tab w:val="left" w:pos="680"/>
          <w:tab w:val="left" w:pos="1134"/>
        </w:tabs>
        <w:spacing w:line="226" w:lineRule="auto"/>
        <w:rPr>
          <w:sz w:val="23"/>
        </w:rPr>
      </w:pPr>
    </w:p>
    <w:p w:rsidR="00000000" w:rsidRDefault="00000000">
      <w:pPr>
        <w:tabs>
          <w:tab w:val="clear" w:pos="567"/>
          <w:tab w:val="clear" w:pos="1701"/>
          <w:tab w:val="clear" w:pos="2268"/>
          <w:tab w:val="clear" w:pos="6237"/>
          <w:tab w:val="left" w:pos="680"/>
          <w:tab w:val="left" w:pos="1134"/>
        </w:tabs>
        <w:spacing w:line="226" w:lineRule="auto"/>
        <w:rPr>
          <w:sz w:val="23"/>
        </w:rPr>
      </w:pPr>
      <w:r>
        <w:rPr>
          <w:sz w:val="23"/>
        </w:rPr>
        <w:tab/>
        <w:t>с)</w:t>
      </w:r>
      <w:r>
        <w:rPr>
          <w:sz w:val="23"/>
        </w:rPr>
        <w:tab/>
        <w:t>ППГ № 326 от 31 октября 1996 года о Гренландском университете (Ilisimatusarfik). Цель Ilisimatusarfik – осуществлять научные исследования, предоставлять высшее образование и распространять знания о научных исследованиях и их результатах;</w:t>
      </w:r>
    </w:p>
    <w:p w:rsidR="00000000" w:rsidRDefault="00000000">
      <w:pPr>
        <w:tabs>
          <w:tab w:val="clear" w:pos="567"/>
          <w:tab w:val="clear" w:pos="1701"/>
          <w:tab w:val="clear" w:pos="2268"/>
          <w:tab w:val="clear" w:pos="6237"/>
          <w:tab w:val="left" w:pos="680"/>
          <w:tab w:val="left" w:pos="1134"/>
        </w:tabs>
        <w:spacing w:line="226" w:lineRule="auto"/>
        <w:rPr>
          <w:sz w:val="23"/>
        </w:rPr>
      </w:pPr>
    </w:p>
    <w:p w:rsidR="00000000" w:rsidRDefault="00000000">
      <w:pPr>
        <w:tabs>
          <w:tab w:val="clear" w:pos="567"/>
          <w:tab w:val="clear" w:pos="1701"/>
          <w:tab w:val="clear" w:pos="2268"/>
          <w:tab w:val="clear" w:pos="6237"/>
          <w:tab w:val="left" w:pos="680"/>
          <w:tab w:val="left" w:pos="1134"/>
        </w:tabs>
        <w:spacing w:line="226" w:lineRule="auto"/>
        <w:rPr>
          <w:sz w:val="23"/>
        </w:rPr>
      </w:pPr>
      <w:r>
        <w:rPr>
          <w:sz w:val="23"/>
        </w:rPr>
        <w:tab/>
        <w:t xml:space="preserve">d) </w:t>
      </w:r>
      <w:r>
        <w:rPr>
          <w:sz w:val="23"/>
        </w:rPr>
        <w:tab/>
        <w:t>ППГ № 3 от 17 мая 1999 года (с внесенными поправками) о теле- и радиовещании;</w:t>
      </w:r>
    </w:p>
    <w:p w:rsidR="00000000" w:rsidRDefault="00000000">
      <w:pPr>
        <w:tabs>
          <w:tab w:val="clear" w:pos="567"/>
          <w:tab w:val="clear" w:pos="1701"/>
          <w:tab w:val="clear" w:pos="2268"/>
          <w:tab w:val="clear" w:pos="6237"/>
          <w:tab w:val="left" w:pos="680"/>
          <w:tab w:val="left" w:pos="1134"/>
        </w:tabs>
        <w:spacing w:line="226" w:lineRule="auto"/>
        <w:rPr>
          <w:sz w:val="23"/>
        </w:rPr>
      </w:pPr>
    </w:p>
    <w:p w:rsidR="00000000" w:rsidRDefault="00000000">
      <w:pPr>
        <w:tabs>
          <w:tab w:val="clear" w:pos="567"/>
          <w:tab w:val="clear" w:pos="1701"/>
          <w:tab w:val="clear" w:pos="2268"/>
          <w:tab w:val="clear" w:pos="6237"/>
          <w:tab w:val="left" w:pos="680"/>
          <w:tab w:val="left" w:pos="1134"/>
        </w:tabs>
        <w:spacing w:line="226" w:lineRule="auto"/>
        <w:rPr>
          <w:sz w:val="23"/>
        </w:rPr>
      </w:pPr>
      <w:r>
        <w:rPr>
          <w:sz w:val="23"/>
        </w:rPr>
        <w:tab/>
        <w:t>е)</w:t>
      </w:r>
      <w:r>
        <w:rPr>
          <w:sz w:val="23"/>
        </w:rPr>
        <w:tab/>
        <w:t>ПД № 2 от 24 января 1991 года о статусе радио Kalaallit Nunaata, которое является независимым государственным учреждением, имеющим право и обязанность осуществлять теле- и радиовещание, включая новостные программы, информационные программы, развлекательные программы и программы об искусстве. При решении вопроса о круге транслируемых программ особое внимание должно уделяться объективности и беспристрастности. Особый упор должен также делаться на обеспечение свободы информации и слова;</w:t>
      </w:r>
    </w:p>
    <w:p w:rsidR="00000000" w:rsidRDefault="00000000">
      <w:pPr>
        <w:tabs>
          <w:tab w:val="clear" w:pos="567"/>
          <w:tab w:val="clear" w:pos="1701"/>
          <w:tab w:val="clear" w:pos="2268"/>
          <w:tab w:val="clear" w:pos="6237"/>
          <w:tab w:val="left" w:pos="680"/>
          <w:tab w:val="left" w:pos="1134"/>
        </w:tabs>
        <w:spacing w:line="226" w:lineRule="auto"/>
        <w:rPr>
          <w:sz w:val="23"/>
        </w:rPr>
      </w:pPr>
    </w:p>
    <w:p w:rsidR="00000000" w:rsidRDefault="00000000">
      <w:pPr>
        <w:tabs>
          <w:tab w:val="clear" w:pos="567"/>
          <w:tab w:val="clear" w:pos="1701"/>
          <w:tab w:val="clear" w:pos="2268"/>
          <w:tab w:val="clear" w:pos="6237"/>
          <w:tab w:val="left" w:pos="680"/>
          <w:tab w:val="left" w:pos="1134"/>
        </w:tabs>
        <w:spacing w:line="226" w:lineRule="auto"/>
        <w:rPr>
          <w:sz w:val="23"/>
        </w:rPr>
      </w:pPr>
      <w:r>
        <w:rPr>
          <w:sz w:val="23"/>
        </w:rPr>
        <w:tab/>
        <w:t xml:space="preserve">f) </w:t>
      </w:r>
      <w:r>
        <w:rPr>
          <w:sz w:val="23"/>
        </w:rPr>
        <w:tab/>
        <w:t>ПД № 4 от 26 ноября 1991 года о местном теле- и радиовещании.</w:t>
      </w: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593.</w:t>
      </w:r>
      <w:r>
        <w:rPr>
          <w:sz w:val="23"/>
        </w:rPr>
        <w:tab/>
        <w:t>Atuakkiorfik A/S – это компания с ограниченной ответственностью, расположенная в Нууке. Цель компании заключается в публикации изданий в Гренландии и о Гренландии, включая художественную литературу, специальную литературу и учебные материалы, осуществлении информационной деятельности и содействии распространению общей информации об общенациональных дискуссиях и полемике по вопросам культуры в Гренландии, а также в распространении знаний о гренландской литературе в Гренландии и других странах.</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594.</w:t>
      </w:r>
      <w:r>
        <w:rPr>
          <w:sz w:val="23"/>
        </w:rPr>
        <w:tab/>
        <w:t xml:space="preserve">Дворец культуры Гренландии (Katuaq) расположен в Нууке. В сотрудничестве с соответствующими учреждениями, организациями, физическими лицами и компаниями он обеспечивает активизацию и развитие культурной жизни в Гренландии на основе свободной и независимой художественной оценки. Это учреждение призвано способствовать распространению знаний об искусстве и культуре стран Северной Европы в Гренландии, а также об искусстве и культуре Гренландии в странах Северной Европы. Кроме того, оно обеспечивает культурное сотрудничество между Гренландией и другими районами проживания инуитов. </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595.</w:t>
      </w:r>
      <w:r>
        <w:rPr>
          <w:sz w:val="23"/>
        </w:rPr>
        <w:tab/>
        <w:t>Театр Silamiut является независимой организацией, получающей субсидии от правительства самоуправления Гренландии в соответствии с Законом о финансировании. Цель деятельности театра состоит в активизации процесса распространения знаний о культуре иннуитов и истории Гренландии путем осуществления театральной деятельности и в развитии искусства иннуитов и его потенциала посредством проведения выставок, программ обмена и аналогичной деятельности.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596.</w:t>
      </w:r>
      <w:r>
        <w:rPr>
          <w:sz w:val="23"/>
        </w:rPr>
        <w:tab/>
        <w:t>Осуществление официального сотрудничества между странами Северной Европы и международным сообществом в сфере культуры обеспечивается, например, путем участия Гренландии в работе Северного совета, Совета министров стран Северной Европы и Приполярной конференции эскимосов (ПКЭ), которая представляет около 115 000 иннуитов, проживающих в арктических районах. В 1983 году Приполярная конференция эскимосов получила консультативный статус в качестве неправительственной организации (НПО) при Экономическом и Социальном Совете Организации Объединенных Наций.</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597.</w:t>
      </w:r>
      <w:r>
        <w:rPr>
          <w:sz w:val="23"/>
        </w:rPr>
        <w:tab/>
        <w:t>Кроме того, Гренландия подписала ряд соглашений о сотрудничестве в сфере культуры и образования, например, с правительством северо-западных территорий, правительством провинции Квебек и правительством Нунавут, Канада. С 1993 года правительство самоуправления Гренландии начало официально сотрудничать с учрежденным в 1968 году Международным комитетом Зимних арктических игр в вопросах участия Гренландии в культурно-спортивных мероприятиях, организуемых каждые два года в рамках Зимних арктических игр. Зимние арктические игры 2002 году будут проведены в Нууке, столице Гренландии.</w:t>
      </w:r>
    </w:p>
    <w:p w:rsidR="00000000" w:rsidRDefault="00000000">
      <w:pPr>
        <w:tabs>
          <w:tab w:val="clear" w:pos="567"/>
          <w:tab w:val="clear" w:pos="1701"/>
          <w:tab w:val="clear" w:pos="2268"/>
          <w:tab w:val="clear" w:pos="6237"/>
          <w:tab w:val="left" w:pos="680"/>
          <w:tab w:val="left" w:pos="1134"/>
        </w:tabs>
        <w:spacing w:line="240" w:lineRule="auto"/>
        <w:rPr>
          <w:sz w:val="23"/>
        </w:rPr>
      </w:pPr>
    </w:p>
    <w:p w:rsidR="00000000" w:rsidRDefault="00000000">
      <w:pPr>
        <w:tabs>
          <w:tab w:val="clear" w:pos="567"/>
          <w:tab w:val="clear" w:pos="1701"/>
          <w:tab w:val="clear" w:pos="2268"/>
          <w:tab w:val="clear" w:pos="6237"/>
          <w:tab w:val="left" w:pos="680"/>
          <w:tab w:val="left" w:pos="1134"/>
        </w:tabs>
        <w:spacing w:line="240" w:lineRule="auto"/>
        <w:rPr>
          <w:sz w:val="23"/>
        </w:rPr>
      </w:pPr>
      <w:r>
        <w:rPr>
          <w:sz w:val="23"/>
        </w:rPr>
        <w:t>598.</w:t>
      </w:r>
      <w:r>
        <w:rPr>
          <w:sz w:val="23"/>
        </w:rPr>
        <w:tab/>
        <w:t>Что касается сотрудничества на институциональном уровне, то официальные или установленные законом цели деятельности ряда учреждений Гренландии предусматривают сотрудничество с учреждениями Дании и зарубежных стран и/или распространение информации о культуре Гренландии в других странах. К числу таких учреждений относятся, например, Гренландский национальный музей и архивы, Институт Севера, центры Гренландии в Дании, Гренландский дворец культуры, театр Silamiut и компания Atuakkiorfik A/S. Кроме того, на институциональном и административном уровнях осуществляется широкомасштабное сотрудничество в сфере культуры.</w:t>
      </w:r>
    </w:p>
    <w:p w:rsidR="00000000" w:rsidRDefault="00000000">
      <w:pPr>
        <w:tabs>
          <w:tab w:val="clear" w:pos="567"/>
          <w:tab w:val="clear" w:pos="1701"/>
          <w:tab w:val="clear" w:pos="2268"/>
          <w:tab w:val="clear" w:pos="6237"/>
          <w:tab w:val="left" w:pos="680"/>
          <w:tab w:val="left" w:pos="1134"/>
        </w:tabs>
        <w:spacing w:line="240" w:lineRule="auto"/>
        <w:rPr>
          <w:sz w:val="23"/>
        </w:rPr>
      </w:pPr>
    </w:p>
    <w:sectPr w:rsidR="00000000">
      <w:headerReference w:type="even" r:id="rId7"/>
      <w:headerReference w:type="default" r:id="rId8"/>
      <w:footerReference w:type="default" r:id="rId9"/>
      <w:headerReference w:type="first" r:id="rId10"/>
      <w:pgSz w:w="11907" w:h="16840" w:code="9"/>
      <w:pgMar w:top="1701" w:right="1134" w:bottom="1985" w:left="1134" w:header="851" w:footer="851"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1026" type="#_x0000_t202" style="position:absolute;margin-left:682.55pt;margin-top:-149.15pt;width:28.05pt;height:146.05pt;z-index:1"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95</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spacing w:before="120"/>
      </w:pPr>
      <w:r>
        <w:rPr>
          <w:rStyle w:val="FootnoteReference"/>
        </w:rPr>
        <w:footnoteRef/>
      </w:r>
      <w:r>
        <w:t xml:space="preserve"> </w:t>
      </w:r>
      <w:r>
        <w:tab/>
        <w:t>Используется следующая шкала эквивалентности: эквивалентный доход = семейный располагаемый доход/</w:t>
      </w:r>
      <w:r>
        <w:rPr>
          <w:lang w:val="en-US"/>
        </w:rPr>
        <w:t>s</w:t>
      </w:r>
      <w:r>
        <w:rPr>
          <w:rFonts w:ascii="Arial" w:hAnsi="Arial" w:cs="Arial"/>
          <w:vertAlign w:val="superscript"/>
        </w:rPr>
        <w:t>½</w:t>
      </w:r>
      <w:r>
        <w:rPr>
          <w:rFonts w:ascii="Arial" w:hAnsi="Arial" w:cs="Arial"/>
        </w:rPr>
        <w:t xml:space="preserve">, </w:t>
      </w:r>
      <w:r>
        <w:t xml:space="preserve">где </w:t>
      </w:r>
      <w:r>
        <w:rPr>
          <w:lang w:val="en-US"/>
        </w:rPr>
        <w:t>s</w:t>
      </w:r>
      <w:r>
        <w:t xml:space="preserve"> обозначает размер семьи.</w:t>
      </w:r>
    </w:p>
  </w:footnote>
  <w:footnote w:id="2">
    <w:p w:rsidR="00000000" w:rsidRDefault="00000000">
      <w:pPr>
        <w:pStyle w:val="FootnoteText"/>
        <w:spacing w:before="120"/>
      </w:pPr>
      <w:r>
        <w:rPr>
          <w:rStyle w:val="FootnoteReference"/>
        </w:rPr>
        <w:footnoteRef/>
      </w:r>
      <w:r>
        <w:t xml:space="preserve"> </w:t>
      </w:r>
      <w:r>
        <w:tab/>
        <w:t>Джини-коэффициент (или индекс концентрации) используется для измерения неравенства доходов (или какого-либо иного неравенства в отношении распределения) в обществе. Он оценивает степень, в которой совпадают две частоты процентных распределений. Этот коэффициент выражается числом от 0 до 100, где 0 обозначает полное равенство (точное совпадение, например, в том случае, когда каждый располагает одним и тем же доходом), а 100 означает полное неравенство (в том случае, когда весь доход приходится на одно лицо, в то время как все остальные не имеют никакого дохода).</w:t>
      </w:r>
    </w:p>
  </w:footnote>
  <w:footnote w:id="3">
    <w:p w:rsidR="00000000" w:rsidRDefault="00000000">
      <w:pPr>
        <w:pStyle w:val="FootnoteText"/>
        <w:spacing w:before="120"/>
      </w:pPr>
      <w:r>
        <w:rPr>
          <w:rStyle w:val="FootnoteReference"/>
        </w:rPr>
        <w:footnoteRef/>
      </w:r>
      <w:r>
        <w:t xml:space="preserve"> </w:t>
      </w:r>
      <w:r>
        <w:tab/>
        <w:t xml:space="preserve">Определение категорий не подразумевает того, что всем лицам, которые могут быть отнесены к одной или более из таких групп, потребуется помощь, или что такая помощь будет необходима на постоянной основе. Вместе с тем многим из них может потребоваться помощь в то или иное время. Признание того факта, что люди, относящиеся к этим категориям, нуждаются в помощи для удовлетворения своих жилищных потребностей, обычно является основанием, для того чтобы считать их "уязвимыми". </w:t>
      </w:r>
    </w:p>
  </w:footnote>
  <w:footnote w:id="4">
    <w:p w:rsidR="00000000" w:rsidRDefault="00000000">
      <w:pPr>
        <w:tabs>
          <w:tab w:val="clear" w:pos="567"/>
          <w:tab w:val="clear" w:pos="1134"/>
          <w:tab w:val="clear" w:pos="1701"/>
          <w:tab w:val="clear" w:pos="2268"/>
          <w:tab w:val="clear" w:pos="6237"/>
          <w:tab w:val="left" w:pos="284"/>
          <w:tab w:val="left" w:pos="680"/>
        </w:tabs>
        <w:spacing w:before="120" w:line="240" w:lineRule="auto"/>
      </w:pPr>
      <w:r>
        <w:rPr>
          <w:rStyle w:val="FootnoteReference"/>
        </w:rPr>
        <w:t>a</w:t>
      </w:r>
      <w:r>
        <w:t xml:space="preserve"> </w:t>
      </w:r>
      <w:r>
        <w:tab/>
        <w:t>Возраст вакцинации на 1996 год.</w:t>
      </w:r>
    </w:p>
  </w:footnote>
  <w:footnote w:id="5">
    <w:p w:rsidR="00000000" w:rsidRDefault="00000000">
      <w:pPr>
        <w:pStyle w:val="FootnoteText"/>
        <w:tabs>
          <w:tab w:val="clear" w:pos="567"/>
          <w:tab w:val="clear" w:pos="1134"/>
          <w:tab w:val="clear" w:pos="1701"/>
          <w:tab w:val="clear" w:pos="2268"/>
          <w:tab w:val="clear" w:pos="6237"/>
          <w:tab w:val="left" w:pos="284"/>
          <w:tab w:val="left" w:pos="680"/>
        </w:tabs>
        <w:spacing w:before="120"/>
      </w:pPr>
      <w:r>
        <w:rPr>
          <w:rStyle w:val="FootnoteReference"/>
        </w:rPr>
        <w:t>b</w:t>
      </w:r>
      <w:r>
        <w:t xml:space="preserve"> </w:t>
      </w:r>
      <w:r>
        <w:tab/>
        <w:t>Возраст вакцинации на 1997 и последующие годы.</w:t>
      </w:r>
    </w:p>
  </w:footnote>
  <w:footnote w:id="6">
    <w:p w:rsidR="00000000" w:rsidRDefault="00000000">
      <w:pPr>
        <w:pStyle w:val="FootnoteText"/>
        <w:spacing w:before="120"/>
      </w:pPr>
      <w:r>
        <w:rPr>
          <w:rStyle w:val="FootnoteReference"/>
        </w:rPr>
        <w:t>a</w:t>
      </w:r>
      <w:r>
        <w:t xml:space="preserve"> Включает в себя также краткосрочные курсы базового профессионального обучения, например курс сельскохозяйственной подготовки, и т. д.</w:t>
      </w:r>
    </w:p>
  </w:footnote>
  <w:footnote w:id="7">
    <w:p w:rsidR="00000000" w:rsidRDefault="00000000">
      <w:pPr>
        <w:pStyle w:val="FootnoteText"/>
        <w:spacing w:before="120"/>
      </w:pPr>
      <w:r>
        <w:rPr>
          <w:rStyle w:val="FootnoteReference"/>
        </w:rPr>
        <w:t>b</w:t>
      </w:r>
      <w:r>
        <w:t xml:space="preserve"> Включают также социальное и медицинское образование, сельскохозяйственную программу, программу основного образования и другие более долгосрочные программы профессионального обучения в средних школах второй ступени и т. д.</w:t>
      </w:r>
    </w:p>
  </w:footnote>
  <w:footnote w:id="8">
    <w:p w:rsidR="00000000" w:rsidRDefault="00000000">
      <w:pPr>
        <w:pStyle w:val="FootnoteText"/>
        <w:spacing w:before="120"/>
      </w:pPr>
      <w:r>
        <w:rPr>
          <w:rStyle w:val="FootnoteReference"/>
        </w:rPr>
        <w:t>c</w:t>
      </w:r>
      <w:r>
        <w:t xml:space="preserve"> Машиностроение, медицина, стоматология, теология, музыка/искусство, архитектура и т. д.</w:t>
      </w:r>
    </w:p>
  </w:footnote>
  <w:footnote w:id="9">
    <w:p w:rsidR="00000000" w:rsidRDefault="00000000">
      <w:pPr>
        <w:pStyle w:val="FootnoteText"/>
        <w:spacing w:before="120"/>
      </w:pPr>
      <w:r>
        <w:rPr>
          <w:rStyle w:val="FootnoteReference"/>
        </w:rPr>
        <w:t>d</w:t>
      </w:r>
      <w:r>
        <w:t xml:space="preserve"> Из-за проблем учета данные о присвоении степени д-ра философии, возможно, занижены.</w:t>
      </w:r>
    </w:p>
  </w:footnote>
  <w:footnote w:id="10">
    <w:p w:rsidR="00000000" w:rsidRDefault="00000000">
      <w:pPr>
        <w:pStyle w:val="FootnoteText"/>
        <w:spacing w:before="120"/>
      </w:pPr>
      <w:r>
        <w:rPr>
          <w:rStyle w:val="FootnoteReference"/>
        </w:rPr>
        <w:footnoteRef/>
      </w:r>
      <w:r>
        <w:t xml:space="preserve"> </w:t>
      </w:r>
      <w:r>
        <w:tab/>
        <w:t>Понятие "иммигрант" означает лицо, которое родилось за границей или родители которого являются иностранными гражданами или родились за рубежом.</w:t>
      </w:r>
    </w:p>
  </w:footnote>
  <w:footnote w:id="11">
    <w:p w:rsidR="00000000" w:rsidRDefault="00000000">
      <w:pPr>
        <w:pStyle w:val="FootnoteText"/>
        <w:spacing w:before="120"/>
      </w:pPr>
      <w:r>
        <w:rPr>
          <w:rStyle w:val="FootnoteReference"/>
        </w:rPr>
        <w:footnoteRef/>
      </w:r>
      <w:r>
        <w:t xml:space="preserve"> </w:t>
      </w:r>
      <w:r>
        <w:tab/>
        <w:t>Третьими странами являются страны, не относящиеся к ЕС, странам Северной Европы и Северной Америки, за исключением Австралии, Новой Зеландии, Швейцарии и Японии. Иными словами, в эту категорию входят различные страны, и статистические данные по отдельным странам могут колебаться в широких пределах.</w:t>
      </w:r>
    </w:p>
  </w:footnote>
  <w:footnote w:id="12">
    <w:p w:rsidR="00000000" w:rsidRDefault="00000000">
      <w:pPr>
        <w:pStyle w:val="FootnoteText"/>
        <w:spacing w:before="120"/>
      </w:pPr>
      <w:r>
        <w:rPr>
          <w:rStyle w:val="FootnoteReference"/>
        </w:rPr>
        <w:footnoteRef/>
      </w:r>
      <w:r>
        <w:t xml:space="preserve"> </w:t>
      </w:r>
      <w:r>
        <w:tab/>
        <w:t>Просьба иметь в виду, что понятие "отсеянные учащиеся" неравнозначно понятию "прогульщик". "Отсеянный учащийся" может позднее пройти другой курс обучения.</w:t>
      </w:r>
    </w:p>
  </w:footnote>
  <w:footnote w:id="13">
    <w:p w:rsidR="00000000" w:rsidRDefault="00000000">
      <w:pPr>
        <w:pStyle w:val="FootnoteText"/>
        <w:spacing w:before="120"/>
      </w:pPr>
      <w:r>
        <w:rPr>
          <w:rStyle w:val="FootnoteReference"/>
        </w:rPr>
        <w:footnoteRef/>
      </w:r>
      <w:r>
        <w:t xml:space="preserve"> </w:t>
      </w:r>
      <w:r>
        <w:tab/>
        <w:t>Эти данные основаны на весьма немногочисленной группе населения, и выводы следует делать в большой осторожностью.</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noProof/>
        <w:sz w:val="20"/>
        <w:lang w:val="en-US"/>
      </w:rPr>
      <w:pict>
        <v:shapetype id="_x0000_t202" coordsize="21600,21600" o:spt="202" path="m,l,21600r21600,l21600,xe">
          <v:stroke joinstyle="miter"/>
          <v:path gradientshapeok="t" o:connecttype="rect"/>
        </v:shapetype>
        <v:shape id="_x0000_s1027" type="#_x0000_t202" style="position:absolute;margin-left:682.55pt;margin-top:42.5pt;width:28.05pt;height:146.05pt;z-index:2"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96</w:t>
                </w:r>
                <w:r>
                  <w:rPr>
                    <w:rStyle w:val="PageNumber"/>
                  </w:rPr>
                  <w:fldChar w:fldCharType="end"/>
                </w:r>
              </w:p>
            </w:txbxContent>
          </v:textbox>
        </v:shape>
      </w:pict>
    </w:r>
    <w:r>
      <w:rPr>
        <w:lang w:val="en-US"/>
      </w:rPr>
      <w:t>E/C.12/4/Add.12</w:t>
    </w:r>
  </w:p>
  <w:p w:rsidR="00000000" w:rsidRDefault="00000000">
    <w:pPr>
      <w:pStyle w:val="Heade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938"/>
      <w:rPr>
        <w:lang w:val="en-US"/>
      </w:rPr>
    </w:pPr>
    <w:r>
      <w:rPr>
        <w:noProof/>
        <w:sz w:val="20"/>
        <w:lang w:val="en-US"/>
      </w:rPr>
      <w:pict>
        <v:shapetype id="_x0000_t202" coordsize="21600,21600" o:spt="202" path="m,l,21600r21600,l21600,xe">
          <v:stroke joinstyle="miter"/>
          <v:path gradientshapeok="t" o:connecttype="rect"/>
        </v:shapetype>
        <v:shape id="_x0000_s1028" type="#_x0000_t202" style="position:absolute;left:0;text-align:left;margin-left:682.55pt;margin-top:42.5pt;width:28.05pt;height:146.05pt;z-index:3"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97</w:t>
                </w:r>
                <w:r>
                  <w:rPr>
                    <w:rStyle w:val="PageNumber"/>
                  </w:rPr>
                  <w:fldChar w:fldCharType="end"/>
                </w:r>
              </w:p>
            </w:txbxContent>
          </v:textbox>
        </v:shape>
      </w:pict>
    </w:r>
    <w:r>
      <w:rPr>
        <w:lang w:val="en-US"/>
      </w:rPr>
      <w:t>E/C.12/4/Add.12</w:t>
    </w:r>
  </w:p>
  <w:p w:rsidR="00000000" w:rsidRDefault="00000000">
    <w:pPr>
      <w:pStyle w:val="Header"/>
      <w:ind w:left="7938"/>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695" w:type="dxa"/>
      <w:tblLayout w:type="fixed"/>
      <w:tblCellMar>
        <w:left w:w="0" w:type="dxa"/>
        <w:right w:w="0" w:type="dxa"/>
      </w:tblCellMar>
      <w:tblLook w:val="0000" w:firstRow="0" w:lastRow="0" w:firstColumn="0" w:lastColumn="0" w:noHBand="0" w:noVBand="0"/>
    </w:tblPr>
    <w:tblGrid>
      <w:gridCol w:w="1814"/>
      <w:gridCol w:w="5103"/>
      <w:gridCol w:w="2778"/>
    </w:tblGrid>
    <w:tr w:rsidR="00000000">
      <w:tblPrEx>
        <w:tblCellMar>
          <w:top w:w="0" w:type="dxa"/>
          <w:bottom w:w="0" w:type="dxa"/>
        </w:tblCellMar>
      </w:tblPrEx>
      <w:trPr>
        <w:cantSplit/>
      </w:trPr>
      <w:tc>
        <w:tcPr>
          <w:tcW w:w="6917" w:type="dxa"/>
          <w:gridSpan w:val="2"/>
          <w:tcBorders>
            <w:bottom w:val="single" w:sz="4" w:space="0" w:color="auto"/>
          </w:tcBorders>
        </w:tcPr>
        <w:p w:rsidR="00000000" w:rsidRDefault="00000000">
          <w:pPr>
            <w:pStyle w:val="FootnoteText"/>
            <w:tabs>
              <w:tab w:val="clear" w:pos="567"/>
              <w:tab w:val="clear" w:pos="1134"/>
              <w:tab w:val="clear" w:pos="1701"/>
              <w:tab w:val="clear" w:pos="2268"/>
              <w:tab w:val="clear" w:pos="6237"/>
            </w:tabs>
            <w:spacing w:before="120"/>
            <w:rPr>
              <w:sz w:val="26"/>
            </w:rPr>
          </w:pPr>
          <w:r>
            <w:rPr>
              <w:rFonts w:ascii="Arial" w:hAnsi="Arial" w:cs="Arial"/>
              <w:b/>
              <w:bCs/>
              <w:sz w:val="26"/>
            </w:rPr>
            <w:t xml:space="preserve">ОРГАНИЗАЦИЯ </w:t>
          </w:r>
          <w:r>
            <w:rPr>
              <w:rFonts w:ascii="Arial" w:hAnsi="Arial" w:cs="Arial"/>
              <w:b/>
              <w:bCs/>
              <w:sz w:val="26"/>
            </w:rPr>
            <w:br/>
            <w:t>ОБЪЕДИНЕННЫХ НАЦИЙ</w:t>
          </w:r>
        </w:p>
      </w:tc>
      <w:tc>
        <w:tcPr>
          <w:tcW w:w="2778" w:type="dxa"/>
          <w:tcBorders>
            <w:bottom w:val="single" w:sz="4" w:space="0" w:color="auto"/>
          </w:tcBorders>
        </w:tcPr>
        <w:p w:rsidR="00000000" w:rsidRDefault="00000000">
          <w:pPr>
            <w:pStyle w:val="FootnoteText"/>
            <w:tabs>
              <w:tab w:val="clear" w:pos="567"/>
              <w:tab w:val="clear" w:pos="1134"/>
              <w:tab w:val="clear" w:pos="1701"/>
              <w:tab w:val="clear" w:pos="2268"/>
              <w:tab w:val="clear" w:pos="6237"/>
            </w:tabs>
            <w:jc w:val="right"/>
            <w:rPr>
              <w:sz w:val="68"/>
            </w:rPr>
          </w:pPr>
          <w:r>
            <w:rPr>
              <w:rFonts w:ascii="Arial" w:hAnsi="Arial" w:cs="Arial"/>
              <w:b/>
              <w:bCs/>
              <w:sz w:val="68"/>
              <w:lang w:val="en-US"/>
            </w:rPr>
            <w:t>E</w:t>
          </w:r>
        </w:p>
      </w:tc>
    </w:tr>
    <w:tr w:rsidR="00000000">
      <w:tblPrEx>
        <w:tblCellMar>
          <w:top w:w="0" w:type="dxa"/>
          <w:bottom w:w="0" w:type="dxa"/>
        </w:tblCellMar>
      </w:tblPrEx>
      <w:tc>
        <w:tcPr>
          <w:tcW w:w="1814" w:type="dxa"/>
          <w:tcBorders>
            <w:top w:val="single" w:sz="4" w:space="0" w:color="auto"/>
          </w:tcBorders>
        </w:tcPr>
        <w:p w:rsidR="00000000" w:rsidRDefault="00000000">
          <w:pPr>
            <w:pStyle w:val="FootnoteText"/>
            <w:tabs>
              <w:tab w:val="clear" w:pos="567"/>
              <w:tab w:val="clear" w:pos="1134"/>
              <w:tab w:val="clear" w:pos="1701"/>
              <w:tab w:val="clear" w:pos="2268"/>
              <w:tab w:val="clear" w:pos="6237"/>
            </w:tabs>
            <w:rPr>
              <w:sz w:val="23"/>
            </w:rPr>
          </w:pPr>
        </w:p>
      </w:tc>
      <w:tc>
        <w:tcPr>
          <w:tcW w:w="5103" w:type="dxa"/>
          <w:tcBorders>
            <w:top w:val="single" w:sz="4" w:space="0" w:color="auto"/>
          </w:tcBorders>
        </w:tcPr>
        <w:p w:rsidR="00000000" w:rsidRDefault="00000000">
          <w:pPr>
            <w:pStyle w:val="FootnoteText"/>
            <w:tabs>
              <w:tab w:val="clear" w:pos="567"/>
              <w:tab w:val="clear" w:pos="1134"/>
              <w:tab w:val="clear" w:pos="1701"/>
              <w:tab w:val="clear" w:pos="2268"/>
              <w:tab w:val="clear" w:pos="6237"/>
            </w:tabs>
            <w:rPr>
              <w:sz w:val="23"/>
            </w:rPr>
          </w:pPr>
        </w:p>
      </w:tc>
      <w:tc>
        <w:tcPr>
          <w:tcW w:w="2778" w:type="dxa"/>
          <w:tcBorders>
            <w:top w:val="single" w:sz="4" w:space="0" w:color="auto"/>
          </w:tcBorders>
        </w:tcPr>
        <w:p w:rsidR="00000000" w:rsidRDefault="00000000">
          <w:pPr>
            <w:pStyle w:val="FootnoteText"/>
            <w:tabs>
              <w:tab w:val="clear" w:pos="567"/>
              <w:tab w:val="clear" w:pos="1134"/>
              <w:tab w:val="clear" w:pos="1701"/>
              <w:tab w:val="clear" w:pos="2268"/>
              <w:tab w:val="clear" w:pos="6237"/>
            </w:tabs>
            <w:rPr>
              <w:sz w:val="23"/>
            </w:rPr>
          </w:pPr>
        </w:p>
      </w:tc>
    </w:tr>
    <w:tr w:rsidR="00000000">
      <w:tblPrEx>
        <w:tblCellMar>
          <w:top w:w="0" w:type="dxa"/>
          <w:bottom w:w="0" w:type="dxa"/>
        </w:tblCellMar>
      </w:tblPrEx>
      <w:tc>
        <w:tcPr>
          <w:tcW w:w="1814" w:type="dxa"/>
        </w:tcPr>
        <w:p w:rsidR="00000000" w:rsidRDefault="00000000">
          <w:pPr>
            <w:pStyle w:val="FootnoteText"/>
            <w:tabs>
              <w:tab w:val="clear" w:pos="567"/>
              <w:tab w:val="clear" w:pos="1134"/>
              <w:tab w:val="clear" w:pos="1701"/>
              <w:tab w:val="clear" w:pos="2268"/>
              <w:tab w:val="clear" w:pos="6237"/>
            </w:tabs>
            <w:rPr>
              <w:sz w:val="23"/>
            </w:rPr>
          </w:pPr>
        </w:p>
      </w:tc>
      <w:tc>
        <w:tcPr>
          <w:tcW w:w="5103" w:type="dxa"/>
        </w:tcPr>
        <w:p w:rsidR="00000000" w:rsidRDefault="00000000">
          <w:pPr>
            <w:pStyle w:val="FootnoteText"/>
            <w:tabs>
              <w:tab w:val="clear" w:pos="567"/>
              <w:tab w:val="clear" w:pos="1134"/>
              <w:tab w:val="clear" w:pos="1701"/>
              <w:tab w:val="clear" w:pos="2268"/>
              <w:tab w:val="clear" w:pos="6237"/>
            </w:tabs>
            <w:rPr>
              <w:sz w:val="23"/>
            </w:rPr>
          </w:pPr>
        </w:p>
      </w:tc>
      <w:tc>
        <w:tcPr>
          <w:tcW w:w="2778" w:type="dxa"/>
        </w:tcPr>
        <w:p w:rsidR="00000000" w:rsidRDefault="00000000">
          <w:pPr>
            <w:pStyle w:val="FootnoteText"/>
            <w:tabs>
              <w:tab w:val="clear" w:pos="567"/>
              <w:tab w:val="clear" w:pos="1134"/>
              <w:tab w:val="clear" w:pos="1701"/>
              <w:tab w:val="clear" w:pos="2268"/>
              <w:tab w:val="clear" w:pos="6237"/>
            </w:tabs>
            <w:rPr>
              <w:sz w:val="23"/>
              <w:lang w:val="en-US"/>
            </w:rPr>
          </w:pPr>
          <w:r>
            <w:rPr>
              <w:sz w:val="23"/>
              <w:lang w:val="en-US"/>
            </w:rPr>
            <w:t>Distr.</w:t>
          </w:r>
        </w:p>
      </w:tc>
    </w:tr>
    <w:tr w:rsidR="00000000">
      <w:tblPrEx>
        <w:tblCellMar>
          <w:top w:w="0" w:type="dxa"/>
          <w:bottom w:w="0" w:type="dxa"/>
        </w:tblCellMar>
      </w:tblPrEx>
      <w:trPr>
        <w:cantSplit/>
      </w:trPr>
      <w:tc>
        <w:tcPr>
          <w:tcW w:w="1814" w:type="dxa"/>
          <w:vMerge w:val="restart"/>
        </w:tcPr>
        <w:p w:rsidR="00000000" w:rsidRDefault="00000000">
          <w:pPr>
            <w:pStyle w:val="FootnoteText"/>
            <w:tabs>
              <w:tab w:val="clear" w:pos="567"/>
              <w:tab w:val="clear" w:pos="1134"/>
              <w:tab w:val="clear" w:pos="1701"/>
              <w:tab w:val="clear" w:pos="2268"/>
              <w:tab w:val="clear" w:pos="6237"/>
            </w:tabs>
            <w:rPr>
              <w:sz w:val="23"/>
            </w:rPr>
          </w:pPr>
          <w:r>
            <w:rPr>
              <w:sz w:val="23"/>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25pt;height:55.5pt">
                <v:imagedata r:id="rId1" o:title="OON"/>
              </v:shape>
            </w:pict>
          </w:r>
        </w:p>
      </w:tc>
      <w:tc>
        <w:tcPr>
          <w:tcW w:w="5103" w:type="dxa"/>
          <w:vMerge w:val="restart"/>
        </w:tcPr>
        <w:p w:rsidR="00000000" w:rsidRDefault="00000000">
          <w:pPr>
            <w:pStyle w:val="FootnoteText"/>
            <w:tabs>
              <w:tab w:val="clear" w:pos="567"/>
              <w:tab w:val="clear" w:pos="1134"/>
              <w:tab w:val="clear" w:pos="1701"/>
              <w:tab w:val="clear" w:pos="2268"/>
              <w:tab w:val="clear" w:pos="6237"/>
            </w:tabs>
            <w:rPr>
              <w:rFonts w:ascii="Arial" w:hAnsi="Arial" w:cs="Arial"/>
              <w:b/>
              <w:bCs/>
              <w:sz w:val="32"/>
            </w:rPr>
          </w:pPr>
          <w:r>
            <w:rPr>
              <w:rFonts w:ascii="Arial" w:hAnsi="Arial" w:cs="Arial"/>
              <w:b/>
              <w:bCs/>
              <w:sz w:val="32"/>
            </w:rPr>
            <w:t xml:space="preserve">Экономический </w:t>
          </w:r>
          <w:r>
            <w:rPr>
              <w:rFonts w:ascii="Arial" w:hAnsi="Arial" w:cs="Arial"/>
              <w:b/>
              <w:bCs/>
              <w:sz w:val="32"/>
            </w:rPr>
            <w:br/>
            <w:t xml:space="preserve">и Социальный Совет </w:t>
          </w:r>
        </w:p>
      </w:tc>
      <w:tc>
        <w:tcPr>
          <w:tcW w:w="2778" w:type="dxa"/>
        </w:tcPr>
        <w:p w:rsidR="00000000" w:rsidRDefault="00000000">
          <w:pPr>
            <w:pStyle w:val="FootnoteText"/>
            <w:tabs>
              <w:tab w:val="clear" w:pos="567"/>
              <w:tab w:val="clear" w:pos="1134"/>
              <w:tab w:val="clear" w:pos="1701"/>
              <w:tab w:val="clear" w:pos="2268"/>
              <w:tab w:val="clear" w:pos="6237"/>
            </w:tabs>
            <w:rPr>
              <w:sz w:val="23"/>
              <w:lang w:val="en-US"/>
            </w:rPr>
          </w:pPr>
          <w:r>
            <w:rPr>
              <w:sz w:val="23"/>
              <w:lang w:val="en-US"/>
            </w:rPr>
            <w:t>GENERAL</w:t>
          </w:r>
        </w:p>
      </w:tc>
    </w:tr>
    <w:tr w:rsidR="00000000">
      <w:tblPrEx>
        <w:tblCellMar>
          <w:top w:w="0" w:type="dxa"/>
          <w:bottom w:w="0" w:type="dxa"/>
        </w:tblCellMar>
      </w:tblPrEx>
      <w:trPr>
        <w:cantSplit/>
      </w:trPr>
      <w:tc>
        <w:tcPr>
          <w:tcW w:w="1814" w:type="dxa"/>
          <w:vMerge/>
        </w:tcPr>
        <w:p w:rsidR="00000000" w:rsidRDefault="00000000">
          <w:pPr>
            <w:pStyle w:val="FootnoteText"/>
            <w:tabs>
              <w:tab w:val="clear" w:pos="567"/>
              <w:tab w:val="clear" w:pos="1134"/>
              <w:tab w:val="clear" w:pos="1701"/>
              <w:tab w:val="clear" w:pos="2268"/>
              <w:tab w:val="clear" w:pos="6237"/>
            </w:tabs>
            <w:rPr>
              <w:sz w:val="23"/>
            </w:rPr>
          </w:pPr>
        </w:p>
      </w:tc>
      <w:tc>
        <w:tcPr>
          <w:tcW w:w="5103" w:type="dxa"/>
          <w:vMerge/>
        </w:tcPr>
        <w:p w:rsidR="00000000" w:rsidRDefault="00000000">
          <w:pPr>
            <w:pStyle w:val="FootnoteText"/>
            <w:tabs>
              <w:tab w:val="clear" w:pos="567"/>
              <w:tab w:val="clear" w:pos="1134"/>
              <w:tab w:val="clear" w:pos="1701"/>
              <w:tab w:val="clear" w:pos="2268"/>
              <w:tab w:val="clear" w:pos="6237"/>
            </w:tabs>
            <w:rPr>
              <w:sz w:val="23"/>
            </w:rPr>
          </w:pPr>
        </w:p>
      </w:tc>
      <w:tc>
        <w:tcPr>
          <w:tcW w:w="2778" w:type="dxa"/>
        </w:tcPr>
        <w:p w:rsidR="00000000" w:rsidRDefault="00000000">
          <w:pPr>
            <w:pStyle w:val="FootnoteText"/>
            <w:tabs>
              <w:tab w:val="clear" w:pos="567"/>
              <w:tab w:val="clear" w:pos="1134"/>
              <w:tab w:val="clear" w:pos="1701"/>
              <w:tab w:val="clear" w:pos="2268"/>
              <w:tab w:val="clear" w:pos="6237"/>
            </w:tabs>
            <w:rPr>
              <w:sz w:val="23"/>
              <w:lang w:val="en-US"/>
            </w:rPr>
          </w:pPr>
        </w:p>
      </w:tc>
    </w:tr>
    <w:tr w:rsidR="00000000">
      <w:tblPrEx>
        <w:tblCellMar>
          <w:top w:w="0" w:type="dxa"/>
          <w:bottom w:w="0" w:type="dxa"/>
        </w:tblCellMar>
      </w:tblPrEx>
      <w:trPr>
        <w:cantSplit/>
      </w:trPr>
      <w:tc>
        <w:tcPr>
          <w:tcW w:w="1814" w:type="dxa"/>
          <w:vMerge/>
        </w:tcPr>
        <w:p w:rsidR="00000000" w:rsidRDefault="00000000">
          <w:pPr>
            <w:pStyle w:val="FootnoteText"/>
            <w:tabs>
              <w:tab w:val="clear" w:pos="567"/>
              <w:tab w:val="clear" w:pos="1134"/>
              <w:tab w:val="clear" w:pos="1701"/>
              <w:tab w:val="clear" w:pos="2268"/>
              <w:tab w:val="clear" w:pos="6237"/>
            </w:tabs>
            <w:rPr>
              <w:sz w:val="23"/>
            </w:rPr>
          </w:pPr>
        </w:p>
      </w:tc>
      <w:tc>
        <w:tcPr>
          <w:tcW w:w="5103" w:type="dxa"/>
          <w:vMerge/>
        </w:tcPr>
        <w:p w:rsidR="00000000" w:rsidRDefault="00000000">
          <w:pPr>
            <w:pStyle w:val="FootnoteText"/>
            <w:tabs>
              <w:tab w:val="clear" w:pos="567"/>
              <w:tab w:val="clear" w:pos="1134"/>
              <w:tab w:val="clear" w:pos="1701"/>
              <w:tab w:val="clear" w:pos="2268"/>
              <w:tab w:val="clear" w:pos="6237"/>
            </w:tabs>
            <w:rPr>
              <w:sz w:val="23"/>
            </w:rPr>
          </w:pPr>
        </w:p>
      </w:tc>
      <w:tc>
        <w:tcPr>
          <w:tcW w:w="2778" w:type="dxa"/>
        </w:tcPr>
        <w:p w:rsidR="00000000" w:rsidRDefault="00000000">
          <w:pPr>
            <w:pStyle w:val="FootnoteText"/>
            <w:tabs>
              <w:tab w:val="clear" w:pos="567"/>
              <w:tab w:val="clear" w:pos="1134"/>
              <w:tab w:val="clear" w:pos="1701"/>
              <w:tab w:val="clear" w:pos="2268"/>
              <w:tab w:val="clear" w:pos="6237"/>
            </w:tabs>
            <w:rPr>
              <w:sz w:val="23"/>
              <w:lang w:val="en-US"/>
            </w:rPr>
          </w:pPr>
          <w:r>
            <w:rPr>
              <w:sz w:val="23"/>
              <w:lang w:val="en-US"/>
            </w:rPr>
            <w:t>E/C.12/4/Add.12</w:t>
          </w:r>
        </w:p>
      </w:tc>
    </w:tr>
    <w:tr w:rsidR="00000000">
      <w:tblPrEx>
        <w:tblCellMar>
          <w:top w:w="0" w:type="dxa"/>
          <w:bottom w:w="0" w:type="dxa"/>
        </w:tblCellMar>
      </w:tblPrEx>
      <w:trPr>
        <w:cantSplit/>
      </w:trPr>
      <w:tc>
        <w:tcPr>
          <w:tcW w:w="1814" w:type="dxa"/>
          <w:vMerge/>
        </w:tcPr>
        <w:p w:rsidR="00000000" w:rsidRDefault="00000000">
          <w:pPr>
            <w:pStyle w:val="FootnoteText"/>
            <w:tabs>
              <w:tab w:val="clear" w:pos="567"/>
              <w:tab w:val="clear" w:pos="1134"/>
              <w:tab w:val="clear" w:pos="1701"/>
              <w:tab w:val="clear" w:pos="2268"/>
              <w:tab w:val="clear" w:pos="6237"/>
            </w:tabs>
            <w:rPr>
              <w:sz w:val="23"/>
            </w:rPr>
          </w:pPr>
        </w:p>
      </w:tc>
      <w:tc>
        <w:tcPr>
          <w:tcW w:w="5103" w:type="dxa"/>
          <w:vMerge/>
        </w:tcPr>
        <w:p w:rsidR="00000000" w:rsidRDefault="00000000">
          <w:pPr>
            <w:pStyle w:val="FootnoteText"/>
            <w:tabs>
              <w:tab w:val="clear" w:pos="567"/>
              <w:tab w:val="clear" w:pos="1134"/>
              <w:tab w:val="clear" w:pos="1701"/>
              <w:tab w:val="clear" w:pos="2268"/>
              <w:tab w:val="clear" w:pos="6237"/>
            </w:tabs>
            <w:rPr>
              <w:sz w:val="23"/>
            </w:rPr>
          </w:pPr>
        </w:p>
      </w:tc>
      <w:tc>
        <w:tcPr>
          <w:tcW w:w="2778" w:type="dxa"/>
        </w:tcPr>
        <w:p w:rsidR="00000000" w:rsidRDefault="00000000">
          <w:pPr>
            <w:pStyle w:val="FootnoteText"/>
            <w:tabs>
              <w:tab w:val="clear" w:pos="567"/>
              <w:tab w:val="clear" w:pos="1134"/>
              <w:tab w:val="clear" w:pos="1701"/>
              <w:tab w:val="clear" w:pos="2268"/>
              <w:tab w:val="clear" w:pos="6237"/>
            </w:tabs>
            <w:rPr>
              <w:sz w:val="23"/>
              <w:lang w:val="en-US"/>
            </w:rPr>
          </w:pPr>
          <w:r>
            <w:rPr>
              <w:sz w:val="23"/>
              <w:lang w:val="en-US"/>
            </w:rPr>
            <w:t>28 April 2003</w:t>
          </w:r>
        </w:p>
      </w:tc>
    </w:tr>
    <w:tr w:rsidR="00000000">
      <w:tblPrEx>
        <w:tblCellMar>
          <w:top w:w="0" w:type="dxa"/>
          <w:bottom w:w="0" w:type="dxa"/>
        </w:tblCellMar>
      </w:tblPrEx>
      <w:trPr>
        <w:cantSplit/>
      </w:trPr>
      <w:tc>
        <w:tcPr>
          <w:tcW w:w="1814" w:type="dxa"/>
          <w:vMerge/>
        </w:tcPr>
        <w:p w:rsidR="00000000" w:rsidRDefault="00000000">
          <w:pPr>
            <w:pStyle w:val="FootnoteText"/>
            <w:tabs>
              <w:tab w:val="clear" w:pos="567"/>
              <w:tab w:val="clear" w:pos="1134"/>
              <w:tab w:val="clear" w:pos="1701"/>
              <w:tab w:val="clear" w:pos="2268"/>
              <w:tab w:val="clear" w:pos="6237"/>
            </w:tabs>
            <w:rPr>
              <w:sz w:val="23"/>
            </w:rPr>
          </w:pPr>
        </w:p>
      </w:tc>
      <w:tc>
        <w:tcPr>
          <w:tcW w:w="5103" w:type="dxa"/>
          <w:vMerge/>
        </w:tcPr>
        <w:p w:rsidR="00000000" w:rsidRDefault="00000000">
          <w:pPr>
            <w:pStyle w:val="FootnoteText"/>
            <w:tabs>
              <w:tab w:val="clear" w:pos="567"/>
              <w:tab w:val="clear" w:pos="1134"/>
              <w:tab w:val="clear" w:pos="1701"/>
              <w:tab w:val="clear" w:pos="2268"/>
              <w:tab w:val="clear" w:pos="6237"/>
            </w:tabs>
            <w:rPr>
              <w:sz w:val="23"/>
            </w:rPr>
          </w:pPr>
        </w:p>
      </w:tc>
      <w:tc>
        <w:tcPr>
          <w:tcW w:w="2778" w:type="dxa"/>
        </w:tcPr>
        <w:p w:rsidR="00000000" w:rsidRDefault="00000000">
          <w:pPr>
            <w:pStyle w:val="FootnoteText"/>
            <w:tabs>
              <w:tab w:val="clear" w:pos="567"/>
              <w:tab w:val="clear" w:pos="1134"/>
              <w:tab w:val="clear" w:pos="1701"/>
              <w:tab w:val="clear" w:pos="2268"/>
              <w:tab w:val="clear" w:pos="6237"/>
            </w:tabs>
            <w:rPr>
              <w:sz w:val="23"/>
              <w:lang w:val="en-US"/>
            </w:rPr>
          </w:pPr>
        </w:p>
      </w:tc>
    </w:tr>
    <w:tr w:rsidR="00000000">
      <w:tblPrEx>
        <w:tblCellMar>
          <w:top w:w="0" w:type="dxa"/>
          <w:bottom w:w="0" w:type="dxa"/>
        </w:tblCellMar>
      </w:tblPrEx>
      <w:trPr>
        <w:cantSplit/>
      </w:trPr>
      <w:tc>
        <w:tcPr>
          <w:tcW w:w="1814" w:type="dxa"/>
          <w:vMerge/>
        </w:tcPr>
        <w:p w:rsidR="00000000" w:rsidRDefault="00000000">
          <w:pPr>
            <w:pStyle w:val="FootnoteText"/>
            <w:tabs>
              <w:tab w:val="clear" w:pos="567"/>
              <w:tab w:val="clear" w:pos="1134"/>
              <w:tab w:val="clear" w:pos="1701"/>
              <w:tab w:val="clear" w:pos="2268"/>
              <w:tab w:val="clear" w:pos="6237"/>
            </w:tabs>
            <w:rPr>
              <w:sz w:val="23"/>
            </w:rPr>
          </w:pPr>
        </w:p>
      </w:tc>
      <w:tc>
        <w:tcPr>
          <w:tcW w:w="5103" w:type="dxa"/>
          <w:vMerge/>
        </w:tcPr>
        <w:p w:rsidR="00000000" w:rsidRDefault="00000000">
          <w:pPr>
            <w:pStyle w:val="FootnoteText"/>
            <w:tabs>
              <w:tab w:val="clear" w:pos="567"/>
              <w:tab w:val="clear" w:pos="1134"/>
              <w:tab w:val="clear" w:pos="1701"/>
              <w:tab w:val="clear" w:pos="2268"/>
              <w:tab w:val="clear" w:pos="6237"/>
            </w:tabs>
            <w:rPr>
              <w:sz w:val="23"/>
            </w:rPr>
          </w:pPr>
        </w:p>
      </w:tc>
      <w:tc>
        <w:tcPr>
          <w:tcW w:w="2778" w:type="dxa"/>
        </w:tcPr>
        <w:p w:rsidR="00000000" w:rsidRDefault="00000000">
          <w:pPr>
            <w:pStyle w:val="FootnoteText"/>
            <w:tabs>
              <w:tab w:val="clear" w:pos="567"/>
              <w:tab w:val="clear" w:pos="1134"/>
              <w:tab w:val="clear" w:pos="1701"/>
              <w:tab w:val="clear" w:pos="2268"/>
              <w:tab w:val="clear" w:pos="6237"/>
            </w:tabs>
            <w:rPr>
              <w:sz w:val="23"/>
              <w:lang w:val="en-US"/>
            </w:rPr>
          </w:pPr>
          <w:r>
            <w:rPr>
              <w:sz w:val="23"/>
              <w:lang w:val="en-US"/>
            </w:rPr>
            <w:t>RUSSIAN</w:t>
          </w:r>
        </w:p>
      </w:tc>
    </w:tr>
    <w:tr w:rsidR="00000000">
      <w:tblPrEx>
        <w:tblCellMar>
          <w:top w:w="0" w:type="dxa"/>
          <w:bottom w:w="0" w:type="dxa"/>
        </w:tblCellMar>
      </w:tblPrEx>
      <w:trPr>
        <w:cantSplit/>
      </w:trPr>
      <w:tc>
        <w:tcPr>
          <w:tcW w:w="1814" w:type="dxa"/>
          <w:vMerge/>
        </w:tcPr>
        <w:p w:rsidR="00000000" w:rsidRDefault="00000000">
          <w:pPr>
            <w:pStyle w:val="FootnoteText"/>
            <w:tabs>
              <w:tab w:val="clear" w:pos="567"/>
              <w:tab w:val="clear" w:pos="1134"/>
              <w:tab w:val="clear" w:pos="1701"/>
              <w:tab w:val="clear" w:pos="2268"/>
              <w:tab w:val="clear" w:pos="6237"/>
            </w:tabs>
            <w:rPr>
              <w:sz w:val="23"/>
              <w:lang w:val="en-US"/>
            </w:rPr>
          </w:pPr>
        </w:p>
      </w:tc>
      <w:tc>
        <w:tcPr>
          <w:tcW w:w="5103" w:type="dxa"/>
          <w:vMerge/>
        </w:tcPr>
        <w:p w:rsidR="00000000" w:rsidRDefault="00000000">
          <w:pPr>
            <w:pStyle w:val="FootnoteText"/>
            <w:tabs>
              <w:tab w:val="clear" w:pos="567"/>
              <w:tab w:val="clear" w:pos="1134"/>
              <w:tab w:val="clear" w:pos="1701"/>
              <w:tab w:val="clear" w:pos="2268"/>
              <w:tab w:val="clear" w:pos="6237"/>
            </w:tabs>
            <w:rPr>
              <w:sz w:val="23"/>
              <w:lang w:val="en-US"/>
            </w:rPr>
          </w:pPr>
        </w:p>
      </w:tc>
      <w:tc>
        <w:tcPr>
          <w:tcW w:w="2778" w:type="dxa"/>
        </w:tcPr>
        <w:p w:rsidR="00000000" w:rsidRDefault="00000000">
          <w:pPr>
            <w:pStyle w:val="FootnoteText"/>
            <w:tabs>
              <w:tab w:val="clear" w:pos="567"/>
              <w:tab w:val="clear" w:pos="1134"/>
              <w:tab w:val="clear" w:pos="1701"/>
              <w:tab w:val="clear" w:pos="2268"/>
              <w:tab w:val="clear" w:pos="6237"/>
            </w:tabs>
            <w:rPr>
              <w:sz w:val="23"/>
              <w:lang w:val="en-US"/>
            </w:rPr>
          </w:pPr>
          <w:r>
            <w:rPr>
              <w:sz w:val="23"/>
              <w:lang w:val="en-US"/>
            </w:rPr>
            <w:t>Original: ENGLISH</w:t>
          </w:r>
        </w:p>
      </w:tc>
    </w:tr>
    <w:tr w:rsidR="00000000">
      <w:tblPrEx>
        <w:tblCellMar>
          <w:top w:w="0" w:type="dxa"/>
          <w:bottom w:w="0" w:type="dxa"/>
        </w:tblCellMar>
      </w:tblPrEx>
      <w:tc>
        <w:tcPr>
          <w:tcW w:w="1814" w:type="dxa"/>
          <w:tcBorders>
            <w:bottom w:val="single" w:sz="36" w:space="0" w:color="auto"/>
          </w:tcBorders>
        </w:tcPr>
        <w:p w:rsidR="00000000" w:rsidRDefault="00000000">
          <w:pPr>
            <w:pStyle w:val="FootnoteText"/>
            <w:tabs>
              <w:tab w:val="clear" w:pos="567"/>
              <w:tab w:val="clear" w:pos="1134"/>
              <w:tab w:val="clear" w:pos="1701"/>
              <w:tab w:val="clear" w:pos="2268"/>
              <w:tab w:val="clear" w:pos="6237"/>
            </w:tabs>
            <w:spacing w:after="80"/>
            <w:rPr>
              <w:sz w:val="23"/>
              <w:lang w:val="en-US"/>
            </w:rPr>
          </w:pPr>
        </w:p>
      </w:tc>
      <w:tc>
        <w:tcPr>
          <w:tcW w:w="5103" w:type="dxa"/>
          <w:tcBorders>
            <w:bottom w:val="single" w:sz="36" w:space="0" w:color="auto"/>
          </w:tcBorders>
        </w:tcPr>
        <w:p w:rsidR="00000000" w:rsidRDefault="00000000">
          <w:pPr>
            <w:pStyle w:val="FootnoteText"/>
            <w:tabs>
              <w:tab w:val="clear" w:pos="567"/>
              <w:tab w:val="clear" w:pos="1134"/>
              <w:tab w:val="clear" w:pos="1701"/>
              <w:tab w:val="clear" w:pos="2268"/>
              <w:tab w:val="clear" w:pos="6237"/>
            </w:tabs>
            <w:spacing w:after="80"/>
            <w:rPr>
              <w:sz w:val="23"/>
              <w:lang w:val="en-US"/>
            </w:rPr>
          </w:pPr>
        </w:p>
      </w:tc>
      <w:tc>
        <w:tcPr>
          <w:tcW w:w="2778" w:type="dxa"/>
          <w:tcBorders>
            <w:bottom w:val="single" w:sz="36" w:space="0" w:color="auto"/>
          </w:tcBorders>
        </w:tcPr>
        <w:p w:rsidR="00000000" w:rsidRDefault="00000000">
          <w:pPr>
            <w:pStyle w:val="FootnoteText"/>
            <w:tabs>
              <w:tab w:val="clear" w:pos="567"/>
              <w:tab w:val="clear" w:pos="1134"/>
              <w:tab w:val="clear" w:pos="1701"/>
              <w:tab w:val="clear" w:pos="2268"/>
              <w:tab w:val="clear" w:pos="6237"/>
            </w:tabs>
            <w:spacing w:after="80"/>
            <w:rPr>
              <w:sz w:val="23"/>
              <w:lang w:val="en-US"/>
            </w:rPr>
          </w:pPr>
        </w:p>
      </w:tc>
    </w:tr>
  </w:tbl>
  <w:p w:rsidR="00000000" w:rsidRDefault="00000000">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2065886"/>
    <w:multiLevelType w:val="hybridMultilevel"/>
    <w:tmpl w:val="BFDAAEE0"/>
    <w:lvl w:ilvl="0" w:tplc="48E030F2">
      <w:start w:val="1"/>
      <w:numFmt w:val="bullet"/>
      <w:lvlText w:val="-"/>
      <w:lvlJc w:val="left"/>
      <w:pPr>
        <w:tabs>
          <w:tab w:val="num" w:pos="1134"/>
        </w:tabs>
        <w:ind w:left="1134" w:hanging="567"/>
      </w:pPr>
      <w:rPr>
        <w:rFonts w:ascii="Times New Roman" w:eastAsia="Times New Roman" w:hAnsi="Times New Roman" w:cs="Times New Roman" w:hint="default"/>
      </w:rPr>
    </w:lvl>
    <w:lvl w:ilvl="1" w:tplc="7EE45EA4">
      <w:start w:val="1"/>
      <w:numFmt w:val="bullet"/>
      <w:lvlText w:val=""/>
      <w:lvlJc w:val="left"/>
      <w:pPr>
        <w:tabs>
          <w:tab w:val="num" w:pos="1789"/>
        </w:tabs>
        <w:ind w:left="1789" w:hanging="709"/>
      </w:pPr>
      <w:rPr>
        <w:rFonts w:ascii="Symbol" w:hAnsi="Symbol" w:hint="default"/>
        <w:color w:val="auto"/>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2">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3">
    <w:nsid w:val="1A4F7153"/>
    <w:multiLevelType w:val="hybridMultilevel"/>
    <w:tmpl w:val="A2F6401A"/>
    <w:lvl w:ilvl="0" w:tplc="55840AC8">
      <w:start w:val="1"/>
      <w:numFmt w:val="bullet"/>
      <w:lvlText w:val=""/>
      <w:lvlJc w:val="left"/>
      <w:pPr>
        <w:tabs>
          <w:tab w:val="num" w:pos="360"/>
        </w:tabs>
        <w:ind w:left="284" w:hanging="284"/>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226F29B9"/>
    <w:multiLevelType w:val="hybridMultilevel"/>
    <w:tmpl w:val="BFDAAEE0"/>
    <w:lvl w:ilvl="0" w:tplc="48E030F2">
      <w:start w:val="1"/>
      <w:numFmt w:val="bullet"/>
      <w:lvlText w:val="-"/>
      <w:lvlJc w:val="left"/>
      <w:pPr>
        <w:tabs>
          <w:tab w:val="num" w:pos="1134"/>
        </w:tabs>
        <w:ind w:left="1134" w:hanging="567"/>
      </w:pPr>
      <w:rPr>
        <w:rFonts w:ascii="Times New Roman" w:eastAsia="Times New Roman" w:hAnsi="Times New Roman" w:cs="Times New Roman"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5">
    <w:nsid w:val="293C14A3"/>
    <w:multiLevelType w:val="hybridMultilevel"/>
    <w:tmpl w:val="EE5E4604"/>
    <w:lvl w:ilvl="0" w:tplc="7EE45EA4">
      <w:start w:val="1"/>
      <w:numFmt w:val="bullet"/>
      <w:lvlText w:val=""/>
      <w:lvlJc w:val="left"/>
      <w:pPr>
        <w:tabs>
          <w:tab w:val="num" w:pos="1273"/>
        </w:tabs>
        <w:ind w:left="1273" w:hanging="709"/>
      </w:pPr>
      <w:rPr>
        <w:rFonts w:ascii="Symbol" w:hAnsi="Symbol" w:hint="default"/>
        <w:color w:val="auto"/>
      </w:rPr>
    </w:lvl>
    <w:lvl w:ilvl="1" w:tplc="9060219E">
      <w:start w:val="465"/>
      <w:numFmt w:val="bullet"/>
      <w:lvlText w:val="–"/>
      <w:lvlJc w:val="left"/>
      <w:pPr>
        <w:tabs>
          <w:tab w:val="num" w:pos="2208"/>
        </w:tabs>
        <w:ind w:left="2208" w:hanging="564"/>
      </w:pPr>
      <w:rPr>
        <w:rFonts w:ascii="Times New Roman" w:eastAsia="Times New Roman" w:hAnsi="Times New Roman" w:cs="Times New Roman" w:hint="default"/>
      </w:rPr>
    </w:lvl>
    <w:lvl w:ilvl="2" w:tplc="04190005" w:tentative="1">
      <w:start w:val="1"/>
      <w:numFmt w:val="bullet"/>
      <w:lvlText w:val=""/>
      <w:lvlJc w:val="left"/>
      <w:pPr>
        <w:tabs>
          <w:tab w:val="num" w:pos="2724"/>
        </w:tabs>
        <w:ind w:left="2724" w:hanging="360"/>
      </w:pPr>
      <w:rPr>
        <w:rFonts w:ascii="Wingdings" w:hAnsi="Wingdings" w:hint="default"/>
      </w:rPr>
    </w:lvl>
    <w:lvl w:ilvl="3" w:tplc="04190001" w:tentative="1">
      <w:start w:val="1"/>
      <w:numFmt w:val="bullet"/>
      <w:lvlText w:val=""/>
      <w:lvlJc w:val="left"/>
      <w:pPr>
        <w:tabs>
          <w:tab w:val="num" w:pos="3444"/>
        </w:tabs>
        <w:ind w:left="3444" w:hanging="360"/>
      </w:pPr>
      <w:rPr>
        <w:rFonts w:ascii="Symbol" w:hAnsi="Symbol" w:hint="default"/>
      </w:rPr>
    </w:lvl>
    <w:lvl w:ilvl="4" w:tplc="04190003" w:tentative="1">
      <w:start w:val="1"/>
      <w:numFmt w:val="bullet"/>
      <w:lvlText w:val="o"/>
      <w:lvlJc w:val="left"/>
      <w:pPr>
        <w:tabs>
          <w:tab w:val="num" w:pos="4164"/>
        </w:tabs>
        <w:ind w:left="4164" w:hanging="360"/>
      </w:pPr>
      <w:rPr>
        <w:rFonts w:ascii="Courier New" w:hAnsi="Courier New" w:hint="default"/>
      </w:rPr>
    </w:lvl>
    <w:lvl w:ilvl="5" w:tplc="04190005" w:tentative="1">
      <w:start w:val="1"/>
      <w:numFmt w:val="bullet"/>
      <w:lvlText w:val=""/>
      <w:lvlJc w:val="left"/>
      <w:pPr>
        <w:tabs>
          <w:tab w:val="num" w:pos="4884"/>
        </w:tabs>
        <w:ind w:left="4884" w:hanging="360"/>
      </w:pPr>
      <w:rPr>
        <w:rFonts w:ascii="Wingdings" w:hAnsi="Wingdings" w:hint="default"/>
      </w:rPr>
    </w:lvl>
    <w:lvl w:ilvl="6" w:tplc="04190001" w:tentative="1">
      <w:start w:val="1"/>
      <w:numFmt w:val="bullet"/>
      <w:lvlText w:val=""/>
      <w:lvlJc w:val="left"/>
      <w:pPr>
        <w:tabs>
          <w:tab w:val="num" w:pos="5604"/>
        </w:tabs>
        <w:ind w:left="5604" w:hanging="360"/>
      </w:pPr>
      <w:rPr>
        <w:rFonts w:ascii="Symbol" w:hAnsi="Symbol" w:hint="default"/>
      </w:rPr>
    </w:lvl>
    <w:lvl w:ilvl="7" w:tplc="04190003" w:tentative="1">
      <w:start w:val="1"/>
      <w:numFmt w:val="bullet"/>
      <w:lvlText w:val="o"/>
      <w:lvlJc w:val="left"/>
      <w:pPr>
        <w:tabs>
          <w:tab w:val="num" w:pos="6324"/>
        </w:tabs>
        <w:ind w:left="6324" w:hanging="360"/>
      </w:pPr>
      <w:rPr>
        <w:rFonts w:ascii="Courier New" w:hAnsi="Courier New" w:hint="default"/>
      </w:rPr>
    </w:lvl>
    <w:lvl w:ilvl="8" w:tplc="04190005" w:tentative="1">
      <w:start w:val="1"/>
      <w:numFmt w:val="bullet"/>
      <w:lvlText w:val=""/>
      <w:lvlJc w:val="left"/>
      <w:pPr>
        <w:tabs>
          <w:tab w:val="num" w:pos="7044"/>
        </w:tabs>
        <w:ind w:left="7044" w:hanging="360"/>
      </w:pPr>
      <w:rPr>
        <w:rFonts w:ascii="Wingdings" w:hAnsi="Wingdings" w:hint="default"/>
      </w:rPr>
    </w:lvl>
  </w:abstractNum>
  <w:abstractNum w:abstractNumId="6">
    <w:nsid w:val="405F4E2B"/>
    <w:multiLevelType w:val="hybridMultilevel"/>
    <w:tmpl w:val="A2F6401A"/>
    <w:lvl w:ilvl="0" w:tplc="55840AC8">
      <w:start w:val="1"/>
      <w:numFmt w:val="bullet"/>
      <w:lvlText w:val=""/>
      <w:lvlJc w:val="left"/>
      <w:pPr>
        <w:tabs>
          <w:tab w:val="num" w:pos="360"/>
        </w:tabs>
        <w:ind w:left="284" w:hanging="284"/>
      </w:pPr>
      <w:rPr>
        <w:rFonts w:ascii="Symbol" w:hAnsi="Symbol" w:hint="default"/>
      </w:rPr>
    </w:lvl>
    <w:lvl w:ilvl="1" w:tplc="7EE45EA4">
      <w:start w:val="1"/>
      <w:numFmt w:val="bullet"/>
      <w:lvlText w:val=""/>
      <w:lvlJc w:val="left"/>
      <w:pPr>
        <w:tabs>
          <w:tab w:val="num" w:pos="1789"/>
        </w:tabs>
        <w:ind w:left="1789" w:hanging="709"/>
      </w:pPr>
      <w:rPr>
        <w:rFonts w:ascii="Symbol" w:hAnsi="Symbol" w:hint="default"/>
        <w:color w:val="auto"/>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5ACD2ECE"/>
    <w:multiLevelType w:val="hybridMultilevel"/>
    <w:tmpl w:val="9DBA8088"/>
    <w:lvl w:ilvl="0" w:tplc="7EE45EA4">
      <w:start w:val="1"/>
      <w:numFmt w:val="bullet"/>
      <w:lvlText w:val=""/>
      <w:lvlJc w:val="left"/>
      <w:pPr>
        <w:tabs>
          <w:tab w:val="num" w:pos="1270"/>
        </w:tabs>
        <w:ind w:left="1270" w:hanging="709"/>
      </w:pPr>
      <w:rPr>
        <w:rFonts w:ascii="Symbol" w:hAnsi="Symbol" w:hint="default"/>
        <w:color w:val="auto"/>
      </w:rPr>
    </w:lvl>
    <w:lvl w:ilvl="1" w:tplc="04190003" w:tentative="1">
      <w:start w:val="1"/>
      <w:numFmt w:val="bullet"/>
      <w:lvlText w:val="o"/>
      <w:lvlJc w:val="left"/>
      <w:pPr>
        <w:tabs>
          <w:tab w:val="num" w:pos="2001"/>
        </w:tabs>
        <w:ind w:left="2001" w:hanging="360"/>
      </w:pPr>
      <w:rPr>
        <w:rFonts w:ascii="Courier New" w:hAnsi="Courier New" w:hint="default"/>
      </w:rPr>
    </w:lvl>
    <w:lvl w:ilvl="2" w:tplc="04190005" w:tentative="1">
      <w:start w:val="1"/>
      <w:numFmt w:val="bullet"/>
      <w:lvlText w:val=""/>
      <w:lvlJc w:val="left"/>
      <w:pPr>
        <w:tabs>
          <w:tab w:val="num" w:pos="2721"/>
        </w:tabs>
        <w:ind w:left="2721" w:hanging="360"/>
      </w:pPr>
      <w:rPr>
        <w:rFonts w:ascii="Wingdings" w:hAnsi="Wingdings" w:hint="default"/>
      </w:rPr>
    </w:lvl>
    <w:lvl w:ilvl="3" w:tplc="04190001" w:tentative="1">
      <w:start w:val="1"/>
      <w:numFmt w:val="bullet"/>
      <w:lvlText w:val=""/>
      <w:lvlJc w:val="left"/>
      <w:pPr>
        <w:tabs>
          <w:tab w:val="num" w:pos="3441"/>
        </w:tabs>
        <w:ind w:left="3441" w:hanging="360"/>
      </w:pPr>
      <w:rPr>
        <w:rFonts w:ascii="Symbol" w:hAnsi="Symbol" w:hint="default"/>
      </w:rPr>
    </w:lvl>
    <w:lvl w:ilvl="4" w:tplc="04190003" w:tentative="1">
      <w:start w:val="1"/>
      <w:numFmt w:val="bullet"/>
      <w:lvlText w:val="o"/>
      <w:lvlJc w:val="left"/>
      <w:pPr>
        <w:tabs>
          <w:tab w:val="num" w:pos="4161"/>
        </w:tabs>
        <w:ind w:left="4161" w:hanging="360"/>
      </w:pPr>
      <w:rPr>
        <w:rFonts w:ascii="Courier New" w:hAnsi="Courier New" w:hint="default"/>
      </w:rPr>
    </w:lvl>
    <w:lvl w:ilvl="5" w:tplc="04190005" w:tentative="1">
      <w:start w:val="1"/>
      <w:numFmt w:val="bullet"/>
      <w:lvlText w:val=""/>
      <w:lvlJc w:val="left"/>
      <w:pPr>
        <w:tabs>
          <w:tab w:val="num" w:pos="4881"/>
        </w:tabs>
        <w:ind w:left="4881" w:hanging="360"/>
      </w:pPr>
      <w:rPr>
        <w:rFonts w:ascii="Wingdings" w:hAnsi="Wingdings" w:hint="default"/>
      </w:rPr>
    </w:lvl>
    <w:lvl w:ilvl="6" w:tplc="04190001" w:tentative="1">
      <w:start w:val="1"/>
      <w:numFmt w:val="bullet"/>
      <w:lvlText w:val=""/>
      <w:lvlJc w:val="left"/>
      <w:pPr>
        <w:tabs>
          <w:tab w:val="num" w:pos="5601"/>
        </w:tabs>
        <w:ind w:left="5601" w:hanging="360"/>
      </w:pPr>
      <w:rPr>
        <w:rFonts w:ascii="Symbol" w:hAnsi="Symbol" w:hint="default"/>
      </w:rPr>
    </w:lvl>
    <w:lvl w:ilvl="7" w:tplc="04190003" w:tentative="1">
      <w:start w:val="1"/>
      <w:numFmt w:val="bullet"/>
      <w:lvlText w:val="o"/>
      <w:lvlJc w:val="left"/>
      <w:pPr>
        <w:tabs>
          <w:tab w:val="num" w:pos="6321"/>
        </w:tabs>
        <w:ind w:left="6321" w:hanging="360"/>
      </w:pPr>
      <w:rPr>
        <w:rFonts w:ascii="Courier New" w:hAnsi="Courier New" w:hint="default"/>
      </w:rPr>
    </w:lvl>
    <w:lvl w:ilvl="8" w:tplc="04190005" w:tentative="1">
      <w:start w:val="1"/>
      <w:numFmt w:val="bullet"/>
      <w:lvlText w:val=""/>
      <w:lvlJc w:val="left"/>
      <w:pPr>
        <w:tabs>
          <w:tab w:val="num" w:pos="7041"/>
        </w:tabs>
        <w:ind w:left="7041" w:hanging="360"/>
      </w:pPr>
      <w:rPr>
        <w:rFonts w:ascii="Wingdings" w:hAnsi="Wingdings" w:hint="default"/>
      </w:rPr>
    </w:lvl>
  </w:abstractNum>
  <w:num w:numId="1">
    <w:abstractNumId w:val="0"/>
  </w:num>
  <w:num w:numId="2">
    <w:abstractNumId w:val="2"/>
  </w:num>
  <w:num w:numId="3">
    <w:abstractNumId w:val="3"/>
  </w:num>
  <w:num w:numId="4">
    <w:abstractNumId w:val="6"/>
  </w:num>
  <w:num w:numId="5">
    <w:abstractNumId w:val="4"/>
  </w:num>
  <w:num w:numId="6">
    <w:abstractNumId w:val="1"/>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ru-RU" w:vendorID="1" w:dllVersion="512" w:checkStyle="1"/>
  <w:doNotTrackMoves/>
  <w:defaultTabStop w:val="68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clear" w:pos="1701"/>
        <w:tab w:val="left" w:pos="1496"/>
      </w:tabs>
      <w:spacing w:before="240" w:line="240" w:lineRule="auto"/>
      <w:ind w:left="1496" w:hanging="1496"/>
      <w:outlineLvl w:val="6"/>
    </w:pPr>
    <w:rPr>
      <w:b/>
      <w:bCs/>
    </w:rPr>
  </w:style>
  <w:style w:type="paragraph" w:styleId="Heading8">
    <w:name w:val="heading 8"/>
    <w:basedOn w:val="Normal"/>
    <w:next w:val="Normal"/>
    <w:qFormat/>
    <w:pPr>
      <w:keepNext/>
      <w:spacing w:before="240" w:line="240" w:lineRule="auto"/>
      <w:jc w:val="center"/>
      <w:outlineLvl w:val="7"/>
    </w:pPr>
    <w:rPr>
      <w:b/>
      <w:bCs/>
      <w:sz w:val="20"/>
    </w:rPr>
  </w:style>
  <w:style w:type="paragraph" w:styleId="Heading9">
    <w:name w:val="heading 9"/>
    <w:basedOn w:val="Normal"/>
    <w:next w:val="Normal"/>
    <w:qFormat/>
    <w:pPr>
      <w:keepNext/>
      <w:spacing w:before="240" w:line="240" w:lineRule="auto"/>
      <w:outlineLvl w:val="8"/>
    </w:pPr>
    <w:rPr>
      <w:b/>
      <w:bCs/>
      <w:sz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emiHidden/>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paragraph" w:styleId="BodyText">
    <w:name w:val="Body Text"/>
    <w:basedOn w:val="Normal"/>
    <w:semiHidden/>
    <w:pPr>
      <w:spacing w:before="240" w:line="240" w:lineRule="auto"/>
    </w:pPr>
    <w:rPr>
      <w:b/>
      <w:bCs/>
    </w:rPr>
  </w:style>
  <w:style w:type="paragraph" w:styleId="BodyTextIndent">
    <w:name w:val="Body Text Indent"/>
    <w:basedOn w:val="Normal"/>
    <w:semiHidden/>
    <w:pPr>
      <w:tabs>
        <w:tab w:val="clear" w:pos="567"/>
        <w:tab w:val="clear" w:pos="1134"/>
        <w:tab w:val="left" w:pos="561"/>
        <w:tab w:val="left" w:pos="1496"/>
      </w:tabs>
      <w:spacing w:before="240" w:line="240" w:lineRule="auto"/>
      <w:ind w:left="1496" w:hanging="935"/>
    </w:pPr>
  </w:style>
  <w:style w:type="paragraph" w:styleId="BodyTextIndent2">
    <w:name w:val="Body Text Indent 2"/>
    <w:basedOn w:val="Normal"/>
    <w:semiHidden/>
    <w:pPr>
      <w:tabs>
        <w:tab w:val="clear" w:pos="567"/>
        <w:tab w:val="clear" w:pos="1134"/>
        <w:tab w:val="left" w:pos="561"/>
        <w:tab w:val="left" w:pos="1496"/>
      </w:tabs>
      <w:spacing w:before="240" w:line="240" w:lineRule="auto"/>
      <w:ind w:left="1122" w:hanging="561"/>
    </w:pPr>
  </w:style>
  <w:style w:type="paragraph" w:styleId="BodyTextIndent3">
    <w:name w:val="Body Text Indent 3"/>
    <w:basedOn w:val="Normal"/>
    <w:semiHidden/>
    <w:pPr>
      <w:tabs>
        <w:tab w:val="clear" w:pos="1134"/>
      </w:tabs>
      <w:spacing w:before="240" w:line="240" w:lineRule="auto"/>
      <w:ind w:left="561"/>
    </w:pPr>
  </w:style>
  <w:style w:type="paragraph" w:styleId="TOC1">
    <w:name w:val="toc 1"/>
    <w:basedOn w:val="Normal"/>
    <w:next w:val="Normal"/>
    <w:autoRedefine/>
    <w:semiHidden/>
    <w:pPr>
      <w:tabs>
        <w:tab w:val="clear" w:pos="567"/>
        <w:tab w:val="clear" w:pos="1134"/>
        <w:tab w:val="clear" w:pos="1701"/>
        <w:tab w:val="clear" w:pos="2268"/>
        <w:tab w:val="clear" w:pos="6237"/>
      </w:tabs>
    </w:pPr>
  </w:style>
  <w:style w:type="paragraph" w:customStyle="1" w:styleId="a">
    <w:name w:val="Заголовок по центру"/>
    <w:basedOn w:val="Normal"/>
    <w:pPr>
      <w:tabs>
        <w:tab w:val="clear" w:pos="567"/>
        <w:tab w:val="clear" w:pos="1134"/>
        <w:tab w:val="clear" w:pos="1701"/>
        <w:tab w:val="clear" w:pos="2268"/>
        <w:tab w:val="clear" w:pos="6237"/>
        <w:tab w:val="left" w:pos="680"/>
      </w:tabs>
      <w:spacing w:line="240" w:lineRule="auto"/>
      <w:jc w:val="center"/>
    </w:pPr>
    <w:rPr>
      <w:b/>
      <w:bCs/>
      <w:sz w:val="23"/>
    </w:rPr>
  </w:style>
  <w:style w:type="paragraph" w:styleId="TOC2">
    <w:name w:val="toc 2"/>
    <w:basedOn w:val="Normal"/>
    <w:next w:val="Normal"/>
    <w:autoRedefine/>
    <w:semiHidden/>
    <w:pPr>
      <w:tabs>
        <w:tab w:val="clear" w:pos="567"/>
        <w:tab w:val="clear" w:pos="1134"/>
        <w:tab w:val="clear" w:pos="1701"/>
        <w:tab w:val="clear" w:pos="2268"/>
        <w:tab w:val="clear" w:pos="6237"/>
      </w:tabs>
      <w:ind w:left="240"/>
    </w:pPr>
  </w:style>
  <w:style w:type="paragraph" w:styleId="TOC3">
    <w:name w:val="toc 3"/>
    <w:basedOn w:val="Normal"/>
    <w:next w:val="Normal"/>
    <w:autoRedefine/>
    <w:semiHidden/>
    <w:pPr>
      <w:tabs>
        <w:tab w:val="clear" w:pos="567"/>
        <w:tab w:val="clear" w:pos="1134"/>
        <w:tab w:val="clear" w:pos="1701"/>
        <w:tab w:val="clear" w:pos="2268"/>
        <w:tab w:val="clear" w:pos="6237"/>
      </w:tabs>
      <w:ind w:left="480"/>
    </w:pPr>
  </w:style>
  <w:style w:type="paragraph" w:styleId="TOC4">
    <w:name w:val="toc 4"/>
    <w:basedOn w:val="Normal"/>
    <w:next w:val="Normal"/>
    <w:autoRedefine/>
    <w:semiHidden/>
    <w:pPr>
      <w:tabs>
        <w:tab w:val="clear" w:pos="567"/>
        <w:tab w:val="clear" w:pos="1134"/>
        <w:tab w:val="clear" w:pos="1701"/>
        <w:tab w:val="clear" w:pos="2268"/>
        <w:tab w:val="clear" w:pos="6237"/>
      </w:tabs>
      <w:ind w:left="720"/>
    </w:pPr>
  </w:style>
  <w:style w:type="paragraph" w:styleId="TOC5">
    <w:name w:val="toc 5"/>
    <w:basedOn w:val="Normal"/>
    <w:next w:val="Normal"/>
    <w:autoRedefine/>
    <w:semiHidden/>
    <w:pPr>
      <w:tabs>
        <w:tab w:val="clear" w:pos="567"/>
        <w:tab w:val="clear" w:pos="1134"/>
        <w:tab w:val="clear" w:pos="1701"/>
        <w:tab w:val="clear" w:pos="2268"/>
        <w:tab w:val="clear" w:pos="6237"/>
      </w:tabs>
      <w:ind w:left="960"/>
    </w:pPr>
  </w:style>
  <w:style w:type="paragraph" w:styleId="TOC6">
    <w:name w:val="toc 6"/>
    <w:basedOn w:val="Normal"/>
    <w:next w:val="Normal"/>
    <w:autoRedefine/>
    <w:semiHidden/>
    <w:pPr>
      <w:tabs>
        <w:tab w:val="clear" w:pos="567"/>
        <w:tab w:val="clear" w:pos="1134"/>
        <w:tab w:val="clear" w:pos="1701"/>
        <w:tab w:val="clear" w:pos="2268"/>
        <w:tab w:val="clear" w:pos="6237"/>
      </w:tabs>
      <w:ind w:left="1200"/>
    </w:pPr>
  </w:style>
  <w:style w:type="paragraph" w:styleId="TOC7">
    <w:name w:val="toc 7"/>
    <w:basedOn w:val="Normal"/>
    <w:next w:val="Normal"/>
    <w:autoRedefine/>
    <w:semiHidden/>
    <w:pPr>
      <w:tabs>
        <w:tab w:val="clear" w:pos="567"/>
        <w:tab w:val="clear" w:pos="1134"/>
        <w:tab w:val="clear" w:pos="1701"/>
        <w:tab w:val="clear" w:pos="2268"/>
        <w:tab w:val="clear" w:pos="6237"/>
      </w:tabs>
      <w:ind w:left="1440"/>
    </w:pPr>
  </w:style>
  <w:style w:type="paragraph" w:styleId="TOC8">
    <w:name w:val="toc 8"/>
    <w:basedOn w:val="Normal"/>
    <w:next w:val="Normal"/>
    <w:autoRedefine/>
    <w:semiHidden/>
    <w:pPr>
      <w:tabs>
        <w:tab w:val="clear" w:pos="567"/>
        <w:tab w:val="clear" w:pos="1134"/>
        <w:tab w:val="clear" w:pos="1701"/>
        <w:tab w:val="clear" w:pos="2268"/>
        <w:tab w:val="clear" w:pos="6237"/>
      </w:tabs>
      <w:ind w:left="1680"/>
    </w:pPr>
  </w:style>
  <w:style w:type="paragraph" w:styleId="TOC9">
    <w:name w:val="toc 9"/>
    <w:basedOn w:val="Normal"/>
    <w:next w:val="Normal"/>
    <w:autoRedefine/>
    <w:semiHidden/>
    <w:pPr>
      <w:tabs>
        <w:tab w:val="clear" w:pos="567"/>
        <w:tab w:val="clear" w:pos="1134"/>
        <w:tab w:val="clear" w:pos="1701"/>
        <w:tab w:val="clear" w:pos="2268"/>
        <w:tab w:val="clear" w:pos="6237"/>
      </w:tabs>
      <w:ind w:left="1920"/>
    </w:pPr>
  </w:style>
  <w:style w:type="paragraph" w:customStyle="1" w:styleId="a0">
    <w:name w:val="Заголовок в край"/>
    <w:basedOn w:val="Normal"/>
    <w:pPr>
      <w:tabs>
        <w:tab w:val="clear" w:pos="567"/>
        <w:tab w:val="clear" w:pos="1134"/>
        <w:tab w:val="clear" w:pos="1701"/>
        <w:tab w:val="clear" w:pos="2268"/>
        <w:tab w:val="clear" w:pos="6237"/>
        <w:tab w:val="left" w:pos="680"/>
      </w:tabs>
      <w:spacing w:line="240" w:lineRule="auto"/>
    </w:pPr>
    <w:rPr>
      <w:b/>
      <w:bCs/>
      <w:sz w:val="23"/>
    </w:rPr>
  </w:style>
  <w:style w:type="paragraph" w:customStyle="1" w:styleId="a1">
    <w:name w:val="Содержание"/>
    <w:basedOn w:val="Normal"/>
    <w:pPr>
      <w:tabs>
        <w:tab w:val="clear" w:pos="567"/>
        <w:tab w:val="clear" w:pos="1134"/>
        <w:tab w:val="clear" w:pos="1701"/>
        <w:tab w:val="clear" w:pos="2268"/>
        <w:tab w:val="clear" w:pos="6237"/>
        <w:tab w:val="left" w:pos="851"/>
        <w:tab w:val="left" w:leader="dot" w:pos="7655"/>
        <w:tab w:val="center" w:pos="8392"/>
        <w:tab w:val="right" w:pos="9639"/>
      </w:tabs>
      <w:spacing w:line="240" w:lineRule="auto"/>
      <w:ind w:right="1985"/>
    </w:pPr>
    <w:rPr>
      <w:rFonts w:eastAsia="MS Mincho"/>
      <w:sz w:val="23"/>
    </w:rPr>
  </w:style>
  <w:style w:type="paragraph" w:styleId="PlainText">
    <w:name w:val="Plain Text"/>
    <w:basedOn w:val="Normal"/>
    <w:semiHidden/>
    <w:pPr>
      <w:tabs>
        <w:tab w:val="clear" w:pos="567"/>
        <w:tab w:val="clear" w:pos="1134"/>
        <w:tab w:val="clear" w:pos="1701"/>
        <w:tab w:val="clear" w:pos="2268"/>
        <w:tab w:val="clear" w:pos="6237"/>
      </w:tabs>
      <w:spacing w:line="240" w:lineRule="auto"/>
    </w:pPr>
    <w:rPr>
      <w:rFonts w:ascii="Courier New" w:hAnsi="Courier New" w:cs="Courier New"/>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1"/>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43618</Words>
  <Characters>248623</Characters>
  <Application>Microsoft Office Word</Application>
  <DocSecurity>4</DocSecurity>
  <Lines>2071</Lines>
  <Paragraphs>497</Paragraphs>
  <ScaleCrop>false</ScaleCrop>
  <HeadingPairs>
    <vt:vector size="2" baseType="variant">
      <vt:variant>
        <vt:lpstr>Titre</vt:lpstr>
      </vt:variant>
      <vt:variant>
        <vt:i4>1</vt:i4>
      </vt:variant>
    </vt:vector>
  </HeadingPairs>
  <TitlesOfParts>
    <vt:vector size="1" baseType="lpstr">
      <vt:lpstr>Благодатских</vt:lpstr>
    </vt:vector>
  </TitlesOfParts>
  <Company>ONU</Company>
  <LinksUpToDate>false</LinksUpToDate>
  <CharactersWithSpaces>305326</CharactersWithSpaces>
  <SharedDoc>false</SharedDoc>
  <HLinks>
    <vt:vector size="6" baseType="variant">
      <vt:variant>
        <vt:i4>4259878</vt:i4>
      </vt:variant>
      <vt:variant>
        <vt:i4>609376</vt:i4>
      </vt:variant>
      <vt:variant>
        <vt:i4>1025</vt:i4>
      </vt:variant>
      <vt:variant>
        <vt:i4>1</vt:i4>
      </vt:variant>
      <vt:variant>
        <vt:lpwstr>..\..\LOGOTIP\OON.TIF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Благодатских</dc:title>
  <dc:subject/>
  <dc:creator>Kostomarova</dc:creator>
  <cp:keywords/>
  <dc:description/>
  <cp:lastModifiedBy>Maillot</cp:lastModifiedBy>
  <cp:revision>2</cp:revision>
  <cp:lastPrinted>2003-10-14T14:43:00Z</cp:lastPrinted>
  <dcterms:created xsi:type="dcterms:W3CDTF">2003-10-24T14:43:00Z</dcterms:created>
  <dcterms:modified xsi:type="dcterms:W3CDTF">2003-10-24T14:43:00Z</dcterms:modified>
</cp:coreProperties>
</file>