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312" w:lineRule="auto"/>
        <w:rPr>
          <w:rFonts w:ascii="Time New Roman" w:eastAsia="SimHei" w:hAnsi="Time New Roman" w:hint="eastAsia"/>
        </w:rPr>
      </w:pPr>
      <w:r>
        <w:rPr>
          <w:rFonts w:ascii="Time New Roman" w:eastAsia="SimHei" w:hAnsi="Time New Roman" w:hint="eastAsia"/>
        </w:rPr>
        <w:t>经济、社会、文化权利委员会</w:t>
      </w:r>
    </w:p>
    <w:p w:rsidR="00000000" w:rsidRDefault="00000000">
      <w:pPr>
        <w:spacing w:line="312" w:lineRule="auto"/>
        <w:rPr>
          <w:rFonts w:hint="eastAsia"/>
        </w:rPr>
      </w:pPr>
      <w:r>
        <w:rPr>
          <w:rFonts w:hint="eastAsia"/>
        </w:rPr>
        <w:t>会前工作组</w:t>
      </w:r>
    </w:p>
    <w:p w:rsidR="00000000" w:rsidRDefault="00000000">
      <w:pPr>
        <w:spacing w:after="320" w:line="312" w:lineRule="auto"/>
        <w:rPr>
          <w:rFonts w:hint="eastAsia"/>
        </w:rPr>
      </w:pPr>
      <w:r>
        <w:rPr>
          <w:rFonts w:hint="eastAsia"/>
        </w:rPr>
        <w:t>2006</w:t>
      </w:r>
      <w:r>
        <w:rPr>
          <w:rFonts w:hint="eastAsia"/>
        </w:rPr>
        <w:t>年</w:t>
      </w:r>
      <w:r>
        <w:rPr>
          <w:rFonts w:hint="eastAsia"/>
        </w:rPr>
        <w:t>5</w:t>
      </w:r>
      <w:r>
        <w:rPr>
          <w:rFonts w:hint="eastAsia"/>
        </w:rPr>
        <w:t>月</w:t>
      </w:r>
      <w:r>
        <w:rPr>
          <w:rFonts w:hint="eastAsia"/>
        </w:rPr>
        <w:t>22</w:t>
      </w:r>
      <w:r>
        <w:rPr>
          <w:rFonts w:hint="eastAsia"/>
        </w:rPr>
        <w:t>日至</w:t>
      </w:r>
      <w:r>
        <w:rPr>
          <w:rFonts w:hint="eastAsia"/>
        </w:rPr>
        <w:t>26</w:t>
      </w:r>
      <w:r>
        <w:rPr>
          <w:rFonts w:hint="eastAsia"/>
        </w:rPr>
        <w:t>日，日内瓦</w:t>
      </w:r>
    </w:p>
    <w:p w:rsidR="00000000" w:rsidRDefault="00000000">
      <w:pPr>
        <w:pStyle w:val="Heading2"/>
        <w:spacing w:after="240" w:line="312" w:lineRule="auto"/>
        <w:rPr>
          <w:rFonts w:hint="eastAsia"/>
        </w:rPr>
      </w:pPr>
      <w:r>
        <w:rPr>
          <w:rFonts w:hint="eastAsia"/>
        </w:rPr>
        <w:t>《经济、社会、文化权利国际公约》执行情况</w:t>
      </w:r>
    </w:p>
    <w:p w:rsidR="00000000" w:rsidRDefault="00000000">
      <w:pPr>
        <w:pStyle w:val="Heading3"/>
        <w:spacing w:line="312" w:lineRule="auto"/>
        <w:rPr>
          <w:rFonts w:hint="eastAsia"/>
        </w:rPr>
      </w:pPr>
      <w:r>
        <w:rPr>
          <w:rFonts w:hint="eastAsia"/>
        </w:rPr>
        <w:t>审议匈牙利就《经济、社会、文化权利国际公约》</w:t>
      </w:r>
      <w:r>
        <w:br/>
      </w:r>
      <w:r>
        <w:rPr>
          <w:rFonts w:hint="eastAsia"/>
        </w:rPr>
        <w:t>第一至十五条所述权利执行情况提交的</w:t>
      </w:r>
      <w:r>
        <w:br/>
      </w:r>
      <w:r>
        <w:rPr>
          <w:rFonts w:hint="eastAsia"/>
        </w:rPr>
        <w:t>第三次定期报告</w:t>
      </w:r>
      <w:r>
        <w:rPr>
          <w:rFonts w:hint="eastAsia"/>
        </w:rPr>
        <w:t>(E/1994/104/</w:t>
      </w:r>
      <w:r>
        <w:t>Add.32)</w:t>
      </w:r>
      <w:r>
        <w:rPr>
          <w:rFonts w:hint="eastAsia"/>
        </w:rPr>
        <w:t>必须审理的问题清单</w:t>
      </w:r>
    </w:p>
    <w:p w:rsidR="00000000" w:rsidRDefault="00000000">
      <w:pPr>
        <w:pStyle w:val="Heading2"/>
        <w:spacing w:after="240" w:line="312" w:lineRule="auto"/>
        <w:jc w:val="left"/>
        <w:rPr>
          <w:rFonts w:ascii="Time New Roman" w:eastAsia="SimHei" w:hAnsi="Time New Roman" w:hint="eastAsia"/>
          <w:sz w:val="24"/>
        </w:rPr>
      </w:pPr>
      <w:r>
        <w:rPr>
          <w:rFonts w:ascii="Time New Roman" w:eastAsia="SimHei" w:hAnsi="Time New Roman" w:hint="eastAsia"/>
          <w:sz w:val="24"/>
        </w:rPr>
        <w:t>一、执行《公约》的一般法律框架</w:t>
      </w:r>
    </w:p>
    <w:p w:rsidR="00000000" w:rsidRDefault="00000000">
      <w:pPr>
        <w:spacing w:line="312" w:lineRule="auto"/>
        <w:rPr>
          <w:rFonts w:hint="eastAsia"/>
        </w:rPr>
      </w:pPr>
      <w:r>
        <w:rPr>
          <w:rFonts w:hint="eastAsia"/>
        </w:rPr>
        <w:tab/>
        <w:t xml:space="preserve">1.  </w:t>
      </w:r>
      <w:r>
        <w:rPr>
          <w:rFonts w:hint="eastAsia"/>
        </w:rPr>
        <w:t>请进一步澄清，说明为何匈牙利法庭未能直接适用《公约》的规定</w:t>
      </w:r>
      <w:r>
        <w:rPr>
          <w:rFonts w:hint="eastAsia"/>
        </w:rPr>
        <w:t>(</w:t>
      </w:r>
      <w:r>
        <w:rPr>
          <w:rFonts w:hint="eastAsia"/>
        </w:rPr>
        <w:t>请参阅报告第</w:t>
      </w:r>
      <w:r>
        <w:rPr>
          <w:rFonts w:hint="eastAsia"/>
        </w:rPr>
        <w:t>6</w:t>
      </w:r>
      <w:r>
        <w:rPr>
          <w:rFonts w:hint="eastAsia"/>
        </w:rPr>
        <w:t>段至</w:t>
      </w:r>
      <w:r>
        <w:rPr>
          <w:rFonts w:hint="eastAsia"/>
        </w:rPr>
        <w:t>8</w:t>
      </w:r>
      <w:r>
        <w:rPr>
          <w:rFonts w:hint="eastAsia"/>
        </w:rPr>
        <w:t>段</w:t>
      </w:r>
      <w:r>
        <w:rPr>
          <w:rFonts w:hint="eastAsia"/>
        </w:rPr>
        <w:t>)</w:t>
      </w:r>
      <w:r>
        <w:rPr>
          <w:rFonts w:hint="eastAsia"/>
        </w:rPr>
        <w:t>，尽管宪法只将少数几项经济、社会和文化权利作为可实施的权利加以保护</w:t>
      </w:r>
      <w:r>
        <w:rPr>
          <w:rFonts w:hint="eastAsia"/>
        </w:rPr>
        <w:t>(</w:t>
      </w:r>
      <w:r>
        <w:rPr>
          <w:rFonts w:hint="eastAsia"/>
        </w:rPr>
        <w:t>见报告第</w:t>
      </w:r>
      <w:r>
        <w:rPr>
          <w:rFonts w:hint="eastAsia"/>
        </w:rPr>
        <w:t>18</w:t>
      </w:r>
      <w:r>
        <w:rPr>
          <w:rFonts w:hint="eastAsia"/>
        </w:rPr>
        <w:t>段</w:t>
      </w:r>
      <w:r>
        <w:rPr>
          <w:rFonts w:hint="eastAsia"/>
        </w:rPr>
        <w:t>)</w:t>
      </w:r>
      <w:r>
        <w:rPr>
          <w:rFonts w:hint="eastAsia"/>
        </w:rPr>
        <w:t>。</w:t>
      </w:r>
    </w:p>
    <w:p w:rsidR="00000000" w:rsidRDefault="00000000">
      <w:pPr>
        <w:spacing w:after="240" w:line="312" w:lineRule="auto"/>
        <w:rPr>
          <w:rFonts w:hint="eastAsia"/>
        </w:rPr>
      </w:pPr>
      <w:r>
        <w:rPr>
          <w:rFonts w:hint="eastAsia"/>
        </w:rPr>
        <w:tab/>
        <w:t xml:space="preserve">2.  </w:t>
      </w:r>
      <w:r>
        <w:rPr>
          <w:rFonts w:hint="eastAsia"/>
        </w:rPr>
        <w:t>请提供资料说明国会采取了哪些措施，以落实为与经济、社会和文化权利相关的人权、数据保护和少数民族权利设立单独的监察员的建议。请说明缔约国是否根据</w:t>
      </w:r>
      <w:r>
        <w:rPr>
          <w:rFonts w:hint="eastAsia"/>
        </w:rPr>
        <w:t>1993</w:t>
      </w:r>
      <w:r>
        <w:rPr>
          <w:rFonts w:hint="eastAsia"/>
        </w:rPr>
        <w:t>年《维也纳宣言和行动纲领》制定了国家人权行动计划。</w:t>
      </w:r>
    </w:p>
    <w:p w:rsidR="00000000" w:rsidRDefault="00000000">
      <w:pPr>
        <w:pStyle w:val="Heading2"/>
        <w:spacing w:after="160" w:line="312" w:lineRule="auto"/>
        <w:jc w:val="left"/>
        <w:rPr>
          <w:rFonts w:ascii="Time New Roman" w:eastAsia="SimHei" w:hAnsi="Time New Roman" w:hint="eastAsia"/>
          <w:sz w:val="24"/>
        </w:rPr>
      </w:pPr>
      <w:r>
        <w:rPr>
          <w:rFonts w:ascii="Time New Roman" w:eastAsia="SimHei" w:hAnsi="Time New Roman" w:hint="eastAsia"/>
          <w:sz w:val="24"/>
        </w:rPr>
        <w:t>二、有关《公约》一般性条款的问题</w:t>
      </w:r>
      <w:r>
        <w:rPr>
          <w:rFonts w:ascii="Time New Roman" w:eastAsia="SimHei" w:hAnsi="Time New Roman" w:hint="eastAsia"/>
          <w:sz w:val="24"/>
        </w:rPr>
        <w:t>(</w:t>
      </w:r>
      <w:r>
        <w:rPr>
          <w:rFonts w:ascii="Time New Roman" w:eastAsia="SimHei" w:hAnsi="Time New Roman" w:hint="eastAsia"/>
          <w:sz w:val="24"/>
        </w:rPr>
        <w:t>第一至五条</w:t>
      </w:r>
      <w:r>
        <w:rPr>
          <w:rFonts w:ascii="Time New Roman" w:eastAsia="SimHei" w:hAnsi="Time New Roman" w:hint="eastAsia"/>
          <w:sz w:val="24"/>
        </w:rPr>
        <w:t>)</w:t>
      </w:r>
    </w:p>
    <w:p w:rsidR="00000000" w:rsidRDefault="00000000">
      <w:pPr>
        <w:pStyle w:val="Heading4"/>
        <w:spacing w:line="312" w:lineRule="auto"/>
        <w:rPr>
          <w:rFonts w:hint="eastAsia"/>
        </w:rPr>
      </w:pPr>
      <w:r>
        <w:rPr>
          <w:rFonts w:hint="eastAsia"/>
        </w:rPr>
        <w:t>第二条第二款－不歧视</w:t>
      </w:r>
    </w:p>
    <w:p w:rsidR="00000000" w:rsidRDefault="00000000">
      <w:pPr>
        <w:spacing w:line="312" w:lineRule="auto"/>
        <w:rPr>
          <w:rFonts w:hint="eastAsia"/>
        </w:rPr>
      </w:pPr>
      <w:r>
        <w:rPr>
          <w:rFonts w:hint="eastAsia"/>
        </w:rPr>
        <w:tab/>
        <w:t xml:space="preserve">3.  </w:t>
      </w:r>
      <w:r>
        <w:rPr>
          <w:rFonts w:hint="eastAsia"/>
        </w:rPr>
        <w:t>请提供按少数民族群体、性别和地域的分拆资料，说明自</w:t>
      </w:r>
      <w:r>
        <w:rPr>
          <w:rFonts w:hint="eastAsia"/>
        </w:rPr>
        <w:t>2003</w:t>
      </w:r>
      <w:r>
        <w:rPr>
          <w:rFonts w:hint="eastAsia"/>
        </w:rPr>
        <w:t>年通过平等待遇和促进机会平等法令</w:t>
      </w:r>
      <w:r>
        <w:rPr>
          <w:rFonts w:hint="eastAsia"/>
        </w:rPr>
        <w:t>(</w:t>
      </w:r>
      <w:r>
        <w:rPr>
          <w:rFonts w:hint="eastAsia"/>
        </w:rPr>
        <w:t>见报告第</w:t>
      </w:r>
      <w:r>
        <w:rPr>
          <w:rFonts w:hint="eastAsia"/>
        </w:rPr>
        <w:t>55</w:t>
      </w:r>
      <w:r>
        <w:rPr>
          <w:rFonts w:hint="eastAsia"/>
        </w:rPr>
        <w:t>段</w:t>
      </w:r>
      <w:r>
        <w:rPr>
          <w:rFonts w:hint="eastAsia"/>
        </w:rPr>
        <w:t>)</w:t>
      </w:r>
      <w:r>
        <w:rPr>
          <w:rFonts w:hint="eastAsia"/>
        </w:rPr>
        <w:t>之后缔约国采取的新的规章制度和措施，包括积极的临时性措施。</w:t>
      </w:r>
    </w:p>
    <w:p w:rsidR="00000000" w:rsidRDefault="00000000">
      <w:pPr>
        <w:spacing w:line="312" w:lineRule="auto"/>
        <w:rPr>
          <w:rFonts w:hint="eastAsia"/>
        </w:rPr>
      </w:pPr>
      <w:r>
        <w:rPr>
          <w:rFonts w:hint="eastAsia"/>
        </w:rPr>
        <w:tab/>
        <w:t xml:space="preserve">4.  </w:t>
      </w:r>
      <w:r>
        <w:rPr>
          <w:rFonts w:hint="eastAsia"/>
        </w:rPr>
        <w:t>有报告称根据平等待遇和促进机会平等法令设立、在</w:t>
      </w:r>
      <w:r>
        <w:rPr>
          <w:rFonts w:hint="eastAsia"/>
        </w:rPr>
        <w:t>2005</w:t>
      </w:r>
      <w:r>
        <w:rPr>
          <w:rFonts w:hint="eastAsia"/>
        </w:rPr>
        <w:t>年开始运作的平等待遇管理署严重缺乏资金，请对此作出评论。请说明平等待遇管理署的独立程度，并提供关于其授权和组成的资料。</w:t>
      </w:r>
    </w:p>
    <w:p w:rsidR="00000000" w:rsidRDefault="00000000">
      <w:pPr>
        <w:spacing w:line="312" w:lineRule="auto"/>
        <w:rPr>
          <w:rFonts w:hint="eastAsia"/>
        </w:rPr>
      </w:pPr>
      <w:r>
        <w:rPr>
          <w:rFonts w:hint="eastAsia"/>
        </w:rPr>
        <w:tab/>
        <w:t xml:space="preserve">5.  </w:t>
      </w:r>
      <w:r>
        <w:rPr>
          <w:rFonts w:hint="eastAsia"/>
        </w:rPr>
        <w:t>请就国民机会均等方案</w:t>
      </w:r>
      <w:r>
        <w:rPr>
          <w:rFonts w:hint="eastAsia"/>
        </w:rPr>
        <w:t>(</w:t>
      </w:r>
      <w:r>
        <w:rPr>
          <w:rFonts w:hint="eastAsia"/>
        </w:rPr>
        <w:t>见报告第</w:t>
      </w:r>
      <w:r>
        <w:rPr>
          <w:rFonts w:hint="eastAsia"/>
        </w:rPr>
        <w:t>14</w:t>
      </w:r>
      <w:r>
        <w:rPr>
          <w:rFonts w:hint="eastAsia"/>
        </w:rPr>
        <w:t>段</w:t>
      </w:r>
      <w:r>
        <w:rPr>
          <w:rFonts w:hint="eastAsia"/>
        </w:rPr>
        <w:t>)</w:t>
      </w:r>
      <w:r>
        <w:rPr>
          <w:rFonts w:hint="eastAsia"/>
        </w:rPr>
        <w:t>所取得的成果，尤其是为罗姆人所取得的成果提供最新资料。</w:t>
      </w:r>
    </w:p>
    <w:p w:rsidR="00000000" w:rsidRDefault="00000000">
      <w:pPr>
        <w:spacing w:after="240" w:line="312" w:lineRule="auto"/>
        <w:rPr>
          <w:rFonts w:hint="eastAsia"/>
        </w:rPr>
      </w:pPr>
      <w:r>
        <w:rPr>
          <w:rFonts w:hint="eastAsia"/>
        </w:rPr>
        <w:tab/>
        <w:t xml:space="preserve">6.  </w:t>
      </w:r>
      <w:r>
        <w:rPr>
          <w:rFonts w:hint="eastAsia"/>
        </w:rPr>
        <w:t>请说明缔约国是否有一项全面战略，使寻求庇护者和难民融入，同时提供资料说明为此目的执行的方案的影响。</w:t>
      </w:r>
    </w:p>
    <w:p w:rsidR="00000000" w:rsidRDefault="00000000">
      <w:pPr>
        <w:pStyle w:val="Heading4"/>
        <w:spacing w:line="312" w:lineRule="auto"/>
        <w:rPr>
          <w:rFonts w:hint="eastAsia"/>
        </w:rPr>
      </w:pPr>
      <w:r>
        <w:rPr>
          <w:rFonts w:hint="eastAsia"/>
        </w:rPr>
        <w:t>第三条－男女平等权利</w:t>
      </w:r>
    </w:p>
    <w:p w:rsidR="00000000" w:rsidRDefault="00000000">
      <w:pPr>
        <w:spacing w:after="320" w:line="312" w:lineRule="auto"/>
        <w:rPr>
          <w:rFonts w:hint="eastAsia"/>
        </w:rPr>
      </w:pPr>
      <w:r>
        <w:rPr>
          <w:rFonts w:hint="eastAsia"/>
        </w:rPr>
        <w:tab/>
        <w:t xml:space="preserve">7.  </w:t>
      </w:r>
      <w:r>
        <w:rPr>
          <w:rFonts w:hint="eastAsia"/>
        </w:rPr>
        <w:t>请提供资料说明采取了哪些措施，鼓励更多妇女跻身于其代表性严重不足的国会，各部委和公共部门其他高级职位。</w:t>
      </w:r>
    </w:p>
    <w:p w:rsidR="00000000" w:rsidRDefault="00000000">
      <w:pPr>
        <w:pStyle w:val="Heading2"/>
        <w:spacing w:line="312" w:lineRule="auto"/>
        <w:jc w:val="left"/>
        <w:rPr>
          <w:rFonts w:ascii="Time New Roman" w:eastAsia="SimHei" w:hAnsi="Time New Roman" w:hint="eastAsia"/>
          <w:sz w:val="24"/>
        </w:rPr>
      </w:pPr>
      <w:r>
        <w:rPr>
          <w:rFonts w:ascii="Time New Roman" w:eastAsia="SimHei" w:hAnsi="Time New Roman" w:hint="eastAsia"/>
          <w:sz w:val="24"/>
        </w:rPr>
        <w:t>三、有关《公约》具体条款的问题</w:t>
      </w:r>
      <w:r>
        <w:rPr>
          <w:rFonts w:ascii="Time New Roman" w:eastAsia="SimHei" w:hAnsi="Time New Roman" w:hint="eastAsia"/>
          <w:sz w:val="24"/>
        </w:rPr>
        <w:t>(</w:t>
      </w:r>
      <w:r>
        <w:rPr>
          <w:rFonts w:ascii="Time New Roman" w:eastAsia="SimHei" w:hAnsi="Time New Roman" w:hint="eastAsia"/>
          <w:sz w:val="24"/>
        </w:rPr>
        <w:t>第六至十五条</w:t>
      </w:r>
      <w:r>
        <w:rPr>
          <w:rFonts w:ascii="Time New Roman" w:eastAsia="SimHei" w:hAnsi="Time New Roman" w:hint="eastAsia"/>
          <w:sz w:val="24"/>
        </w:rPr>
        <w:t>)</w:t>
      </w:r>
    </w:p>
    <w:p w:rsidR="00000000" w:rsidRDefault="00000000">
      <w:pPr>
        <w:pStyle w:val="Heading4"/>
        <w:spacing w:line="312" w:lineRule="auto"/>
        <w:rPr>
          <w:rFonts w:hint="eastAsia"/>
        </w:rPr>
      </w:pPr>
      <w:r>
        <w:rPr>
          <w:rFonts w:hint="eastAsia"/>
        </w:rPr>
        <w:t>第六条－工作权</w:t>
      </w:r>
    </w:p>
    <w:p w:rsidR="00000000" w:rsidRDefault="00000000">
      <w:pPr>
        <w:spacing w:line="312" w:lineRule="auto"/>
        <w:rPr>
          <w:rFonts w:hint="eastAsia"/>
        </w:rPr>
      </w:pPr>
      <w:r>
        <w:rPr>
          <w:rFonts w:hint="eastAsia"/>
        </w:rPr>
        <w:tab/>
        <w:t xml:space="preserve">8.  </w:t>
      </w:r>
      <w:r>
        <w:rPr>
          <w:rFonts w:hint="eastAsia"/>
        </w:rPr>
        <w:t>请说明缔约国的劳动力就业率为何只有</w:t>
      </w:r>
      <w:r>
        <w:rPr>
          <w:rFonts w:hint="eastAsia"/>
        </w:rPr>
        <w:t>57%</w:t>
      </w:r>
      <w:r>
        <w:rPr>
          <w:rFonts w:hint="eastAsia"/>
        </w:rPr>
        <w:t>，并提供资料说明为改善这一状况所采取的措施。尤其请提供资料说明采取了哪些措施，使非正规部门的工人得到正规就业。</w:t>
      </w:r>
    </w:p>
    <w:p w:rsidR="00000000" w:rsidRDefault="00000000">
      <w:pPr>
        <w:spacing w:line="312" w:lineRule="auto"/>
        <w:rPr>
          <w:rFonts w:hint="eastAsia"/>
        </w:rPr>
      </w:pPr>
      <w:r>
        <w:rPr>
          <w:rFonts w:hint="eastAsia"/>
        </w:rPr>
        <w:tab/>
        <w:t xml:space="preserve">9.  </w:t>
      </w:r>
      <w:r>
        <w:rPr>
          <w:rFonts w:hint="eastAsia"/>
        </w:rPr>
        <w:t>最近的就业数字表明，</w:t>
      </w:r>
      <w:r>
        <w:rPr>
          <w:rFonts w:hint="eastAsia"/>
        </w:rPr>
        <w:t>74%</w:t>
      </w:r>
      <w:r>
        <w:rPr>
          <w:rFonts w:hint="eastAsia"/>
        </w:rPr>
        <w:t>的罗姆男子以及</w:t>
      </w:r>
      <w:r>
        <w:rPr>
          <w:rFonts w:hint="eastAsia"/>
        </w:rPr>
        <w:t>83%</w:t>
      </w:r>
      <w:r>
        <w:rPr>
          <w:rFonts w:hint="eastAsia"/>
        </w:rPr>
        <w:t>的罗姆妇女失业，罗姆人的失业率是缔约国其他人口的</w:t>
      </w:r>
      <w:r>
        <w:rPr>
          <w:rFonts w:hint="eastAsia"/>
        </w:rPr>
        <w:t>10</w:t>
      </w:r>
      <w:r>
        <w:rPr>
          <w:rFonts w:hint="eastAsia"/>
        </w:rPr>
        <w:t>倍以上。请提供资料说明采取了哪些措施，改善罗姆人的就业机会，包括职业培训。</w:t>
      </w:r>
    </w:p>
    <w:p w:rsidR="00000000" w:rsidRDefault="00000000">
      <w:pPr>
        <w:spacing w:after="240" w:line="312" w:lineRule="auto"/>
        <w:rPr>
          <w:rFonts w:hint="eastAsia"/>
        </w:rPr>
      </w:pPr>
      <w:r>
        <w:rPr>
          <w:rFonts w:hint="eastAsia"/>
        </w:rPr>
        <w:tab/>
        <w:t xml:space="preserve">10.  </w:t>
      </w:r>
      <w:r>
        <w:rPr>
          <w:rFonts w:hint="eastAsia"/>
        </w:rPr>
        <w:t>请提供资料说明采取了哪些具体措施，增加残疾人的就业机会</w:t>
      </w:r>
      <w:r>
        <w:rPr>
          <w:rFonts w:hint="eastAsia"/>
        </w:rPr>
        <w:t>(</w:t>
      </w:r>
      <w:r>
        <w:rPr>
          <w:rFonts w:hint="eastAsia"/>
        </w:rPr>
        <w:t>残疾人失业率约达</w:t>
      </w:r>
      <w:r>
        <w:rPr>
          <w:rFonts w:hint="eastAsia"/>
        </w:rPr>
        <w:t>90%)</w:t>
      </w:r>
      <w:r>
        <w:rPr>
          <w:rFonts w:hint="eastAsia"/>
        </w:rPr>
        <w:t>，同时提供分拆统计数据，以便对所采取的措施的影响进行评估。</w:t>
      </w:r>
    </w:p>
    <w:p w:rsidR="00000000" w:rsidRDefault="00000000">
      <w:pPr>
        <w:pStyle w:val="Heading4"/>
        <w:spacing w:line="312" w:lineRule="auto"/>
        <w:rPr>
          <w:rFonts w:hint="eastAsia"/>
        </w:rPr>
      </w:pPr>
      <w:r>
        <w:rPr>
          <w:rFonts w:hint="eastAsia"/>
        </w:rPr>
        <w:t>第七条－公正和良好的工作条件权</w:t>
      </w:r>
    </w:p>
    <w:p w:rsidR="00000000" w:rsidRDefault="00000000">
      <w:pPr>
        <w:spacing w:line="312" w:lineRule="auto"/>
        <w:rPr>
          <w:rFonts w:hint="eastAsia"/>
        </w:rPr>
      </w:pPr>
      <w:r>
        <w:rPr>
          <w:rFonts w:hint="eastAsia"/>
        </w:rPr>
        <w:tab/>
        <w:t xml:space="preserve">11.  </w:t>
      </w:r>
      <w:r>
        <w:rPr>
          <w:rFonts w:hint="eastAsia"/>
        </w:rPr>
        <w:t>请提供比较数据说明最低工资与平均工资的比率，并说明最低工资能否保证所有工人及其家庭享有温饱的生活水平。请说明工资低于法定最低工资的工人人数</w:t>
      </w:r>
      <w:r>
        <w:rPr>
          <w:rFonts w:hint="eastAsia"/>
        </w:rPr>
        <w:t>(</w:t>
      </w:r>
      <w:r>
        <w:rPr>
          <w:rFonts w:hint="eastAsia"/>
        </w:rPr>
        <w:t>见报告第</w:t>
      </w:r>
      <w:r>
        <w:rPr>
          <w:rFonts w:hint="eastAsia"/>
        </w:rPr>
        <w:t>128</w:t>
      </w:r>
      <w:r>
        <w:rPr>
          <w:rFonts w:hint="eastAsia"/>
        </w:rPr>
        <w:t>段</w:t>
      </w:r>
      <w:r>
        <w:rPr>
          <w:rFonts w:hint="eastAsia"/>
        </w:rPr>
        <w:t>)</w:t>
      </w:r>
      <w:r>
        <w:rPr>
          <w:rFonts w:hint="eastAsia"/>
        </w:rPr>
        <w:t>。</w:t>
      </w:r>
    </w:p>
    <w:p w:rsidR="00000000" w:rsidRDefault="00000000">
      <w:pPr>
        <w:spacing w:line="312" w:lineRule="auto"/>
        <w:rPr>
          <w:rFonts w:hint="eastAsia"/>
        </w:rPr>
      </w:pPr>
      <w:r>
        <w:rPr>
          <w:rFonts w:hint="eastAsia"/>
        </w:rPr>
        <w:tab/>
        <w:t xml:space="preserve">12.  </w:t>
      </w:r>
      <w:r>
        <w:rPr>
          <w:rFonts w:hint="eastAsia"/>
        </w:rPr>
        <w:t>请提供比较数据，说明男女在同工不同酬方面存在的差幅，并说明采取哪些措施解决工资差幅达</w:t>
      </w:r>
      <w:r>
        <w:rPr>
          <w:rFonts w:hint="eastAsia"/>
        </w:rPr>
        <w:t>13%</w:t>
      </w:r>
      <w:r>
        <w:rPr>
          <w:rFonts w:hint="eastAsia"/>
        </w:rPr>
        <w:t>至</w:t>
      </w:r>
      <w:r>
        <w:rPr>
          <w:rFonts w:hint="eastAsia"/>
        </w:rPr>
        <w:t>14%</w:t>
      </w:r>
      <w:r>
        <w:rPr>
          <w:rFonts w:hint="eastAsia"/>
        </w:rPr>
        <w:t>的问题</w:t>
      </w:r>
      <w:r>
        <w:rPr>
          <w:rFonts w:hint="eastAsia"/>
        </w:rPr>
        <w:t>(</w:t>
      </w:r>
      <w:r>
        <w:rPr>
          <w:rFonts w:hint="eastAsia"/>
        </w:rPr>
        <w:t>见报告第</w:t>
      </w:r>
      <w:r>
        <w:rPr>
          <w:rFonts w:hint="eastAsia"/>
        </w:rPr>
        <w:t>135</w:t>
      </w:r>
      <w:r>
        <w:rPr>
          <w:rFonts w:hint="eastAsia"/>
        </w:rPr>
        <w:t>段</w:t>
      </w:r>
      <w:r>
        <w:rPr>
          <w:rFonts w:hint="eastAsia"/>
        </w:rPr>
        <w:t>)</w:t>
      </w:r>
      <w:r>
        <w:rPr>
          <w:rFonts w:hint="eastAsia"/>
        </w:rPr>
        <w:t>。</w:t>
      </w:r>
    </w:p>
    <w:p w:rsidR="00000000" w:rsidRDefault="00000000">
      <w:pPr>
        <w:spacing w:after="240" w:line="312" w:lineRule="auto"/>
        <w:rPr>
          <w:rFonts w:hint="eastAsia"/>
        </w:rPr>
      </w:pPr>
      <w:r>
        <w:rPr>
          <w:rFonts w:hint="eastAsia"/>
        </w:rPr>
        <w:tab/>
        <w:t xml:space="preserve">13.  </w:t>
      </w:r>
      <w:r>
        <w:rPr>
          <w:rFonts w:hint="eastAsia"/>
        </w:rPr>
        <w:t>请提供资料说明缔约国采取了哪些措施，解决在劳动力市场上存在的基于性别的横向和纵向歧视问题。</w:t>
      </w:r>
    </w:p>
    <w:p w:rsidR="00000000" w:rsidRDefault="00000000">
      <w:pPr>
        <w:pStyle w:val="Heading4"/>
        <w:spacing w:line="312" w:lineRule="auto"/>
        <w:rPr>
          <w:rFonts w:hint="eastAsia"/>
        </w:rPr>
      </w:pPr>
      <w:r>
        <w:rPr>
          <w:rFonts w:hint="eastAsia"/>
        </w:rPr>
        <w:t>第八条－工会权</w:t>
      </w:r>
    </w:p>
    <w:p w:rsidR="00000000" w:rsidRDefault="00000000">
      <w:pPr>
        <w:spacing w:line="312" w:lineRule="auto"/>
        <w:rPr>
          <w:rFonts w:hint="eastAsia"/>
        </w:rPr>
      </w:pPr>
      <w:r>
        <w:rPr>
          <w:rFonts w:hint="eastAsia"/>
        </w:rPr>
        <w:tab/>
        <w:t xml:space="preserve">14.  </w:t>
      </w:r>
      <w:r>
        <w:rPr>
          <w:rFonts w:hint="eastAsia"/>
        </w:rPr>
        <w:t>请对罢工权设置的种种限制作出评述，这些限制包括规定只有加入政府与有关工会之间签署的协定的工会才有权举行罢工，公务员工会只有在有关工作人员大多数赞成的情况下才能举行罢工，以及担负“重要职责”的官员不允许罢工等。</w:t>
      </w:r>
    </w:p>
    <w:p w:rsidR="00000000" w:rsidRDefault="00000000">
      <w:pPr>
        <w:spacing w:after="240" w:line="312" w:lineRule="auto"/>
        <w:rPr>
          <w:rFonts w:hint="eastAsia"/>
        </w:rPr>
      </w:pPr>
      <w:r>
        <w:rPr>
          <w:rFonts w:hint="eastAsia"/>
        </w:rPr>
        <w:tab/>
        <w:t xml:space="preserve">15.  </w:t>
      </w:r>
      <w:r>
        <w:rPr>
          <w:rFonts w:hint="eastAsia"/>
        </w:rPr>
        <w:t>请说明是否有任何调解或仲裁程序，解决公共部门的集体争端。</w:t>
      </w:r>
    </w:p>
    <w:p w:rsidR="00000000" w:rsidRDefault="00000000">
      <w:pPr>
        <w:pStyle w:val="Heading4"/>
        <w:spacing w:line="312" w:lineRule="auto"/>
        <w:rPr>
          <w:rFonts w:hint="eastAsia"/>
        </w:rPr>
      </w:pPr>
      <w:r>
        <w:rPr>
          <w:rFonts w:hint="eastAsia"/>
        </w:rPr>
        <w:t>第九条－社会保障</w:t>
      </w:r>
    </w:p>
    <w:p w:rsidR="00000000" w:rsidRDefault="00000000">
      <w:pPr>
        <w:spacing w:line="312" w:lineRule="auto"/>
        <w:rPr>
          <w:rFonts w:hint="eastAsia"/>
        </w:rPr>
      </w:pPr>
      <w:r>
        <w:rPr>
          <w:rFonts w:hint="eastAsia"/>
        </w:rPr>
        <w:tab/>
        <w:t xml:space="preserve">16.  </w:t>
      </w:r>
      <w:r>
        <w:rPr>
          <w:rFonts w:hint="eastAsia"/>
        </w:rPr>
        <w:t>请开列享有社会保障和福利，包括家庭福利的工人类别</w:t>
      </w:r>
      <w:r>
        <w:rPr>
          <w:rFonts w:hint="eastAsia"/>
        </w:rPr>
        <w:t>(</w:t>
      </w:r>
      <w:r>
        <w:rPr>
          <w:rFonts w:hint="eastAsia"/>
        </w:rPr>
        <w:t>如雇员和个体户，家佣，零工和其他具体群组的工人</w:t>
      </w:r>
      <w:r>
        <w:rPr>
          <w:rFonts w:hint="eastAsia"/>
        </w:rPr>
        <w:t>)</w:t>
      </w:r>
      <w:r>
        <w:rPr>
          <w:rFonts w:hint="eastAsia"/>
        </w:rPr>
        <w:t>，以及为各类别工人提供的福利，从而对享有福利的人员和提供的福利范围作出比较。</w:t>
      </w:r>
    </w:p>
    <w:p w:rsidR="00000000" w:rsidRDefault="00000000">
      <w:pPr>
        <w:spacing w:after="240" w:line="312" w:lineRule="auto"/>
        <w:rPr>
          <w:rFonts w:hint="eastAsia"/>
        </w:rPr>
      </w:pPr>
      <w:r>
        <w:rPr>
          <w:rFonts w:hint="eastAsia"/>
        </w:rPr>
        <w:tab/>
        <w:t xml:space="preserve">17.  </w:t>
      </w:r>
      <w:r>
        <w:rPr>
          <w:rFonts w:hint="eastAsia"/>
        </w:rPr>
        <w:t>请提供分拆数据，说明接受社会救助</w:t>
      </w:r>
      <w:r>
        <w:rPr>
          <w:rFonts w:hint="eastAsia"/>
        </w:rPr>
        <w:t>(</w:t>
      </w:r>
      <w:r>
        <w:rPr>
          <w:rFonts w:hint="eastAsia"/>
        </w:rPr>
        <w:t>见报告第</w:t>
      </w:r>
      <w:r>
        <w:rPr>
          <w:rFonts w:hint="eastAsia"/>
        </w:rPr>
        <w:t>188</w:t>
      </w:r>
      <w:r>
        <w:rPr>
          <w:rFonts w:hint="eastAsia"/>
        </w:rPr>
        <w:t>段</w:t>
      </w:r>
      <w:r>
        <w:rPr>
          <w:rFonts w:hint="eastAsia"/>
        </w:rPr>
        <w:t>)</w:t>
      </w:r>
      <w:r>
        <w:rPr>
          <w:rFonts w:hint="eastAsia"/>
        </w:rPr>
        <w:t>的目标群体</w:t>
      </w:r>
      <w:r>
        <w:rPr>
          <w:rFonts w:hint="eastAsia"/>
        </w:rPr>
        <w:t>(</w:t>
      </w:r>
      <w:r>
        <w:rPr>
          <w:rFonts w:hint="eastAsia"/>
        </w:rPr>
        <w:t>个人和家庭</w:t>
      </w:r>
      <w:r>
        <w:rPr>
          <w:rFonts w:hint="eastAsia"/>
        </w:rPr>
        <w:t>)</w:t>
      </w:r>
      <w:r>
        <w:rPr>
          <w:rFonts w:hint="eastAsia"/>
        </w:rPr>
        <w:t>，每月救助金总数，同时说明非国民是否有权获得社会救助。</w:t>
      </w:r>
    </w:p>
    <w:p w:rsidR="00000000" w:rsidRDefault="00000000">
      <w:pPr>
        <w:pStyle w:val="Heading4"/>
        <w:spacing w:line="312" w:lineRule="auto"/>
        <w:rPr>
          <w:rFonts w:hint="eastAsia"/>
        </w:rPr>
      </w:pPr>
      <w:r>
        <w:rPr>
          <w:rFonts w:hint="eastAsia"/>
        </w:rPr>
        <w:t>第十条－保护家庭、母亲和儿童</w:t>
      </w:r>
    </w:p>
    <w:p w:rsidR="00000000" w:rsidRDefault="00000000">
      <w:pPr>
        <w:spacing w:line="312" w:lineRule="auto"/>
        <w:rPr>
          <w:rFonts w:hint="eastAsia"/>
        </w:rPr>
      </w:pPr>
      <w:r>
        <w:rPr>
          <w:rFonts w:hint="eastAsia"/>
        </w:rPr>
        <w:tab/>
        <w:t xml:space="preserve">18.  </w:t>
      </w:r>
      <w:r>
        <w:rPr>
          <w:rFonts w:hint="eastAsia"/>
        </w:rPr>
        <w:t>请提供资料，说明与包括婚内强奸等家庭暴力作斗争的法律框架，并说明采取了哪些措施，预防家庭暴力行为，如宣传运动以及对施暴配偶所执行的管制令。同时还请提供资料说明为家庭暴力受害者提供的援助，包括为受侵害的妇女和儿童提供的特别庇护所。</w:t>
      </w:r>
    </w:p>
    <w:p w:rsidR="00000000" w:rsidRDefault="00000000">
      <w:pPr>
        <w:spacing w:after="240" w:line="312" w:lineRule="auto"/>
        <w:rPr>
          <w:rFonts w:hint="eastAsia"/>
        </w:rPr>
      </w:pPr>
      <w:r>
        <w:rPr>
          <w:rFonts w:hint="eastAsia"/>
        </w:rPr>
        <w:tab/>
        <w:t xml:space="preserve">19.  </w:t>
      </w:r>
      <w:r>
        <w:rPr>
          <w:rFonts w:hint="eastAsia"/>
        </w:rPr>
        <w:t>请提供最新统计数据，说明进入、来自和经缔约国领土中转的被贩运的妇女和儿童人数。同时还请说明缔约国在打击贩运人口方案方面是否采取统筹方针。</w:t>
      </w:r>
    </w:p>
    <w:p w:rsidR="00000000" w:rsidRDefault="00000000">
      <w:pPr>
        <w:pStyle w:val="Heading4"/>
        <w:spacing w:line="312" w:lineRule="auto"/>
        <w:rPr>
          <w:rFonts w:hint="eastAsia"/>
        </w:rPr>
      </w:pPr>
      <w:r>
        <w:rPr>
          <w:rFonts w:hint="eastAsia"/>
        </w:rPr>
        <w:t>第十一条－适足生活水准权</w:t>
      </w:r>
    </w:p>
    <w:p w:rsidR="00000000" w:rsidRDefault="00000000">
      <w:pPr>
        <w:spacing w:line="312" w:lineRule="auto"/>
        <w:rPr>
          <w:rFonts w:hint="eastAsia"/>
        </w:rPr>
      </w:pPr>
      <w:r>
        <w:rPr>
          <w:rFonts w:hint="eastAsia"/>
        </w:rPr>
        <w:tab/>
        <w:t xml:space="preserve">20.  </w:t>
      </w:r>
      <w:r>
        <w:rPr>
          <w:rFonts w:hint="eastAsia"/>
        </w:rPr>
        <w:t>请说明缔约国是否制订了官方贫困线和国家扶贫计划，以便对现有的抗贫措施</w:t>
      </w:r>
      <w:r>
        <w:rPr>
          <w:rFonts w:hint="eastAsia"/>
        </w:rPr>
        <w:t>(</w:t>
      </w:r>
      <w:r>
        <w:rPr>
          <w:rFonts w:hint="eastAsia"/>
        </w:rPr>
        <w:t>见报告第</w:t>
      </w:r>
      <w:r>
        <w:rPr>
          <w:rFonts w:hint="eastAsia"/>
        </w:rPr>
        <w:t>362</w:t>
      </w:r>
      <w:r>
        <w:rPr>
          <w:rFonts w:hint="eastAsia"/>
        </w:rPr>
        <w:t>段至</w:t>
      </w:r>
      <w:r>
        <w:rPr>
          <w:rFonts w:hint="eastAsia"/>
        </w:rPr>
        <w:t>372</w:t>
      </w:r>
      <w:r>
        <w:rPr>
          <w:rFonts w:hint="eastAsia"/>
        </w:rPr>
        <w:t>段</w:t>
      </w:r>
      <w:r>
        <w:rPr>
          <w:rFonts w:hint="eastAsia"/>
        </w:rPr>
        <w:t>)</w:t>
      </w:r>
      <w:r>
        <w:rPr>
          <w:rFonts w:hint="eastAsia"/>
        </w:rPr>
        <w:t>的连贯性和一致性进行系统评估。</w:t>
      </w:r>
    </w:p>
    <w:p w:rsidR="00000000" w:rsidRDefault="00000000">
      <w:pPr>
        <w:spacing w:after="240" w:line="312" w:lineRule="auto"/>
        <w:rPr>
          <w:rFonts w:hint="eastAsia"/>
        </w:rPr>
      </w:pPr>
      <w:r>
        <w:rPr>
          <w:rFonts w:hint="eastAsia"/>
        </w:rPr>
        <w:tab/>
        <w:t xml:space="preserve">21.  </w:t>
      </w:r>
      <w:r>
        <w:rPr>
          <w:rFonts w:hint="eastAsia"/>
        </w:rPr>
        <w:t>有报告称罗姆人居住环境差，他们被规定不得移入某些住宅区，他们在获得福利住房方面常常受到歧视，而他们被迫搬迁的人数过高，请对这些报告作出评论。请提供资料表明为解决这些问题采取了哪些措施，包括是否采取了综合全面的国家福利住房政策。</w:t>
      </w:r>
    </w:p>
    <w:p w:rsidR="00000000" w:rsidRDefault="00000000">
      <w:pPr>
        <w:pStyle w:val="Heading4"/>
        <w:spacing w:line="312" w:lineRule="auto"/>
        <w:rPr>
          <w:rFonts w:hint="eastAsia"/>
        </w:rPr>
      </w:pPr>
      <w:r>
        <w:rPr>
          <w:rFonts w:hint="eastAsia"/>
        </w:rPr>
        <w:t>第十二条－享有最高标准身心健康权</w:t>
      </w:r>
    </w:p>
    <w:p w:rsidR="00000000" w:rsidRDefault="00000000">
      <w:pPr>
        <w:spacing w:line="312" w:lineRule="auto"/>
        <w:rPr>
          <w:rFonts w:hint="eastAsia"/>
        </w:rPr>
      </w:pPr>
      <w:r>
        <w:rPr>
          <w:rFonts w:hint="eastAsia"/>
        </w:rPr>
        <w:tab/>
        <w:t xml:space="preserve">22.  </w:t>
      </w:r>
      <w:r>
        <w:rPr>
          <w:rFonts w:hint="eastAsia"/>
        </w:rPr>
        <w:t>请提供资料说明卫生制度改革的成果，特别是获得卫生保健的平等机会以及为包括罗姆人在内的边际化弱势个人和群体免费提供的医疗服务方面。</w:t>
      </w:r>
    </w:p>
    <w:p w:rsidR="00000000" w:rsidRDefault="00000000">
      <w:pPr>
        <w:spacing w:line="312" w:lineRule="auto"/>
        <w:rPr>
          <w:rFonts w:hint="eastAsia"/>
        </w:rPr>
      </w:pPr>
      <w:r>
        <w:rPr>
          <w:rFonts w:hint="eastAsia"/>
        </w:rPr>
        <w:tab/>
        <w:t xml:space="preserve">23.  </w:t>
      </w:r>
      <w:r>
        <w:rPr>
          <w:rFonts w:hint="eastAsia"/>
        </w:rPr>
        <w:t>请提供资料说明缔约国作为经合组织成员国中预期寿命率最低的国家之一，为提高这一比率所采取的措施的影响，这些措施包括通过开展宣传，使人们对不良饮食习惯，缺乏运动和酗酒和抽烟的不利影响有所警戒。</w:t>
      </w:r>
    </w:p>
    <w:p w:rsidR="00000000" w:rsidRDefault="00000000">
      <w:pPr>
        <w:spacing w:line="312" w:lineRule="auto"/>
        <w:rPr>
          <w:rFonts w:hint="eastAsia"/>
        </w:rPr>
      </w:pPr>
      <w:r>
        <w:rPr>
          <w:rFonts w:hint="eastAsia"/>
        </w:rPr>
        <w:tab/>
        <w:t xml:space="preserve">24.  </w:t>
      </w:r>
      <w:r>
        <w:rPr>
          <w:rFonts w:hint="eastAsia"/>
        </w:rPr>
        <w:t>请提供资料说明采取了哪些措施，解决在精神病治疗设施以及在政府资助的老人院中虐待和忽视病人的问题。</w:t>
      </w:r>
    </w:p>
    <w:p w:rsidR="00000000" w:rsidRDefault="00000000">
      <w:pPr>
        <w:spacing w:after="240" w:line="312" w:lineRule="auto"/>
        <w:rPr>
          <w:rFonts w:hint="eastAsia"/>
        </w:rPr>
      </w:pPr>
      <w:r>
        <w:rPr>
          <w:rFonts w:hint="eastAsia"/>
        </w:rPr>
        <w:tab/>
        <w:t xml:space="preserve">25.  </w:t>
      </w:r>
      <w:r>
        <w:rPr>
          <w:rFonts w:hint="eastAsia"/>
        </w:rPr>
        <w:t>请提供资料说明为改善妇女的性和生殖健康所采取的措施。</w:t>
      </w:r>
    </w:p>
    <w:p w:rsidR="00000000" w:rsidRDefault="00000000">
      <w:pPr>
        <w:pStyle w:val="Heading4"/>
        <w:spacing w:line="312" w:lineRule="auto"/>
        <w:rPr>
          <w:rFonts w:hint="eastAsia"/>
        </w:rPr>
      </w:pPr>
      <w:r>
        <w:rPr>
          <w:rFonts w:hint="eastAsia"/>
        </w:rPr>
        <w:t>第十三条和第十四条－教育权</w:t>
      </w:r>
    </w:p>
    <w:p w:rsidR="00000000" w:rsidRDefault="00000000">
      <w:pPr>
        <w:spacing w:line="312" w:lineRule="auto"/>
        <w:rPr>
          <w:rFonts w:hint="eastAsia"/>
        </w:rPr>
      </w:pPr>
      <w:r>
        <w:rPr>
          <w:rFonts w:hint="eastAsia"/>
        </w:rPr>
        <w:tab/>
        <w:t xml:space="preserve">26.  </w:t>
      </w:r>
      <w:r>
        <w:rPr>
          <w:rFonts w:hint="eastAsia"/>
        </w:rPr>
        <w:t>请说明为降低辍学率，尤其是罗姆儿童和少数民族儿童辍学率采取的措施的影响，并按年龄、性别和族裔群体提供分拆比较数据。</w:t>
      </w:r>
    </w:p>
    <w:p w:rsidR="00000000" w:rsidRDefault="00000000">
      <w:pPr>
        <w:spacing w:after="240" w:line="312" w:lineRule="auto"/>
        <w:rPr>
          <w:rFonts w:hint="eastAsia"/>
        </w:rPr>
      </w:pPr>
      <w:r>
        <w:rPr>
          <w:rFonts w:hint="eastAsia"/>
        </w:rPr>
        <w:tab/>
        <w:t xml:space="preserve">27.  </w:t>
      </w:r>
      <w:r>
        <w:rPr>
          <w:rFonts w:hint="eastAsia"/>
        </w:rPr>
        <w:t>有报告称罗姆儿童在学校受隔离，例如被置入特别补习班以及为精神残疾儿童设立的特殊学校，而罗姆儿童占大多数的学校与非罗姆儿童上学的学校相比过于拥挤和设备更为陈旧。</w:t>
      </w:r>
    </w:p>
    <w:p w:rsidR="00000000" w:rsidRDefault="00000000">
      <w:pPr>
        <w:pStyle w:val="Heading4"/>
        <w:spacing w:line="312" w:lineRule="auto"/>
        <w:rPr>
          <w:rFonts w:hint="eastAsia"/>
        </w:rPr>
      </w:pPr>
      <w:r>
        <w:rPr>
          <w:rFonts w:hint="eastAsia"/>
        </w:rPr>
        <w:t>第十五条－参与文化生活的权利</w:t>
      </w:r>
    </w:p>
    <w:p w:rsidR="00000000" w:rsidRDefault="00000000">
      <w:pPr>
        <w:spacing w:line="312" w:lineRule="auto"/>
        <w:rPr>
          <w:rFonts w:hint="eastAsia"/>
        </w:rPr>
      </w:pPr>
      <w:r>
        <w:rPr>
          <w:rFonts w:hint="eastAsia"/>
        </w:rPr>
        <w:tab/>
        <w:t xml:space="preserve">28.  </w:t>
      </w:r>
      <w:r>
        <w:rPr>
          <w:rFonts w:hint="eastAsia"/>
        </w:rPr>
        <w:t>请提供资料说明少数民族自治政府在使少数民族享有更大的文化自主权方面的作用，并且说明少数民族自治政府是否拥有必要的法律权力和资源，保证少数民族能行使享受自身文化的权利。</w:t>
      </w:r>
    </w:p>
    <w:p w:rsidR="00000000" w:rsidRDefault="00000000">
      <w:pPr>
        <w:spacing w:line="312" w:lineRule="auto"/>
        <w:rPr>
          <w:rFonts w:hint="eastAsia"/>
        </w:rPr>
      </w:pPr>
    </w:p>
    <w:p w:rsidR="00000000" w:rsidRDefault="00000000">
      <w:pPr>
        <w:spacing w:line="312" w:lineRule="auto"/>
        <w:rPr>
          <w:rFonts w:hint="eastAsia"/>
        </w:rPr>
      </w:pPr>
    </w:p>
    <w:p w:rsidR="00000000" w:rsidRDefault="00000000">
      <w:pPr>
        <w:spacing w:line="312" w:lineRule="auto"/>
        <w:jc w:val="center"/>
        <w:rPr>
          <w:rFonts w:hint="eastAsia"/>
        </w:rPr>
      </w:pPr>
      <w:r>
        <w:t>--  --  --  --  --</w:t>
      </w:r>
    </w:p>
    <w:sectPr w:rsidR="00000000">
      <w:headerReference w:type="even" r:id="rId7"/>
      <w:headerReference w:type="default" r:id="rId8"/>
      <w:headerReference w:type="first" r:id="rId9"/>
      <w:footerReference w:type="first" r:id="rId10"/>
      <w:pgSz w:w="11906" w:h="16838" w:code="9"/>
      <w:pgMar w:top="1985" w:right="851" w:bottom="1985" w:left="1701" w:header="794" w:footer="1588"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w:t>
          </w:r>
          <w:r>
            <w:rPr>
              <w:rFonts w:hint="eastAsia"/>
              <w:lang w:eastAsia="zh-CN"/>
            </w:rPr>
            <w:t>43966</w:t>
          </w:r>
          <w:r>
            <w:t xml:space="preserve"> (C)</w:t>
          </w:r>
        </w:p>
      </w:tc>
      <w:tc>
        <w:tcPr>
          <w:tcW w:w="1050" w:type="dxa"/>
        </w:tcPr>
        <w:p w:rsidR="00000000" w:rsidRDefault="00000000">
          <w:pPr>
            <w:pStyle w:val="Footer"/>
          </w:pPr>
          <w:r>
            <w:rPr>
              <w:rFonts w:hint="eastAsia"/>
              <w:lang w:eastAsia="zh-CN"/>
            </w:rPr>
            <w:t>2508</w:t>
          </w:r>
          <w:r>
            <w:t>06</w:t>
          </w:r>
        </w:p>
      </w:tc>
      <w:tc>
        <w:tcPr>
          <w:tcW w:w="6061" w:type="dxa"/>
        </w:tcPr>
        <w:p w:rsidR="00000000" w:rsidRDefault="00000000">
          <w:pPr>
            <w:pStyle w:val="Footer"/>
          </w:pPr>
          <w:r>
            <w:rPr>
              <w:rFonts w:hint="eastAsia"/>
              <w:lang w:eastAsia="zh-CN"/>
            </w:rPr>
            <w:t>2908</w:t>
          </w:r>
          <w:r>
            <w:t>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w:t>
    </w:r>
    <w:r>
      <w:rPr>
        <w:rFonts w:hint="eastAsia"/>
        <w:lang w:eastAsia="zh-CN"/>
      </w:rPr>
      <w:t>12</w:t>
    </w:r>
    <w:r>
      <w:t>/</w:t>
    </w:r>
    <w:r>
      <w:rPr>
        <w:rFonts w:hint="eastAsia"/>
        <w:lang w:eastAsia="zh-CN"/>
      </w:rPr>
      <w:t>HUN/Q/3</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r>
    <w:r>
      <w:tab/>
      <w:t>E/C.</w:t>
    </w:r>
    <w:r>
      <w:rPr>
        <w:rFonts w:hint="eastAsia"/>
        <w:lang w:eastAsia="zh-CN"/>
      </w:rPr>
      <w:t>12</w:t>
    </w:r>
    <w:r>
      <w:t>/</w:t>
    </w:r>
    <w:r>
      <w:rPr>
        <w:rFonts w:hint="eastAsia"/>
        <w:lang w:eastAsia="zh-CN"/>
      </w:rPr>
      <w:t>HUN/Q/3</w:t>
    </w:r>
  </w:p>
  <w:p w:rsidR="00000000" w:rsidRDefault="00000000">
    <w:pPr>
      <w:pStyle w:val="Header"/>
      <w:tabs>
        <w:tab w:val="clear" w:pos="7144"/>
        <w:tab w:val="left" w:pos="7455"/>
      </w:tabs>
      <w:rPr>
        <w:lang w:val="en-US"/>
      </w:rPr>
    </w:pPr>
    <w:r>
      <w:rPr>
        <w:lang w:val="en-US"/>
      </w:rPr>
      <w:tab/>
    </w: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536"/>
      <w:gridCol w:w="3260"/>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E</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4667" r:id="rId2"/>
            </w:object>
          </w:r>
        </w:p>
      </w:tc>
      <w:tc>
        <w:tcPr>
          <w:tcW w:w="4536" w:type="dxa"/>
          <w:tcBorders>
            <w:top w:val="single" w:sz="8" w:space="0" w:color="auto"/>
            <w:left w:val="nil"/>
            <w:bottom w:val="single" w:sz="24" w:space="0" w:color="auto"/>
            <w:right w:val="nil"/>
          </w:tcBorders>
        </w:tcPr>
        <w:p w:rsidR="00000000" w:rsidRDefault="00000000">
          <w:pPr>
            <w:pStyle w:val="1m1"/>
            <w:spacing w:before="480"/>
          </w:pPr>
          <w:r>
            <w:rPr>
              <w:rFonts w:hint="eastAsia"/>
            </w:rPr>
            <w:t>经济及社会理事会</w:t>
          </w:r>
        </w:p>
      </w:tc>
      <w:tc>
        <w:tcPr>
          <w:tcW w:w="3260"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rPr>
              <w:rFonts w:hint="eastAsia"/>
              <w:lang w:eastAsia="zh-CN"/>
            </w:rPr>
          </w:pPr>
          <w:r>
            <w:rPr>
              <w:lang w:eastAsia="zh-CN"/>
            </w:rPr>
            <w:t>GENERAL</w:t>
          </w:r>
        </w:p>
        <w:p w:rsidR="00000000" w:rsidRDefault="00000000">
          <w:pPr>
            <w:pStyle w:val="Header"/>
          </w:pPr>
        </w:p>
        <w:p w:rsidR="00000000" w:rsidRDefault="00000000">
          <w:pPr>
            <w:pStyle w:val="Header"/>
          </w:pPr>
          <w:r>
            <w:t>E/C.</w:t>
          </w:r>
          <w:r>
            <w:rPr>
              <w:rFonts w:hint="eastAsia"/>
              <w:lang w:eastAsia="zh-CN"/>
            </w:rPr>
            <w:t>12</w:t>
          </w:r>
          <w:r>
            <w:t>/</w:t>
          </w:r>
          <w:r>
            <w:rPr>
              <w:rFonts w:hint="eastAsia"/>
              <w:lang w:eastAsia="zh-CN"/>
            </w:rPr>
            <w:t>HUN/Q/3</w:t>
          </w:r>
        </w:p>
        <w:p w:rsidR="00000000" w:rsidRDefault="00000000">
          <w:pPr>
            <w:pStyle w:val="Header"/>
          </w:pPr>
          <w:r>
            <w:rPr>
              <w:rFonts w:hint="eastAsia"/>
              <w:lang w:eastAsia="zh-CN"/>
            </w:rPr>
            <w:t xml:space="preserve">23 </w:t>
          </w:r>
          <w:r>
            <w:rPr>
              <w:lang w:eastAsia="zh-CN"/>
            </w:rPr>
            <w:t>August</w:t>
          </w:r>
          <w:r>
            <w:t xml:space="preserve"> 2006</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2">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5">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7">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29">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0">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2">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3">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2">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5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2">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4"/>
  </w:num>
  <w:num w:numId="2">
    <w:abstractNumId w:val="25"/>
  </w:num>
  <w:num w:numId="3">
    <w:abstractNumId w:val="46"/>
  </w:num>
  <w:num w:numId="4">
    <w:abstractNumId w:val="29"/>
  </w:num>
  <w:num w:numId="5">
    <w:abstractNumId w:val="73"/>
  </w:num>
  <w:num w:numId="6">
    <w:abstractNumId w:val="0"/>
  </w:num>
  <w:num w:numId="7">
    <w:abstractNumId w:val="39"/>
  </w:num>
  <w:num w:numId="8">
    <w:abstractNumId w:val="22"/>
  </w:num>
  <w:num w:numId="9">
    <w:abstractNumId w:val="8"/>
  </w:num>
  <w:num w:numId="10">
    <w:abstractNumId w:val="13"/>
  </w:num>
  <w:num w:numId="11">
    <w:abstractNumId w:val="67"/>
  </w:num>
  <w:num w:numId="12">
    <w:abstractNumId w:val="16"/>
  </w:num>
  <w:num w:numId="13">
    <w:abstractNumId w:val="71"/>
  </w:num>
  <w:num w:numId="14">
    <w:abstractNumId w:val="43"/>
  </w:num>
  <w:num w:numId="15">
    <w:abstractNumId w:val="47"/>
  </w:num>
  <w:num w:numId="16">
    <w:abstractNumId w:val="4"/>
  </w:num>
  <w:num w:numId="17">
    <w:abstractNumId w:val="77"/>
  </w:num>
  <w:num w:numId="18">
    <w:abstractNumId w:val="66"/>
  </w:num>
  <w:num w:numId="19">
    <w:abstractNumId w:val="63"/>
  </w:num>
  <w:num w:numId="20">
    <w:abstractNumId w:val="6"/>
  </w:num>
  <w:num w:numId="21">
    <w:abstractNumId w:val="45"/>
  </w:num>
  <w:num w:numId="22">
    <w:abstractNumId w:val="49"/>
  </w:num>
  <w:num w:numId="23">
    <w:abstractNumId w:val="75"/>
  </w:num>
  <w:num w:numId="24">
    <w:abstractNumId w:val="57"/>
  </w:num>
  <w:num w:numId="25">
    <w:abstractNumId w:val="55"/>
  </w:num>
  <w:num w:numId="26">
    <w:abstractNumId w:val="38"/>
  </w:num>
  <w:num w:numId="27">
    <w:abstractNumId w:val="10"/>
  </w:num>
  <w:num w:numId="28">
    <w:abstractNumId w:val="7"/>
  </w:num>
  <w:num w:numId="29">
    <w:abstractNumId w:val="78"/>
  </w:num>
  <w:num w:numId="30">
    <w:abstractNumId w:val="1"/>
  </w:num>
  <w:num w:numId="31">
    <w:abstractNumId w:val="15"/>
  </w:num>
  <w:num w:numId="32">
    <w:abstractNumId w:val="46"/>
  </w:num>
  <w:num w:numId="33">
    <w:abstractNumId w:val="29"/>
  </w:num>
  <w:num w:numId="34">
    <w:abstractNumId w:val="70"/>
  </w:num>
  <w:num w:numId="35">
    <w:abstractNumId w:val="23"/>
  </w:num>
  <w:num w:numId="36">
    <w:abstractNumId w:val="62"/>
  </w:num>
  <w:num w:numId="37">
    <w:abstractNumId w:val="61"/>
  </w:num>
  <w:num w:numId="38">
    <w:abstractNumId w:val="30"/>
  </w:num>
  <w:num w:numId="39">
    <w:abstractNumId w:val="50"/>
  </w:num>
  <w:num w:numId="40">
    <w:abstractNumId w:val="54"/>
  </w:num>
  <w:num w:numId="41">
    <w:abstractNumId w:val="68"/>
  </w:num>
  <w:num w:numId="42">
    <w:abstractNumId w:val="5"/>
  </w:num>
  <w:num w:numId="43">
    <w:abstractNumId w:val="27"/>
  </w:num>
  <w:num w:numId="44">
    <w:abstractNumId w:val="29"/>
  </w:num>
  <w:num w:numId="45">
    <w:abstractNumId w:val="46"/>
  </w:num>
  <w:num w:numId="46">
    <w:abstractNumId w:val="29"/>
  </w:num>
  <w:num w:numId="47">
    <w:abstractNumId w:val="29"/>
  </w:num>
  <w:num w:numId="48">
    <w:abstractNumId w:val="46"/>
  </w:num>
  <w:num w:numId="49">
    <w:abstractNumId w:val="46"/>
  </w:num>
  <w:num w:numId="50">
    <w:abstractNumId w:val="29"/>
  </w:num>
  <w:num w:numId="51">
    <w:abstractNumId w:val="46"/>
  </w:num>
  <w:num w:numId="52">
    <w:abstractNumId w:val="29"/>
  </w:num>
  <w:num w:numId="53">
    <w:abstractNumId w:val="29"/>
  </w:num>
  <w:num w:numId="54">
    <w:abstractNumId w:val="46"/>
  </w:num>
  <w:num w:numId="55">
    <w:abstractNumId w:val="29"/>
  </w:num>
  <w:num w:numId="56">
    <w:abstractNumId w:val="46"/>
  </w:num>
  <w:num w:numId="57">
    <w:abstractNumId w:val="29"/>
  </w:num>
  <w:num w:numId="58">
    <w:abstractNumId w:val="46"/>
  </w:num>
  <w:num w:numId="59">
    <w:abstractNumId w:val="76"/>
  </w:num>
  <w:num w:numId="60">
    <w:abstractNumId w:val="53"/>
  </w:num>
  <w:num w:numId="61">
    <w:abstractNumId w:val="64"/>
  </w:num>
  <w:num w:numId="62">
    <w:abstractNumId w:val="21"/>
  </w:num>
  <w:num w:numId="63">
    <w:abstractNumId w:val="28"/>
  </w:num>
  <w:num w:numId="64">
    <w:abstractNumId w:val="12"/>
  </w:num>
  <w:num w:numId="65">
    <w:abstractNumId w:val="58"/>
  </w:num>
  <w:num w:numId="66">
    <w:abstractNumId w:val="51"/>
  </w:num>
  <w:num w:numId="67">
    <w:abstractNumId w:val="33"/>
  </w:num>
  <w:num w:numId="68">
    <w:abstractNumId w:val="14"/>
  </w:num>
  <w:num w:numId="69">
    <w:abstractNumId w:val="52"/>
  </w:num>
  <w:num w:numId="70">
    <w:abstractNumId w:val="11"/>
  </w:num>
  <w:num w:numId="71">
    <w:abstractNumId w:val="32"/>
  </w:num>
  <w:num w:numId="72">
    <w:abstractNumId w:val="41"/>
  </w:num>
  <w:num w:numId="73">
    <w:abstractNumId w:val="74"/>
  </w:num>
  <w:num w:numId="74">
    <w:abstractNumId w:val="48"/>
  </w:num>
  <w:num w:numId="75">
    <w:abstractNumId w:val="34"/>
  </w:num>
  <w:num w:numId="76">
    <w:abstractNumId w:val="26"/>
  </w:num>
  <w:num w:numId="77">
    <w:abstractNumId w:val="3"/>
  </w:num>
  <w:num w:numId="78">
    <w:abstractNumId w:val="3"/>
  </w:num>
  <w:num w:numId="79">
    <w:abstractNumId w:val="29"/>
  </w:num>
  <w:num w:numId="80">
    <w:abstractNumId w:val="3"/>
  </w:num>
  <w:num w:numId="81">
    <w:abstractNumId w:val="46"/>
  </w:num>
  <w:num w:numId="82">
    <w:abstractNumId w:val="29"/>
  </w:num>
  <w:num w:numId="83">
    <w:abstractNumId w:val="42"/>
  </w:num>
  <w:num w:numId="84">
    <w:abstractNumId w:val="18"/>
  </w:num>
  <w:num w:numId="85">
    <w:abstractNumId w:val="60"/>
  </w:num>
  <w:num w:numId="86">
    <w:abstractNumId w:val="59"/>
  </w:num>
  <w:num w:numId="87">
    <w:abstractNumId w:val="2"/>
  </w:num>
  <w:num w:numId="88">
    <w:abstractNumId w:val="44"/>
  </w:num>
  <w:num w:numId="89">
    <w:abstractNumId w:val="17"/>
  </w:num>
  <w:num w:numId="90">
    <w:abstractNumId w:val="40"/>
  </w:num>
  <w:num w:numId="91">
    <w:abstractNumId w:val="9"/>
  </w:num>
  <w:num w:numId="92">
    <w:abstractNumId w:val="56"/>
  </w:num>
  <w:num w:numId="93">
    <w:abstractNumId w:val="37"/>
  </w:num>
  <w:num w:numId="94">
    <w:abstractNumId w:val="69"/>
  </w:num>
  <w:num w:numId="95">
    <w:abstractNumId w:val="65"/>
  </w:num>
  <w:num w:numId="96">
    <w:abstractNumId w:val="19"/>
  </w:num>
  <w:num w:numId="97">
    <w:abstractNumId w:val="35"/>
  </w:num>
  <w:num w:numId="98">
    <w:abstractNumId w:val="36"/>
  </w:num>
  <w:num w:numId="99">
    <w:abstractNumId w:val="20"/>
  </w:num>
  <w:num w:numId="100">
    <w:abstractNumId w:val="72"/>
  </w:num>
  <w:num w:numId="101">
    <w:abstractNumId w:val="72"/>
  </w:num>
  <w:num w:numId="102">
    <w:abstractNumId w:val="20"/>
  </w:num>
  <w:num w:numId="103">
    <w:abstractNumId w:val="20"/>
  </w:num>
  <w:num w:numId="104">
    <w:abstractNumId w:val="72"/>
  </w:num>
  <w:num w:numId="105">
    <w:abstractNumId w:val="20"/>
  </w:num>
  <w:num w:numId="10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tabs>
        <w:tab w:val="clear" w:pos="510"/>
      </w:tabs>
    </w:pPr>
  </w:style>
  <w:style w:type="paragraph" w:customStyle="1" w:styleId="a">
    <w:name w:val="悬挂符号●"/>
    <w:basedOn w:val="Normal"/>
    <w:pPr>
      <w:numPr>
        <w:numId w:val="82"/>
      </w:numPr>
      <w:tabs>
        <w:tab w:val="clear" w:pos="510"/>
      </w:tabs>
    </w:pPr>
  </w:style>
  <w:style w:type="paragraph" w:customStyle="1" w:styleId="1L">
    <w:name w:val="页眉1L"/>
    <w:basedOn w:val="Normal"/>
    <w:autoRedefine/>
    <w:pPr>
      <w:framePr w:w="1542" w:h="627" w:hSpace="180" w:wrap="around" w:vAnchor="page" w:hAnchor="page" w:x="1469" w:y="1390"/>
      <w:widowControl w:val="0"/>
      <w:spacing w:line="240" w:lineRule="auto"/>
    </w:pPr>
    <w:rPr>
      <w:rFonts w:ascii="SimHei" w:eastAsia="SimHei"/>
      <w:snapToGrid/>
      <w:spacing w:val="6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0</Words>
  <Characters>0</Characters>
  <Application>Microsoft Office Word</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nie</dc:creator>
  <cp:keywords/>
  <dc:description/>
  <cp:lastModifiedBy>Kong</cp:lastModifiedBy>
  <cp:revision>2</cp:revision>
  <cp:lastPrinted>2006-08-29T12:55:00Z</cp:lastPrinted>
  <dcterms:created xsi:type="dcterms:W3CDTF">2006-08-29T12:56:00Z</dcterms:created>
  <dcterms:modified xsi:type="dcterms:W3CDTF">2006-08-29T12:56:00Z</dcterms:modified>
</cp:coreProperties>
</file>