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27" w:tblpY="285"/>
        <w:tblOverlap w:val="never"/>
        <w:bidiVisual/>
        <w:tblW w:w="9631"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DB7679" w:rsidTr="003E7DC7">
        <w:trPr>
          <w:trHeight w:hRule="exact" w:val="810"/>
        </w:trPr>
        <w:tc>
          <w:tcPr>
            <w:tcW w:w="1266" w:type="dxa"/>
            <w:tcBorders>
              <w:top w:val="nil"/>
              <w:bottom w:val="single" w:sz="4" w:space="0" w:color="auto"/>
            </w:tcBorders>
          </w:tcPr>
          <w:p w:rsidR="006B3E27" w:rsidRPr="00983870" w:rsidRDefault="006B3E27" w:rsidP="005A3015">
            <w:pPr>
              <w:bidi w:val="0"/>
              <w:jc w:val="right"/>
            </w:pPr>
          </w:p>
        </w:tc>
        <w:tc>
          <w:tcPr>
            <w:tcW w:w="4767" w:type="dxa"/>
            <w:tcBorders>
              <w:top w:val="nil"/>
              <w:bottom w:val="single" w:sz="4" w:space="0" w:color="auto"/>
            </w:tcBorders>
            <w:vAlign w:val="bottom"/>
          </w:tcPr>
          <w:p w:rsidR="006B3E27" w:rsidRPr="00DB7679" w:rsidRDefault="006B3E27" w:rsidP="005A3015">
            <w:pPr>
              <w:spacing w:after="80" w:line="480" w:lineRule="exact"/>
              <w:jc w:val="left"/>
              <w:rPr>
                <w:szCs w:val="40"/>
                <w:rtl/>
              </w:rPr>
            </w:pPr>
            <w:r w:rsidRPr="00DB7679">
              <w:rPr>
                <w:rFonts w:hint="cs"/>
                <w:szCs w:val="40"/>
                <w:rtl/>
              </w:rPr>
              <w:t>الأمم المتحدة</w:t>
            </w:r>
          </w:p>
        </w:tc>
        <w:tc>
          <w:tcPr>
            <w:tcW w:w="3598" w:type="dxa"/>
            <w:tcBorders>
              <w:top w:val="nil"/>
              <w:bottom w:val="single" w:sz="4" w:space="0" w:color="auto"/>
            </w:tcBorders>
            <w:vAlign w:val="bottom"/>
          </w:tcPr>
          <w:p w:rsidR="006B3E27" w:rsidRPr="00243C8A" w:rsidRDefault="00797FE6" w:rsidP="0072308B">
            <w:pPr>
              <w:bidi w:val="0"/>
              <w:spacing w:after="20"/>
              <w:jc w:val="left"/>
              <w:rPr>
                <w:szCs w:val="20"/>
              </w:rPr>
            </w:pPr>
            <w:r w:rsidRPr="00797FE6">
              <w:rPr>
                <w:sz w:val="40"/>
                <w:szCs w:val="20"/>
              </w:rPr>
              <w:t>CAT</w:t>
            </w:r>
            <w:r>
              <w:rPr>
                <w:szCs w:val="20"/>
              </w:rPr>
              <w:t>/C/CZE/CO/6</w:t>
            </w:r>
          </w:p>
        </w:tc>
      </w:tr>
      <w:tr w:rsidR="00DC1D29" w:rsidRPr="00DB7679" w:rsidTr="003E7DC7">
        <w:trPr>
          <w:trHeight w:hRule="exact" w:val="45"/>
        </w:trPr>
        <w:tc>
          <w:tcPr>
            <w:tcW w:w="1266" w:type="dxa"/>
            <w:tcBorders>
              <w:top w:val="single" w:sz="4" w:space="0" w:color="auto"/>
              <w:bottom w:val="nil"/>
            </w:tcBorders>
          </w:tcPr>
          <w:p w:rsidR="00DC1D29" w:rsidRPr="00983870" w:rsidRDefault="00DC1D29" w:rsidP="005A3015">
            <w:pPr>
              <w:bidi w:val="0"/>
              <w:jc w:val="right"/>
            </w:pPr>
          </w:p>
        </w:tc>
        <w:tc>
          <w:tcPr>
            <w:tcW w:w="4767" w:type="dxa"/>
            <w:tcBorders>
              <w:top w:val="single" w:sz="4" w:space="0" w:color="auto"/>
              <w:bottom w:val="nil"/>
            </w:tcBorders>
            <w:vAlign w:val="bottom"/>
          </w:tcPr>
          <w:p w:rsidR="00DC1D29" w:rsidRPr="00DB7679" w:rsidRDefault="00DC1D29" w:rsidP="005A3015">
            <w:pPr>
              <w:spacing w:after="80" w:line="480" w:lineRule="exact"/>
              <w:jc w:val="left"/>
              <w:rPr>
                <w:szCs w:val="40"/>
                <w:rtl/>
              </w:rPr>
            </w:pPr>
          </w:p>
        </w:tc>
        <w:tc>
          <w:tcPr>
            <w:tcW w:w="3598" w:type="dxa"/>
            <w:tcBorders>
              <w:top w:val="single" w:sz="4" w:space="0" w:color="auto"/>
              <w:bottom w:val="nil"/>
            </w:tcBorders>
            <w:vAlign w:val="bottom"/>
          </w:tcPr>
          <w:p w:rsidR="0072308B" w:rsidRPr="00243C8A" w:rsidRDefault="0072308B" w:rsidP="0072308B">
            <w:pPr>
              <w:bidi w:val="0"/>
              <w:jc w:val="left"/>
              <w:rPr>
                <w:szCs w:val="20"/>
              </w:rPr>
            </w:pPr>
          </w:p>
        </w:tc>
      </w:tr>
    </w:tbl>
    <w:p w:rsidR="0072308B" w:rsidRDefault="0072308B" w:rsidP="0072308B">
      <w:pPr>
        <w:spacing w:line="60" w:lineRule="exact"/>
        <w:rPr>
          <w:rtl/>
          <w:lang w:bidi="ar-DZ"/>
        </w:rPr>
      </w:pPr>
    </w:p>
    <w:tbl>
      <w:tblPr>
        <w:tblStyle w:val="TableGrid"/>
        <w:tblpPr w:leftFromText="142" w:rightFromText="142" w:vertAnchor="page" w:horzAnchor="page" w:tblpX="1135" w:tblpY="285"/>
        <w:tblOverlap w:val="never"/>
        <w:bidiVisual/>
        <w:tblW w:w="9631"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DB7679" w:rsidTr="005A3015">
        <w:trPr>
          <w:trHeight w:hRule="exact" w:val="2835"/>
        </w:trPr>
        <w:tc>
          <w:tcPr>
            <w:tcW w:w="1266" w:type="dxa"/>
            <w:tcBorders>
              <w:top w:val="nil"/>
              <w:bottom w:val="single" w:sz="12" w:space="0" w:color="auto"/>
            </w:tcBorders>
          </w:tcPr>
          <w:p w:rsidR="006B3E27" w:rsidRPr="00DB7679" w:rsidRDefault="0059622A" w:rsidP="005A3015">
            <w:pPr>
              <w:jc w:val="center"/>
              <w:rPr>
                <w:rtl/>
              </w:rPr>
            </w:pPr>
            <w:r>
              <w:rPr>
                <w:noProof/>
                <w:lang w:val="fr-CH" w:eastAsia="zh-CN"/>
              </w:rPr>
              <w:drawing>
                <wp:anchor distT="0" distB="0" distL="114300" distR="114300" simplePos="0" relativeHeight="251658240" behindDoc="1" locked="0" layoutInCell="1" allowOverlap="1" wp14:anchorId="1F1C1B28" wp14:editId="144A970A">
                  <wp:simplePos x="0" y="0"/>
                  <wp:positionH relativeFrom="column">
                    <wp:posOffset>92710</wp:posOffset>
                  </wp:positionH>
                  <wp:positionV relativeFrom="paragraph">
                    <wp:posOffset>20955</wp:posOffset>
                  </wp:positionV>
                  <wp:extent cx="629920" cy="611505"/>
                  <wp:effectExtent l="0" t="0" r="0" b="0"/>
                  <wp:wrapThrough wrapText="bothSides">
                    <wp:wrapPolygon edited="0">
                      <wp:start x="0" y="0"/>
                      <wp:lineTo x="0" y="20860"/>
                      <wp:lineTo x="20903" y="20860"/>
                      <wp:lineTo x="2090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29920" cy="611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767" w:type="dxa"/>
            <w:tcBorders>
              <w:top w:val="nil"/>
              <w:bottom w:val="single" w:sz="12" w:space="0" w:color="auto"/>
            </w:tcBorders>
          </w:tcPr>
          <w:p w:rsidR="00A67AF5" w:rsidRPr="00817373" w:rsidRDefault="00817373" w:rsidP="005A3015">
            <w:pPr>
              <w:spacing w:before="120" w:after="40" w:line="580" w:lineRule="exact"/>
              <w:rPr>
                <w:b/>
                <w:bCs/>
                <w:sz w:val="52"/>
                <w:szCs w:val="52"/>
              </w:rPr>
            </w:pPr>
            <w:r>
              <w:rPr>
                <w:rFonts w:hint="cs"/>
                <w:b/>
                <w:bCs/>
                <w:sz w:val="52"/>
                <w:szCs w:val="5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tcPr>
          <w:p w:rsidR="00F57F01" w:rsidRDefault="00F57F01" w:rsidP="00F57F01">
            <w:pPr>
              <w:spacing w:before="240" w:line="260" w:lineRule="exact"/>
              <w:jc w:val="right"/>
            </w:pPr>
            <w:r>
              <w:t>Distr.: General</w:t>
            </w:r>
          </w:p>
          <w:p w:rsidR="00F57F01" w:rsidRDefault="00F57F01" w:rsidP="00F57F01">
            <w:pPr>
              <w:spacing w:line="260" w:lineRule="exact"/>
              <w:jc w:val="right"/>
            </w:pPr>
            <w:r>
              <w:t>6 June 2018</w:t>
            </w:r>
          </w:p>
          <w:p w:rsidR="00F57F01" w:rsidRDefault="00F57F01" w:rsidP="00F57F01">
            <w:pPr>
              <w:spacing w:line="260" w:lineRule="exact"/>
              <w:jc w:val="right"/>
            </w:pPr>
            <w:r>
              <w:t>Arabic</w:t>
            </w:r>
          </w:p>
          <w:p w:rsidR="003E7DC7" w:rsidRDefault="003E7DC7" w:rsidP="00F57F01">
            <w:pPr>
              <w:spacing w:line="260" w:lineRule="exact"/>
              <w:jc w:val="right"/>
            </w:pPr>
            <w:r>
              <w:t>Original: English</w:t>
            </w:r>
          </w:p>
          <w:p w:rsidR="00F57F01" w:rsidRDefault="00F57F01" w:rsidP="00F57F01">
            <w:pPr>
              <w:spacing w:line="260" w:lineRule="exact"/>
              <w:jc w:val="right"/>
              <w:rPr>
                <w:lang w:bidi="ar-DZ"/>
              </w:rPr>
            </w:pPr>
          </w:p>
          <w:p w:rsidR="006B3E27" w:rsidRPr="008B4BC6" w:rsidRDefault="006B3E27" w:rsidP="00F57F01">
            <w:pPr>
              <w:spacing w:line="260" w:lineRule="exact"/>
              <w:jc w:val="right"/>
              <w:rPr>
                <w:rtl/>
                <w:lang w:bidi="ar-DZ"/>
              </w:rPr>
            </w:pPr>
          </w:p>
        </w:tc>
      </w:tr>
    </w:tbl>
    <w:p w:rsidR="0072308B" w:rsidRPr="0072308B" w:rsidRDefault="0072308B" w:rsidP="0072308B">
      <w:pPr>
        <w:pStyle w:val="AgendaTitleH2"/>
        <w:tabs>
          <w:tab w:val="clear" w:pos="1022"/>
          <w:tab w:val="clear" w:pos="1267"/>
          <w:tab w:val="clear" w:pos="1930"/>
          <w:tab w:val="clear" w:pos="2592"/>
          <w:tab w:val="clear" w:pos="3254"/>
          <w:tab w:val="clear" w:pos="3917"/>
          <w:tab w:val="clear" w:pos="4579"/>
          <w:tab w:val="clear" w:pos="5242"/>
          <w:tab w:val="clear" w:pos="5904"/>
          <w:tab w:val="clear" w:pos="6566"/>
          <w:tab w:val="left" w:pos="662"/>
          <w:tab w:val="left" w:pos="1325"/>
          <w:tab w:val="left" w:pos="1987"/>
          <w:tab w:val="left" w:pos="2650"/>
          <w:tab w:val="left" w:pos="3312"/>
          <w:tab w:val="left" w:pos="3974"/>
          <w:tab w:val="left" w:pos="4637"/>
          <w:tab w:val="left" w:pos="5299"/>
          <w:tab w:val="left" w:pos="5962"/>
          <w:tab w:val="left" w:pos="6624"/>
          <w:tab w:val="left" w:pos="7286"/>
        </w:tabs>
        <w:spacing w:line="380" w:lineRule="exact"/>
        <w:ind w:left="663" w:hanging="663"/>
        <w:rPr>
          <w:sz w:val="24"/>
          <w:szCs w:val="36"/>
          <w:rtl/>
        </w:rPr>
      </w:pPr>
      <w:r w:rsidRPr="0072308B">
        <w:rPr>
          <w:sz w:val="24"/>
          <w:szCs w:val="36"/>
          <w:rtl/>
        </w:rPr>
        <w:t>لجنة مناهضة التعذيب</w:t>
      </w:r>
    </w:p>
    <w:p w:rsidR="0072308B" w:rsidRPr="0072308B" w:rsidRDefault="0072308B" w:rsidP="00F57F01">
      <w:pPr>
        <w:pStyle w:val="HChGA"/>
        <w:rPr>
          <w:rtl/>
        </w:rPr>
      </w:pPr>
      <w:r>
        <w:tab/>
      </w:r>
      <w:r>
        <w:tab/>
      </w:r>
      <w:r>
        <w:rPr>
          <w:rtl/>
        </w:rPr>
        <w:t>الملاحظات الختامية بشأن التقرير الدوري السادس لتشيكيا</w:t>
      </w:r>
      <w:r w:rsidRPr="0072308B">
        <w:rPr>
          <w:rStyle w:val="FootnoteReference"/>
          <w:sz w:val="20"/>
          <w:vertAlign w:val="baseline"/>
          <w:rtl/>
        </w:rPr>
        <w:footnoteReference w:customMarkFollows="1" w:id="1"/>
        <w:t>*</w:t>
      </w:r>
    </w:p>
    <w:p w:rsidR="0072308B" w:rsidRDefault="0072308B" w:rsidP="00E03FE9">
      <w:pPr>
        <w:pStyle w:val="SingleTxtGA"/>
      </w:pPr>
      <w:r>
        <w:rPr>
          <w:rtl/>
        </w:rPr>
        <w:t>١-</w:t>
      </w:r>
      <w:r>
        <w:tab/>
      </w:r>
      <w:r>
        <w:rPr>
          <w:rtl/>
        </w:rPr>
        <w:t>نظرت لجنة مناهضة التعذيب في التقرير الدوري السادس لتشيكيا (</w:t>
      </w:r>
      <w:r>
        <w:t>CAT/C/BGR/6</w:t>
      </w:r>
      <w:r>
        <w:rPr>
          <w:rtl/>
        </w:rPr>
        <w:t>) في جلستيها 1629</w:t>
      </w:r>
      <w:r w:rsidR="00E03FE9">
        <w:rPr>
          <w:rtl/>
        </w:rPr>
        <w:t xml:space="preserve"> و</w:t>
      </w:r>
      <w:r>
        <w:rPr>
          <w:rtl/>
        </w:rPr>
        <w:t xml:space="preserve">1632 (انظر الوثيقتين </w:t>
      </w:r>
      <w:r>
        <w:t>CAT/C/SR.1629</w:t>
      </w:r>
      <w:r w:rsidR="00E03FE9">
        <w:rPr>
          <w:rtl/>
        </w:rPr>
        <w:t xml:space="preserve"> و</w:t>
      </w:r>
      <w:r>
        <w:t>1632</w:t>
      </w:r>
      <w:r>
        <w:rPr>
          <w:rtl/>
        </w:rPr>
        <w:t>)، المعقودتين في 2 و3 أيار/مايو 2018، واعتمدت في جلستها 1649، المعقودة في 16 أيار/مايو 2018، هذه الملاحظات الختامية.</w:t>
      </w:r>
    </w:p>
    <w:p w:rsidR="0072308B" w:rsidRDefault="0072308B" w:rsidP="0072308B">
      <w:pPr>
        <w:pStyle w:val="H1GA"/>
      </w:pPr>
      <w:r>
        <w:tab/>
      </w:r>
      <w:r>
        <w:rPr>
          <w:rtl/>
        </w:rPr>
        <w:t>أل</w:t>
      </w:r>
      <w:r>
        <w:rPr>
          <w:rFonts w:hint="cs"/>
          <w:rtl/>
          <w:lang w:bidi="ar-DZ"/>
        </w:rPr>
        <w:t>ف</w:t>
      </w:r>
      <w:r>
        <w:rPr>
          <w:rtl/>
        </w:rPr>
        <w:t>-</w:t>
      </w:r>
      <w:r>
        <w:tab/>
      </w:r>
      <w:r>
        <w:rPr>
          <w:rtl/>
        </w:rPr>
        <w:t>مقدمة</w:t>
      </w:r>
    </w:p>
    <w:p w:rsidR="0072308B" w:rsidRDefault="0072308B" w:rsidP="00E03FE9">
      <w:pPr>
        <w:pStyle w:val="SingleTxtGA"/>
      </w:pPr>
      <w:r>
        <w:rPr>
          <w:rtl/>
        </w:rPr>
        <w:t>٢-</w:t>
      </w:r>
      <w:r>
        <w:rPr>
          <w:rtl/>
        </w:rPr>
        <w:tab/>
        <w:t xml:space="preserve">ترحب اللجنة بتقديم التقرير الدوري السادس لتشيكيا وبالمعلومات الواردة فيه. </w:t>
      </w:r>
    </w:p>
    <w:p w:rsidR="0072308B" w:rsidRDefault="0072308B" w:rsidP="00E03FE9">
      <w:pPr>
        <w:pStyle w:val="SingleTxtGA"/>
      </w:pPr>
      <w:r>
        <w:rPr>
          <w:rtl/>
        </w:rPr>
        <w:t>٣-</w:t>
      </w:r>
      <w:r>
        <w:rPr>
          <w:rtl/>
        </w:rPr>
        <w:tab/>
        <w:t>وتعرب اللجنة عن تقديرها للفرصة التي أُتيحت لها لإجراء حوار بنّاء مع وفد الدولة الطرف وترحب بالردود المقدمة بشأن الأسئلة والشواغل التي أثارتها اللجنة.</w:t>
      </w:r>
    </w:p>
    <w:p w:rsidR="0072308B" w:rsidRDefault="0072308B" w:rsidP="00F022D3">
      <w:pPr>
        <w:pStyle w:val="H1GA"/>
      </w:pPr>
      <w:r>
        <w:tab/>
      </w:r>
      <w:r>
        <w:rPr>
          <w:rtl/>
        </w:rPr>
        <w:t>باء</w:t>
      </w:r>
      <w:bookmarkStart w:id="0" w:name="_GoBack"/>
      <w:bookmarkEnd w:id="0"/>
      <w:r>
        <w:rPr>
          <w:rtl/>
        </w:rPr>
        <w:t>-</w:t>
      </w:r>
      <w:r>
        <w:rPr>
          <w:rtl/>
        </w:rPr>
        <w:tab/>
        <w:t>الجوانب الإيجابية</w:t>
      </w:r>
    </w:p>
    <w:p w:rsidR="0072308B" w:rsidRDefault="0072308B" w:rsidP="00E03FE9">
      <w:pPr>
        <w:pStyle w:val="SingleTxtGA"/>
      </w:pPr>
      <w:r>
        <w:rPr>
          <w:rtl/>
        </w:rPr>
        <w:t>٤-</w:t>
      </w:r>
      <w:r>
        <w:rPr>
          <w:rtl/>
        </w:rPr>
        <w:tab/>
        <w:t>ترحب اللجنة بتصديق الدولة الطرف على الصكوك الدولية التالية أو بانضمامها إليها:</w:t>
      </w:r>
    </w:p>
    <w:p w:rsidR="0072308B" w:rsidRDefault="0072308B" w:rsidP="00E03FE9">
      <w:pPr>
        <w:pStyle w:val="SingleTxtGA"/>
      </w:pPr>
      <w:r>
        <w:tab/>
      </w:r>
      <w:r>
        <w:rPr>
          <w:rtl/>
        </w:rPr>
        <w:t>(أ)</w:t>
      </w:r>
      <w:r>
        <w:rPr>
          <w:rtl/>
        </w:rPr>
        <w:tab/>
      </w:r>
      <w:r>
        <w:rPr>
          <w:rFonts w:hint="cs"/>
          <w:rtl/>
        </w:rPr>
        <w:t>ا</w:t>
      </w:r>
      <w:r>
        <w:rPr>
          <w:rtl/>
        </w:rPr>
        <w:t>تفاقية مجلس أوروبا لمكافحة الاتجار بالأعضاء البشرية، في عام 201</w:t>
      </w:r>
      <w:r>
        <w:rPr>
          <w:rFonts w:hint="cs"/>
          <w:rtl/>
        </w:rPr>
        <w:t>7</w:t>
      </w:r>
      <w:r>
        <w:rPr>
          <w:rtl/>
        </w:rPr>
        <w:t>؛</w:t>
      </w:r>
    </w:p>
    <w:p w:rsidR="0072308B" w:rsidRDefault="0072308B" w:rsidP="00E03FE9">
      <w:pPr>
        <w:pStyle w:val="SingleTxtGA"/>
      </w:pPr>
      <w:r>
        <w:rPr>
          <w:rtl/>
        </w:rPr>
        <w:tab/>
        <w:t>(ب)</w:t>
      </w:r>
      <w:r>
        <w:rPr>
          <w:rtl/>
        </w:rPr>
        <w:tab/>
        <w:t>اتفاقية الأمم المتحدة لمكافحة الجريمة المنظمة عبر الوطنية، في عام 2013 وبروتوكولها الخاص بمنع الاتجار بالأشخاص، وبخاصة النساء والأطفال، وقمعه والمعاقبة عليه، في عام 2014.</w:t>
      </w:r>
    </w:p>
    <w:p w:rsidR="0072308B" w:rsidRDefault="0072308B" w:rsidP="00E03FE9">
      <w:pPr>
        <w:pStyle w:val="SingleTxtGA"/>
      </w:pPr>
      <w:r>
        <w:rPr>
          <w:rtl/>
        </w:rPr>
        <w:t>٥-</w:t>
      </w:r>
      <w:r>
        <w:rPr>
          <w:rtl/>
        </w:rPr>
        <w:tab/>
        <w:t>كما ترحب اللجنة بالمبادرات التي اتخذتها الدولة الطرف لمراجعة تشريعاتها في المجالات المتصلة بالاتفاقية، بما في ذلك اعتماد التشريعات التالية:</w:t>
      </w:r>
    </w:p>
    <w:p w:rsidR="0072308B" w:rsidRDefault="0072308B" w:rsidP="00E03FE9">
      <w:pPr>
        <w:pStyle w:val="SingleTxtGA"/>
      </w:pPr>
      <w:r>
        <w:rPr>
          <w:rtl/>
        </w:rPr>
        <w:tab/>
        <w:t>(أ)</w:t>
      </w:r>
      <w:r>
        <w:rPr>
          <w:rtl/>
        </w:rPr>
        <w:tab/>
        <w:t xml:space="preserve">تعديل قانون التعليم (رقم 561/2004) في ٢٠١٥؛ </w:t>
      </w:r>
    </w:p>
    <w:p w:rsidR="0072308B" w:rsidRDefault="0072308B" w:rsidP="00E03FE9">
      <w:pPr>
        <w:pStyle w:val="SingleTxtGA"/>
      </w:pPr>
      <w:r>
        <w:rPr>
          <w:rtl/>
        </w:rPr>
        <w:tab/>
        <w:t>(ب)</w:t>
      </w:r>
      <w:r>
        <w:rPr>
          <w:rtl/>
        </w:rPr>
        <w:tab/>
        <w:t>قانون ضحايا الجريمة (رقم 45/2013) في ٢٠١٣.</w:t>
      </w:r>
    </w:p>
    <w:p w:rsidR="0072308B" w:rsidRDefault="0072308B" w:rsidP="00E03FE9">
      <w:pPr>
        <w:pStyle w:val="SingleTxtGA"/>
      </w:pPr>
      <w:r>
        <w:rPr>
          <w:rtl/>
        </w:rPr>
        <w:lastRenderedPageBreak/>
        <w:t>٦-</w:t>
      </w:r>
      <w:r>
        <w:rPr>
          <w:rtl/>
        </w:rPr>
        <w:tab/>
        <w:t>وترحب اللجنة كذلك بالمبادرات التي اتخذتها الدولة الطرف لتعديل سياساتها وبرامجها وتدابيرها الإدارية بغرض إنفاذ الاتفاقية، وتشمل اعتماد ما يلي:</w:t>
      </w:r>
    </w:p>
    <w:p w:rsidR="0072308B" w:rsidRDefault="0072308B" w:rsidP="00F9171C">
      <w:pPr>
        <w:pStyle w:val="SingleTxtGA"/>
      </w:pPr>
      <w:r>
        <w:rPr>
          <w:rtl/>
        </w:rPr>
        <w:tab/>
        <w:t>(أ)</w:t>
      </w:r>
      <w:r>
        <w:rPr>
          <w:rtl/>
        </w:rPr>
        <w:tab/>
        <w:t>است</w:t>
      </w:r>
      <w:r w:rsidR="00F9171C">
        <w:rPr>
          <w:rtl/>
        </w:rPr>
        <w:t>راتيجية منع الجريمة للفترة ٢٠١٦</w:t>
      </w:r>
      <w:r w:rsidR="00F9171C">
        <w:rPr>
          <w:rFonts w:hint="cs"/>
          <w:rtl/>
        </w:rPr>
        <w:t>-</w:t>
      </w:r>
      <w:r>
        <w:rPr>
          <w:rtl/>
        </w:rPr>
        <w:t>2020</w:t>
      </w:r>
      <w:r>
        <w:rPr>
          <w:rFonts w:hint="cs"/>
          <w:rtl/>
        </w:rPr>
        <w:t xml:space="preserve">، </w:t>
      </w:r>
      <w:r>
        <w:rPr>
          <w:rtl/>
        </w:rPr>
        <w:t xml:space="preserve">في عام ٢٠١٦، </w:t>
      </w:r>
    </w:p>
    <w:p w:rsidR="0072308B" w:rsidRDefault="0072308B" w:rsidP="00E03FE9">
      <w:pPr>
        <w:pStyle w:val="SingleTxtGA"/>
      </w:pPr>
      <w:r>
        <w:rPr>
          <w:rtl/>
        </w:rPr>
        <w:tab/>
        <w:t>(ب)</w:t>
      </w:r>
      <w:r>
        <w:rPr>
          <w:rtl/>
        </w:rPr>
        <w:tab/>
        <w:t>مفهوم نظام السجون، حتى</w:t>
      </w:r>
      <w:r>
        <w:rPr>
          <w:rFonts w:hint="cs"/>
          <w:rtl/>
        </w:rPr>
        <w:t xml:space="preserve"> عام</w:t>
      </w:r>
      <w:r>
        <w:rPr>
          <w:rtl/>
        </w:rPr>
        <w:t xml:space="preserve"> ٢٠٢٥، في عام ٢٠١٦؛ </w:t>
      </w:r>
    </w:p>
    <w:p w:rsidR="0072308B" w:rsidRDefault="0072308B" w:rsidP="00F9171C">
      <w:pPr>
        <w:pStyle w:val="SingleTxtGA"/>
      </w:pPr>
      <w:r>
        <w:rPr>
          <w:rtl/>
        </w:rPr>
        <w:tab/>
        <w:t>(ج)</w:t>
      </w:r>
      <w:r>
        <w:rPr>
          <w:rtl/>
        </w:rPr>
        <w:tab/>
        <w:t>استرا</w:t>
      </w:r>
      <w:r w:rsidR="00F9171C">
        <w:rPr>
          <w:rtl/>
        </w:rPr>
        <w:t>تيجية إدماج الروما للفترة ٢٠١٥</w:t>
      </w:r>
      <w:r w:rsidR="00F9171C">
        <w:rPr>
          <w:rFonts w:hint="cs"/>
          <w:rtl/>
        </w:rPr>
        <w:t>-</w:t>
      </w:r>
      <w:r>
        <w:rPr>
          <w:rtl/>
        </w:rPr>
        <w:t>2020 في عام ٢٠١٥؛</w:t>
      </w:r>
    </w:p>
    <w:p w:rsidR="0072308B" w:rsidRDefault="0072308B" w:rsidP="00E03FE9">
      <w:pPr>
        <w:pStyle w:val="SingleTxtGA"/>
      </w:pPr>
      <w:r w:rsidRPr="00E03FE9">
        <w:rPr>
          <w:spacing w:val="-4"/>
          <w:rtl/>
        </w:rPr>
        <w:tab/>
        <w:t>(د)</w:t>
      </w:r>
      <w:r w:rsidRPr="00E03FE9">
        <w:rPr>
          <w:spacing w:val="-4"/>
          <w:rtl/>
        </w:rPr>
        <w:tab/>
        <w:t>خطة العمل المتعلقة بمنع العنف المن</w:t>
      </w:r>
      <w:r w:rsidR="00E03FE9" w:rsidRPr="00E03FE9">
        <w:rPr>
          <w:spacing w:val="-4"/>
          <w:rtl/>
        </w:rPr>
        <w:t>زلي والعنف الجنساني للفترة ٢٠١٥</w:t>
      </w:r>
      <w:r w:rsidR="00E03FE9" w:rsidRPr="00E03FE9">
        <w:rPr>
          <w:rFonts w:hint="cs"/>
          <w:spacing w:val="-4"/>
          <w:rtl/>
        </w:rPr>
        <w:t>-</w:t>
      </w:r>
      <w:r w:rsidR="00E03FE9">
        <w:rPr>
          <w:rFonts w:hint="cs"/>
          <w:spacing w:val="-4"/>
          <w:rtl/>
        </w:rPr>
        <w:t xml:space="preserve">2018 </w:t>
      </w:r>
      <w:r w:rsidR="00F022D3">
        <w:rPr>
          <w:rFonts w:hint="cs"/>
          <w:spacing w:val="-4"/>
          <w:rtl/>
        </w:rPr>
        <w:t xml:space="preserve">في </w:t>
      </w:r>
      <w:r w:rsidRPr="00E03FE9">
        <w:rPr>
          <w:spacing w:val="-4"/>
          <w:rtl/>
        </w:rPr>
        <w:t>عام ٢٠١٥</w:t>
      </w:r>
      <w:r>
        <w:rPr>
          <w:rtl/>
        </w:rPr>
        <w:t>؛</w:t>
      </w:r>
    </w:p>
    <w:p w:rsidR="0072308B" w:rsidRDefault="0072308B" w:rsidP="00B86B8D">
      <w:pPr>
        <w:pStyle w:val="SingleTxtGA"/>
      </w:pPr>
      <w:r>
        <w:rPr>
          <w:rtl/>
        </w:rPr>
        <w:tab/>
        <w:t>(هـ)</w:t>
      </w:r>
      <w:r>
        <w:rPr>
          <w:rtl/>
        </w:rPr>
        <w:tab/>
        <w:t>خطة العمل من أجل التعليم الشامل للجميع للفترة ٢٠١٦</w:t>
      </w:r>
      <w:r w:rsidR="00E03FE9">
        <w:rPr>
          <w:rFonts w:hint="cs"/>
          <w:rtl/>
        </w:rPr>
        <w:t>-</w:t>
      </w:r>
      <w:r>
        <w:rPr>
          <w:rtl/>
        </w:rPr>
        <w:t>2018</w:t>
      </w:r>
      <w:r>
        <w:rPr>
          <w:rFonts w:hint="cs"/>
          <w:rtl/>
        </w:rPr>
        <w:t xml:space="preserve">، </w:t>
      </w:r>
      <w:r>
        <w:rPr>
          <w:rtl/>
        </w:rPr>
        <w:t>في عام</w:t>
      </w:r>
      <w:r w:rsidR="00B86B8D">
        <w:rPr>
          <w:rFonts w:hint="cs"/>
          <w:rtl/>
        </w:rPr>
        <w:t> </w:t>
      </w:r>
      <w:r>
        <w:rPr>
          <w:rtl/>
        </w:rPr>
        <w:t>٢٠١٥؛</w:t>
      </w:r>
    </w:p>
    <w:p w:rsidR="0072308B" w:rsidRDefault="0072308B" w:rsidP="00E03FE9">
      <w:pPr>
        <w:pStyle w:val="SingleTxtGA"/>
      </w:pPr>
      <w:r>
        <w:rPr>
          <w:rtl/>
        </w:rPr>
        <w:tab/>
        <w:t>(و)</w:t>
      </w:r>
      <w:r>
        <w:rPr>
          <w:rtl/>
        </w:rPr>
        <w:tab/>
        <w:t>حملة مكافحة العنصرية والعنف بدوافع الكراهية، في عام 2014.</w:t>
      </w:r>
    </w:p>
    <w:p w:rsidR="0072308B" w:rsidRDefault="0072308B" w:rsidP="00E03FE9">
      <w:pPr>
        <w:pStyle w:val="H1GA"/>
      </w:pPr>
      <w:r>
        <w:tab/>
      </w:r>
      <w:r>
        <w:rPr>
          <w:rtl/>
        </w:rPr>
        <w:t>جيم-</w:t>
      </w:r>
      <w:r>
        <w:rPr>
          <w:rtl/>
        </w:rPr>
        <w:tab/>
        <w:t>دواعي القلق الرئيسية والتوصيات</w:t>
      </w:r>
    </w:p>
    <w:p w:rsidR="0072308B" w:rsidRDefault="0072308B" w:rsidP="00E03FE9">
      <w:pPr>
        <w:pStyle w:val="H23GA"/>
      </w:pPr>
      <w:r>
        <w:rPr>
          <w:rtl/>
        </w:rPr>
        <w:tab/>
      </w:r>
      <w:r>
        <w:rPr>
          <w:rtl/>
        </w:rPr>
        <w:tab/>
        <w:t>مسائل المتابعة المعلَّقة منذ الجولة السابقة لتقديم التقارير</w:t>
      </w:r>
    </w:p>
    <w:p w:rsidR="0072308B" w:rsidRDefault="0072308B" w:rsidP="00336033">
      <w:pPr>
        <w:pStyle w:val="SingleTxtGA"/>
      </w:pPr>
      <w:r>
        <w:rPr>
          <w:rtl/>
        </w:rPr>
        <w:t>٧-</w:t>
      </w:r>
      <w:r>
        <w:rPr>
          <w:rtl/>
        </w:rPr>
        <w:tab/>
        <w:t>طلبت اللجنة إلى الدولة الطرف، في ملاحظاتها الختامية السابقة</w:t>
      </w:r>
      <w:r>
        <w:rPr>
          <w:rFonts w:hint="cs"/>
          <w:rtl/>
        </w:rPr>
        <w:t>،</w:t>
      </w:r>
      <w:r>
        <w:rPr>
          <w:rtl/>
        </w:rPr>
        <w:t xml:space="preserve"> أن تزودها بمعلومات أوفى عما حددته اللجنة من مسائل مثيرة للقلق بوجه خاص (انظر </w:t>
      </w:r>
      <w:r>
        <w:t>CAT/C/CZE/CO/4-5</w:t>
      </w:r>
      <w:r>
        <w:rPr>
          <w:rtl/>
        </w:rPr>
        <w:t xml:space="preserve">، الفقرة 26). وتعرب اللجنة عن تقديرها للدولة الطرف لما وافته بها من ردود متابعة بشأن </w:t>
      </w:r>
      <w:r>
        <w:rPr>
          <w:rFonts w:hint="cs"/>
          <w:rtl/>
        </w:rPr>
        <w:t>تلك</w:t>
      </w:r>
      <w:r>
        <w:rPr>
          <w:rtl/>
        </w:rPr>
        <w:t xml:space="preserve"> المسائل (</w:t>
      </w:r>
      <w:r>
        <w:t>CAT/C/BIH/CO/2-5/Add.1</w:t>
      </w:r>
      <w:r>
        <w:rPr>
          <w:rtl/>
        </w:rPr>
        <w:t>). وفي ضوء هذه المعلومات، ترى اللجنة أن التوصيات المتعلقة بالاعتداءات على الروما والتمييز ضد أطفال الروما، وحالة مرافق الطب النفسي (انظر</w:t>
      </w:r>
      <w:r w:rsidR="00336033">
        <w:rPr>
          <w:rFonts w:hint="eastAsia"/>
          <w:rtl/>
          <w:lang w:bidi="ar-DZ"/>
        </w:rPr>
        <w:t> </w:t>
      </w:r>
      <w:r>
        <w:t>CAT/C/CZE/CO/4-5</w:t>
      </w:r>
      <w:r>
        <w:rPr>
          <w:rtl/>
        </w:rPr>
        <w:t xml:space="preserve"> الفقرات ١١</w:t>
      </w:r>
      <w:r w:rsidR="00E03FE9">
        <w:rPr>
          <w:rtl/>
        </w:rPr>
        <w:t xml:space="preserve"> و</w:t>
      </w:r>
      <w:r>
        <w:rPr>
          <w:rtl/>
        </w:rPr>
        <w:t>١٤ و21، على التوالي) لم تنفذ بالكامل بعد.</w:t>
      </w:r>
    </w:p>
    <w:p w:rsidR="0072308B" w:rsidRDefault="0072308B" w:rsidP="00E03FE9">
      <w:pPr>
        <w:pStyle w:val="H23GA"/>
      </w:pPr>
      <w:r>
        <w:rPr>
          <w:rtl/>
        </w:rPr>
        <w:tab/>
      </w:r>
      <w:r>
        <w:rPr>
          <w:rtl/>
        </w:rPr>
        <w:tab/>
      </w:r>
      <w:r w:rsidRPr="003903FB">
        <w:rPr>
          <w:rtl/>
        </w:rPr>
        <w:t>تعريف التعذيب</w:t>
      </w:r>
      <w:r>
        <w:rPr>
          <w:rtl/>
        </w:rPr>
        <w:t xml:space="preserve"> </w:t>
      </w:r>
      <w:r>
        <w:rPr>
          <w:rFonts w:ascii="Arial" w:hAnsi="Arial" w:cs="Arial" w:hint="cs"/>
          <w:rtl/>
        </w:rPr>
        <w:t>‬</w:t>
      </w:r>
    </w:p>
    <w:p w:rsidR="0072308B" w:rsidRDefault="0072308B" w:rsidP="00E03FE9">
      <w:pPr>
        <w:pStyle w:val="SingleTxtGA"/>
      </w:pPr>
      <w:r>
        <w:rPr>
          <w:rtl/>
        </w:rPr>
        <w:t>٨-</w:t>
      </w:r>
      <w:r>
        <w:rPr>
          <w:rtl/>
        </w:rPr>
        <w:tab/>
        <w:t>تشعر اللجنة بالقلق لأن التعريف الحالي للتعذيب الوارد في المادة ١٤٩</w:t>
      </w:r>
      <w:r w:rsidR="003D1D8E">
        <w:rPr>
          <w:rtl/>
        </w:rPr>
        <w:t>(</w:t>
      </w:r>
      <w:r>
        <w:rPr>
          <w:rtl/>
        </w:rPr>
        <w:t xml:space="preserve">١) من القانون الجنائي لا يتضمن جميع </w:t>
      </w:r>
      <w:r>
        <w:rPr>
          <w:rFonts w:hint="cs"/>
          <w:rtl/>
        </w:rPr>
        <w:t>الأركان</w:t>
      </w:r>
      <w:r>
        <w:rPr>
          <w:rtl/>
        </w:rPr>
        <w:t xml:space="preserve"> المنصوص عليها في المادة ١ من الاتفاقية، بما في ذلك </w:t>
      </w:r>
      <w:r>
        <w:rPr>
          <w:rFonts w:hint="cs"/>
          <w:rtl/>
        </w:rPr>
        <w:t>الأغراض</w:t>
      </w:r>
      <w:r>
        <w:rPr>
          <w:rtl/>
        </w:rPr>
        <w:t xml:space="preserve">. </w:t>
      </w:r>
    </w:p>
    <w:p w:rsidR="0072308B" w:rsidRDefault="0072308B" w:rsidP="000E14AB">
      <w:pPr>
        <w:pStyle w:val="SingleTxtGA"/>
      </w:pPr>
      <w:r>
        <w:rPr>
          <w:rtl/>
        </w:rPr>
        <w:t>٩-</w:t>
      </w:r>
      <w:r>
        <w:rPr>
          <w:rtl/>
        </w:rPr>
        <w:tab/>
      </w:r>
      <w:r w:rsidRPr="003903FB">
        <w:rPr>
          <w:b/>
          <w:bCs/>
          <w:rtl/>
        </w:rPr>
        <w:t>و</w:t>
      </w:r>
      <w:r>
        <w:rPr>
          <w:rFonts w:hint="cs"/>
          <w:b/>
          <w:bCs/>
          <w:rtl/>
        </w:rPr>
        <w:t xml:space="preserve">إذ </w:t>
      </w:r>
      <w:r w:rsidRPr="003903FB">
        <w:rPr>
          <w:b/>
          <w:bCs/>
          <w:rtl/>
        </w:rPr>
        <w:t>تذكر اللجنة</w:t>
      </w:r>
      <w:r>
        <w:rPr>
          <w:b/>
          <w:bCs/>
          <w:rtl/>
        </w:rPr>
        <w:t xml:space="preserve"> </w:t>
      </w:r>
      <w:r w:rsidRPr="003903FB">
        <w:rPr>
          <w:b/>
          <w:bCs/>
          <w:rtl/>
        </w:rPr>
        <w:t xml:space="preserve">بتوصيتها السابقة (انظر </w:t>
      </w:r>
      <w:r w:rsidRPr="003903FB">
        <w:rPr>
          <w:b/>
          <w:bCs/>
        </w:rPr>
        <w:t>CAT/C/CZE/CO/4-5</w:t>
      </w:r>
      <w:r w:rsidRPr="003903FB">
        <w:rPr>
          <w:b/>
          <w:bCs/>
          <w:rtl/>
        </w:rPr>
        <w:t>، الفقرة 7)</w:t>
      </w:r>
      <w:r>
        <w:rPr>
          <w:b/>
          <w:bCs/>
          <w:rtl/>
        </w:rPr>
        <w:t xml:space="preserve">، </w:t>
      </w:r>
      <w:r w:rsidRPr="003903FB">
        <w:rPr>
          <w:b/>
          <w:bCs/>
          <w:rtl/>
        </w:rPr>
        <w:t xml:space="preserve">تحث الدولة الطرف على أن تعتمد تعريفاً للتعذيب يشمل جميع </w:t>
      </w:r>
      <w:r>
        <w:rPr>
          <w:rFonts w:hint="cs"/>
          <w:b/>
          <w:bCs/>
          <w:rtl/>
        </w:rPr>
        <w:t>الأركان</w:t>
      </w:r>
      <w:r w:rsidRPr="003903FB">
        <w:rPr>
          <w:b/>
          <w:bCs/>
          <w:rtl/>
        </w:rPr>
        <w:t xml:space="preserve"> الواردة في المادة 1 من الاتفاقية. وتوجه اللجنة انتباه الدولة الطرف إلى </w:t>
      </w:r>
      <w:r w:rsidR="00FE359F">
        <w:rPr>
          <w:b/>
          <w:bCs/>
          <w:rtl/>
        </w:rPr>
        <w:t>الفقرة 9 من تعليقها العام رقم</w:t>
      </w:r>
      <w:r w:rsidR="000E14AB">
        <w:rPr>
          <w:rFonts w:hint="cs"/>
          <w:b/>
          <w:bCs/>
          <w:rtl/>
        </w:rPr>
        <w:t> </w:t>
      </w:r>
      <w:r w:rsidR="00FE359F">
        <w:rPr>
          <w:b/>
          <w:bCs/>
          <w:rtl/>
        </w:rPr>
        <w:t>2</w:t>
      </w:r>
      <w:r w:rsidRPr="003903FB">
        <w:rPr>
          <w:b/>
          <w:bCs/>
          <w:rtl/>
        </w:rPr>
        <w:t>(2007) بشأن تنفيذ الدول الأطراف للمادة 2، الذي يشير إلى أن التناقضات الخطيرة بين التعريف المحدد في الاتفاقية وذلك الوارد في القانون المحلي يؤدي إلى ثغرات فعلية أو محتملة تتيح إمكانية الإفلات من العقاب</w:t>
      </w:r>
      <w:r>
        <w:rPr>
          <w:rtl/>
        </w:rPr>
        <w:t xml:space="preserve">. </w:t>
      </w:r>
    </w:p>
    <w:p w:rsidR="0072308B" w:rsidRDefault="0072308B" w:rsidP="00FE359F">
      <w:pPr>
        <w:pStyle w:val="H23GA"/>
      </w:pPr>
      <w:r>
        <w:rPr>
          <w:rtl/>
        </w:rPr>
        <w:tab/>
      </w:r>
      <w:r>
        <w:rPr>
          <w:rtl/>
        </w:rPr>
        <w:tab/>
        <w:t>الضمانات القانونية الأساسية</w:t>
      </w:r>
    </w:p>
    <w:p w:rsidR="0072308B" w:rsidRDefault="0072308B" w:rsidP="003D1D8E">
      <w:pPr>
        <w:pStyle w:val="SingleTxtGA"/>
      </w:pPr>
      <w:r>
        <w:rPr>
          <w:rtl/>
        </w:rPr>
        <w:t>١٠-</w:t>
      </w:r>
      <w:r>
        <w:rPr>
          <w:rtl/>
        </w:rPr>
        <w:tab/>
        <w:t>وإذ تضع اللجنة في اعتبارها الضمانات الإجرائية المنصوص عليها في التشريعات المحلية، فإنها لا</w:t>
      </w:r>
      <w:r w:rsidR="00FE359F">
        <w:rPr>
          <w:rtl/>
        </w:rPr>
        <w:t xml:space="preserve"> تزال تشعر بالقلق لأن المادة ٢٤</w:t>
      </w:r>
      <w:r>
        <w:rPr>
          <w:rtl/>
        </w:rPr>
        <w:t>(٤) من قانون الشرطة (رقم</w:t>
      </w:r>
      <w:r w:rsidR="00F022D3">
        <w:rPr>
          <w:rFonts w:hint="cs"/>
          <w:rtl/>
        </w:rPr>
        <w:t xml:space="preserve"> </w:t>
      </w:r>
      <w:r>
        <w:rPr>
          <w:rtl/>
        </w:rPr>
        <w:t xml:space="preserve">٢٧٣/2008) تنص على </w:t>
      </w:r>
      <w:r>
        <w:rPr>
          <w:rFonts w:hint="cs"/>
          <w:rtl/>
        </w:rPr>
        <w:t xml:space="preserve">أن </w:t>
      </w:r>
      <w:r>
        <w:rPr>
          <w:rtl/>
        </w:rPr>
        <w:t xml:space="preserve">الحق في الاستعانة بمحام إنما يكون على </w:t>
      </w:r>
      <w:r>
        <w:rPr>
          <w:rFonts w:hint="cs"/>
          <w:rtl/>
        </w:rPr>
        <w:t>نفقة</w:t>
      </w:r>
      <w:r>
        <w:rPr>
          <w:rtl/>
        </w:rPr>
        <w:t xml:space="preserve"> الشخص المعني</w:t>
      </w:r>
      <w:r>
        <w:rPr>
          <w:rFonts w:hint="cs"/>
          <w:rtl/>
        </w:rPr>
        <w:t>،</w:t>
      </w:r>
      <w:r>
        <w:rPr>
          <w:rtl/>
        </w:rPr>
        <w:t xml:space="preserve"> و</w:t>
      </w:r>
      <w:r>
        <w:rPr>
          <w:rFonts w:hint="cs"/>
          <w:rtl/>
        </w:rPr>
        <w:t>ل</w:t>
      </w:r>
      <w:r>
        <w:rPr>
          <w:rtl/>
        </w:rPr>
        <w:t xml:space="preserve">أن المساعدة القانونية المجانية </w:t>
      </w:r>
      <w:r>
        <w:rPr>
          <w:rtl/>
        </w:rPr>
        <w:lastRenderedPageBreak/>
        <w:t>غير متاحة منذ اللحظة الأولى لسلب الحرية. ويساورها القلق أيض</w:t>
      </w:r>
      <w:r w:rsidR="000E14AB">
        <w:rPr>
          <w:rtl/>
        </w:rPr>
        <w:t xml:space="preserve">اً </w:t>
      </w:r>
      <w:r>
        <w:rPr>
          <w:rtl/>
        </w:rPr>
        <w:t>لأن أفراد الشرطة، في الممارسة، لا يحترمون دائم</w:t>
      </w:r>
      <w:r w:rsidR="000E14AB">
        <w:rPr>
          <w:rtl/>
        </w:rPr>
        <w:t xml:space="preserve">اً </w:t>
      </w:r>
      <w:r>
        <w:rPr>
          <w:rtl/>
        </w:rPr>
        <w:t>حق الأشخاص المحتجزين في إبلاغهم بحقوقهم، وفي إخطا</w:t>
      </w:r>
      <w:r w:rsidR="00F022D3">
        <w:rPr>
          <w:rtl/>
        </w:rPr>
        <w:t>ر أحد الأقارب باحتجازهم (المواد</w:t>
      </w:r>
      <w:r>
        <w:rPr>
          <w:rtl/>
        </w:rPr>
        <w:t xml:space="preserve"> ٢،</w:t>
      </w:r>
      <w:r w:rsidR="00E03FE9">
        <w:rPr>
          <w:rtl/>
        </w:rPr>
        <w:t xml:space="preserve"> و</w:t>
      </w:r>
      <w:r w:rsidR="003D1D8E">
        <w:rPr>
          <w:rtl/>
        </w:rPr>
        <w:t>١٢</w:t>
      </w:r>
      <w:r w:rsidR="003D1D8E">
        <w:rPr>
          <w:rFonts w:hint="cs"/>
          <w:rtl/>
        </w:rPr>
        <w:t>-</w:t>
      </w:r>
      <w:r>
        <w:rPr>
          <w:rtl/>
        </w:rPr>
        <w:t>١٤</w:t>
      </w:r>
      <w:r w:rsidR="00E03FE9">
        <w:rPr>
          <w:rtl/>
        </w:rPr>
        <w:t xml:space="preserve"> و</w:t>
      </w:r>
      <w:r>
        <w:rPr>
          <w:rtl/>
        </w:rPr>
        <w:t>١٦)</w:t>
      </w:r>
      <w:r>
        <w:rPr>
          <w:rFonts w:hint="cs"/>
          <w:rtl/>
        </w:rPr>
        <w:t>.</w:t>
      </w:r>
    </w:p>
    <w:p w:rsidR="0072308B" w:rsidRPr="003903FB" w:rsidRDefault="0072308B" w:rsidP="00E03FE9">
      <w:pPr>
        <w:pStyle w:val="SingleTxtGA"/>
        <w:rPr>
          <w:b/>
          <w:bCs/>
        </w:rPr>
      </w:pPr>
      <w:r>
        <w:rPr>
          <w:rtl/>
        </w:rPr>
        <w:t>١١-</w:t>
      </w:r>
      <w:r>
        <w:rPr>
          <w:rtl/>
        </w:rPr>
        <w:tab/>
      </w:r>
      <w:r w:rsidRPr="003903FB">
        <w:rPr>
          <w:b/>
          <w:bCs/>
          <w:rtl/>
        </w:rPr>
        <w:t>ينبغي</w:t>
      </w:r>
      <w:r>
        <w:rPr>
          <w:rFonts w:hint="cs"/>
          <w:b/>
          <w:bCs/>
          <w:rtl/>
        </w:rPr>
        <w:t xml:space="preserve"> أن تتخذ</w:t>
      </w:r>
      <w:r w:rsidRPr="003903FB">
        <w:rPr>
          <w:b/>
          <w:bCs/>
          <w:rtl/>
        </w:rPr>
        <w:t xml:space="preserve"> </w:t>
      </w:r>
      <w:r>
        <w:rPr>
          <w:rFonts w:hint="cs"/>
          <w:b/>
          <w:bCs/>
          <w:rtl/>
        </w:rPr>
        <w:t>ا</w:t>
      </w:r>
      <w:r w:rsidRPr="003903FB">
        <w:rPr>
          <w:b/>
          <w:bCs/>
          <w:rtl/>
        </w:rPr>
        <w:t xml:space="preserve">لدولة الطرف تدابير فعالة لضمان </w:t>
      </w:r>
      <w:r>
        <w:rPr>
          <w:rFonts w:hint="cs"/>
          <w:b/>
          <w:bCs/>
          <w:rtl/>
        </w:rPr>
        <w:t>تخويل</w:t>
      </w:r>
      <w:r w:rsidRPr="003903FB">
        <w:rPr>
          <w:b/>
          <w:bCs/>
          <w:rtl/>
        </w:rPr>
        <w:t xml:space="preserve"> جميع الأشخاص المحتجزين، </w:t>
      </w:r>
      <w:r>
        <w:rPr>
          <w:rFonts w:hint="cs"/>
          <w:b/>
          <w:bCs/>
          <w:rtl/>
        </w:rPr>
        <w:t>تخويل</w:t>
      </w:r>
      <w:r w:rsidR="000E14AB">
        <w:rPr>
          <w:rFonts w:hint="cs"/>
          <w:b/>
          <w:bCs/>
          <w:rtl/>
        </w:rPr>
        <w:t xml:space="preserve">اً </w:t>
      </w:r>
      <w:r>
        <w:rPr>
          <w:rFonts w:hint="cs"/>
          <w:b/>
          <w:bCs/>
          <w:rtl/>
        </w:rPr>
        <w:t xml:space="preserve">بنص قانوني وفي </w:t>
      </w:r>
      <w:r w:rsidRPr="003903FB">
        <w:rPr>
          <w:b/>
          <w:bCs/>
          <w:rtl/>
        </w:rPr>
        <w:t xml:space="preserve">الممارسة، جميع الضمانات القانونية الأساسية منذ لحظة سلبهم حريتهم، </w:t>
      </w:r>
      <w:r>
        <w:rPr>
          <w:rFonts w:hint="cs"/>
          <w:b/>
          <w:bCs/>
          <w:rtl/>
        </w:rPr>
        <w:t xml:space="preserve">وذلك </w:t>
      </w:r>
      <w:r w:rsidRPr="003903FB">
        <w:rPr>
          <w:b/>
          <w:bCs/>
          <w:rtl/>
        </w:rPr>
        <w:t>وفق</w:t>
      </w:r>
      <w:r w:rsidR="000E14AB">
        <w:rPr>
          <w:b/>
          <w:bCs/>
          <w:rtl/>
        </w:rPr>
        <w:t xml:space="preserve">اً </w:t>
      </w:r>
      <w:r w:rsidRPr="003903FB">
        <w:rPr>
          <w:b/>
          <w:bCs/>
          <w:rtl/>
        </w:rPr>
        <w:t>للمعايير الدولية، بما في ذلك على سبيل المثال لا</w:t>
      </w:r>
      <w:r>
        <w:rPr>
          <w:b/>
          <w:bCs/>
          <w:rtl/>
        </w:rPr>
        <w:t xml:space="preserve"> </w:t>
      </w:r>
      <w:r w:rsidRPr="003903FB">
        <w:rPr>
          <w:b/>
          <w:bCs/>
          <w:rtl/>
        </w:rPr>
        <w:t>الحصر، حقهم فيما يلي:</w:t>
      </w:r>
    </w:p>
    <w:p w:rsidR="0072308B" w:rsidRPr="003903FB" w:rsidRDefault="0072308B" w:rsidP="00E03FE9">
      <w:pPr>
        <w:pStyle w:val="SingleTxtGA"/>
        <w:rPr>
          <w:b/>
          <w:bCs/>
        </w:rPr>
      </w:pPr>
      <w:r w:rsidRPr="003903FB">
        <w:rPr>
          <w:b/>
          <w:bCs/>
          <w:rtl/>
        </w:rPr>
        <w:tab/>
      </w:r>
      <w:r w:rsidRPr="00FE359F">
        <w:rPr>
          <w:rtl/>
        </w:rPr>
        <w:t>(أ)</w:t>
      </w:r>
      <w:r w:rsidRPr="00FE359F">
        <w:rPr>
          <w:rtl/>
        </w:rPr>
        <w:tab/>
      </w:r>
      <w:r w:rsidRPr="003903FB">
        <w:rPr>
          <w:b/>
          <w:bCs/>
          <w:rtl/>
        </w:rPr>
        <w:t>إبلاغهم شفوياً وكتابياً، بلغة يفهمونها، بالتهم الموجهة إليهم وبحقوقهم، والإشهاد على أنهم فهموا المعلومات المقدمة إليهم؛</w:t>
      </w:r>
    </w:p>
    <w:p w:rsidR="0072308B" w:rsidRPr="003903FB" w:rsidRDefault="0072308B" w:rsidP="00E03FE9">
      <w:pPr>
        <w:pStyle w:val="SingleTxtGA"/>
        <w:rPr>
          <w:rFonts w:hint="cs"/>
          <w:b/>
          <w:bCs/>
          <w:rtl/>
          <w:lang w:bidi="ar-DZ"/>
        </w:rPr>
      </w:pPr>
      <w:r w:rsidRPr="00FE359F">
        <w:rPr>
          <w:rtl/>
        </w:rPr>
        <w:tab/>
        <w:t>(ب)</w:t>
      </w:r>
      <w:r w:rsidRPr="00FE359F">
        <w:rPr>
          <w:rtl/>
        </w:rPr>
        <w:tab/>
      </w:r>
      <w:r w:rsidRPr="003903FB">
        <w:rPr>
          <w:b/>
          <w:bCs/>
          <w:rtl/>
        </w:rPr>
        <w:t xml:space="preserve">أن تتاح لهم </w:t>
      </w:r>
      <w:r>
        <w:rPr>
          <w:rFonts w:hint="cs"/>
          <w:b/>
          <w:bCs/>
          <w:rtl/>
        </w:rPr>
        <w:t>فور</w:t>
      </w:r>
      <w:r w:rsidR="000E14AB">
        <w:rPr>
          <w:rFonts w:hint="cs"/>
          <w:b/>
          <w:bCs/>
          <w:rtl/>
        </w:rPr>
        <w:t xml:space="preserve">اً </w:t>
      </w:r>
      <w:r w:rsidRPr="003903FB">
        <w:rPr>
          <w:b/>
          <w:bCs/>
          <w:rtl/>
        </w:rPr>
        <w:t>إمكانية الاتصال بأحد أفراد أسرهم أو بأي شخص آخر يختارونه بأنفسهم؛</w:t>
      </w:r>
    </w:p>
    <w:p w:rsidR="0072308B" w:rsidRPr="003903FB" w:rsidRDefault="0072308B" w:rsidP="00E03FE9">
      <w:pPr>
        <w:pStyle w:val="SingleTxtGA"/>
        <w:rPr>
          <w:b/>
          <w:bCs/>
        </w:rPr>
      </w:pPr>
      <w:r w:rsidRPr="003903FB">
        <w:rPr>
          <w:b/>
          <w:bCs/>
          <w:rtl/>
        </w:rPr>
        <w:tab/>
      </w:r>
      <w:r w:rsidRPr="00FE359F">
        <w:rPr>
          <w:rtl/>
        </w:rPr>
        <w:t>(ج)</w:t>
      </w:r>
      <w:r w:rsidRPr="003903FB">
        <w:rPr>
          <w:b/>
          <w:bCs/>
          <w:rtl/>
        </w:rPr>
        <w:tab/>
        <w:t xml:space="preserve">أن تتاح لهم </w:t>
      </w:r>
      <w:r>
        <w:rPr>
          <w:rFonts w:hint="cs"/>
          <w:b/>
          <w:bCs/>
          <w:rtl/>
        </w:rPr>
        <w:t>فور</w:t>
      </w:r>
      <w:r w:rsidR="000E14AB">
        <w:rPr>
          <w:rFonts w:hint="cs"/>
          <w:b/>
          <w:bCs/>
          <w:rtl/>
        </w:rPr>
        <w:t xml:space="preserve">اً </w:t>
      </w:r>
      <w:r w:rsidRPr="003903FB">
        <w:rPr>
          <w:b/>
          <w:bCs/>
          <w:rtl/>
        </w:rPr>
        <w:t xml:space="preserve">إمكانية الاستعانة، في إطار من السرية، بمحامٍ مؤهل ومستقل، أو </w:t>
      </w:r>
      <w:r>
        <w:rPr>
          <w:rFonts w:hint="cs"/>
          <w:b/>
          <w:bCs/>
          <w:rtl/>
        </w:rPr>
        <w:t xml:space="preserve">إمكانية </w:t>
      </w:r>
      <w:r w:rsidRPr="003903FB">
        <w:rPr>
          <w:b/>
          <w:bCs/>
          <w:rtl/>
        </w:rPr>
        <w:t xml:space="preserve">الحصول على </w:t>
      </w:r>
      <w:r>
        <w:rPr>
          <w:rFonts w:hint="cs"/>
          <w:b/>
          <w:bCs/>
          <w:rtl/>
        </w:rPr>
        <w:t>المساعدة</w:t>
      </w:r>
      <w:r w:rsidRPr="003903FB">
        <w:rPr>
          <w:b/>
          <w:bCs/>
          <w:rtl/>
        </w:rPr>
        <w:t xml:space="preserve"> القانونية المجانية عند الحاجة؛ </w:t>
      </w:r>
      <w:r w:rsidRPr="003903FB">
        <w:rPr>
          <w:rFonts w:ascii="Arial" w:hAnsi="Arial" w:cs="Arial" w:hint="cs"/>
          <w:b/>
          <w:bCs/>
          <w:rtl/>
        </w:rPr>
        <w:t>‬</w:t>
      </w:r>
    </w:p>
    <w:p w:rsidR="0072308B" w:rsidRDefault="0072308B" w:rsidP="00E03FE9">
      <w:pPr>
        <w:pStyle w:val="SingleTxtGA"/>
        <w:rPr>
          <w:b/>
          <w:bCs/>
          <w:rtl/>
        </w:rPr>
      </w:pPr>
      <w:r w:rsidRPr="00FE359F">
        <w:rPr>
          <w:rtl/>
        </w:rPr>
        <w:tab/>
        <w:t>(د)</w:t>
      </w:r>
      <w:r w:rsidRPr="003903FB">
        <w:rPr>
          <w:b/>
          <w:bCs/>
          <w:rtl/>
        </w:rPr>
        <w:tab/>
        <w:t>أن تُدوَّن جميع فترات سلبهم لحريتهم تسجيل</w:t>
      </w:r>
      <w:r w:rsidR="000E14AB">
        <w:rPr>
          <w:b/>
          <w:bCs/>
          <w:rtl/>
        </w:rPr>
        <w:t xml:space="preserve">اً </w:t>
      </w:r>
      <w:r w:rsidRPr="003903FB">
        <w:rPr>
          <w:b/>
          <w:bCs/>
          <w:rtl/>
        </w:rPr>
        <w:t>دقيق</w:t>
      </w:r>
      <w:r w:rsidR="000E14AB">
        <w:rPr>
          <w:b/>
          <w:bCs/>
          <w:rtl/>
        </w:rPr>
        <w:t xml:space="preserve">اً </w:t>
      </w:r>
      <w:r w:rsidRPr="003903FB">
        <w:rPr>
          <w:b/>
          <w:bCs/>
          <w:rtl/>
        </w:rPr>
        <w:t>مباشرة بعد القبض عليهم في سجل محفوظ في مكان الاحتجاز وفي سجل مركزي للأشخاص المسلوبي الحرية وأن توضع تقارير عن الاحتجاز تبع</w:t>
      </w:r>
      <w:r w:rsidR="000E14AB">
        <w:rPr>
          <w:b/>
          <w:bCs/>
          <w:rtl/>
        </w:rPr>
        <w:t xml:space="preserve">اً </w:t>
      </w:r>
      <w:r w:rsidRPr="003903FB">
        <w:rPr>
          <w:b/>
          <w:bCs/>
          <w:rtl/>
        </w:rPr>
        <w:t>لذلك لمنع عدم تسجيل أي حالة احتجاز. وينبغي ضمان إتاحة فرص اطلاع المحامين وأقارب المحتجزين على السجل.</w:t>
      </w:r>
    </w:p>
    <w:p w:rsidR="0072308B" w:rsidRDefault="0072308B" w:rsidP="00FE359F">
      <w:pPr>
        <w:pStyle w:val="H23GA"/>
      </w:pPr>
      <w:r>
        <w:rPr>
          <w:rtl/>
        </w:rPr>
        <w:tab/>
      </w:r>
      <w:r>
        <w:rPr>
          <w:rtl/>
        </w:rPr>
        <w:tab/>
        <w:t xml:space="preserve">الفحوص الطبية </w:t>
      </w:r>
    </w:p>
    <w:p w:rsidR="0072308B" w:rsidRDefault="0072308B" w:rsidP="00FE359F">
      <w:pPr>
        <w:pStyle w:val="SingleTxtGA"/>
      </w:pPr>
      <w:r>
        <w:rPr>
          <w:rtl/>
        </w:rPr>
        <w:t>١٢-</w:t>
      </w:r>
      <w:r>
        <w:rPr>
          <w:rtl/>
        </w:rPr>
        <w:tab/>
        <w:t xml:space="preserve">تعرب اللجنة عن القلق بصفة خاصة لأن الفحوص الطبية للمحتجزين تجري بحضور حراس السجون وضباط الشرطة، وأن المادة ٥١ من قانون خدمات الرعاية الصحية تمنع </w:t>
      </w:r>
      <w:r>
        <w:rPr>
          <w:rFonts w:hint="cs"/>
          <w:rtl/>
        </w:rPr>
        <w:t>المهنيين</w:t>
      </w:r>
      <w:r>
        <w:rPr>
          <w:rtl/>
        </w:rPr>
        <w:t xml:space="preserve"> الطبيين من الإبلاغ عن حالات الاشتباه في التعذيب وإساءة المعاملة. ويساورها القلق أيض</w:t>
      </w:r>
      <w:r w:rsidR="000E14AB">
        <w:rPr>
          <w:rtl/>
        </w:rPr>
        <w:t xml:space="preserve">اً </w:t>
      </w:r>
      <w:r>
        <w:rPr>
          <w:rtl/>
        </w:rPr>
        <w:t xml:space="preserve">إزاء </w:t>
      </w:r>
      <w:r w:rsidRPr="00FE359F">
        <w:rPr>
          <w:spacing w:val="4"/>
          <w:rtl/>
        </w:rPr>
        <w:t>التقارير التي تفيد ب</w:t>
      </w:r>
      <w:r w:rsidRPr="00FE359F">
        <w:rPr>
          <w:rFonts w:hint="cs"/>
          <w:spacing w:val="4"/>
          <w:rtl/>
        </w:rPr>
        <w:t xml:space="preserve">عدم احترام </w:t>
      </w:r>
      <w:r w:rsidRPr="00FE359F">
        <w:rPr>
          <w:spacing w:val="4"/>
          <w:rtl/>
        </w:rPr>
        <w:t>حق المحتجزين في أن يعرضوا على طبيب من اختيارهم لإجراء</w:t>
      </w:r>
      <w:r w:rsidR="00FE359F" w:rsidRPr="00FE359F">
        <w:rPr>
          <w:rFonts w:hint="cs"/>
          <w:spacing w:val="4"/>
          <w:rtl/>
        </w:rPr>
        <w:t> </w:t>
      </w:r>
      <w:r w:rsidRPr="00FE359F">
        <w:rPr>
          <w:spacing w:val="4"/>
          <w:rtl/>
        </w:rPr>
        <w:t>فحص طبي. وتلاحظ اللجنة مع القلق أن النظام الحالي لتسجيل الاستنتاجات الطبية لا</w:t>
      </w:r>
      <w:r w:rsidR="00FE359F" w:rsidRPr="00FE359F">
        <w:rPr>
          <w:rFonts w:hint="cs"/>
          <w:spacing w:val="4"/>
          <w:rtl/>
        </w:rPr>
        <w:t> </w:t>
      </w:r>
      <w:r w:rsidRPr="00FE359F">
        <w:rPr>
          <w:rFonts w:hint="cs"/>
          <w:spacing w:val="4"/>
          <w:rtl/>
        </w:rPr>
        <w:t>ي</w:t>
      </w:r>
      <w:r w:rsidRPr="00FE359F">
        <w:rPr>
          <w:spacing w:val="4"/>
          <w:rtl/>
        </w:rPr>
        <w:t>قدم معلومات مفيدة لغرض التحقيق في ادعاءات التعذيب وسوء المعاملة (المواد</w:t>
      </w:r>
      <w:r w:rsidR="00FE359F">
        <w:rPr>
          <w:rFonts w:hint="cs"/>
          <w:spacing w:val="4"/>
          <w:rtl/>
        </w:rPr>
        <w:t> </w:t>
      </w:r>
      <w:r w:rsidRPr="00FE359F">
        <w:rPr>
          <w:spacing w:val="4"/>
          <w:rtl/>
        </w:rPr>
        <w:t>٢</w:t>
      </w:r>
      <w:r w:rsidR="00E03FE9" w:rsidRPr="00FE359F">
        <w:rPr>
          <w:spacing w:val="4"/>
          <w:rtl/>
        </w:rPr>
        <w:t xml:space="preserve"> و</w:t>
      </w:r>
      <w:r w:rsidRPr="00FE359F">
        <w:rPr>
          <w:spacing w:val="4"/>
          <w:rtl/>
        </w:rPr>
        <w:t>١٢</w:t>
      </w:r>
      <w:r w:rsidR="00FE359F" w:rsidRPr="00FE359F">
        <w:rPr>
          <w:rFonts w:hint="cs"/>
          <w:spacing w:val="4"/>
          <w:rtl/>
        </w:rPr>
        <w:t>-</w:t>
      </w:r>
      <w:r w:rsidRPr="00FE359F">
        <w:rPr>
          <w:spacing w:val="4"/>
          <w:rtl/>
        </w:rPr>
        <w:t>١٤</w:t>
      </w:r>
      <w:r w:rsidR="00E03FE9" w:rsidRPr="00FE359F">
        <w:rPr>
          <w:spacing w:val="4"/>
          <w:rtl/>
        </w:rPr>
        <w:t xml:space="preserve"> و</w:t>
      </w:r>
      <w:r w:rsidRPr="00FE359F">
        <w:rPr>
          <w:spacing w:val="4"/>
          <w:rtl/>
        </w:rPr>
        <w:t>١٦</w:t>
      </w:r>
      <w:r>
        <w:rPr>
          <w:rtl/>
        </w:rPr>
        <w:t>).</w:t>
      </w:r>
    </w:p>
    <w:p w:rsidR="0072308B" w:rsidRPr="003903FB" w:rsidRDefault="0072308B" w:rsidP="00E03FE9">
      <w:pPr>
        <w:pStyle w:val="SingleTxtGA"/>
        <w:rPr>
          <w:b/>
          <w:bCs/>
        </w:rPr>
      </w:pPr>
      <w:r>
        <w:rPr>
          <w:rtl/>
        </w:rPr>
        <w:t>١٣-</w:t>
      </w:r>
      <w:r>
        <w:rPr>
          <w:rtl/>
        </w:rPr>
        <w:tab/>
      </w:r>
      <w:r w:rsidRPr="003903FB">
        <w:rPr>
          <w:b/>
          <w:bCs/>
          <w:rtl/>
        </w:rPr>
        <w:t>تدعو اللجنة الدولة الطرف إلى اعتماد تدابير تشريعية وإدارية وغيرها من التدابير اللازمة لضمان ما يلي:</w:t>
      </w:r>
    </w:p>
    <w:p w:rsidR="0072308B" w:rsidRPr="003903FB" w:rsidRDefault="0072308B" w:rsidP="00E03FE9">
      <w:pPr>
        <w:pStyle w:val="SingleTxtGA"/>
        <w:rPr>
          <w:b/>
          <w:bCs/>
        </w:rPr>
      </w:pPr>
      <w:r w:rsidRPr="00FE359F">
        <w:rPr>
          <w:rtl/>
        </w:rPr>
        <w:tab/>
        <w:t>(أ)</w:t>
      </w:r>
      <w:r w:rsidRPr="00FE359F">
        <w:rPr>
          <w:rtl/>
        </w:rPr>
        <w:tab/>
      </w:r>
      <w:r w:rsidRPr="003903FB">
        <w:rPr>
          <w:b/>
          <w:bCs/>
          <w:rtl/>
        </w:rPr>
        <w:t>أن يكون لجميع المحتجزين الحق في طلب الخضوع لفحص طبي على يد طبيب مستقل، بما في ذلك طبيب من اختيارهم، منذ بداية سلب الحرية؛</w:t>
      </w:r>
    </w:p>
    <w:p w:rsidR="0072308B" w:rsidRPr="003903FB" w:rsidRDefault="0072308B" w:rsidP="00E03FE9">
      <w:pPr>
        <w:pStyle w:val="SingleTxtGA"/>
        <w:rPr>
          <w:b/>
          <w:bCs/>
        </w:rPr>
      </w:pPr>
      <w:r w:rsidRPr="00FE359F">
        <w:rPr>
          <w:rtl/>
        </w:rPr>
        <w:tab/>
        <w:t>(ب)</w:t>
      </w:r>
      <w:r w:rsidRPr="00FE359F">
        <w:rPr>
          <w:rtl/>
        </w:rPr>
        <w:tab/>
      </w:r>
      <w:r w:rsidRPr="003903FB">
        <w:rPr>
          <w:b/>
          <w:bCs/>
          <w:rtl/>
        </w:rPr>
        <w:t>أن تجرى الفحوص الطبية بعيد</w:t>
      </w:r>
      <w:r w:rsidR="000E14AB">
        <w:rPr>
          <w:b/>
          <w:bCs/>
          <w:rtl/>
        </w:rPr>
        <w:t xml:space="preserve">اً </w:t>
      </w:r>
      <w:r w:rsidRPr="003903FB">
        <w:rPr>
          <w:b/>
          <w:bCs/>
          <w:rtl/>
        </w:rPr>
        <w:t xml:space="preserve">عن </w:t>
      </w:r>
      <w:r>
        <w:rPr>
          <w:rFonts w:hint="cs"/>
          <w:b/>
          <w:bCs/>
          <w:rtl/>
        </w:rPr>
        <w:t>مسمع ومرأى</w:t>
      </w:r>
      <w:r w:rsidRPr="003903FB">
        <w:rPr>
          <w:b/>
          <w:bCs/>
          <w:rtl/>
        </w:rPr>
        <w:t xml:space="preserve"> أفراد الشرطة وموظفي السجون، ما لم يطلب الطبيب المعني خلاف ذلك صراحة؛ </w:t>
      </w:r>
    </w:p>
    <w:p w:rsidR="0072308B" w:rsidRPr="003903FB" w:rsidRDefault="0072308B" w:rsidP="00FE359F">
      <w:pPr>
        <w:pStyle w:val="SingleTxtGA"/>
        <w:rPr>
          <w:b/>
          <w:bCs/>
        </w:rPr>
      </w:pPr>
      <w:r w:rsidRPr="003903FB">
        <w:rPr>
          <w:b/>
          <w:bCs/>
          <w:rtl/>
        </w:rPr>
        <w:tab/>
      </w:r>
      <w:r w:rsidRPr="00FE359F">
        <w:rPr>
          <w:rtl/>
        </w:rPr>
        <w:t>(ج)</w:t>
      </w:r>
      <w:r w:rsidRPr="003903FB">
        <w:rPr>
          <w:b/>
          <w:bCs/>
          <w:rtl/>
        </w:rPr>
        <w:tab/>
        <w:t>أن يتضمن السجل الذي يُعدُّ بعد الفحص الطبي جملة عناصر منها ما</w:t>
      </w:r>
      <w:r w:rsidR="00FE359F">
        <w:rPr>
          <w:rFonts w:hint="cs"/>
          <w:b/>
          <w:bCs/>
          <w:rtl/>
        </w:rPr>
        <w:t> </w:t>
      </w:r>
      <w:r w:rsidRPr="003903FB">
        <w:rPr>
          <w:b/>
          <w:bCs/>
          <w:rtl/>
        </w:rPr>
        <w:t xml:space="preserve">يلي: </w:t>
      </w:r>
      <w:r w:rsidR="00FE359F">
        <w:rPr>
          <w:rFonts w:hint="cs"/>
          <w:b/>
          <w:bCs/>
          <w:rtl/>
        </w:rPr>
        <w:t>‘</w:t>
      </w:r>
      <w:r w:rsidRPr="003903FB">
        <w:rPr>
          <w:b/>
          <w:bCs/>
          <w:rtl/>
        </w:rPr>
        <w:t xml:space="preserve">1‘ وصف لأقوال الشخص المتصلة بالفحص الطبي (بما في ذلك حالته الصحية </w:t>
      </w:r>
      <w:r w:rsidRPr="003903FB">
        <w:rPr>
          <w:b/>
          <w:bCs/>
          <w:rtl/>
        </w:rPr>
        <w:lastRenderedPageBreak/>
        <w:t>و</w:t>
      </w:r>
      <w:r w:rsidR="00F022D3">
        <w:rPr>
          <w:b/>
          <w:bCs/>
          <w:rtl/>
        </w:rPr>
        <w:t xml:space="preserve">أي ادعاءات بشأن سوء المعاملة)؛ </w:t>
      </w:r>
      <w:r w:rsidR="00F022D3">
        <w:rPr>
          <w:rFonts w:hint="cs"/>
          <w:b/>
          <w:bCs/>
          <w:rtl/>
        </w:rPr>
        <w:t>‘</w:t>
      </w:r>
      <w:r w:rsidRPr="003903FB">
        <w:rPr>
          <w:b/>
          <w:bCs/>
          <w:rtl/>
        </w:rPr>
        <w:t xml:space="preserve">2‘ </w:t>
      </w:r>
      <w:r>
        <w:rPr>
          <w:rFonts w:hint="cs"/>
          <w:b/>
          <w:bCs/>
          <w:rtl/>
        </w:rPr>
        <w:t>و</w:t>
      </w:r>
      <w:r w:rsidRPr="003903FB">
        <w:rPr>
          <w:b/>
          <w:bCs/>
          <w:rtl/>
        </w:rPr>
        <w:t xml:space="preserve">وصف كامل للاستنتاجات الطبية الموضوعية بناءً على فحص شامل؛ </w:t>
      </w:r>
      <w:r w:rsidR="00F022D3">
        <w:rPr>
          <w:rFonts w:hint="eastAsia"/>
          <w:b/>
          <w:bCs/>
          <w:rtl/>
        </w:rPr>
        <w:t>‘</w:t>
      </w:r>
      <w:r w:rsidRPr="003903FB">
        <w:rPr>
          <w:b/>
          <w:bCs/>
          <w:rtl/>
        </w:rPr>
        <w:t xml:space="preserve">3‘ </w:t>
      </w:r>
      <w:r>
        <w:rPr>
          <w:rFonts w:hint="cs"/>
          <w:b/>
          <w:bCs/>
          <w:rtl/>
        </w:rPr>
        <w:t>و</w:t>
      </w:r>
      <w:r w:rsidRPr="003903FB">
        <w:rPr>
          <w:b/>
          <w:bCs/>
          <w:rtl/>
        </w:rPr>
        <w:t xml:space="preserve">ملاحظات </w:t>
      </w:r>
      <w:r>
        <w:rPr>
          <w:rFonts w:hint="cs"/>
          <w:b/>
          <w:bCs/>
          <w:rtl/>
        </w:rPr>
        <w:t>مهنيي</w:t>
      </w:r>
      <w:r w:rsidRPr="003903FB">
        <w:rPr>
          <w:b/>
          <w:bCs/>
          <w:rtl/>
        </w:rPr>
        <w:t xml:space="preserve"> الرعاية الصحية في ضوء العنصرين </w:t>
      </w:r>
      <w:r w:rsidR="00F022D3">
        <w:rPr>
          <w:rFonts w:hint="eastAsia"/>
          <w:b/>
          <w:bCs/>
          <w:rtl/>
        </w:rPr>
        <w:t>‘</w:t>
      </w:r>
      <w:r w:rsidRPr="003903FB">
        <w:rPr>
          <w:b/>
          <w:bCs/>
          <w:rtl/>
        </w:rPr>
        <w:t>1‘ و</w:t>
      </w:r>
      <w:r w:rsidR="00F022D3">
        <w:rPr>
          <w:rFonts w:hint="eastAsia"/>
          <w:b/>
          <w:bCs/>
          <w:rtl/>
        </w:rPr>
        <w:t>‘</w:t>
      </w:r>
      <w:r w:rsidRPr="003903FB">
        <w:rPr>
          <w:b/>
          <w:bCs/>
          <w:rtl/>
        </w:rPr>
        <w:t>2‘، التي تشير إلى الاتساق بين أي ادعاءات والاستنتاجات الطبية الموضوعية</w:t>
      </w:r>
      <w:r>
        <w:rPr>
          <w:rFonts w:hint="cs"/>
          <w:b/>
          <w:bCs/>
          <w:rtl/>
        </w:rPr>
        <w:t>؛</w:t>
      </w:r>
    </w:p>
    <w:p w:rsidR="0072308B" w:rsidRPr="003903FB" w:rsidRDefault="0072308B" w:rsidP="00E03FE9">
      <w:pPr>
        <w:pStyle w:val="SingleTxtGA"/>
        <w:rPr>
          <w:b/>
          <w:bCs/>
        </w:rPr>
      </w:pPr>
      <w:r w:rsidRPr="00FE359F">
        <w:rPr>
          <w:rtl/>
        </w:rPr>
        <w:tab/>
        <w:t>(د)</w:t>
      </w:r>
      <w:r w:rsidRPr="003903FB">
        <w:rPr>
          <w:b/>
          <w:bCs/>
          <w:rtl/>
        </w:rPr>
        <w:tab/>
        <w:t>أن يعرض السجل الطبي فور</w:t>
      </w:r>
      <w:r w:rsidR="000E14AB">
        <w:rPr>
          <w:b/>
          <w:bCs/>
          <w:rtl/>
        </w:rPr>
        <w:t xml:space="preserve">اً </w:t>
      </w:r>
      <w:r w:rsidRPr="003903FB">
        <w:rPr>
          <w:b/>
          <w:bCs/>
          <w:rtl/>
        </w:rPr>
        <w:t>وبانتظام على نظر مدع عام في الحالات التي قد تشير فيها</w:t>
      </w:r>
      <w:r>
        <w:rPr>
          <w:b/>
          <w:bCs/>
          <w:rtl/>
        </w:rPr>
        <w:t xml:space="preserve"> </w:t>
      </w:r>
      <w:r w:rsidRPr="003903FB">
        <w:rPr>
          <w:b/>
          <w:bCs/>
          <w:rtl/>
        </w:rPr>
        <w:t xml:space="preserve">النتائج أو الادعاءات إلى </w:t>
      </w:r>
      <w:r>
        <w:rPr>
          <w:rFonts w:hint="cs"/>
          <w:b/>
          <w:bCs/>
          <w:rtl/>
        </w:rPr>
        <w:t>حدوث</w:t>
      </w:r>
      <w:r w:rsidRPr="003903FB">
        <w:rPr>
          <w:b/>
          <w:bCs/>
          <w:rtl/>
        </w:rPr>
        <w:t xml:space="preserve"> تعذيب أو سوء معاملة؛ </w:t>
      </w:r>
    </w:p>
    <w:p w:rsidR="0072308B" w:rsidRDefault="0072308B" w:rsidP="00E03FE9">
      <w:pPr>
        <w:pStyle w:val="SingleTxtGA"/>
        <w:rPr>
          <w:rtl/>
        </w:rPr>
      </w:pPr>
      <w:r w:rsidRPr="003903FB">
        <w:rPr>
          <w:b/>
          <w:bCs/>
          <w:rtl/>
        </w:rPr>
        <w:tab/>
      </w:r>
      <w:r w:rsidRPr="00FE359F">
        <w:rPr>
          <w:rtl/>
        </w:rPr>
        <w:t>(هـ)</w:t>
      </w:r>
      <w:r w:rsidRPr="003903FB">
        <w:rPr>
          <w:b/>
          <w:bCs/>
          <w:rtl/>
        </w:rPr>
        <w:tab/>
        <w:t>أن ينص تعديل قانون خدمات الرعاية الصحية (رقم 372/2011) نص</w:t>
      </w:r>
      <w:r w:rsidR="000E14AB">
        <w:rPr>
          <w:b/>
          <w:bCs/>
          <w:rtl/>
        </w:rPr>
        <w:t xml:space="preserve">اً </w:t>
      </w:r>
      <w:r w:rsidRPr="003903FB">
        <w:rPr>
          <w:b/>
          <w:bCs/>
          <w:rtl/>
        </w:rPr>
        <w:t>صريح</w:t>
      </w:r>
      <w:r w:rsidR="000E14AB">
        <w:rPr>
          <w:b/>
          <w:bCs/>
          <w:rtl/>
        </w:rPr>
        <w:t xml:space="preserve">اً </w:t>
      </w:r>
      <w:r w:rsidRPr="003903FB">
        <w:rPr>
          <w:b/>
          <w:bCs/>
          <w:rtl/>
        </w:rPr>
        <w:t xml:space="preserve">على التزام </w:t>
      </w:r>
      <w:r>
        <w:rPr>
          <w:rFonts w:hint="cs"/>
          <w:b/>
          <w:bCs/>
          <w:rtl/>
        </w:rPr>
        <w:t>مهنيي</w:t>
      </w:r>
      <w:r w:rsidRPr="003903FB">
        <w:rPr>
          <w:b/>
          <w:bCs/>
          <w:rtl/>
        </w:rPr>
        <w:t xml:space="preserve"> الرعاية الصحية بإبلاغ</w:t>
      </w:r>
      <w:r>
        <w:rPr>
          <w:rFonts w:hint="cs"/>
          <w:b/>
          <w:bCs/>
          <w:rtl/>
        </w:rPr>
        <w:t xml:space="preserve"> </w:t>
      </w:r>
      <w:r w:rsidRPr="003903FB">
        <w:rPr>
          <w:b/>
          <w:bCs/>
          <w:rtl/>
        </w:rPr>
        <w:t>السلطات المختص</w:t>
      </w:r>
      <w:r>
        <w:rPr>
          <w:rFonts w:hint="cs"/>
          <w:b/>
          <w:bCs/>
          <w:rtl/>
        </w:rPr>
        <w:t>ة</w:t>
      </w:r>
      <w:r w:rsidRPr="003903FB">
        <w:rPr>
          <w:b/>
          <w:bCs/>
          <w:rtl/>
        </w:rPr>
        <w:t xml:space="preserve"> </w:t>
      </w:r>
      <w:r>
        <w:rPr>
          <w:rFonts w:hint="cs"/>
          <w:b/>
          <w:bCs/>
          <w:rtl/>
        </w:rPr>
        <w:t>ب</w:t>
      </w:r>
      <w:r w:rsidRPr="003903FB">
        <w:rPr>
          <w:b/>
          <w:bCs/>
          <w:rtl/>
        </w:rPr>
        <w:t>حالات الاشتباه في</w:t>
      </w:r>
      <w:r>
        <w:rPr>
          <w:rFonts w:hint="cs"/>
          <w:b/>
          <w:bCs/>
          <w:rtl/>
        </w:rPr>
        <w:t xml:space="preserve"> </w:t>
      </w:r>
      <w:r w:rsidRPr="003903FB">
        <w:rPr>
          <w:b/>
          <w:bCs/>
          <w:rtl/>
        </w:rPr>
        <w:t>التعذيب وسوء المعاملة</w:t>
      </w:r>
      <w:r>
        <w:rPr>
          <w:rFonts w:hint="cs"/>
          <w:b/>
          <w:bCs/>
          <w:rtl/>
        </w:rPr>
        <w:t xml:space="preserve"> </w:t>
      </w:r>
      <w:r w:rsidRPr="003903FB">
        <w:rPr>
          <w:b/>
          <w:bCs/>
          <w:rtl/>
        </w:rPr>
        <w:t>وعلى عدم</w:t>
      </w:r>
      <w:r>
        <w:rPr>
          <w:rFonts w:hint="cs"/>
          <w:b/>
          <w:bCs/>
          <w:rtl/>
        </w:rPr>
        <w:t xml:space="preserve"> جواز</w:t>
      </w:r>
      <w:r w:rsidRPr="003903FB">
        <w:rPr>
          <w:b/>
          <w:bCs/>
          <w:rtl/>
        </w:rPr>
        <w:t xml:space="preserve"> تعرض أخصائيي الرعاية الصحية لأي شكل من أشكال الضغط غير المبرر أو الانتقام عند أدا</w:t>
      </w:r>
      <w:r>
        <w:rPr>
          <w:rFonts w:hint="cs"/>
          <w:b/>
          <w:bCs/>
          <w:rtl/>
        </w:rPr>
        <w:t>ئهم</w:t>
      </w:r>
      <w:r w:rsidRPr="003903FB">
        <w:rPr>
          <w:b/>
          <w:bCs/>
          <w:rtl/>
        </w:rPr>
        <w:t xml:space="preserve"> لواجبهم</w:t>
      </w:r>
      <w:r>
        <w:rPr>
          <w:rtl/>
        </w:rPr>
        <w:t>.</w:t>
      </w:r>
    </w:p>
    <w:p w:rsidR="0072308B" w:rsidRDefault="0072308B" w:rsidP="00FE359F">
      <w:pPr>
        <w:pStyle w:val="H23GA"/>
        <w:rPr>
          <w:rtl/>
        </w:rPr>
      </w:pPr>
      <w:r>
        <w:rPr>
          <w:rtl/>
        </w:rPr>
        <w:tab/>
      </w:r>
      <w:r>
        <w:rPr>
          <w:rtl/>
        </w:rPr>
        <w:tab/>
        <w:t xml:space="preserve">التفتيش </w:t>
      </w:r>
      <w:r>
        <w:rPr>
          <w:rFonts w:hint="cs"/>
          <w:rtl/>
        </w:rPr>
        <w:t xml:space="preserve">بعد التعرية </w:t>
      </w:r>
      <w:r>
        <w:rPr>
          <w:rtl/>
        </w:rPr>
        <w:t>في مراكز الاحتجاز</w:t>
      </w:r>
    </w:p>
    <w:p w:rsidR="0072308B" w:rsidRDefault="0072308B" w:rsidP="00F022D3">
      <w:pPr>
        <w:pStyle w:val="SingleTxtGA"/>
      </w:pPr>
      <w:r>
        <w:rPr>
          <w:rtl/>
        </w:rPr>
        <w:t>١٤-</w:t>
      </w:r>
      <w:r>
        <w:rPr>
          <w:rtl/>
        </w:rPr>
        <w:tab/>
        <w:t>وتشعر اللجنة بالقلق إزاء التقارير التي تفيد بأن أفراد الشرطة وموظفي السجون يجرون عادة وبصورة عشوائية تفتيش</w:t>
      </w:r>
      <w:r w:rsidR="000E14AB">
        <w:rPr>
          <w:rtl/>
        </w:rPr>
        <w:t xml:space="preserve">اً </w:t>
      </w:r>
      <w:r>
        <w:rPr>
          <w:rtl/>
        </w:rPr>
        <w:t>للأشخاص المحتجزين لدى الشرطة وفي السجون</w:t>
      </w:r>
      <w:r>
        <w:rPr>
          <w:rFonts w:hint="cs"/>
          <w:rtl/>
        </w:rPr>
        <w:t xml:space="preserve"> بعد تعريتهم</w:t>
      </w:r>
      <w:r>
        <w:rPr>
          <w:rtl/>
        </w:rPr>
        <w:t xml:space="preserve"> حيث يطلبون منهم أن </w:t>
      </w:r>
      <w:r>
        <w:rPr>
          <w:rFonts w:hint="cs"/>
          <w:rtl/>
        </w:rPr>
        <w:t>يتجردوا من</w:t>
      </w:r>
      <w:r>
        <w:rPr>
          <w:rtl/>
        </w:rPr>
        <w:t xml:space="preserve"> ملابسهم تمام</w:t>
      </w:r>
      <w:r w:rsidR="000E14AB">
        <w:rPr>
          <w:rtl/>
        </w:rPr>
        <w:t xml:space="preserve">اً </w:t>
      </w:r>
      <w:r>
        <w:rPr>
          <w:rtl/>
        </w:rPr>
        <w:t xml:space="preserve">ويقرفصوا، </w:t>
      </w:r>
      <w:r>
        <w:rPr>
          <w:rFonts w:hint="cs"/>
          <w:rtl/>
        </w:rPr>
        <w:t>بحضور</w:t>
      </w:r>
      <w:r>
        <w:rPr>
          <w:rtl/>
        </w:rPr>
        <w:t xml:space="preserve"> آخرين</w:t>
      </w:r>
      <w:r>
        <w:rPr>
          <w:rFonts w:hint="cs"/>
          <w:rtl/>
        </w:rPr>
        <w:t xml:space="preserve"> </w:t>
      </w:r>
      <w:r>
        <w:rPr>
          <w:rtl/>
        </w:rPr>
        <w:t>في بعض الحالات. ويساورها القلق كذلك إزاء عدم وجود سياسة أو مبادئ توجيهية خطية بشأن التفتيش البدني (المواد ٢</w:t>
      </w:r>
      <w:r w:rsidR="00F022D3">
        <w:rPr>
          <w:rFonts w:hint="cs"/>
          <w:rtl/>
        </w:rPr>
        <w:t xml:space="preserve"> </w:t>
      </w:r>
      <w:r>
        <w:rPr>
          <w:rtl/>
        </w:rPr>
        <w:t>و١٢</w:t>
      </w:r>
      <w:r w:rsidR="00FE359F">
        <w:rPr>
          <w:rFonts w:hint="cs"/>
          <w:rtl/>
        </w:rPr>
        <w:t>-</w:t>
      </w:r>
      <w:r>
        <w:rPr>
          <w:rtl/>
        </w:rPr>
        <w:t>١٤</w:t>
      </w:r>
      <w:r w:rsidR="00E03FE9">
        <w:rPr>
          <w:rtl/>
        </w:rPr>
        <w:t xml:space="preserve"> و</w:t>
      </w:r>
      <w:r>
        <w:rPr>
          <w:rtl/>
        </w:rPr>
        <w:t>١٦).</w:t>
      </w:r>
    </w:p>
    <w:p w:rsidR="0072308B" w:rsidRDefault="0072308B" w:rsidP="00E03FE9">
      <w:pPr>
        <w:pStyle w:val="SingleTxtGA"/>
        <w:rPr>
          <w:rtl/>
        </w:rPr>
      </w:pPr>
      <w:r>
        <w:rPr>
          <w:rtl/>
        </w:rPr>
        <w:t>١٥-</w:t>
      </w:r>
      <w:r>
        <w:rPr>
          <w:rtl/>
        </w:rPr>
        <w:tab/>
      </w:r>
      <w:r w:rsidRPr="00725A2C">
        <w:rPr>
          <w:b/>
          <w:bCs/>
          <w:rtl/>
        </w:rPr>
        <w:t>ينبغي أن تضع الدولة الطرف حد</w:t>
      </w:r>
      <w:r w:rsidR="000E14AB">
        <w:rPr>
          <w:b/>
          <w:bCs/>
          <w:rtl/>
        </w:rPr>
        <w:t xml:space="preserve">اً </w:t>
      </w:r>
      <w:r w:rsidRPr="00725A2C">
        <w:rPr>
          <w:b/>
          <w:bCs/>
          <w:rtl/>
        </w:rPr>
        <w:t xml:space="preserve">لممارسة التفتيش الاعتيادي والعشوائي للمحتجزين </w:t>
      </w:r>
      <w:r>
        <w:rPr>
          <w:rFonts w:hint="cs"/>
          <w:b/>
          <w:bCs/>
          <w:rtl/>
        </w:rPr>
        <w:t xml:space="preserve">بعد تعريتهم </w:t>
      </w:r>
      <w:r w:rsidRPr="00725A2C">
        <w:rPr>
          <w:b/>
          <w:bCs/>
          <w:rtl/>
        </w:rPr>
        <w:t>و</w:t>
      </w:r>
      <w:r>
        <w:rPr>
          <w:rFonts w:hint="cs"/>
          <w:b/>
          <w:bCs/>
          <w:rtl/>
        </w:rPr>
        <w:t xml:space="preserve">أن تضمن إجراء </w:t>
      </w:r>
      <w:r w:rsidRPr="00725A2C">
        <w:rPr>
          <w:b/>
          <w:bCs/>
          <w:rtl/>
        </w:rPr>
        <w:t xml:space="preserve">عمليات التفتيش البدني، </w:t>
      </w:r>
      <w:r>
        <w:rPr>
          <w:rFonts w:hint="cs"/>
          <w:b/>
          <w:bCs/>
          <w:rtl/>
        </w:rPr>
        <w:t>عند اللزوم</w:t>
      </w:r>
      <w:r w:rsidRPr="00725A2C">
        <w:rPr>
          <w:b/>
          <w:bCs/>
          <w:rtl/>
        </w:rPr>
        <w:t>، بطريقة تحترم كرامة المحتجزين و</w:t>
      </w:r>
      <w:r>
        <w:rPr>
          <w:rFonts w:hint="cs"/>
          <w:b/>
          <w:bCs/>
          <w:rtl/>
        </w:rPr>
        <w:t xml:space="preserve">على يد </w:t>
      </w:r>
      <w:r w:rsidRPr="00725A2C">
        <w:rPr>
          <w:b/>
          <w:bCs/>
          <w:rtl/>
        </w:rPr>
        <w:t>موظف</w:t>
      </w:r>
      <w:r>
        <w:rPr>
          <w:rFonts w:hint="cs"/>
          <w:b/>
          <w:bCs/>
          <w:rtl/>
        </w:rPr>
        <w:t>ي</w:t>
      </w:r>
      <w:r w:rsidRPr="00725A2C">
        <w:rPr>
          <w:b/>
          <w:bCs/>
          <w:rtl/>
        </w:rPr>
        <w:t xml:space="preserve">ن من نفس جنس الشخص المعني. وينبغي أن تضع الدولة الطرف وتنفذ مبادئ توجيهية </w:t>
      </w:r>
      <w:r>
        <w:rPr>
          <w:rFonts w:hint="cs"/>
          <w:b/>
          <w:bCs/>
          <w:rtl/>
        </w:rPr>
        <w:t xml:space="preserve">خطية </w:t>
      </w:r>
      <w:r w:rsidRPr="00725A2C">
        <w:rPr>
          <w:b/>
          <w:bCs/>
          <w:rtl/>
        </w:rPr>
        <w:t>تحدد الظروف والإجراءات الخاصة بإجراء تفتيش</w:t>
      </w:r>
      <w:r>
        <w:rPr>
          <w:rFonts w:hint="cs"/>
          <w:b/>
          <w:bCs/>
          <w:rtl/>
        </w:rPr>
        <w:t xml:space="preserve"> بدني</w:t>
      </w:r>
      <w:r w:rsidRPr="00725A2C">
        <w:rPr>
          <w:b/>
          <w:bCs/>
          <w:rtl/>
        </w:rPr>
        <w:t>، وأن توفر لموظفي الشرطة وموظفي السجون التدريب اللازم، وترصد بانتظام الامتثال للمبادئ التوجيهية.</w:t>
      </w:r>
      <w:r>
        <w:rPr>
          <w:rtl/>
        </w:rPr>
        <w:t xml:space="preserve"> </w:t>
      </w:r>
    </w:p>
    <w:p w:rsidR="0072308B" w:rsidRDefault="0072308B" w:rsidP="00FE359F">
      <w:pPr>
        <w:pStyle w:val="H23GA"/>
        <w:rPr>
          <w:rFonts w:ascii="Arial" w:hAnsi="Arial" w:cs="Arial"/>
          <w:rtl/>
        </w:rPr>
      </w:pPr>
      <w:r>
        <w:rPr>
          <w:rtl/>
        </w:rPr>
        <w:tab/>
      </w:r>
      <w:r>
        <w:rPr>
          <w:rtl/>
        </w:rPr>
        <w:tab/>
      </w:r>
      <w:r w:rsidRPr="003903FB">
        <w:rPr>
          <w:rtl/>
        </w:rPr>
        <w:t>شكاوى التعذيب وسوء المعاملة</w:t>
      </w:r>
      <w:r>
        <w:rPr>
          <w:rFonts w:ascii="Arial" w:hAnsi="Arial" w:cs="Arial" w:hint="cs"/>
          <w:rtl/>
        </w:rPr>
        <w:t>‬</w:t>
      </w:r>
    </w:p>
    <w:p w:rsidR="0072308B" w:rsidRPr="00FE359F" w:rsidRDefault="0072308B" w:rsidP="00FE359F">
      <w:pPr>
        <w:pStyle w:val="SingleTxtGA"/>
        <w:rPr>
          <w:spacing w:val="4"/>
        </w:rPr>
      </w:pPr>
      <w:r>
        <w:rPr>
          <w:rtl/>
        </w:rPr>
        <w:t>١٦-</w:t>
      </w:r>
      <w:r>
        <w:rPr>
          <w:rtl/>
        </w:rPr>
        <w:tab/>
      </w:r>
      <w:r>
        <w:rPr>
          <w:rFonts w:hint="cs"/>
          <w:rtl/>
        </w:rPr>
        <w:t>لئن كانت</w:t>
      </w:r>
      <w:r>
        <w:rPr>
          <w:rtl/>
        </w:rPr>
        <w:t xml:space="preserve"> اللجنة</w:t>
      </w:r>
      <w:r>
        <w:rPr>
          <w:rFonts w:hint="cs"/>
          <w:rtl/>
        </w:rPr>
        <w:t xml:space="preserve"> تلاحظ</w:t>
      </w:r>
      <w:r>
        <w:rPr>
          <w:rtl/>
        </w:rPr>
        <w:t xml:space="preserve"> أن المفتشية العامة لقوات الأمن لم تعد تابعة لوزارة الداخلية، فإنها تشعر بالقلق إزاء الادعاءات التي تفيد بأنها لا تزال تتألف إلى حد كبير من الأعضاء السابقين في مفتشية الشرطة، وهي الهيئة التي كانت تعمل تحت سلطة وزارة الداخلية، ومن ثم فإن استقلال المفتشية العامة قد لا </w:t>
      </w:r>
      <w:r>
        <w:rPr>
          <w:rFonts w:hint="cs"/>
          <w:rtl/>
        </w:rPr>
        <w:t>ي</w:t>
      </w:r>
      <w:r>
        <w:rPr>
          <w:rtl/>
        </w:rPr>
        <w:t>كون مكفول</w:t>
      </w:r>
      <w:r w:rsidR="000E14AB">
        <w:rPr>
          <w:rFonts w:hint="cs"/>
          <w:rtl/>
        </w:rPr>
        <w:t xml:space="preserve">اً </w:t>
      </w:r>
      <w:r>
        <w:rPr>
          <w:rtl/>
        </w:rPr>
        <w:t>في الممارسة. ونظر</w:t>
      </w:r>
      <w:r w:rsidR="000E14AB">
        <w:rPr>
          <w:rtl/>
        </w:rPr>
        <w:t xml:space="preserve">اً </w:t>
      </w:r>
      <w:r>
        <w:rPr>
          <w:rtl/>
        </w:rPr>
        <w:t xml:space="preserve">لانخفاض عدد الشكاوى </w:t>
      </w:r>
      <w:r w:rsidRPr="00FE359F">
        <w:rPr>
          <w:spacing w:val="4"/>
          <w:rtl/>
        </w:rPr>
        <w:t>المتعلقة بادعاءات التعذيب وسوء المعاملة، فإن اللجنة تأسف لعدم وجود بيانات مصنفة</w:t>
      </w:r>
      <w:r w:rsidR="00FE359F">
        <w:rPr>
          <w:rFonts w:hint="cs"/>
          <w:spacing w:val="4"/>
          <w:rtl/>
        </w:rPr>
        <w:t> </w:t>
      </w:r>
      <w:r w:rsidRPr="00FE359F">
        <w:rPr>
          <w:spacing w:val="4"/>
          <w:rtl/>
        </w:rPr>
        <w:t>بشأن الشكاوى المقدمة ومعلومات مفصلة عن التحقيقات ذات الصلة ونتائجها (المادتان ١٢</w:t>
      </w:r>
      <w:r w:rsidR="00E03FE9" w:rsidRPr="00FE359F">
        <w:rPr>
          <w:spacing w:val="4"/>
          <w:rtl/>
        </w:rPr>
        <w:t xml:space="preserve"> و</w:t>
      </w:r>
      <w:r w:rsidRPr="00FE359F">
        <w:rPr>
          <w:spacing w:val="4"/>
          <w:rtl/>
        </w:rPr>
        <w:t xml:space="preserve">١٣). </w:t>
      </w:r>
    </w:p>
    <w:p w:rsidR="0072308B" w:rsidRPr="00725A2C" w:rsidRDefault="0072308B" w:rsidP="00E03FE9">
      <w:pPr>
        <w:pStyle w:val="SingleTxtGA"/>
        <w:rPr>
          <w:b/>
          <w:bCs/>
        </w:rPr>
      </w:pPr>
      <w:r>
        <w:rPr>
          <w:rtl/>
        </w:rPr>
        <w:t>١٧-</w:t>
      </w:r>
      <w:r>
        <w:rPr>
          <w:rtl/>
        </w:rPr>
        <w:tab/>
      </w:r>
      <w:r w:rsidRPr="00725A2C">
        <w:rPr>
          <w:b/>
          <w:bCs/>
          <w:rtl/>
        </w:rPr>
        <w:t xml:space="preserve">تحث اللجنة الدولة الطرف على اعتماد </w:t>
      </w:r>
      <w:r>
        <w:rPr>
          <w:rFonts w:hint="cs"/>
          <w:b/>
          <w:bCs/>
          <w:rtl/>
        </w:rPr>
        <w:t>ال</w:t>
      </w:r>
      <w:r w:rsidRPr="00725A2C">
        <w:rPr>
          <w:b/>
          <w:bCs/>
          <w:rtl/>
        </w:rPr>
        <w:t xml:space="preserve">تدابير </w:t>
      </w:r>
      <w:r>
        <w:rPr>
          <w:rFonts w:hint="cs"/>
          <w:b/>
          <w:bCs/>
          <w:rtl/>
        </w:rPr>
        <w:t>اللازمة</w:t>
      </w:r>
      <w:r w:rsidRPr="00725A2C">
        <w:rPr>
          <w:b/>
          <w:bCs/>
          <w:rtl/>
        </w:rPr>
        <w:t xml:space="preserve"> من أجل ما يلي:</w:t>
      </w:r>
    </w:p>
    <w:p w:rsidR="0072308B" w:rsidRPr="00725A2C" w:rsidRDefault="0072308B" w:rsidP="00E03FE9">
      <w:pPr>
        <w:pStyle w:val="SingleTxtGA"/>
        <w:rPr>
          <w:b/>
          <w:bCs/>
        </w:rPr>
      </w:pPr>
      <w:r w:rsidRPr="00FE359F">
        <w:rPr>
          <w:rtl/>
        </w:rPr>
        <w:tab/>
        <w:t>(أ)</w:t>
      </w:r>
      <w:r w:rsidRPr="00FE359F">
        <w:rPr>
          <w:rtl/>
        </w:rPr>
        <w:tab/>
      </w:r>
      <w:r w:rsidRPr="00725A2C">
        <w:rPr>
          <w:b/>
          <w:bCs/>
          <w:rtl/>
        </w:rPr>
        <w:t xml:space="preserve">تعزيز القدرة على التحقيق وتعزيز استقلالية المفتشية العامة لقوات الأمن، بغية كفالة إحالة جميع شكاوى التعذيب وسوء المعاملة فوراً إلى هذه المفتشية، بما في ذلك أي ادعاءات صادرة عن أشخاص سُلِبوا حريتهم، والحرص على أن تكون جميع ادعاءات التعذيب أو سوء المعاملة موضع تحقيق فوري ونزيه وفعال، وأن يُحاكم المشتبه في ارتكابهم </w:t>
      </w:r>
      <w:r w:rsidRPr="00725A2C">
        <w:rPr>
          <w:b/>
          <w:bCs/>
          <w:rtl/>
        </w:rPr>
        <w:lastRenderedPageBreak/>
        <w:t xml:space="preserve">هذه الأعمال محاكمة حسب الأصول، وأن يعاقبوا إذا ثبتت إدانتهم بما يناسب جسامة أعمالهم؛ </w:t>
      </w:r>
    </w:p>
    <w:p w:rsidR="0072308B" w:rsidRPr="00725A2C" w:rsidRDefault="0072308B" w:rsidP="00E03FE9">
      <w:pPr>
        <w:pStyle w:val="SingleTxtGA"/>
        <w:rPr>
          <w:b/>
          <w:bCs/>
        </w:rPr>
      </w:pPr>
      <w:r w:rsidRPr="00FE359F">
        <w:rPr>
          <w:rtl/>
        </w:rPr>
        <w:tab/>
        <w:t>(ب)</w:t>
      </w:r>
      <w:r w:rsidRPr="00725A2C">
        <w:rPr>
          <w:b/>
          <w:bCs/>
          <w:rtl/>
        </w:rPr>
        <w:tab/>
        <w:t xml:space="preserve">ضمان وقف المسؤولين العموميين الخاضعين لتحقيق جنائي أو تأديبي يتعلق بادعاءات ارتكابهم أعمال تعذيب أو سوء معاملة عن الخدمة فوراً وطيلة </w:t>
      </w:r>
      <w:r>
        <w:rPr>
          <w:rFonts w:hint="cs"/>
          <w:b/>
          <w:bCs/>
          <w:rtl/>
        </w:rPr>
        <w:t xml:space="preserve">مدة </w:t>
      </w:r>
      <w:r w:rsidRPr="00725A2C">
        <w:rPr>
          <w:b/>
          <w:bCs/>
          <w:rtl/>
        </w:rPr>
        <w:t>التحقيق، رهناً بالتقيد بمبدأ قرينة البراءة؛</w:t>
      </w:r>
    </w:p>
    <w:p w:rsidR="0072308B" w:rsidRPr="00725A2C" w:rsidRDefault="0072308B" w:rsidP="00E03FE9">
      <w:pPr>
        <w:pStyle w:val="SingleTxtGA"/>
        <w:rPr>
          <w:b/>
          <w:bCs/>
        </w:rPr>
      </w:pPr>
      <w:r w:rsidRPr="00FE359F">
        <w:rPr>
          <w:rtl/>
        </w:rPr>
        <w:tab/>
        <w:t>(ج)</w:t>
      </w:r>
      <w:r w:rsidRPr="00725A2C">
        <w:rPr>
          <w:b/>
          <w:bCs/>
          <w:rtl/>
        </w:rPr>
        <w:tab/>
        <w:t xml:space="preserve">حماية المشتكين والضحايا مما قد ينجم عن شكاواهم من سوء معاملة أو تخويف، وإبلاغهم حسب الأصول بسير إجراءات البت في هذه الشكاوى ونتائجها، وتمكينهم من ممارسة حقهم في الانتصاف القضائي ومن المشاركة في الإجراءات متى ما أبدوا اعتراضهم </w:t>
      </w:r>
      <w:r w:rsidR="00F022D3">
        <w:rPr>
          <w:b/>
          <w:bCs/>
          <w:rtl/>
        </w:rPr>
        <w:t>على عدم اتخاذ الادعاء لأي إجراء</w:t>
      </w:r>
      <w:r w:rsidR="00F022D3">
        <w:rPr>
          <w:rFonts w:hint="cs"/>
          <w:b/>
          <w:bCs/>
          <w:rtl/>
        </w:rPr>
        <w:t>؛</w:t>
      </w:r>
    </w:p>
    <w:p w:rsidR="0072308B" w:rsidRDefault="0072308B" w:rsidP="00E03FE9">
      <w:pPr>
        <w:pStyle w:val="SingleTxtGA"/>
        <w:rPr>
          <w:rtl/>
        </w:rPr>
      </w:pPr>
      <w:r w:rsidRPr="00FE359F">
        <w:rPr>
          <w:rtl/>
        </w:rPr>
        <w:tab/>
        <w:t>(د)</w:t>
      </w:r>
      <w:r w:rsidRPr="00FE359F">
        <w:rPr>
          <w:rtl/>
        </w:rPr>
        <w:tab/>
      </w:r>
      <w:r w:rsidRPr="00725A2C">
        <w:rPr>
          <w:b/>
          <w:bCs/>
          <w:rtl/>
        </w:rPr>
        <w:t>تجميع بيانات إحصائية مصنفة عن الشكاوى والتحقيقات والملاحقات القضائية والإدانات في قضايا التعذيب وسوء المعامل</w:t>
      </w:r>
      <w:r>
        <w:rPr>
          <w:rFonts w:hint="cs"/>
          <w:b/>
          <w:bCs/>
          <w:rtl/>
        </w:rPr>
        <w:t>ة</w:t>
      </w:r>
      <w:r w:rsidRPr="00725A2C">
        <w:rPr>
          <w:b/>
          <w:bCs/>
          <w:rtl/>
        </w:rPr>
        <w:t>، وتزويد اللجنة بها.</w:t>
      </w:r>
      <w:r>
        <w:rPr>
          <w:rtl/>
        </w:rPr>
        <w:t xml:space="preserve"> </w:t>
      </w:r>
    </w:p>
    <w:p w:rsidR="0072308B" w:rsidRDefault="0072308B" w:rsidP="00FE359F">
      <w:pPr>
        <w:pStyle w:val="H23GA"/>
        <w:rPr>
          <w:rtl/>
        </w:rPr>
      </w:pPr>
      <w:r>
        <w:rPr>
          <w:rtl/>
        </w:rPr>
        <w:tab/>
      </w:r>
      <w:r>
        <w:rPr>
          <w:rtl/>
        </w:rPr>
        <w:tab/>
        <w:t>ظروف الاحتجاز</w:t>
      </w:r>
    </w:p>
    <w:p w:rsidR="0072308B" w:rsidRDefault="0072308B" w:rsidP="00E03FE9">
      <w:pPr>
        <w:pStyle w:val="SingleTxtGA"/>
      </w:pPr>
      <w:r>
        <w:rPr>
          <w:rtl/>
        </w:rPr>
        <w:t>١٨-</w:t>
      </w:r>
      <w:r>
        <w:rPr>
          <w:rtl/>
        </w:rPr>
        <w:tab/>
        <w:t xml:space="preserve">وفي حين تلاحظ اللجنة </w:t>
      </w:r>
      <w:r>
        <w:rPr>
          <w:rFonts w:hint="cs"/>
          <w:rtl/>
        </w:rPr>
        <w:t>بناء</w:t>
      </w:r>
      <w:r>
        <w:rPr>
          <w:rtl/>
        </w:rPr>
        <w:t xml:space="preserve"> أجنحة جديدة في السجون واعتماد تدابير غير احتجازية بديلة، فإنها تشعر بالقلق إزاء استمرار اكتظاظ السجون، ولا سيما في مرافق الإجراءات الأمنية المشددة، حيث أفادت التقارير بتدهور الأوضاع المعيشية، كما يساورها قلق إزاء القصور في تنفيذ التدابير البديلة. ويساور اللجنة القلق أيض</w:t>
      </w:r>
      <w:r w:rsidR="000E14AB">
        <w:rPr>
          <w:rtl/>
        </w:rPr>
        <w:t xml:space="preserve">اً </w:t>
      </w:r>
      <w:r>
        <w:rPr>
          <w:rtl/>
        </w:rPr>
        <w:t>إزاء التقارير التي تفيد بأن المحتجزين لا تتاح لهم فرص كافية للحصول على خدمات الرعاية الصحية، بما في ذلك قلة الرعاية النفسية، وانعدام خدمات الترجمة الشفوية أثناء الفحوص الطبية. وتلاحظ اللجنة مع القلق ما ثبت لدى السجناء من نية انتحارية لا تحظى تلقائي</w:t>
      </w:r>
      <w:r w:rsidR="000E14AB">
        <w:rPr>
          <w:rtl/>
        </w:rPr>
        <w:t xml:space="preserve">اً </w:t>
      </w:r>
      <w:r>
        <w:rPr>
          <w:rtl/>
        </w:rPr>
        <w:t xml:space="preserve">بمساعدة طبية، ولا سيما منها رعاية الطب النفسي. وإذ تذكر اللجنة بتوصياتها السابقة (انظر </w:t>
      </w:r>
      <w:r>
        <w:t>CAT/C/CZE/CO/4-5</w:t>
      </w:r>
      <w:r>
        <w:rPr>
          <w:rtl/>
        </w:rPr>
        <w:t>، الفقرة ١٠)، فإنها تظل تشعر بالقلق لأن الدولة الطرف لا تزال تتبع سياسة إلزام جميع المحتجزين بدفع جزء من تكاليف حبسهم (المادتان ١١</w:t>
      </w:r>
      <w:r w:rsidR="00E03FE9">
        <w:rPr>
          <w:rtl/>
        </w:rPr>
        <w:t xml:space="preserve"> و</w:t>
      </w:r>
      <w:r>
        <w:rPr>
          <w:rtl/>
        </w:rPr>
        <w:t xml:space="preserve">١٦). </w:t>
      </w:r>
    </w:p>
    <w:p w:rsidR="0072308B" w:rsidRPr="00725A2C" w:rsidRDefault="0072308B" w:rsidP="00E03FE9">
      <w:pPr>
        <w:pStyle w:val="SingleTxtGA"/>
        <w:rPr>
          <w:b/>
          <w:bCs/>
        </w:rPr>
      </w:pPr>
      <w:r>
        <w:rPr>
          <w:rtl/>
        </w:rPr>
        <w:t>١٩-</w:t>
      </w:r>
      <w:r>
        <w:rPr>
          <w:rtl/>
        </w:rPr>
        <w:tab/>
      </w:r>
      <w:r w:rsidRPr="00725A2C">
        <w:rPr>
          <w:b/>
          <w:bCs/>
          <w:rtl/>
        </w:rPr>
        <w:t>تدعو اللجنة الدولة الطرف إلى ما يلي:</w:t>
      </w:r>
    </w:p>
    <w:p w:rsidR="0072308B" w:rsidRPr="00725A2C" w:rsidRDefault="0072308B" w:rsidP="00E03FE9">
      <w:pPr>
        <w:pStyle w:val="SingleTxtGA"/>
        <w:rPr>
          <w:b/>
          <w:bCs/>
        </w:rPr>
      </w:pPr>
      <w:r w:rsidRPr="00747E08">
        <w:rPr>
          <w:rtl/>
        </w:rPr>
        <w:tab/>
        <w:t>(أ)</w:t>
      </w:r>
      <w:r w:rsidRPr="00725A2C">
        <w:rPr>
          <w:b/>
          <w:bCs/>
          <w:rtl/>
        </w:rPr>
        <w:tab/>
        <w:t xml:space="preserve">إجراء </w:t>
      </w:r>
      <w:r>
        <w:rPr>
          <w:rFonts w:hint="cs"/>
          <w:b/>
          <w:bCs/>
          <w:rtl/>
        </w:rPr>
        <w:t>مراجعة جوهرية</w:t>
      </w:r>
      <w:r w:rsidRPr="00725A2C">
        <w:rPr>
          <w:b/>
          <w:bCs/>
          <w:rtl/>
        </w:rPr>
        <w:t xml:space="preserve"> لنظامها الجنائي، لا سيما فيما يتعلق بارتفاع معدلات الحبس وحالات العود؛</w:t>
      </w:r>
    </w:p>
    <w:p w:rsidR="0072308B" w:rsidRPr="00725A2C" w:rsidRDefault="0072308B" w:rsidP="00E03FE9">
      <w:pPr>
        <w:pStyle w:val="SingleTxtGA"/>
        <w:rPr>
          <w:b/>
          <w:bCs/>
        </w:rPr>
      </w:pPr>
      <w:r w:rsidRPr="00747E08">
        <w:rPr>
          <w:rtl/>
        </w:rPr>
        <w:tab/>
        <w:t>(ب)</w:t>
      </w:r>
      <w:r w:rsidRPr="00747E08">
        <w:rPr>
          <w:rtl/>
        </w:rPr>
        <w:tab/>
      </w:r>
      <w:r w:rsidRPr="00725A2C">
        <w:rPr>
          <w:b/>
          <w:bCs/>
          <w:rtl/>
        </w:rPr>
        <w:t>تعزيز الجهود</w:t>
      </w:r>
      <w:r w:rsidRPr="00725A2C">
        <w:rPr>
          <w:rFonts w:hint="cs"/>
          <w:b/>
          <w:bCs/>
          <w:rtl/>
        </w:rPr>
        <w:t xml:space="preserve"> </w:t>
      </w:r>
      <w:r w:rsidRPr="00725A2C">
        <w:rPr>
          <w:b/>
          <w:bCs/>
          <w:rtl/>
        </w:rPr>
        <w:t>الرامية إلى تخفيض الاكتظاظ في السجون، بما في</w:t>
      </w:r>
      <w:r>
        <w:rPr>
          <w:rFonts w:hint="cs"/>
          <w:b/>
          <w:bCs/>
          <w:rtl/>
        </w:rPr>
        <w:t xml:space="preserve"> ذلك</w:t>
      </w:r>
      <w:r>
        <w:rPr>
          <w:b/>
          <w:bCs/>
          <w:rtl/>
        </w:rPr>
        <w:t xml:space="preserve"> </w:t>
      </w:r>
      <w:r w:rsidRPr="00725A2C">
        <w:rPr>
          <w:b/>
          <w:bCs/>
          <w:rtl/>
        </w:rPr>
        <w:t>تطبيق تدابير غير احتجازية كبديل عن الاحتجاز، تماشي</w:t>
      </w:r>
      <w:r w:rsidR="000E14AB">
        <w:rPr>
          <w:b/>
          <w:bCs/>
          <w:rtl/>
        </w:rPr>
        <w:t xml:space="preserve">اً </w:t>
      </w:r>
      <w:r>
        <w:rPr>
          <w:rFonts w:hint="cs"/>
          <w:b/>
          <w:bCs/>
          <w:rtl/>
        </w:rPr>
        <w:t xml:space="preserve">مع </w:t>
      </w:r>
      <w:r w:rsidRPr="00725A2C">
        <w:rPr>
          <w:b/>
          <w:bCs/>
          <w:rtl/>
        </w:rPr>
        <w:t>قواعد الأمم المتحدة النموذجية الدنيا للتدابير غير الاحتجازية (قواعد طوكيو)؛</w:t>
      </w:r>
    </w:p>
    <w:p w:rsidR="0072308B" w:rsidRPr="00725A2C" w:rsidRDefault="0072308B" w:rsidP="00E03FE9">
      <w:pPr>
        <w:pStyle w:val="SingleTxtGA"/>
        <w:rPr>
          <w:b/>
          <w:bCs/>
        </w:rPr>
      </w:pPr>
      <w:r w:rsidRPr="00747E08">
        <w:rPr>
          <w:rtl/>
        </w:rPr>
        <w:tab/>
        <w:t>(ج)</w:t>
      </w:r>
      <w:r w:rsidRPr="00747E08">
        <w:rPr>
          <w:rtl/>
        </w:rPr>
        <w:tab/>
      </w:r>
      <w:r w:rsidRPr="00725A2C">
        <w:rPr>
          <w:b/>
          <w:bCs/>
          <w:rtl/>
        </w:rPr>
        <w:t>مواءمة ظروف العيش في جميع مرافق الاحتجاز مع المعايير الدولية من قبيل قواعد الأمم المتحدة النموذجية الدنيا لمعاملة السجناء (قواعد نيلسون مانديلا) وقواعد الأمم المتحدة لمعاملة السجينات والتدابير غير الاحتجازية للمجرمات (قواعد بانكوك)؛</w:t>
      </w:r>
    </w:p>
    <w:p w:rsidR="0072308B" w:rsidRPr="00725A2C" w:rsidRDefault="0072308B" w:rsidP="00E03FE9">
      <w:pPr>
        <w:pStyle w:val="SingleTxtGA"/>
        <w:rPr>
          <w:b/>
          <w:bCs/>
        </w:rPr>
      </w:pPr>
      <w:r w:rsidRPr="00747E08">
        <w:rPr>
          <w:rtl/>
        </w:rPr>
        <w:tab/>
        <w:t>(د)</w:t>
      </w:r>
      <w:r w:rsidRPr="00747E08">
        <w:rPr>
          <w:rtl/>
        </w:rPr>
        <w:tab/>
      </w:r>
      <w:r w:rsidRPr="00725A2C">
        <w:rPr>
          <w:b/>
          <w:bCs/>
          <w:rtl/>
        </w:rPr>
        <w:t xml:space="preserve">إنهاء سياسة إلزام جميع المحتجزين بدفع جزء من تكاليف حبسهم؛ </w:t>
      </w:r>
    </w:p>
    <w:p w:rsidR="0072308B" w:rsidRPr="00725A2C" w:rsidRDefault="0072308B" w:rsidP="00E03FE9">
      <w:pPr>
        <w:pStyle w:val="SingleTxtGA"/>
        <w:rPr>
          <w:b/>
          <w:bCs/>
        </w:rPr>
      </w:pPr>
      <w:r w:rsidRPr="00747E08">
        <w:rPr>
          <w:rtl/>
        </w:rPr>
        <w:lastRenderedPageBreak/>
        <w:tab/>
        <w:t>(هـ)</w:t>
      </w:r>
      <w:r w:rsidRPr="00747E08">
        <w:rPr>
          <w:rtl/>
        </w:rPr>
        <w:tab/>
      </w:r>
      <w:r w:rsidRPr="00725A2C">
        <w:rPr>
          <w:b/>
          <w:bCs/>
          <w:rtl/>
        </w:rPr>
        <w:t xml:space="preserve">ضمان إبلاغ السلطات المركزية بجميع الوفيات </w:t>
      </w:r>
      <w:r w:rsidRPr="00725A2C">
        <w:rPr>
          <w:rFonts w:hint="cs"/>
          <w:b/>
          <w:bCs/>
          <w:rtl/>
        </w:rPr>
        <w:t>وحوادث</w:t>
      </w:r>
      <w:r w:rsidRPr="00725A2C">
        <w:rPr>
          <w:b/>
          <w:bCs/>
          <w:rtl/>
        </w:rPr>
        <w:t xml:space="preserve"> الانتحار ومحاولات الانتحار وأعمال العنف التي تحدث أثناء الاحتجاز وذلك بهدف رصدها، والتحقيق في جميع الحالات، وعند ثبوت مسؤولية جنائية، فرض عقوبة تناسب خطورة الجريمة. وينبغي أن تكفل الدولة الطرف الكشف عن</w:t>
      </w:r>
      <w:r>
        <w:rPr>
          <w:b/>
          <w:bCs/>
          <w:rtl/>
        </w:rPr>
        <w:t xml:space="preserve"> </w:t>
      </w:r>
      <w:r w:rsidRPr="00725A2C">
        <w:rPr>
          <w:b/>
          <w:bCs/>
          <w:rtl/>
        </w:rPr>
        <w:t>المحتجزين</w:t>
      </w:r>
      <w:r>
        <w:rPr>
          <w:rFonts w:hint="cs"/>
          <w:b/>
          <w:bCs/>
          <w:rtl/>
        </w:rPr>
        <w:t xml:space="preserve"> الضعفاء</w:t>
      </w:r>
      <w:r w:rsidRPr="00725A2C">
        <w:rPr>
          <w:b/>
          <w:bCs/>
          <w:rtl/>
        </w:rPr>
        <w:t xml:space="preserve"> المعرضين لخطر الانتحار ورصدهم وحمايتهم، </w:t>
      </w:r>
      <w:r>
        <w:rPr>
          <w:rFonts w:hint="cs"/>
          <w:b/>
          <w:bCs/>
          <w:rtl/>
        </w:rPr>
        <w:t>وتقديم</w:t>
      </w:r>
      <w:r w:rsidRPr="00725A2C">
        <w:rPr>
          <w:b/>
          <w:bCs/>
          <w:rtl/>
        </w:rPr>
        <w:t xml:space="preserve"> المساعدة الملائمة</w:t>
      </w:r>
      <w:r>
        <w:rPr>
          <w:rFonts w:hint="cs"/>
          <w:b/>
          <w:bCs/>
          <w:rtl/>
        </w:rPr>
        <w:t xml:space="preserve"> إليهم</w:t>
      </w:r>
      <w:r w:rsidRPr="00725A2C">
        <w:rPr>
          <w:b/>
          <w:bCs/>
          <w:rtl/>
        </w:rPr>
        <w:t xml:space="preserve">، بما في ذلك رعاية الطب النفسي والتدابير الوقائية الأخرى؛ </w:t>
      </w:r>
    </w:p>
    <w:p w:rsidR="0072308B" w:rsidRPr="00725A2C" w:rsidRDefault="0072308B" w:rsidP="00E03FE9">
      <w:pPr>
        <w:pStyle w:val="SingleTxtGA"/>
        <w:rPr>
          <w:b/>
          <w:bCs/>
        </w:rPr>
      </w:pPr>
      <w:r w:rsidRPr="00747E08">
        <w:rPr>
          <w:rtl/>
        </w:rPr>
        <w:tab/>
        <w:t>(و)</w:t>
      </w:r>
      <w:r w:rsidRPr="00747E08">
        <w:rPr>
          <w:rtl/>
        </w:rPr>
        <w:tab/>
      </w:r>
      <w:r w:rsidRPr="00725A2C">
        <w:rPr>
          <w:b/>
          <w:bCs/>
          <w:rtl/>
        </w:rPr>
        <w:t>ضمان فرص الاستفادة الكافية</w:t>
      </w:r>
      <w:r>
        <w:rPr>
          <w:b/>
          <w:bCs/>
          <w:rtl/>
        </w:rPr>
        <w:t xml:space="preserve"> </w:t>
      </w:r>
      <w:r w:rsidRPr="00725A2C">
        <w:rPr>
          <w:b/>
          <w:bCs/>
          <w:rtl/>
        </w:rPr>
        <w:t xml:space="preserve">من الخدمات الصحية المجانية، وخدمات الترجمة الشفوية أثناء الفحوص أو الكشوف الطبية، عند </w:t>
      </w:r>
      <w:r>
        <w:rPr>
          <w:rFonts w:hint="cs"/>
          <w:b/>
          <w:bCs/>
          <w:rtl/>
        </w:rPr>
        <w:t>الحاجة</w:t>
      </w:r>
      <w:r w:rsidRPr="00725A2C">
        <w:rPr>
          <w:b/>
          <w:bCs/>
          <w:rtl/>
        </w:rPr>
        <w:t>؛</w:t>
      </w:r>
    </w:p>
    <w:p w:rsidR="0072308B" w:rsidRDefault="0072308B" w:rsidP="00E03FE9">
      <w:pPr>
        <w:pStyle w:val="SingleTxtGA"/>
        <w:rPr>
          <w:b/>
          <w:bCs/>
          <w:rtl/>
        </w:rPr>
      </w:pPr>
      <w:r w:rsidRPr="00747E08">
        <w:rPr>
          <w:rtl/>
        </w:rPr>
        <w:tab/>
        <w:t>(ز)</w:t>
      </w:r>
      <w:r w:rsidRPr="00725A2C">
        <w:rPr>
          <w:b/>
          <w:bCs/>
          <w:rtl/>
        </w:rPr>
        <w:tab/>
        <w:t>النظر في إمكانية السماح للمنظمات غير الحكومية</w:t>
      </w:r>
      <w:r>
        <w:rPr>
          <w:b/>
          <w:bCs/>
          <w:rtl/>
        </w:rPr>
        <w:t xml:space="preserve"> </w:t>
      </w:r>
      <w:r w:rsidRPr="00725A2C">
        <w:rPr>
          <w:b/>
          <w:bCs/>
          <w:rtl/>
        </w:rPr>
        <w:t>بالرصد المنتظم لجميع أماكن الاحتجاز لاستكمال الرصد الذي تضطلع به الآلية الوقائية الوطنية.</w:t>
      </w:r>
    </w:p>
    <w:p w:rsidR="0072308B" w:rsidRDefault="0072308B" w:rsidP="00747E08">
      <w:pPr>
        <w:pStyle w:val="H23GA"/>
        <w:rPr>
          <w:rtl/>
        </w:rPr>
      </w:pPr>
      <w:r>
        <w:rPr>
          <w:rtl/>
        </w:rPr>
        <w:tab/>
      </w:r>
      <w:r>
        <w:rPr>
          <w:rtl/>
        </w:rPr>
        <w:tab/>
        <w:t>حالة متلمسي اللجوء وغيرهم من ا</w:t>
      </w:r>
      <w:r>
        <w:rPr>
          <w:rFonts w:hint="cs"/>
          <w:rtl/>
        </w:rPr>
        <w:t>لرعايا ا</w:t>
      </w:r>
      <w:r>
        <w:rPr>
          <w:rtl/>
        </w:rPr>
        <w:t>لأجانب</w:t>
      </w:r>
    </w:p>
    <w:p w:rsidR="0072308B" w:rsidRDefault="0072308B" w:rsidP="00F022D3">
      <w:pPr>
        <w:pStyle w:val="SingleTxtGA"/>
      </w:pPr>
      <w:r>
        <w:rPr>
          <w:rtl/>
        </w:rPr>
        <w:t>٢٠-</w:t>
      </w:r>
      <w:r>
        <w:rPr>
          <w:rtl/>
        </w:rPr>
        <w:tab/>
        <w:t xml:space="preserve">وتشعر اللجنة بالقلق لممارسة الدولة الطرف المتمثلة في احتجاز الأفراد الذين يلتمسون الحماية الدولية، بمن فيهم من هم في حالات ضعف بالغ، وانعدام أماكن بديلة لإيواء الأسر. وإذ تأخذ اللجنة في اعتبارها أن قانون اللجوء يحظر احتجاز ملتمسي اللجوء من الأطفال، فإنها تشعر بالقلق البالغ </w:t>
      </w:r>
      <w:r>
        <w:rPr>
          <w:rFonts w:hint="cs"/>
          <w:rtl/>
        </w:rPr>
        <w:t>ل</w:t>
      </w:r>
      <w:r>
        <w:rPr>
          <w:rtl/>
        </w:rPr>
        <w:t>أن الأسر التي لديها أطفال لا تزال تتعرض للاحتجاز في مرفق بيلا</w:t>
      </w:r>
      <w:r w:rsidR="00F57F01">
        <w:rPr>
          <w:rFonts w:hint="cs"/>
          <w:rtl/>
        </w:rPr>
        <w:t xml:space="preserve"> </w:t>
      </w:r>
      <w:r>
        <w:rPr>
          <w:rtl/>
        </w:rPr>
        <w:t>-</w:t>
      </w:r>
      <w:r w:rsidR="00F57F01">
        <w:rPr>
          <w:rFonts w:hint="cs"/>
          <w:rtl/>
        </w:rPr>
        <w:t xml:space="preserve"> </w:t>
      </w:r>
      <w:r>
        <w:rPr>
          <w:rtl/>
        </w:rPr>
        <w:t>جيزوفا لفترات كثير</w:t>
      </w:r>
      <w:r w:rsidR="000E14AB">
        <w:rPr>
          <w:rtl/>
        </w:rPr>
        <w:t xml:space="preserve">اً </w:t>
      </w:r>
      <w:r>
        <w:rPr>
          <w:rtl/>
        </w:rPr>
        <w:t>ما تتجاوز</w:t>
      </w:r>
      <w:r>
        <w:rPr>
          <w:rFonts w:hint="cs"/>
          <w:rtl/>
        </w:rPr>
        <w:t xml:space="preserve"> </w:t>
      </w:r>
      <w:r>
        <w:rPr>
          <w:rtl/>
        </w:rPr>
        <w:t>الشهرين. وتعرب اللجنة عن أسفها لأن الأشخاص المحتجزين في مراكز احتجاز المهاجرين لا تتاح لهم فرص كافية للحصول على المساعدة القانونية المجانية، مما</w:t>
      </w:r>
      <w:r w:rsidR="000E14AB">
        <w:rPr>
          <w:rFonts w:hint="cs"/>
          <w:rtl/>
        </w:rPr>
        <w:t> </w:t>
      </w:r>
      <w:r>
        <w:rPr>
          <w:rtl/>
        </w:rPr>
        <w:t>يؤدي إلى انخفاض مستويات وعيهم بحقه</w:t>
      </w:r>
      <w:r>
        <w:rPr>
          <w:rFonts w:hint="cs"/>
          <w:rtl/>
        </w:rPr>
        <w:t>م</w:t>
      </w:r>
      <w:r>
        <w:rPr>
          <w:rtl/>
        </w:rPr>
        <w:t xml:space="preserve"> في طلب اللجوء، أو الطعن في قرار سلبي. وتشعر اللجنة بالقلق أيض</w:t>
      </w:r>
      <w:r w:rsidR="000E14AB">
        <w:rPr>
          <w:rtl/>
        </w:rPr>
        <w:t xml:space="preserve">اً </w:t>
      </w:r>
      <w:r>
        <w:rPr>
          <w:rtl/>
        </w:rPr>
        <w:t>لورود تقارير ت</w:t>
      </w:r>
      <w:r>
        <w:rPr>
          <w:rFonts w:hint="cs"/>
          <w:rtl/>
        </w:rPr>
        <w:t>ف</w:t>
      </w:r>
      <w:r>
        <w:rPr>
          <w:rtl/>
        </w:rPr>
        <w:t>يد بغياب إجراءات تشغيل موحدة لتحديد وحماية الأشخاص الضعفاء، والاستخدام المفرط للقوة، من قبيل التكبيل العشوائي عند طرد الأجانب، وإلزام الأجانب الذين ينتظرون الترحيل بدفع تكاليف احتجازهم (المواد ٣</w:t>
      </w:r>
      <w:r w:rsidR="00E03FE9">
        <w:rPr>
          <w:rtl/>
        </w:rPr>
        <w:t xml:space="preserve"> و</w:t>
      </w:r>
      <w:r>
        <w:rPr>
          <w:rtl/>
        </w:rPr>
        <w:t>١١</w:t>
      </w:r>
      <w:r w:rsidR="00E03FE9">
        <w:rPr>
          <w:rtl/>
        </w:rPr>
        <w:t xml:space="preserve"> و</w:t>
      </w:r>
      <w:r>
        <w:rPr>
          <w:rtl/>
        </w:rPr>
        <w:t>١٦)</w:t>
      </w:r>
      <w:r>
        <w:rPr>
          <w:rFonts w:hint="cs"/>
          <w:rtl/>
        </w:rPr>
        <w:t>.</w:t>
      </w:r>
    </w:p>
    <w:p w:rsidR="0072308B" w:rsidRPr="00725A2C" w:rsidRDefault="0072308B" w:rsidP="00E03FE9">
      <w:pPr>
        <w:pStyle w:val="SingleTxtGA"/>
        <w:rPr>
          <w:b/>
          <w:bCs/>
        </w:rPr>
      </w:pPr>
      <w:r>
        <w:rPr>
          <w:rtl/>
        </w:rPr>
        <w:t>٢١-</w:t>
      </w:r>
      <w:r>
        <w:rPr>
          <w:rtl/>
        </w:rPr>
        <w:tab/>
      </w:r>
      <w:r w:rsidRPr="00725A2C">
        <w:rPr>
          <w:b/>
          <w:bCs/>
          <w:rtl/>
        </w:rPr>
        <w:t>ينبغي أن تتخذ الدولة الطرف كافة التدابير اللازمة لما يلي:</w:t>
      </w:r>
      <w:r w:rsidRPr="00725A2C">
        <w:rPr>
          <w:rFonts w:ascii="Arial" w:hAnsi="Arial" w:cs="Arial" w:hint="cs"/>
          <w:b/>
          <w:bCs/>
          <w:rtl/>
        </w:rPr>
        <w:t>‬</w:t>
      </w:r>
      <w:r w:rsidRPr="00725A2C">
        <w:rPr>
          <w:b/>
          <w:bCs/>
          <w:rtl/>
        </w:rPr>
        <w:t xml:space="preserve"> </w:t>
      </w:r>
      <w:r w:rsidRPr="00725A2C">
        <w:rPr>
          <w:rFonts w:ascii="Arial" w:hAnsi="Arial" w:cs="Arial" w:hint="cs"/>
          <w:b/>
          <w:bCs/>
          <w:rtl/>
        </w:rPr>
        <w:t>‬</w:t>
      </w:r>
    </w:p>
    <w:p w:rsidR="0072308B" w:rsidRPr="00725A2C" w:rsidRDefault="0072308B" w:rsidP="000E14AB">
      <w:pPr>
        <w:pStyle w:val="SingleTxtGA"/>
        <w:rPr>
          <w:b/>
          <w:bCs/>
        </w:rPr>
      </w:pPr>
      <w:r w:rsidRPr="00747E08">
        <w:rPr>
          <w:rtl/>
        </w:rPr>
        <w:tab/>
        <w:t>(أ)</w:t>
      </w:r>
      <w:r w:rsidRPr="00725A2C">
        <w:rPr>
          <w:b/>
          <w:bCs/>
          <w:rtl/>
        </w:rPr>
        <w:tab/>
        <w:t>إنهاء ممارسة احتجاز الأشخاص الذين هم بحاجة إلى الحماية الدولية، ولا</w:t>
      </w:r>
      <w:r w:rsidR="000E14AB">
        <w:rPr>
          <w:rFonts w:hint="cs"/>
          <w:b/>
          <w:bCs/>
          <w:rtl/>
        </w:rPr>
        <w:t> </w:t>
      </w:r>
      <w:r w:rsidRPr="00725A2C">
        <w:rPr>
          <w:b/>
          <w:bCs/>
          <w:rtl/>
        </w:rPr>
        <w:t>سيما الأطفال، وضمان توفير مساكن بديلة للأسر التي لديها أطفال؛</w:t>
      </w:r>
    </w:p>
    <w:p w:rsidR="0072308B" w:rsidRPr="00725A2C" w:rsidRDefault="0072308B" w:rsidP="00E03FE9">
      <w:pPr>
        <w:pStyle w:val="SingleTxtGA"/>
        <w:rPr>
          <w:b/>
          <w:bCs/>
        </w:rPr>
      </w:pPr>
      <w:r w:rsidRPr="00725A2C">
        <w:rPr>
          <w:b/>
          <w:bCs/>
          <w:rtl/>
        </w:rPr>
        <w:tab/>
      </w:r>
      <w:r w:rsidRPr="00747E08">
        <w:rPr>
          <w:rtl/>
        </w:rPr>
        <w:t>(ب)</w:t>
      </w:r>
      <w:r w:rsidRPr="00747E08">
        <w:rPr>
          <w:rtl/>
        </w:rPr>
        <w:tab/>
      </w:r>
      <w:r w:rsidRPr="00725A2C">
        <w:rPr>
          <w:b/>
          <w:bCs/>
          <w:rtl/>
        </w:rPr>
        <w:t xml:space="preserve">مواصلة جهودها الرامية إلى تحسين الظروف المادية في مراكز الاستقبال ومرافق الاحتجاز، بما في ذلك ما يتعلق بتوفير الاحتياجات الأساسية، وخدمات الرعاية الصحية والفرص التعليمية والترفيهية للأطفال؛ </w:t>
      </w:r>
    </w:p>
    <w:p w:rsidR="0072308B" w:rsidRPr="00747E08" w:rsidRDefault="0072308B" w:rsidP="00E03FE9">
      <w:pPr>
        <w:pStyle w:val="SingleTxtGA"/>
        <w:rPr>
          <w:b/>
          <w:bCs/>
        </w:rPr>
      </w:pPr>
      <w:r w:rsidRPr="00747E08">
        <w:rPr>
          <w:rtl/>
        </w:rPr>
        <w:tab/>
        <w:t>(ج)</w:t>
      </w:r>
      <w:r w:rsidRPr="00725A2C">
        <w:rPr>
          <w:b/>
          <w:bCs/>
          <w:rtl/>
        </w:rPr>
        <w:tab/>
      </w:r>
      <w:r w:rsidRPr="00747E08">
        <w:rPr>
          <w:b/>
          <w:bCs/>
          <w:rtl/>
        </w:rPr>
        <w:t>تقديم المساعدة القانونية المجانية في جميع مراكز الاستقبال والاحتجاز، وتيسير وصول المنظمات غير الحكومية المقدمة للمساعدة القانونية إلى هذه الأماكن؛</w:t>
      </w:r>
    </w:p>
    <w:p w:rsidR="0072308B" w:rsidRPr="00747E08" w:rsidRDefault="0072308B" w:rsidP="00E03FE9">
      <w:pPr>
        <w:pStyle w:val="SingleTxtGA"/>
        <w:rPr>
          <w:b/>
          <w:bCs/>
        </w:rPr>
      </w:pPr>
      <w:r w:rsidRPr="00725A2C">
        <w:rPr>
          <w:b/>
          <w:bCs/>
          <w:rtl/>
        </w:rPr>
        <w:tab/>
      </w:r>
      <w:r w:rsidRPr="00747E08">
        <w:rPr>
          <w:rtl/>
        </w:rPr>
        <w:t>(د)</w:t>
      </w:r>
      <w:r w:rsidRPr="00747E08">
        <w:rPr>
          <w:rtl/>
        </w:rPr>
        <w:tab/>
      </w:r>
      <w:r w:rsidRPr="00747E08">
        <w:rPr>
          <w:b/>
          <w:bCs/>
          <w:rtl/>
        </w:rPr>
        <w:t>وضع وتنفيذ إجراءات موحدة لتحديد وحماية الأشخاص الذين هم في حالات ضعف، بمن فيهم ضحايا التعذيب وسوء المعاملة؛</w:t>
      </w:r>
    </w:p>
    <w:p w:rsidR="0072308B" w:rsidRPr="00725A2C" w:rsidRDefault="0072308B" w:rsidP="00E03FE9">
      <w:pPr>
        <w:pStyle w:val="SingleTxtGA"/>
        <w:rPr>
          <w:b/>
          <w:bCs/>
        </w:rPr>
      </w:pPr>
      <w:r w:rsidRPr="00747E08">
        <w:rPr>
          <w:rtl/>
        </w:rPr>
        <w:tab/>
        <w:t>(هـ)</w:t>
      </w:r>
      <w:r w:rsidRPr="00725A2C">
        <w:rPr>
          <w:b/>
          <w:bCs/>
          <w:rtl/>
        </w:rPr>
        <w:tab/>
        <w:t>مراجعة سياسة إلزام الأجانب المحتجزين الذين ينتظرون ترحيلهم بدفع تكاليف احتجازهم وذلك بهدف إلغائها.</w:t>
      </w:r>
    </w:p>
    <w:p w:rsidR="0072308B" w:rsidRDefault="0072308B" w:rsidP="008F6237">
      <w:pPr>
        <w:pStyle w:val="H23GA"/>
      </w:pPr>
      <w:r>
        <w:rPr>
          <w:rtl/>
        </w:rPr>
        <w:lastRenderedPageBreak/>
        <w:tab/>
      </w:r>
      <w:r>
        <w:rPr>
          <w:rtl/>
        </w:rPr>
        <w:tab/>
        <w:t>عديمو الجنسية</w:t>
      </w:r>
    </w:p>
    <w:p w:rsidR="0072308B" w:rsidRDefault="0072308B" w:rsidP="00E03FE9">
      <w:pPr>
        <w:pStyle w:val="SingleTxtGA"/>
      </w:pPr>
      <w:r>
        <w:rPr>
          <w:rtl/>
        </w:rPr>
        <w:t>٢٢-</w:t>
      </w:r>
      <w:r>
        <w:rPr>
          <w:rtl/>
        </w:rPr>
        <w:tab/>
        <w:t>ويساور اللجنة القلق إزاء عدم وجود تعريف قانوني لانعدام الجنسية في التشريع المحلي، وعدم وجود آلية مستقلة لتحديد وحماية الأشخاص عديمي الجنسية، الذين يحتاجون إلى ضمانات إجرائية محددة (المادة ٣).</w:t>
      </w:r>
    </w:p>
    <w:p w:rsidR="0072308B" w:rsidRDefault="0072308B" w:rsidP="00E03FE9">
      <w:pPr>
        <w:pStyle w:val="SingleTxtGA"/>
        <w:rPr>
          <w:b/>
          <w:bCs/>
        </w:rPr>
      </w:pPr>
      <w:r>
        <w:rPr>
          <w:rtl/>
        </w:rPr>
        <w:t>٢٣-</w:t>
      </w:r>
      <w:r>
        <w:rPr>
          <w:rtl/>
        </w:rPr>
        <w:tab/>
      </w:r>
      <w:r w:rsidRPr="00725A2C">
        <w:rPr>
          <w:b/>
          <w:bCs/>
          <w:rtl/>
        </w:rPr>
        <w:t xml:space="preserve">ينبغي </w:t>
      </w:r>
      <w:r>
        <w:rPr>
          <w:rFonts w:hint="cs"/>
          <w:b/>
          <w:bCs/>
          <w:rtl/>
        </w:rPr>
        <w:t xml:space="preserve">أن </w:t>
      </w:r>
      <w:r w:rsidRPr="00725A2C">
        <w:rPr>
          <w:b/>
          <w:bCs/>
          <w:rtl/>
        </w:rPr>
        <w:t>تضع الدولة الطرف تعريف</w:t>
      </w:r>
      <w:r w:rsidR="000E14AB">
        <w:rPr>
          <w:b/>
          <w:bCs/>
          <w:rtl/>
        </w:rPr>
        <w:t xml:space="preserve">اً </w:t>
      </w:r>
      <w:r w:rsidRPr="00725A2C">
        <w:rPr>
          <w:b/>
          <w:bCs/>
          <w:rtl/>
        </w:rPr>
        <w:t>لانعدام الجنسية في تشريعها المحلي. وينبغي أيض</w:t>
      </w:r>
      <w:r w:rsidR="000E14AB">
        <w:rPr>
          <w:b/>
          <w:bCs/>
          <w:rtl/>
        </w:rPr>
        <w:t xml:space="preserve">اً </w:t>
      </w:r>
      <w:r w:rsidRPr="00725A2C">
        <w:rPr>
          <w:b/>
          <w:bCs/>
          <w:rtl/>
        </w:rPr>
        <w:t>أن تضع إجراءات</w:t>
      </w:r>
      <w:r>
        <w:rPr>
          <w:rFonts w:hint="cs"/>
          <w:b/>
          <w:bCs/>
          <w:rtl/>
        </w:rPr>
        <w:t xml:space="preserve"> مخصصة</w:t>
      </w:r>
      <w:r w:rsidRPr="00725A2C">
        <w:rPr>
          <w:b/>
          <w:bCs/>
          <w:rtl/>
        </w:rPr>
        <w:t xml:space="preserve"> لتحديد حالات انعدام الجنسية، وتزود الأشخاص عديمي الجنسية بوثائق الهوية، وتنش</w:t>
      </w:r>
      <w:r>
        <w:rPr>
          <w:rFonts w:hint="cs"/>
          <w:b/>
          <w:bCs/>
          <w:rtl/>
        </w:rPr>
        <w:t>ئ</w:t>
      </w:r>
      <w:r w:rsidRPr="00725A2C">
        <w:rPr>
          <w:b/>
          <w:bCs/>
          <w:rtl/>
        </w:rPr>
        <w:t xml:space="preserve"> قاعدة بيانات مركزية للأشخاص عديمي الجنسية الموجودين في إقليمها.</w:t>
      </w:r>
    </w:p>
    <w:p w:rsidR="0072308B" w:rsidRPr="003903FB" w:rsidRDefault="0072308B" w:rsidP="008F6237">
      <w:pPr>
        <w:pStyle w:val="H23GA"/>
      </w:pPr>
      <w:r w:rsidRPr="003903FB">
        <w:rPr>
          <w:rtl/>
        </w:rPr>
        <w:tab/>
      </w:r>
      <w:r w:rsidRPr="003903FB">
        <w:rPr>
          <w:rtl/>
        </w:rPr>
        <w:tab/>
        <w:t>إدماج أطفال الروما</w:t>
      </w:r>
    </w:p>
    <w:p w:rsidR="0072308B" w:rsidRDefault="0072308B" w:rsidP="003D1D8E">
      <w:pPr>
        <w:pStyle w:val="SingleTxtGA"/>
      </w:pPr>
      <w:r>
        <w:rPr>
          <w:rtl/>
        </w:rPr>
        <w:t>٢٤-</w:t>
      </w:r>
      <w:r>
        <w:rPr>
          <w:rtl/>
        </w:rPr>
        <w:tab/>
        <w:t xml:space="preserve">وفي حين تلاحظ اللجنة التدابير التي اتخذتها الدولة الطرف لتنفيذ قرار المحكمة الأوروبية لحقوق الإنسان في </w:t>
      </w:r>
      <w:r w:rsidRPr="00E801ED">
        <w:rPr>
          <w:i/>
          <w:iCs/>
          <w:rtl/>
        </w:rPr>
        <w:t xml:space="preserve">قضية </w:t>
      </w:r>
      <w:r w:rsidRPr="00E801ED">
        <w:rPr>
          <w:i/>
          <w:iCs/>
        </w:rPr>
        <w:t>D.H</w:t>
      </w:r>
      <w:r w:rsidRPr="00E801ED">
        <w:rPr>
          <w:i/>
          <w:iCs/>
          <w:rtl/>
        </w:rPr>
        <w:t>. وآخرين ضد الجمهورية التشيكية</w:t>
      </w:r>
      <w:r>
        <w:rPr>
          <w:rtl/>
        </w:rPr>
        <w:t xml:space="preserve">، والزيادة في عدد أطفال الروما في التعليم العام، فإن </w:t>
      </w:r>
      <w:r>
        <w:rPr>
          <w:rFonts w:hint="cs"/>
          <w:rtl/>
        </w:rPr>
        <w:t xml:space="preserve">القلق </w:t>
      </w:r>
      <w:r>
        <w:rPr>
          <w:rtl/>
        </w:rPr>
        <w:t>يساورها لأن تمثيل أطفال الروما في البرامج التعليمية المتخصصة للأطفال ذوي الإعاقة العقلية البسيطة لا يزال مفرط</w:t>
      </w:r>
      <w:r w:rsidR="000E14AB">
        <w:rPr>
          <w:rtl/>
        </w:rPr>
        <w:t xml:space="preserve">اً </w:t>
      </w:r>
      <w:r>
        <w:rPr>
          <w:rtl/>
        </w:rPr>
        <w:t>(المواد ٢</w:t>
      </w:r>
      <w:r w:rsidR="00E03FE9">
        <w:rPr>
          <w:rtl/>
        </w:rPr>
        <w:t xml:space="preserve"> و</w:t>
      </w:r>
      <w:r>
        <w:rPr>
          <w:rtl/>
        </w:rPr>
        <w:t>١٠</w:t>
      </w:r>
      <w:r w:rsidR="00E03FE9">
        <w:rPr>
          <w:rtl/>
        </w:rPr>
        <w:t xml:space="preserve"> و</w:t>
      </w:r>
      <w:r w:rsidR="003D1D8E">
        <w:rPr>
          <w:rtl/>
        </w:rPr>
        <w:t>١٢</w:t>
      </w:r>
      <w:r w:rsidR="003D1D8E">
        <w:rPr>
          <w:rFonts w:hint="cs"/>
          <w:rtl/>
        </w:rPr>
        <w:t>-</w:t>
      </w:r>
      <w:r>
        <w:rPr>
          <w:rtl/>
        </w:rPr>
        <w:t>١٣</w:t>
      </w:r>
      <w:r w:rsidR="00E03FE9">
        <w:rPr>
          <w:rtl/>
        </w:rPr>
        <w:t xml:space="preserve"> و</w:t>
      </w:r>
      <w:r>
        <w:rPr>
          <w:rtl/>
        </w:rPr>
        <w:t>١٦).</w:t>
      </w:r>
    </w:p>
    <w:p w:rsidR="0072308B" w:rsidRDefault="0072308B" w:rsidP="00E03FE9">
      <w:pPr>
        <w:pStyle w:val="SingleTxtGA"/>
        <w:rPr>
          <w:rtl/>
        </w:rPr>
      </w:pPr>
      <w:r>
        <w:rPr>
          <w:rtl/>
        </w:rPr>
        <w:t>٢٥-</w:t>
      </w:r>
      <w:r>
        <w:rPr>
          <w:rtl/>
        </w:rPr>
        <w:tab/>
      </w:r>
      <w:r w:rsidRPr="00725A2C">
        <w:rPr>
          <w:b/>
          <w:bCs/>
          <w:rtl/>
        </w:rPr>
        <w:t xml:space="preserve">وإذ تذكر اللجنة بتوصيتها السابقة (انظر </w:t>
      </w:r>
      <w:r w:rsidRPr="00725A2C">
        <w:rPr>
          <w:b/>
          <w:bCs/>
        </w:rPr>
        <w:t>CAT/C/CZE/CO/4-5</w:t>
      </w:r>
      <w:r w:rsidRPr="00725A2C">
        <w:rPr>
          <w:b/>
          <w:bCs/>
          <w:rtl/>
        </w:rPr>
        <w:t>، الفقرة ١٤)، تدعو الدولة الطرف إلى تعزيز جهودها الرامية إلى القضاء على التمييز ضد أطفال الروما في النظام التعليمي، وضمان ألا يؤثر سلب</w:t>
      </w:r>
      <w:r w:rsidR="000E14AB">
        <w:rPr>
          <w:b/>
          <w:bCs/>
          <w:rtl/>
        </w:rPr>
        <w:t xml:space="preserve">اً </w:t>
      </w:r>
      <w:r w:rsidRPr="00725A2C">
        <w:rPr>
          <w:b/>
          <w:bCs/>
          <w:rtl/>
        </w:rPr>
        <w:t>قرار وضع أطفال الروما في البرامج التعليمية</w:t>
      </w:r>
      <w:r>
        <w:rPr>
          <w:b/>
          <w:bCs/>
          <w:rtl/>
        </w:rPr>
        <w:t xml:space="preserve"> </w:t>
      </w:r>
      <w:r w:rsidRPr="00725A2C">
        <w:rPr>
          <w:b/>
          <w:bCs/>
          <w:rtl/>
        </w:rPr>
        <w:t>على هوية الروما.</w:t>
      </w:r>
      <w:r>
        <w:rPr>
          <w:rtl/>
        </w:rPr>
        <w:t xml:space="preserve"> </w:t>
      </w:r>
    </w:p>
    <w:p w:rsidR="0072308B" w:rsidRDefault="0072308B" w:rsidP="008F6237">
      <w:pPr>
        <w:pStyle w:val="H23GA"/>
      </w:pPr>
      <w:r>
        <w:rPr>
          <w:rtl/>
        </w:rPr>
        <w:tab/>
      </w:r>
      <w:r>
        <w:rPr>
          <w:rtl/>
        </w:rPr>
        <w:tab/>
      </w:r>
      <w:bookmarkStart w:id="1" w:name="الجرائم"/>
      <w:r>
        <w:rPr>
          <w:rtl/>
        </w:rPr>
        <w:t xml:space="preserve">الجرائم </w:t>
      </w:r>
      <w:bookmarkEnd w:id="1"/>
      <w:r>
        <w:rPr>
          <w:rtl/>
        </w:rPr>
        <w:t>المرتكبة بدافع الكراهية ضد الأقليات، بما في ذلك الروما والمسلمون</w:t>
      </w:r>
    </w:p>
    <w:p w:rsidR="0072308B" w:rsidRDefault="0072308B" w:rsidP="00F022D3">
      <w:pPr>
        <w:pStyle w:val="SingleTxtGA"/>
      </w:pPr>
      <w:r>
        <w:rPr>
          <w:rtl/>
        </w:rPr>
        <w:t>٢٦-</w:t>
      </w:r>
      <w:r>
        <w:rPr>
          <w:rtl/>
        </w:rPr>
        <w:tab/>
      </w:r>
      <w:r>
        <w:rPr>
          <w:rFonts w:hint="cs"/>
          <w:rtl/>
        </w:rPr>
        <w:t>لئن كانت</w:t>
      </w:r>
      <w:r>
        <w:rPr>
          <w:rtl/>
        </w:rPr>
        <w:t xml:space="preserve"> اللجنة</w:t>
      </w:r>
      <w:r>
        <w:rPr>
          <w:rFonts w:hint="cs"/>
          <w:rtl/>
        </w:rPr>
        <w:t xml:space="preserve"> تلاحظ</w:t>
      </w:r>
      <w:r>
        <w:rPr>
          <w:rtl/>
        </w:rPr>
        <w:t xml:space="preserve"> إعلان انطلاق الحملة ضد العنصرية والكراهية والعنف وتدريب أفراد الشرطة على التحقيق في جرائم الكراهية، فإنها تظل قلقة لاستمرار وقوع جرائم الكراهية ضد الأقليات، بما في ذلك طائفتا الروما والمسلمين، وللتصريحات المعادية للأجانب التي أيدها بعض السياسيين، بما في ذلك أ</w:t>
      </w:r>
      <w:r w:rsidR="00F022D3">
        <w:rPr>
          <w:rtl/>
        </w:rPr>
        <w:t>عضاء في البرلمان (المواد ٢، و١٢</w:t>
      </w:r>
      <w:r w:rsidR="00F022D3">
        <w:rPr>
          <w:rFonts w:hint="cs"/>
          <w:rtl/>
        </w:rPr>
        <w:t>-</w:t>
      </w:r>
      <w:r>
        <w:rPr>
          <w:rtl/>
        </w:rPr>
        <w:t>١٤</w:t>
      </w:r>
      <w:r w:rsidR="00E03FE9">
        <w:rPr>
          <w:rtl/>
        </w:rPr>
        <w:t xml:space="preserve"> و</w:t>
      </w:r>
      <w:r>
        <w:rPr>
          <w:rtl/>
        </w:rPr>
        <w:t>١٦)</w:t>
      </w:r>
      <w:r>
        <w:rPr>
          <w:rFonts w:hint="cs"/>
          <w:rtl/>
        </w:rPr>
        <w:t>.</w:t>
      </w:r>
      <w:r>
        <w:rPr>
          <w:rtl/>
        </w:rPr>
        <w:t xml:space="preserve"> </w:t>
      </w:r>
    </w:p>
    <w:p w:rsidR="0072308B" w:rsidRPr="00725A2C" w:rsidRDefault="0072308B" w:rsidP="00E03FE9">
      <w:pPr>
        <w:pStyle w:val="SingleTxtGA"/>
        <w:rPr>
          <w:b/>
          <w:bCs/>
        </w:rPr>
      </w:pPr>
      <w:r>
        <w:rPr>
          <w:rtl/>
        </w:rPr>
        <w:t>٢٧-</w:t>
      </w:r>
      <w:r>
        <w:rPr>
          <w:rtl/>
        </w:rPr>
        <w:tab/>
      </w:r>
      <w:r w:rsidRPr="00725A2C">
        <w:rPr>
          <w:b/>
          <w:bCs/>
          <w:rtl/>
        </w:rPr>
        <w:t>تحث اللجنة الدولة الطرف على أن تدين علن</w:t>
      </w:r>
      <w:r w:rsidR="000E14AB">
        <w:rPr>
          <w:b/>
          <w:bCs/>
          <w:rtl/>
        </w:rPr>
        <w:t xml:space="preserve">اً </w:t>
      </w:r>
      <w:r w:rsidRPr="00725A2C">
        <w:rPr>
          <w:b/>
          <w:bCs/>
          <w:rtl/>
        </w:rPr>
        <w:t xml:space="preserve">التهديدات والاعتداءات المرتكبة ضد </w:t>
      </w:r>
      <w:r>
        <w:rPr>
          <w:rFonts w:hint="cs"/>
          <w:b/>
          <w:bCs/>
          <w:rtl/>
        </w:rPr>
        <w:t xml:space="preserve">مجموعات </w:t>
      </w:r>
      <w:r w:rsidRPr="00725A2C">
        <w:rPr>
          <w:b/>
          <w:bCs/>
          <w:rtl/>
        </w:rPr>
        <w:t>الأقلي</w:t>
      </w:r>
      <w:r>
        <w:rPr>
          <w:rFonts w:hint="cs"/>
          <w:b/>
          <w:bCs/>
          <w:rtl/>
        </w:rPr>
        <w:t>ة</w:t>
      </w:r>
      <w:r w:rsidRPr="00725A2C">
        <w:rPr>
          <w:b/>
          <w:bCs/>
          <w:rtl/>
        </w:rPr>
        <w:t>، بما فيها طائف</w:t>
      </w:r>
      <w:r>
        <w:rPr>
          <w:rFonts w:hint="cs"/>
          <w:b/>
          <w:bCs/>
          <w:rtl/>
        </w:rPr>
        <w:t>تا</w:t>
      </w:r>
      <w:r w:rsidRPr="00725A2C">
        <w:rPr>
          <w:b/>
          <w:bCs/>
          <w:rtl/>
        </w:rPr>
        <w:t xml:space="preserve"> الروما والمسلمين، </w:t>
      </w:r>
      <w:r>
        <w:rPr>
          <w:rFonts w:hint="cs"/>
          <w:b/>
          <w:bCs/>
          <w:rtl/>
        </w:rPr>
        <w:t>والإحجام</w:t>
      </w:r>
      <w:r w:rsidRPr="00725A2C">
        <w:rPr>
          <w:b/>
          <w:bCs/>
          <w:rtl/>
        </w:rPr>
        <w:t xml:space="preserve"> عن تأييد هذه الاعتداءات، بفعل أو امتناع، وذلك عن طريق كفالة ما يلي:</w:t>
      </w:r>
    </w:p>
    <w:p w:rsidR="0072308B" w:rsidRPr="00725A2C" w:rsidRDefault="0072308B" w:rsidP="00E03FE9">
      <w:pPr>
        <w:pStyle w:val="SingleTxtGA"/>
        <w:rPr>
          <w:b/>
          <w:bCs/>
        </w:rPr>
      </w:pPr>
      <w:r w:rsidRPr="008F6237">
        <w:rPr>
          <w:rtl/>
        </w:rPr>
        <w:tab/>
        <w:t>(أ)</w:t>
      </w:r>
      <w:r w:rsidRPr="008F6237">
        <w:rPr>
          <w:rtl/>
        </w:rPr>
        <w:tab/>
      </w:r>
      <w:r w:rsidRPr="00725A2C">
        <w:rPr>
          <w:b/>
          <w:bCs/>
          <w:rtl/>
        </w:rPr>
        <w:t xml:space="preserve">التحقيق </w:t>
      </w:r>
      <w:r>
        <w:rPr>
          <w:rFonts w:hint="cs"/>
          <w:b/>
          <w:bCs/>
          <w:rtl/>
        </w:rPr>
        <w:t>الفوري</w:t>
      </w:r>
      <w:r w:rsidRPr="00725A2C">
        <w:rPr>
          <w:b/>
          <w:bCs/>
          <w:rtl/>
        </w:rPr>
        <w:t xml:space="preserve"> والشامل والفعال في جميع التهديدات والاعتداءات التي تستهدف هذه الفئات، بما في ذلك أي ادعاءات بشأن الدوافع التمييزية التي يمكن أن تكون وراء هذه الأفعال، وضمان محاكمة المسؤولين عنها ومعاقبتهم وفقاً لخطورة أفعالهم؛</w:t>
      </w:r>
    </w:p>
    <w:p w:rsidR="0072308B" w:rsidRPr="00725A2C" w:rsidRDefault="0072308B" w:rsidP="00E03FE9">
      <w:pPr>
        <w:pStyle w:val="SingleTxtGA"/>
        <w:rPr>
          <w:b/>
          <w:bCs/>
        </w:rPr>
      </w:pPr>
      <w:r w:rsidRPr="008F6237">
        <w:rPr>
          <w:rtl/>
        </w:rPr>
        <w:tab/>
        <w:t>(ب)</w:t>
      </w:r>
      <w:r w:rsidRPr="008F6237">
        <w:rPr>
          <w:rtl/>
        </w:rPr>
        <w:tab/>
      </w:r>
      <w:r w:rsidRPr="00725A2C">
        <w:rPr>
          <w:b/>
          <w:bCs/>
          <w:rtl/>
        </w:rPr>
        <w:t xml:space="preserve">التدريب الفعال للموظفين المكلفين بإنفاذ القانون وموظفي الجهاز القضائي بشأن الجرائم المرتكبة بدافع الكراهية والرصد المنهجي لهذه الجرائم؛ </w:t>
      </w:r>
    </w:p>
    <w:p w:rsidR="0072308B" w:rsidRDefault="0072308B" w:rsidP="00E03FE9">
      <w:pPr>
        <w:pStyle w:val="SingleTxtGA"/>
      </w:pPr>
      <w:r w:rsidRPr="00725A2C">
        <w:rPr>
          <w:b/>
          <w:bCs/>
          <w:rtl/>
        </w:rPr>
        <w:tab/>
      </w:r>
      <w:r w:rsidRPr="008F6237">
        <w:rPr>
          <w:rtl/>
        </w:rPr>
        <w:t>(ج)</w:t>
      </w:r>
      <w:r w:rsidRPr="008F6237">
        <w:rPr>
          <w:rtl/>
        </w:rPr>
        <w:tab/>
      </w:r>
      <w:r w:rsidRPr="008F6237">
        <w:rPr>
          <w:b/>
          <w:bCs/>
          <w:rtl/>
        </w:rPr>
        <w:t xml:space="preserve">اتخاذ تدابير التوعية </w:t>
      </w:r>
      <w:r w:rsidRPr="008F6237">
        <w:rPr>
          <w:rFonts w:hint="cs"/>
          <w:b/>
          <w:bCs/>
          <w:rtl/>
        </w:rPr>
        <w:t>للتصدي</w:t>
      </w:r>
      <w:r w:rsidRPr="008F6237">
        <w:rPr>
          <w:b/>
          <w:bCs/>
          <w:rtl/>
        </w:rPr>
        <w:t xml:space="preserve"> </w:t>
      </w:r>
      <w:r w:rsidRPr="008F6237">
        <w:rPr>
          <w:rFonts w:hint="cs"/>
          <w:b/>
          <w:bCs/>
          <w:rtl/>
        </w:rPr>
        <w:t>ل</w:t>
      </w:r>
      <w:r w:rsidRPr="008F6237">
        <w:rPr>
          <w:b/>
          <w:bCs/>
          <w:rtl/>
        </w:rPr>
        <w:t>لتحيز والقوالب النمطية، ووضع سياسات لمكافحة ومنع الجرائم</w:t>
      </w:r>
      <w:r w:rsidRPr="00725A2C">
        <w:rPr>
          <w:b/>
          <w:bCs/>
          <w:rtl/>
        </w:rPr>
        <w:t xml:space="preserve"> المرتكبة بدافع العنصرية والتمييز.</w:t>
      </w:r>
    </w:p>
    <w:p w:rsidR="0072308B" w:rsidRDefault="0072308B" w:rsidP="008F6237">
      <w:pPr>
        <w:pStyle w:val="H23GA"/>
      </w:pPr>
      <w:r>
        <w:rPr>
          <w:rtl/>
        </w:rPr>
        <w:lastRenderedPageBreak/>
        <w:tab/>
      </w:r>
      <w:r>
        <w:rPr>
          <w:rtl/>
        </w:rPr>
        <w:tab/>
        <w:t>التعقيم القسري</w:t>
      </w:r>
    </w:p>
    <w:p w:rsidR="0072308B" w:rsidRDefault="0072308B" w:rsidP="00E03FE9">
      <w:pPr>
        <w:pStyle w:val="SingleTxtGA"/>
      </w:pPr>
      <w:r>
        <w:rPr>
          <w:rtl/>
        </w:rPr>
        <w:t>٢٨-</w:t>
      </w:r>
      <w:r>
        <w:rPr>
          <w:rtl/>
        </w:rPr>
        <w:tab/>
        <w:t xml:space="preserve">تشعر اللجنة بالقلق لأن الدولة الطرف لم تنشئ آلية خارج نطاق القضاء لتوفير الجبر الفعال لجميع الأشخاص الذين تعرضوا للتعقيم غير الطوعي، ولا سيما نساء الروما. وتأسف لأن الوسيلة الوحيدة المتاحة لضحايا التعقيم القسري للحصول على هذا التعويض هو إقامة دعوى قضائية </w:t>
      </w:r>
      <w:r>
        <w:rPr>
          <w:rFonts w:hint="cs"/>
          <w:rtl/>
        </w:rPr>
        <w:t>تخضع</w:t>
      </w:r>
      <w:r>
        <w:rPr>
          <w:rtl/>
        </w:rPr>
        <w:t xml:space="preserve"> </w:t>
      </w:r>
      <w:r>
        <w:rPr>
          <w:rFonts w:hint="cs"/>
          <w:rtl/>
        </w:rPr>
        <w:t>ل</w:t>
      </w:r>
      <w:r>
        <w:rPr>
          <w:rtl/>
        </w:rPr>
        <w:t xml:space="preserve">تقادم </w:t>
      </w:r>
      <w:r>
        <w:rPr>
          <w:rFonts w:hint="cs"/>
          <w:rtl/>
        </w:rPr>
        <w:t>مدته</w:t>
      </w:r>
      <w:r>
        <w:rPr>
          <w:rtl/>
        </w:rPr>
        <w:t xml:space="preserve"> ثلاث سنوات، </w:t>
      </w:r>
      <w:r>
        <w:rPr>
          <w:rFonts w:hint="cs"/>
          <w:rtl/>
        </w:rPr>
        <w:t xml:space="preserve">كما تأسف لكون </w:t>
      </w:r>
      <w:r>
        <w:rPr>
          <w:rtl/>
        </w:rPr>
        <w:t>العديد من هذه القضايا قد سقط فعل</w:t>
      </w:r>
      <w:r w:rsidR="000E14AB">
        <w:rPr>
          <w:rtl/>
        </w:rPr>
        <w:t xml:space="preserve">اً </w:t>
      </w:r>
      <w:r>
        <w:rPr>
          <w:rtl/>
        </w:rPr>
        <w:t>بالتقادم (المواد ٢</w:t>
      </w:r>
      <w:r w:rsidR="00E03FE9">
        <w:rPr>
          <w:rtl/>
        </w:rPr>
        <w:t xml:space="preserve"> و</w:t>
      </w:r>
      <w:r>
        <w:rPr>
          <w:rtl/>
        </w:rPr>
        <w:t>١٤</w:t>
      </w:r>
      <w:r w:rsidR="00E03FE9">
        <w:rPr>
          <w:rtl/>
        </w:rPr>
        <w:t xml:space="preserve"> و</w:t>
      </w:r>
      <w:r>
        <w:rPr>
          <w:rtl/>
        </w:rPr>
        <w:t>١٦)</w:t>
      </w:r>
      <w:r>
        <w:rPr>
          <w:rFonts w:hint="cs"/>
          <w:rtl/>
        </w:rPr>
        <w:t>.</w:t>
      </w:r>
      <w:r>
        <w:rPr>
          <w:rtl/>
        </w:rPr>
        <w:t xml:space="preserve"> </w:t>
      </w:r>
    </w:p>
    <w:p w:rsidR="0072308B" w:rsidRDefault="0072308B" w:rsidP="00E03FE9">
      <w:pPr>
        <w:pStyle w:val="SingleTxtGA"/>
        <w:rPr>
          <w:rtl/>
        </w:rPr>
      </w:pPr>
      <w:r>
        <w:rPr>
          <w:rtl/>
        </w:rPr>
        <w:t>٢٩-</w:t>
      </w:r>
      <w:r>
        <w:rPr>
          <w:rtl/>
        </w:rPr>
        <w:tab/>
      </w:r>
      <w:r w:rsidRPr="00725A2C">
        <w:rPr>
          <w:b/>
          <w:bCs/>
          <w:rtl/>
        </w:rPr>
        <w:t xml:space="preserve">وإذ تذكر اللجنة بتوصيتها السابقة (انظر </w:t>
      </w:r>
      <w:r w:rsidRPr="00725A2C">
        <w:rPr>
          <w:b/>
          <w:bCs/>
        </w:rPr>
        <w:t>CAT/C/CZE/CO/4-5</w:t>
      </w:r>
      <w:r w:rsidRPr="00725A2C">
        <w:rPr>
          <w:b/>
          <w:bCs/>
          <w:rtl/>
        </w:rPr>
        <w:t xml:space="preserve">، الفقرة ١٣)، فإنها تدعو الدولة الطرف إلى التحقيق بصورة </w:t>
      </w:r>
      <w:r>
        <w:rPr>
          <w:rFonts w:hint="cs"/>
          <w:b/>
          <w:bCs/>
          <w:rtl/>
        </w:rPr>
        <w:t>فورية</w:t>
      </w:r>
      <w:r w:rsidRPr="00725A2C">
        <w:rPr>
          <w:b/>
          <w:bCs/>
          <w:rtl/>
        </w:rPr>
        <w:t xml:space="preserve"> ونزيهة وفعالة في جميع ادعاءات التعقيم القسري لنساء الروما، وملاحقة مرتكبيه، ومعاقبتهم إذا ثبتت مسؤوليتهم. وينبغي أن تنشئ الدولة الطرف آلية للتعويض خارج نطاق القضاء تمكن ضحايا التعقيم القسري من الحصول على جبر </w:t>
      </w:r>
      <w:r>
        <w:rPr>
          <w:rFonts w:hint="cs"/>
          <w:b/>
          <w:bCs/>
          <w:rtl/>
        </w:rPr>
        <w:t>منصف</w:t>
      </w:r>
      <w:r w:rsidRPr="00725A2C">
        <w:rPr>
          <w:b/>
          <w:bCs/>
          <w:rtl/>
        </w:rPr>
        <w:t xml:space="preserve"> وكاف للضرر، والنظر في إمكانية تمديد </w:t>
      </w:r>
      <w:r>
        <w:rPr>
          <w:rFonts w:hint="cs"/>
          <w:b/>
          <w:bCs/>
          <w:rtl/>
        </w:rPr>
        <w:t>أجل</w:t>
      </w:r>
      <w:r w:rsidRPr="00725A2C">
        <w:rPr>
          <w:b/>
          <w:bCs/>
          <w:rtl/>
        </w:rPr>
        <w:t xml:space="preserve"> تقديم المطالبات بالتعويض</w:t>
      </w:r>
      <w:r>
        <w:rPr>
          <w:rtl/>
        </w:rPr>
        <w:t xml:space="preserve">. </w:t>
      </w:r>
    </w:p>
    <w:p w:rsidR="0072308B" w:rsidRDefault="0072308B" w:rsidP="008F6237">
      <w:pPr>
        <w:pStyle w:val="H23GA"/>
      </w:pPr>
      <w:r>
        <w:rPr>
          <w:rtl/>
        </w:rPr>
        <w:tab/>
      </w:r>
      <w:r>
        <w:rPr>
          <w:rtl/>
        </w:rPr>
        <w:tab/>
        <w:t xml:space="preserve">الانتصاف </w:t>
      </w:r>
    </w:p>
    <w:p w:rsidR="0072308B" w:rsidRDefault="0072308B" w:rsidP="008F6237">
      <w:pPr>
        <w:pStyle w:val="SingleTxtGA"/>
      </w:pPr>
      <w:r>
        <w:rPr>
          <w:rtl/>
        </w:rPr>
        <w:t>٣٠-</w:t>
      </w:r>
      <w:r>
        <w:rPr>
          <w:rtl/>
        </w:rPr>
        <w:tab/>
        <w:t>تأسف اللجنة لغياب بيانات إحصائية مصنفة بشأن التعويضات المقدمة لضحايا التعذيب وسوء المعاملة، بمن فيهم ضحايا التعقيم القسري والإخصاء الجراحي وسوء المعاملة في أماكن الطب النفسي، والاعتداءات على الأقليات، والاتجار بالبشر والعنف المنزلي والجنسي. كما يساورها القلق إزاء الأجل المحدد لتقديم الشكاوى في إطار قانون مسؤولية الدولة (رقم</w:t>
      </w:r>
      <w:r w:rsidR="008F6237">
        <w:rPr>
          <w:rFonts w:hint="cs"/>
          <w:rtl/>
        </w:rPr>
        <w:t> </w:t>
      </w:r>
      <w:r>
        <w:rPr>
          <w:rtl/>
        </w:rPr>
        <w:t>82/1998) (المادة ١٤).</w:t>
      </w:r>
    </w:p>
    <w:p w:rsidR="0072308B" w:rsidRDefault="0072308B" w:rsidP="00E03FE9">
      <w:pPr>
        <w:pStyle w:val="SingleTxtGA"/>
        <w:rPr>
          <w:b/>
          <w:bCs/>
          <w:rtl/>
        </w:rPr>
      </w:pPr>
      <w:r>
        <w:rPr>
          <w:rtl/>
        </w:rPr>
        <w:t>٣١-</w:t>
      </w:r>
      <w:r>
        <w:rPr>
          <w:rtl/>
        </w:rPr>
        <w:tab/>
      </w:r>
      <w:r w:rsidRPr="00725A2C">
        <w:rPr>
          <w:rFonts w:ascii="Traditional Arabic" w:hAnsi="Traditional Arabic" w:hint="cs"/>
          <w:b/>
          <w:bCs/>
          <w:rtl/>
        </w:rPr>
        <w:t>ينبغي</w:t>
      </w:r>
      <w:r w:rsidRPr="00725A2C">
        <w:rPr>
          <w:b/>
          <w:bCs/>
          <w:rtl/>
        </w:rPr>
        <w:t xml:space="preserve"> </w:t>
      </w:r>
      <w:r w:rsidRPr="00725A2C">
        <w:rPr>
          <w:rFonts w:ascii="Traditional Arabic" w:hAnsi="Traditional Arabic" w:hint="cs"/>
          <w:b/>
          <w:bCs/>
          <w:rtl/>
        </w:rPr>
        <w:t>أن</w:t>
      </w:r>
      <w:r w:rsidRPr="00725A2C">
        <w:rPr>
          <w:b/>
          <w:bCs/>
          <w:rtl/>
        </w:rPr>
        <w:t xml:space="preserve"> </w:t>
      </w:r>
      <w:r w:rsidRPr="00725A2C">
        <w:rPr>
          <w:rFonts w:ascii="Traditional Arabic" w:hAnsi="Traditional Arabic" w:hint="cs"/>
          <w:b/>
          <w:bCs/>
          <w:rtl/>
        </w:rPr>
        <w:t>تزوّد</w:t>
      </w:r>
      <w:r w:rsidRPr="00725A2C">
        <w:rPr>
          <w:b/>
          <w:bCs/>
          <w:rtl/>
        </w:rPr>
        <w:t xml:space="preserve"> </w:t>
      </w:r>
      <w:r w:rsidRPr="00725A2C">
        <w:rPr>
          <w:rFonts w:ascii="Traditional Arabic" w:hAnsi="Traditional Arabic" w:hint="cs"/>
          <w:b/>
          <w:bCs/>
          <w:rtl/>
        </w:rPr>
        <w:t>الدولة</w:t>
      </w:r>
      <w:r w:rsidRPr="00725A2C">
        <w:rPr>
          <w:b/>
          <w:bCs/>
          <w:rtl/>
        </w:rPr>
        <w:t xml:space="preserve"> </w:t>
      </w:r>
      <w:r w:rsidRPr="00725A2C">
        <w:rPr>
          <w:rFonts w:ascii="Traditional Arabic" w:hAnsi="Traditional Arabic" w:hint="cs"/>
          <w:b/>
          <w:bCs/>
          <w:rtl/>
        </w:rPr>
        <w:t>الطرف</w:t>
      </w:r>
      <w:r w:rsidRPr="00725A2C">
        <w:rPr>
          <w:b/>
          <w:bCs/>
          <w:rtl/>
        </w:rPr>
        <w:t xml:space="preserve"> </w:t>
      </w:r>
      <w:r w:rsidRPr="00725A2C">
        <w:rPr>
          <w:rFonts w:ascii="Traditional Arabic" w:hAnsi="Traditional Arabic" w:hint="cs"/>
          <w:b/>
          <w:bCs/>
          <w:rtl/>
        </w:rPr>
        <w:t>اللجنة</w:t>
      </w:r>
      <w:r w:rsidRPr="00725A2C">
        <w:rPr>
          <w:b/>
          <w:bCs/>
          <w:rtl/>
        </w:rPr>
        <w:t xml:space="preserve"> </w:t>
      </w:r>
      <w:r w:rsidRPr="00725A2C">
        <w:rPr>
          <w:rFonts w:ascii="Traditional Arabic" w:hAnsi="Traditional Arabic" w:hint="cs"/>
          <w:b/>
          <w:bCs/>
          <w:rtl/>
        </w:rPr>
        <w:t>ببيانات</w:t>
      </w:r>
      <w:r w:rsidRPr="00725A2C">
        <w:rPr>
          <w:b/>
          <w:bCs/>
          <w:rtl/>
        </w:rPr>
        <w:t xml:space="preserve"> </w:t>
      </w:r>
      <w:r w:rsidRPr="00725A2C">
        <w:rPr>
          <w:rFonts w:ascii="Traditional Arabic" w:hAnsi="Traditional Arabic" w:hint="cs"/>
          <w:b/>
          <w:bCs/>
          <w:rtl/>
        </w:rPr>
        <w:t>عن</w:t>
      </w:r>
      <w:r w:rsidRPr="00725A2C">
        <w:rPr>
          <w:b/>
          <w:bCs/>
          <w:rtl/>
        </w:rPr>
        <w:t xml:space="preserve"> </w:t>
      </w:r>
      <w:r w:rsidRPr="00725A2C">
        <w:rPr>
          <w:rFonts w:ascii="Traditional Arabic" w:hAnsi="Traditional Arabic" w:hint="cs"/>
          <w:b/>
          <w:bCs/>
          <w:rtl/>
        </w:rPr>
        <w:t>مجموع</w:t>
      </w:r>
      <w:r w:rsidRPr="00725A2C">
        <w:rPr>
          <w:b/>
          <w:bCs/>
          <w:rtl/>
        </w:rPr>
        <w:t xml:space="preserve"> </w:t>
      </w:r>
      <w:r w:rsidRPr="00725A2C">
        <w:rPr>
          <w:rFonts w:ascii="Traditional Arabic" w:hAnsi="Traditional Arabic" w:hint="cs"/>
          <w:b/>
          <w:bCs/>
          <w:rtl/>
        </w:rPr>
        <w:t>عدد</w:t>
      </w:r>
      <w:r w:rsidRPr="00725A2C">
        <w:rPr>
          <w:b/>
          <w:bCs/>
          <w:rtl/>
        </w:rPr>
        <w:t xml:space="preserve"> </w:t>
      </w:r>
      <w:r w:rsidRPr="00725A2C">
        <w:rPr>
          <w:rFonts w:ascii="Traditional Arabic" w:hAnsi="Traditional Arabic" w:hint="cs"/>
          <w:b/>
          <w:bCs/>
          <w:rtl/>
        </w:rPr>
        <w:t>طلبات</w:t>
      </w:r>
      <w:r w:rsidRPr="00725A2C">
        <w:rPr>
          <w:b/>
          <w:bCs/>
          <w:rtl/>
        </w:rPr>
        <w:t xml:space="preserve"> </w:t>
      </w:r>
      <w:r w:rsidRPr="00725A2C">
        <w:rPr>
          <w:rFonts w:ascii="Traditional Arabic" w:hAnsi="Traditional Arabic" w:hint="cs"/>
          <w:b/>
          <w:bCs/>
          <w:rtl/>
        </w:rPr>
        <w:t>التعويض</w:t>
      </w:r>
      <w:r w:rsidRPr="00725A2C">
        <w:rPr>
          <w:b/>
          <w:bCs/>
          <w:rtl/>
        </w:rPr>
        <w:t xml:space="preserve"> </w:t>
      </w:r>
      <w:r w:rsidRPr="00725A2C">
        <w:rPr>
          <w:rFonts w:ascii="Traditional Arabic" w:hAnsi="Traditional Arabic" w:hint="cs"/>
          <w:b/>
          <w:bCs/>
          <w:rtl/>
        </w:rPr>
        <w:t>الواردة،</w:t>
      </w:r>
      <w:r w:rsidRPr="00725A2C">
        <w:rPr>
          <w:b/>
          <w:bCs/>
          <w:rtl/>
        </w:rPr>
        <w:t xml:space="preserve"> </w:t>
      </w:r>
      <w:r w:rsidRPr="00725A2C">
        <w:rPr>
          <w:rFonts w:ascii="Traditional Arabic" w:hAnsi="Traditional Arabic" w:hint="cs"/>
          <w:b/>
          <w:bCs/>
          <w:rtl/>
        </w:rPr>
        <w:t>وعدد</w:t>
      </w:r>
      <w:r w:rsidRPr="00725A2C">
        <w:rPr>
          <w:b/>
          <w:bCs/>
          <w:rtl/>
        </w:rPr>
        <w:t xml:space="preserve"> </w:t>
      </w:r>
      <w:r w:rsidRPr="00725A2C">
        <w:rPr>
          <w:rFonts w:ascii="Traditional Arabic" w:hAnsi="Traditional Arabic" w:hint="cs"/>
          <w:b/>
          <w:bCs/>
          <w:rtl/>
        </w:rPr>
        <w:t>الطلبات</w:t>
      </w:r>
      <w:r w:rsidRPr="00725A2C">
        <w:rPr>
          <w:b/>
          <w:bCs/>
          <w:rtl/>
        </w:rPr>
        <w:t xml:space="preserve"> </w:t>
      </w:r>
      <w:r w:rsidRPr="00725A2C">
        <w:rPr>
          <w:rFonts w:ascii="Traditional Arabic" w:hAnsi="Traditional Arabic" w:hint="cs"/>
          <w:b/>
          <w:bCs/>
          <w:rtl/>
        </w:rPr>
        <w:t>المقبولة</w:t>
      </w:r>
      <w:r w:rsidRPr="00725A2C">
        <w:rPr>
          <w:b/>
          <w:bCs/>
          <w:rtl/>
        </w:rPr>
        <w:t xml:space="preserve"> </w:t>
      </w:r>
      <w:r w:rsidRPr="00725A2C">
        <w:rPr>
          <w:rFonts w:ascii="Traditional Arabic" w:hAnsi="Traditional Arabic" w:hint="cs"/>
          <w:b/>
          <w:bCs/>
          <w:rtl/>
        </w:rPr>
        <w:t>ومبالغ</w:t>
      </w:r>
      <w:r w:rsidRPr="00725A2C">
        <w:rPr>
          <w:b/>
          <w:bCs/>
          <w:rtl/>
        </w:rPr>
        <w:t xml:space="preserve"> </w:t>
      </w:r>
      <w:r w:rsidRPr="00725A2C">
        <w:rPr>
          <w:rFonts w:ascii="Traditional Arabic" w:hAnsi="Traditional Arabic" w:hint="cs"/>
          <w:b/>
          <w:bCs/>
          <w:rtl/>
        </w:rPr>
        <w:t>التعويضات</w:t>
      </w:r>
      <w:r w:rsidRPr="00725A2C">
        <w:rPr>
          <w:b/>
          <w:bCs/>
          <w:rtl/>
        </w:rPr>
        <w:t xml:space="preserve"> </w:t>
      </w:r>
      <w:r w:rsidRPr="00725A2C">
        <w:rPr>
          <w:rFonts w:ascii="Traditional Arabic" w:hAnsi="Traditional Arabic" w:hint="cs"/>
          <w:b/>
          <w:bCs/>
          <w:rtl/>
        </w:rPr>
        <w:t>التي</w:t>
      </w:r>
      <w:r w:rsidRPr="00725A2C">
        <w:rPr>
          <w:b/>
          <w:bCs/>
          <w:rtl/>
        </w:rPr>
        <w:t xml:space="preserve"> </w:t>
      </w:r>
      <w:r w:rsidRPr="00725A2C">
        <w:rPr>
          <w:rFonts w:ascii="Traditional Arabic" w:hAnsi="Traditional Arabic" w:hint="cs"/>
          <w:b/>
          <w:bCs/>
          <w:rtl/>
        </w:rPr>
        <w:t>أمرت</w:t>
      </w:r>
      <w:r w:rsidRPr="00725A2C">
        <w:rPr>
          <w:b/>
          <w:bCs/>
          <w:rtl/>
        </w:rPr>
        <w:t xml:space="preserve"> </w:t>
      </w:r>
      <w:r w:rsidRPr="00725A2C">
        <w:rPr>
          <w:rFonts w:ascii="Traditional Arabic" w:hAnsi="Traditional Arabic" w:hint="cs"/>
          <w:b/>
          <w:bCs/>
          <w:rtl/>
        </w:rPr>
        <w:t>المحاكم</w:t>
      </w:r>
      <w:r w:rsidRPr="00725A2C">
        <w:rPr>
          <w:b/>
          <w:bCs/>
          <w:rtl/>
        </w:rPr>
        <w:t xml:space="preserve"> </w:t>
      </w:r>
      <w:r w:rsidRPr="00725A2C">
        <w:rPr>
          <w:rFonts w:ascii="Traditional Arabic" w:hAnsi="Traditional Arabic" w:hint="cs"/>
          <w:b/>
          <w:bCs/>
          <w:rtl/>
        </w:rPr>
        <w:t>بدفعها</w:t>
      </w:r>
      <w:r w:rsidRPr="00725A2C">
        <w:rPr>
          <w:b/>
          <w:bCs/>
          <w:rtl/>
        </w:rPr>
        <w:t>.</w:t>
      </w:r>
      <w:r w:rsidRPr="00725A2C">
        <w:rPr>
          <w:rFonts w:ascii="Arial" w:hAnsi="Arial" w:cs="Arial" w:hint="cs"/>
          <w:b/>
          <w:bCs/>
          <w:rtl/>
        </w:rPr>
        <w:t>‬</w:t>
      </w:r>
      <w:r w:rsidRPr="00725A2C">
        <w:rPr>
          <w:b/>
          <w:bCs/>
          <w:rtl/>
        </w:rPr>
        <w:t xml:space="preserve"> </w:t>
      </w:r>
      <w:r w:rsidRPr="00725A2C">
        <w:rPr>
          <w:rFonts w:ascii="Traditional Arabic" w:hAnsi="Traditional Arabic" w:hint="cs"/>
          <w:b/>
          <w:bCs/>
          <w:rtl/>
        </w:rPr>
        <w:t>وينبغي</w:t>
      </w:r>
      <w:r w:rsidRPr="00725A2C">
        <w:rPr>
          <w:b/>
          <w:bCs/>
          <w:rtl/>
        </w:rPr>
        <w:t xml:space="preserve"> </w:t>
      </w:r>
      <w:r w:rsidRPr="00725A2C">
        <w:rPr>
          <w:rFonts w:ascii="Traditional Arabic" w:hAnsi="Traditional Arabic" w:hint="cs"/>
          <w:b/>
          <w:bCs/>
          <w:rtl/>
        </w:rPr>
        <w:t>أن</w:t>
      </w:r>
      <w:r w:rsidRPr="00725A2C">
        <w:rPr>
          <w:b/>
          <w:bCs/>
          <w:rtl/>
        </w:rPr>
        <w:t xml:space="preserve"> </w:t>
      </w:r>
      <w:r w:rsidRPr="00725A2C">
        <w:rPr>
          <w:rFonts w:ascii="Traditional Arabic" w:hAnsi="Traditional Arabic" w:hint="cs"/>
          <w:b/>
          <w:bCs/>
          <w:rtl/>
        </w:rPr>
        <w:t>تنظر</w:t>
      </w:r>
      <w:r w:rsidRPr="00725A2C">
        <w:rPr>
          <w:b/>
          <w:bCs/>
          <w:rtl/>
        </w:rPr>
        <w:t xml:space="preserve"> </w:t>
      </w:r>
      <w:r w:rsidRPr="00725A2C">
        <w:rPr>
          <w:rFonts w:ascii="Traditional Arabic" w:hAnsi="Traditional Arabic" w:hint="cs"/>
          <w:b/>
          <w:bCs/>
          <w:rtl/>
        </w:rPr>
        <w:t>في</w:t>
      </w:r>
      <w:r w:rsidRPr="00725A2C">
        <w:rPr>
          <w:b/>
          <w:bCs/>
          <w:rtl/>
        </w:rPr>
        <w:t xml:space="preserve"> </w:t>
      </w:r>
      <w:r w:rsidRPr="00725A2C">
        <w:rPr>
          <w:rFonts w:ascii="Traditional Arabic" w:hAnsi="Traditional Arabic" w:hint="cs"/>
          <w:b/>
          <w:bCs/>
          <w:rtl/>
        </w:rPr>
        <w:t>تمديد</w:t>
      </w:r>
      <w:r w:rsidRPr="00725A2C">
        <w:rPr>
          <w:b/>
          <w:bCs/>
          <w:rtl/>
        </w:rPr>
        <w:t xml:space="preserve"> </w:t>
      </w:r>
      <w:r w:rsidRPr="00725A2C">
        <w:rPr>
          <w:rFonts w:ascii="Traditional Arabic" w:hAnsi="Traditional Arabic" w:hint="cs"/>
          <w:b/>
          <w:bCs/>
          <w:rtl/>
        </w:rPr>
        <w:t>أجل</w:t>
      </w:r>
      <w:r w:rsidRPr="00725A2C">
        <w:rPr>
          <w:b/>
          <w:bCs/>
          <w:rtl/>
        </w:rPr>
        <w:t xml:space="preserve"> </w:t>
      </w:r>
      <w:r w:rsidRPr="00725A2C">
        <w:rPr>
          <w:rFonts w:ascii="Traditional Arabic" w:hAnsi="Traditional Arabic" w:hint="cs"/>
          <w:b/>
          <w:bCs/>
          <w:rtl/>
        </w:rPr>
        <w:t>تقديم</w:t>
      </w:r>
      <w:r w:rsidRPr="00725A2C">
        <w:rPr>
          <w:b/>
          <w:bCs/>
          <w:rtl/>
        </w:rPr>
        <w:t xml:space="preserve"> </w:t>
      </w:r>
      <w:r w:rsidRPr="00725A2C">
        <w:rPr>
          <w:rFonts w:ascii="Traditional Arabic" w:hAnsi="Traditional Arabic" w:hint="cs"/>
          <w:b/>
          <w:bCs/>
          <w:rtl/>
        </w:rPr>
        <w:t>المطالبات</w:t>
      </w:r>
      <w:r w:rsidRPr="00725A2C">
        <w:rPr>
          <w:b/>
          <w:bCs/>
          <w:rtl/>
        </w:rPr>
        <w:t xml:space="preserve"> </w:t>
      </w:r>
      <w:r w:rsidRPr="00725A2C">
        <w:rPr>
          <w:rFonts w:ascii="Traditional Arabic" w:hAnsi="Traditional Arabic" w:hint="cs"/>
          <w:b/>
          <w:bCs/>
          <w:rtl/>
        </w:rPr>
        <w:t>ف</w:t>
      </w:r>
      <w:r w:rsidRPr="00725A2C">
        <w:rPr>
          <w:b/>
          <w:bCs/>
          <w:rtl/>
        </w:rPr>
        <w:t xml:space="preserve">ي إطار قانون مسؤولية الدولة، لتمكين الضحايا من الحصول على تعويض منصف وكاف. </w:t>
      </w:r>
      <w:dir w:val="rtl">
        <w:r w:rsidRPr="00725A2C">
          <w:rPr>
            <w:rFonts w:ascii="Traditional Arabic" w:hAnsi="Traditional Arabic" w:hint="cs"/>
            <w:b/>
            <w:bCs/>
            <w:rtl/>
          </w:rPr>
          <w:t>وتوجه</w:t>
        </w:r>
        <w:r w:rsidRPr="00725A2C">
          <w:rPr>
            <w:b/>
            <w:bCs/>
            <w:rtl/>
          </w:rPr>
          <w:t xml:space="preserve"> </w:t>
        </w:r>
        <w:r w:rsidRPr="00725A2C">
          <w:rPr>
            <w:rFonts w:ascii="Traditional Arabic" w:hAnsi="Traditional Arabic" w:hint="cs"/>
            <w:b/>
            <w:bCs/>
            <w:rtl/>
          </w:rPr>
          <w:t>اللجنة</w:t>
        </w:r>
        <w:r w:rsidRPr="00725A2C">
          <w:rPr>
            <w:b/>
            <w:bCs/>
            <w:rtl/>
          </w:rPr>
          <w:t xml:space="preserve"> </w:t>
        </w:r>
        <w:r>
          <w:rPr>
            <w:rFonts w:ascii="Traditional Arabic" w:hAnsi="Traditional Arabic" w:hint="cs"/>
            <w:b/>
            <w:bCs/>
            <w:rtl/>
          </w:rPr>
          <w:t>انتباه</w:t>
        </w:r>
        <w:r w:rsidRPr="00725A2C">
          <w:rPr>
            <w:b/>
            <w:bCs/>
            <w:rtl/>
          </w:rPr>
          <w:t xml:space="preserve"> </w:t>
        </w:r>
        <w:r w:rsidRPr="00725A2C">
          <w:rPr>
            <w:rFonts w:ascii="Traditional Arabic" w:hAnsi="Traditional Arabic" w:hint="cs"/>
            <w:b/>
            <w:bCs/>
            <w:rtl/>
          </w:rPr>
          <w:t>الدولة</w:t>
        </w:r>
        <w:r w:rsidRPr="00725A2C">
          <w:rPr>
            <w:b/>
            <w:bCs/>
            <w:rtl/>
          </w:rPr>
          <w:t xml:space="preserve"> </w:t>
        </w:r>
        <w:r w:rsidRPr="00725A2C">
          <w:rPr>
            <w:rFonts w:ascii="Traditional Arabic" w:hAnsi="Traditional Arabic" w:hint="cs"/>
            <w:b/>
            <w:bCs/>
            <w:rtl/>
          </w:rPr>
          <w:t>الطرف</w:t>
        </w:r>
        <w:r w:rsidRPr="00725A2C">
          <w:rPr>
            <w:b/>
            <w:bCs/>
            <w:rtl/>
          </w:rPr>
          <w:t xml:space="preserve"> </w:t>
        </w:r>
        <w:r w:rsidRPr="00725A2C">
          <w:rPr>
            <w:rFonts w:ascii="Traditional Arabic" w:hAnsi="Traditional Arabic" w:hint="cs"/>
            <w:b/>
            <w:bCs/>
            <w:rtl/>
          </w:rPr>
          <w:t>إلى</w:t>
        </w:r>
        <w:r w:rsidRPr="00725A2C">
          <w:rPr>
            <w:b/>
            <w:bCs/>
            <w:rtl/>
          </w:rPr>
          <w:t xml:space="preserve"> </w:t>
        </w:r>
        <w:r w:rsidRPr="00725A2C">
          <w:rPr>
            <w:rFonts w:ascii="Traditional Arabic" w:hAnsi="Traditional Arabic" w:hint="cs"/>
            <w:b/>
            <w:bCs/>
            <w:rtl/>
          </w:rPr>
          <w:t>تعليقها</w:t>
        </w:r>
        <w:r w:rsidRPr="00725A2C">
          <w:rPr>
            <w:b/>
            <w:bCs/>
            <w:rtl/>
          </w:rPr>
          <w:t xml:space="preserve"> </w:t>
        </w:r>
        <w:r w:rsidRPr="00725A2C">
          <w:rPr>
            <w:rFonts w:ascii="Traditional Arabic" w:hAnsi="Traditional Arabic" w:hint="cs"/>
            <w:b/>
            <w:bCs/>
            <w:rtl/>
          </w:rPr>
          <w:t>العام</w:t>
        </w:r>
        <w:r w:rsidRPr="00725A2C">
          <w:rPr>
            <w:b/>
            <w:bCs/>
            <w:rtl/>
          </w:rPr>
          <w:t xml:space="preserve"> </w:t>
        </w:r>
        <w:r w:rsidRPr="00725A2C">
          <w:rPr>
            <w:rFonts w:ascii="Traditional Arabic" w:hAnsi="Traditional Arabic" w:hint="cs"/>
            <w:b/>
            <w:bCs/>
            <w:rtl/>
          </w:rPr>
          <w:t>رقم</w:t>
        </w:r>
        <w:r w:rsidRPr="00725A2C">
          <w:rPr>
            <w:b/>
            <w:bCs/>
            <w:rtl/>
          </w:rPr>
          <w:t xml:space="preserve"> 3</w:t>
        </w:r>
        <w:r w:rsidR="003D1D8E">
          <w:rPr>
            <w:rFonts w:hint="cs"/>
            <w:b/>
            <w:bCs/>
            <w:rtl/>
          </w:rPr>
          <w:t>(</w:t>
        </w:r>
        <w:r w:rsidRPr="00725A2C">
          <w:rPr>
            <w:b/>
            <w:bCs/>
            <w:rtl/>
          </w:rPr>
          <w:t xml:space="preserve">2012) </w:t>
        </w:r>
        <w:r w:rsidRPr="00725A2C">
          <w:rPr>
            <w:rFonts w:ascii="Traditional Arabic" w:hAnsi="Traditional Arabic" w:hint="cs"/>
            <w:b/>
            <w:bCs/>
            <w:rtl/>
          </w:rPr>
          <w:t>بشأن</w:t>
        </w:r>
        <w:r w:rsidRPr="00725A2C">
          <w:rPr>
            <w:b/>
            <w:bCs/>
            <w:rtl/>
          </w:rPr>
          <w:t xml:space="preserve"> </w:t>
        </w:r>
        <w:r w:rsidRPr="00725A2C">
          <w:rPr>
            <w:rFonts w:ascii="Traditional Arabic" w:hAnsi="Traditional Arabic" w:hint="cs"/>
            <w:b/>
            <w:bCs/>
            <w:rtl/>
          </w:rPr>
          <w:t>تنفيذ</w:t>
        </w:r>
        <w:r w:rsidRPr="00725A2C">
          <w:rPr>
            <w:b/>
            <w:bCs/>
            <w:rtl/>
          </w:rPr>
          <w:t xml:space="preserve"> </w:t>
        </w:r>
        <w:r w:rsidRPr="00725A2C">
          <w:rPr>
            <w:rFonts w:ascii="Traditional Arabic" w:hAnsi="Traditional Arabic" w:hint="cs"/>
            <w:b/>
            <w:bCs/>
            <w:rtl/>
          </w:rPr>
          <w:t>الدول</w:t>
        </w:r>
        <w:r w:rsidRPr="00725A2C">
          <w:rPr>
            <w:b/>
            <w:bCs/>
            <w:rtl/>
          </w:rPr>
          <w:t xml:space="preserve"> </w:t>
        </w:r>
        <w:r w:rsidRPr="00725A2C">
          <w:rPr>
            <w:rFonts w:ascii="Traditional Arabic" w:hAnsi="Traditional Arabic" w:hint="cs"/>
            <w:b/>
            <w:bCs/>
            <w:rtl/>
          </w:rPr>
          <w:t>الأطراف</w:t>
        </w:r>
        <w:r w:rsidRPr="00725A2C">
          <w:rPr>
            <w:b/>
            <w:bCs/>
            <w:rtl/>
          </w:rPr>
          <w:t xml:space="preserve"> </w:t>
        </w:r>
        <w:r>
          <w:rPr>
            <w:rFonts w:hint="cs"/>
            <w:b/>
            <w:bCs/>
            <w:rtl/>
          </w:rPr>
          <w:t>ل</w:t>
        </w:r>
        <w:r w:rsidRPr="00725A2C">
          <w:rPr>
            <w:rFonts w:ascii="Traditional Arabic" w:hAnsi="Traditional Arabic" w:hint="cs"/>
            <w:b/>
            <w:bCs/>
            <w:rtl/>
          </w:rPr>
          <w:t>لمادة</w:t>
        </w:r>
        <w:r w:rsidRPr="00725A2C">
          <w:rPr>
            <w:b/>
            <w:bCs/>
            <w:rtl/>
          </w:rPr>
          <w:t xml:space="preserve"> 14</w:t>
        </w:r>
        <w:r w:rsidRPr="00725A2C">
          <w:rPr>
            <w:rFonts w:ascii="Traditional Arabic" w:hAnsi="Traditional Arabic" w:hint="cs"/>
            <w:b/>
            <w:bCs/>
            <w:rtl/>
          </w:rPr>
          <w:t>،</w:t>
        </w:r>
        <w:r w:rsidRPr="00725A2C">
          <w:rPr>
            <w:b/>
            <w:bCs/>
            <w:rtl/>
          </w:rPr>
          <w:t xml:space="preserve"> </w:t>
        </w:r>
        <w:r w:rsidRPr="00725A2C">
          <w:rPr>
            <w:rFonts w:ascii="Traditional Arabic" w:hAnsi="Traditional Arabic" w:hint="cs"/>
            <w:b/>
            <w:bCs/>
            <w:rtl/>
          </w:rPr>
          <w:t>والذي</w:t>
        </w:r>
        <w:r w:rsidRPr="00725A2C">
          <w:rPr>
            <w:b/>
            <w:bCs/>
            <w:rtl/>
          </w:rPr>
          <w:t xml:space="preserve"> </w:t>
        </w:r>
        <w:r w:rsidRPr="00725A2C">
          <w:rPr>
            <w:rFonts w:ascii="Traditional Arabic" w:hAnsi="Traditional Arabic" w:hint="cs"/>
            <w:b/>
            <w:bCs/>
            <w:rtl/>
          </w:rPr>
          <w:t>تتناول</w:t>
        </w:r>
        <w:r w:rsidRPr="00725A2C">
          <w:rPr>
            <w:b/>
            <w:bCs/>
            <w:rtl/>
          </w:rPr>
          <w:t xml:space="preserve"> </w:t>
        </w:r>
        <w:r w:rsidRPr="00725A2C">
          <w:rPr>
            <w:rFonts w:ascii="Traditional Arabic" w:hAnsi="Traditional Arabic" w:hint="cs"/>
            <w:b/>
            <w:bCs/>
            <w:rtl/>
          </w:rPr>
          <w:t>فيه</w:t>
        </w:r>
        <w:r w:rsidRPr="00725A2C">
          <w:rPr>
            <w:b/>
            <w:bCs/>
            <w:rtl/>
          </w:rPr>
          <w:t xml:space="preserve"> </w:t>
        </w:r>
        <w:r w:rsidRPr="00725A2C">
          <w:rPr>
            <w:rFonts w:ascii="Traditional Arabic" w:hAnsi="Traditional Arabic" w:hint="cs"/>
            <w:b/>
            <w:bCs/>
            <w:rtl/>
          </w:rPr>
          <w:t>باستفاضةٍ</w:t>
        </w:r>
        <w:r w:rsidRPr="00725A2C">
          <w:rPr>
            <w:b/>
            <w:bCs/>
            <w:rtl/>
          </w:rPr>
          <w:t xml:space="preserve"> </w:t>
        </w:r>
        <w:r w:rsidRPr="00725A2C">
          <w:rPr>
            <w:rFonts w:ascii="Traditional Arabic" w:hAnsi="Traditional Arabic" w:hint="cs"/>
            <w:b/>
            <w:bCs/>
            <w:rtl/>
          </w:rPr>
          <w:t>طبيعة</w:t>
        </w:r>
        <w:r w:rsidRPr="00725A2C">
          <w:rPr>
            <w:b/>
            <w:bCs/>
            <w:rtl/>
          </w:rPr>
          <w:t xml:space="preserve"> </w:t>
        </w:r>
        <w:r w:rsidRPr="00725A2C">
          <w:rPr>
            <w:rFonts w:ascii="Traditional Arabic" w:hAnsi="Traditional Arabic" w:hint="cs"/>
            <w:b/>
            <w:bCs/>
            <w:rtl/>
          </w:rPr>
          <w:t>ونطاق</w:t>
        </w:r>
        <w:r w:rsidRPr="00725A2C">
          <w:rPr>
            <w:b/>
            <w:bCs/>
            <w:rtl/>
          </w:rPr>
          <w:t xml:space="preserve"> </w:t>
        </w:r>
        <w:r w:rsidRPr="00725A2C">
          <w:rPr>
            <w:rFonts w:ascii="Traditional Arabic" w:hAnsi="Traditional Arabic" w:hint="cs"/>
            <w:b/>
            <w:bCs/>
            <w:rtl/>
          </w:rPr>
          <w:t>التزامات</w:t>
        </w:r>
        <w:r w:rsidRPr="00725A2C">
          <w:rPr>
            <w:b/>
            <w:bCs/>
            <w:rtl/>
          </w:rPr>
          <w:t xml:space="preserve"> </w:t>
        </w:r>
        <w:r w:rsidRPr="00725A2C">
          <w:rPr>
            <w:rFonts w:ascii="Traditional Arabic" w:hAnsi="Traditional Arabic" w:hint="cs"/>
            <w:b/>
            <w:bCs/>
            <w:rtl/>
          </w:rPr>
          <w:t>الدول</w:t>
        </w:r>
        <w:r w:rsidRPr="00725A2C">
          <w:rPr>
            <w:b/>
            <w:bCs/>
            <w:rtl/>
          </w:rPr>
          <w:t xml:space="preserve"> </w:t>
        </w:r>
        <w:r w:rsidRPr="00725A2C">
          <w:rPr>
            <w:rFonts w:ascii="Traditional Arabic" w:hAnsi="Traditional Arabic" w:hint="cs"/>
            <w:b/>
            <w:bCs/>
            <w:rtl/>
          </w:rPr>
          <w:t>الأطراف</w:t>
        </w:r>
        <w:r w:rsidRPr="00725A2C">
          <w:rPr>
            <w:b/>
            <w:bCs/>
            <w:rtl/>
          </w:rPr>
          <w:t xml:space="preserve"> </w:t>
        </w:r>
        <w:r w:rsidRPr="00725A2C">
          <w:rPr>
            <w:rFonts w:ascii="Traditional Arabic" w:hAnsi="Traditional Arabic" w:hint="cs"/>
            <w:b/>
            <w:bCs/>
            <w:rtl/>
          </w:rPr>
          <w:t>بموجب</w:t>
        </w:r>
        <w:r w:rsidRPr="00725A2C">
          <w:rPr>
            <w:b/>
            <w:bCs/>
            <w:rtl/>
          </w:rPr>
          <w:t xml:space="preserve"> </w:t>
        </w:r>
        <w:r w:rsidRPr="00725A2C">
          <w:rPr>
            <w:rFonts w:ascii="Traditional Arabic" w:hAnsi="Traditional Arabic" w:hint="cs"/>
            <w:b/>
            <w:bCs/>
            <w:rtl/>
          </w:rPr>
          <w:t>المادة</w:t>
        </w:r>
        <w:r w:rsidRPr="00725A2C">
          <w:rPr>
            <w:b/>
            <w:bCs/>
            <w:rtl/>
          </w:rPr>
          <w:t xml:space="preserve"> 14 </w:t>
        </w:r>
        <w:r w:rsidRPr="00725A2C">
          <w:rPr>
            <w:rFonts w:ascii="Traditional Arabic" w:hAnsi="Traditional Arabic" w:hint="cs"/>
            <w:b/>
            <w:bCs/>
            <w:rtl/>
          </w:rPr>
          <w:t>من</w:t>
        </w:r>
        <w:r w:rsidRPr="00725A2C">
          <w:rPr>
            <w:b/>
            <w:bCs/>
            <w:rtl/>
          </w:rPr>
          <w:t xml:space="preserve"> </w:t>
        </w:r>
        <w:r w:rsidRPr="00725A2C">
          <w:rPr>
            <w:rFonts w:ascii="Traditional Arabic" w:hAnsi="Traditional Arabic" w:hint="cs"/>
            <w:b/>
            <w:bCs/>
            <w:rtl/>
          </w:rPr>
          <w:t>ا</w:t>
        </w:r>
        <w:r w:rsidRPr="00725A2C">
          <w:rPr>
            <w:b/>
            <w:bCs/>
            <w:rtl/>
          </w:rPr>
          <w:t>لاتفاقية بإتاحة جبر كامل</w:t>
        </w:r>
        <w:r>
          <w:rPr>
            <w:b/>
            <w:bCs/>
            <w:rtl/>
          </w:rPr>
          <w:t xml:space="preserve"> </w:t>
        </w:r>
        <w:r>
          <w:rPr>
            <w:rFonts w:hint="cs"/>
            <w:b/>
            <w:bCs/>
            <w:rtl/>
          </w:rPr>
          <w:t>ل</w:t>
        </w:r>
        <w:r w:rsidRPr="00725A2C">
          <w:rPr>
            <w:b/>
            <w:bCs/>
            <w:rtl/>
          </w:rPr>
          <w:t>ضحايا التعذيب</w:t>
        </w:r>
        <w:r>
          <w:rPr>
            <w:rFonts w:hint="cs"/>
            <w:b/>
            <w:bCs/>
            <w:rtl/>
          </w:rPr>
          <w:t xml:space="preserve"> وإعادة تأهيلهم على أكمل وجه.</w:t>
        </w:r>
        <w:r w:rsidRPr="00725A2C">
          <w:rPr>
            <w:rFonts w:ascii="Arial" w:hAnsi="Arial" w:cs="Arial" w:hint="cs"/>
            <w:b/>
            <w:bCs/>
            <w:rtl/>
          </w:rPr>
          <w:t>‬</w:t>
        </w:r>
        <w:r w:rsidRPr="00725A2C">
          <w:rPr>
            <w:rFonts w:ascii="Arial" w:hAnsi="Arial" w:cs="Arial" w:hint="cs"/>
            <w:b/>
            <w:bCs/>
            <w:rtl/>
          </w:rPr>
          <w:t>‬</w:t>
        </w:r>
        <w:r w:rsidRPr="00725A2C">
          <w:rPr>
            <w:rFonts w:ascii="Arial" w:hAnsi="Arial" w:cs="Arial" w:hint="cs"/>
            <w:b/>
            <w:bCs/>
            <w:rtl/>
          </w:rPr>
          <w:t>‬</w:t>
        </w:r>
        <w:r w:rsidRPr="00725A2C">
          <w:rPr>
            <w:b/>
            <w:bCs/>
          </w:rPr>
          <w:t>‬</w:t>
        </w:r>
        <w:r w:rsidRPr="00725A2C">
          <w:rPr>
            <w:b/>
            <w:bCs/>
          </w:rPr>
          <w:t>‬</w:t>
        </w:r>
        <w:r>
          <w:t>‬</w:t>
        </w:r>
        <w:r w:rsidR="00F9171C">
          <w:t>‬</w:t>
        </w:r>
        <w:r w:rsidR="00727F82">
          <w:t>‬</w:t>
        </w:r>
      </w:dir>
    </w:p>
    <w:p w:rsidR="0072308B" w:rsidRDefault="0072308B" w:rsidP="008F6237">
      <w:pPr>
        <w:pStyle w:val="H23GA"/>
      </w:pPr>
      <w:r>
        <w:rPr>
          <w:rtl/>
        </w:rPr>
        <w:tab/>
      </w:r>
      <w:r>
        <w:rPr>
          <w:rtl/>
        </w:rPr>
        <w:tab/>
      </w:r>
      <w:dir w:val="rtl">
        <w:r w:rsidRPr="00B20E2A">
          <w:rPr>
            <w:rFonts w:hint="cs"/>
            <w:rtl/>
          </w:rPr>
          <w:t>التدابير</w:t>
        </w:r>
        <w:r w:rsidRPr="00B20E2A">
          <w:rPr>
            <w:rtl/>
          </w:rPr>
          <w:t xml:space="preserve"> </w:t>
        </w:r>
        <w:r w:rsidRPr="00B20E2A">
          <w:rPr>
            <w:rFonts w:hint="cs"/>
            <w:rtl/>
          </w:rPr>
          <w:t>القسرية</w:t>
        </w:r>
        <w:r w:rsidRPr="00B20E2A">
          <w:rPr>
            <w:rtl/>
          </w:rPr>
          <w:t xml:space="preserve"> </w:t>
        </w:r>
        <w:r w:rsidRPr="00B20E2A">
          <w:rPr>
            <w:rFonts w:hint="cs"/>
            <w:rtl/>
          </w:rPr>
          <w:t>في</w:t>
        </w:r>
        <w:r w:rsidRPr="00B20E2A">
          <w:rPr>
            <w:rtl/>
          </w:rPr>
          <w:t xml:space="preserve"> </w:t>
        </w:r>
        <w:r w:rsidRPr="00B20E2A">
          <w:rPr>
            <w:rFonts w:hint="cs"/>
            <w:rtl/>
          </w:rPr>
          <w:t>مؤسسات</w:t>
        </w:r>
        <w:r w:rsidRPr="00B20E2A">
          <w:rPr>
            <w:rtl/>
          </w:rPr>
          <w:t xml:space="preserve"> </w:t>
        </w:r>
        <w:r w:rsidRPr="00B20E2A">
          <w:rPr>
            <w:rFonts w:hint="cs"/>
            <w:rtl/>
          </w:rPr>
          <w:t>الطب</w:t>
        </w:r>
        <w:r w:rsidRPr="00B20E2A">
          <w:rPr>
            <w:rtl/>
          </w:rPr>
          <w:t xml:space="preserve"> </w:t>
        </w:r>
        <w:r w:rsidRPr="00B20E2A">
          <w:rPr>
            <w:rFonts w:hint="cs"/>
            <w:rtl/>
          </w:rPr>
          <w:t>النفسي</w:t>
        </w:r>
        <w:r>
          <w:rPr>
            <w:rFonts w:ascii="Arial" w:hAnsi="Arial" w:cs="Arial" w:hint="cs"/>
            <w:rtl/>
          </w:rPr>
          <w:t>‬</w:t>
        </w:r>
        <w:r>
          <w:rPr>
            <w:rFonts w:ascii="Arial" w:hAnsi="Arial" w:cs="Arial" w:hint="cs"/>
            <w:rtl/>
          </w:rPr>
          <w:t>‬</w:t>
        </w:r>
        <w:r>
          <w:t>‬</w:t>
        </w:r>
        <w:r>
          <w:t>‬</w:t>
        </w:r>
        <w:r w:rsidR="00F9171C">
          <w:t>‬</w:t>
        </w:r>
        <w:r w:rsidR="00727F82">
          <w:t>‬</w:t>
        </w:r>
      </w:dir>
    </w:p>
    <w:p w:rsidR="0072308B" w:rsidRDefault="0072308B" w:rsidP="00E03FE9">
      <w:pPr>
        <w:pStyle w:val="SingleTxtGA"/>
      </w:pPr>
      <w:r>
        <w:rPr>
          <w:rtl/>
        </w:rPr>
        <w:t>٣٢-</w:t>
      </w:r>
      <w:r>
        <w:rPr>
          <w:rtl/>
        </w:rPr>
        <w:tab/>
        <w:t>وإذ تحيط اللجنة علم</w:t>
      </w:r>
      <w:r w:rsidR="000E14AB">
        <w:rPr>
          <w:rtl/>
        </w:rPr>
        <w:t xml:space="preserve">اً </w:t>
      </w:r>
      <w:r>
        <w:rPr>
          <w:rtl/>
        </w:rPr>
        <w:t>ب</w:t>
      </w:r>
      <w:r>
        <w:rPr>
          <w:rFonts w:hint="cs"/>
          <w:rtl/>
        </w:rPr>
        <w:t>ال</w:t>
      </w:r>
      <w:r>
        <w:rPr>
          <w:rtl/>
        </w:rPr>
        <w:t>إصلاح</w:t>
      </w:r>
      <w:r>
        <w:rPr>
          <w:rFonts w:hint="cs"/>
          <w:rtl/>
        </w:rPr>
        <w:t xml:space="preserve"> الجاري</w:t>
      </w:r>
      <w:r>
        <w:rPr>
          <w:rtl/>
        </w:rPr>
        <w:t xml:space="preserve"> </w:t>
      </w:r>
      <w:r>
        <w:rPr>
          <w:rFonts w:hint="cs"/>
          <w:rtl/>
        </w:rPr>
        <w:t>ل</w:t>
      </w:r>
      <w:r>
        <w:rPr>
          <w:rtl/>
        </w:rPr>
        <w:t>رعاية الطب النفسي، والمبادئ التوجيهية المنهجية التي أصدرتها مؤخر</w:t>
      </w:r>
      <w:r w:rsidR="000E14AB">
        <w:rPr>
          <w:rtl/>
        </w:rPr>
        <w:t xml:space="preserve">اً </w:t>
      </w:r>
      <w:r>
        <w:rPr>
          <w:rtl/>
        </w:rPr>
        <w:t>بشأن باستخدام القيود، فإنها تظل قلقة لاستمرار استخدام الأ</w:t>
      </w:r>
      <w:r>
        <w:rPr>
          <w:rFonts w:hint="cs"/>
          <w:rtl/>
        </w:rPr>
        <w:t>َ</w:t>
      </w:r>
      <w:r>
        <w:rPr>
          <w:rtl/>
        </w:rPr>
        <w:t>س</w:t>
      </w:r>
      <w:r>
        <w:rPr>
          <w:rFonts w:hint="cs"/>
          <w:rtl/>
        </w:rPr>
        <w:t>ِ</w:t>
      </w:r>
      <w:r>
        <w:rPr>
          <w:rtl/>
        </w:rPr>
        <w:t>ر</w:t>
      </w:r>
      <w:r>
        <w:rPr>
          <w:rFonts w:hint="cs"/>
          <w:rtl/>
        </w:rPr>
        <w:t>َّ</w:t>
      </w:r>
      <w:r>
        <w:rPr>
          <w:rtl/>
        </w:rPr>
        <w:t>ة الشبكية في مؤسسات الطب النفسي. وتشعر اللجنة بالقلق إزاء التقارير التي تفيد بأن التوصيات التي قدم</w:t>
      </w:r>
      <w:r>
        <w:rPr>
          <w:rFonts w:hint="cs"/>
          <w:rtl/>
        </w:rPr>
        <w:t>ت</w:t>
      </w:r>
      <w:r>
        <w:rPr>
          <w:rtl/>
        </w:rPr>
        <w:t xml:space="preserve">ها </w:t>
      </w:r>
      <w:r>
        <w:rPr>
          <w:rFonts w:hint="cs"/>
          <w:rtl/>
        </w:rPr>
        <w:t xml:space="preserve">مؤسسة </w:t>
      </w:r>
      <w:r>
        <w:rPr>
          <w:rtl/>
        </w:rPr>
        <w:t xml:space="preserve">المدافع العام عن </w:t>
      </w:r>
      <w:r>
        <w:rPr>
          <w:rFonts w:hint="cs"/>
          <w:rtl/>
        </w:rPr>
        <w:t>ال</w:t>
      </w:r>
      <w:r>
        <w:rPr>
          <w:rtl/>
        </w:rPr>
        <w:t>حقوق لم تنفذ بالكامل. ويساورها القلق أيض</w:t>
      </w:r>
      <w:r w:rsidR="000E14AB">
        <w:rPr>
          <w:rtl/>
        </w:rPr>
        <w:t xml:space="preserve">اً </w:t>
      </w:r>
      <w:r>
        <w:rPr>
          <w:rtl/>
        </w:rPr>
        <w:t>إزاء التقارير التي تفيد بأن نطاق المعلومات الواردة في السجل المركزي لتسجيل استخدام القيود</w:t>
      </w:r>
      <w:r>
        <w:rPr>
          <w:rFonts w:hint="cs"/>
          <w:rtl/>
        </w:rPr>
        <w:t xml:space="preserve"> ل</w:t>
      </w:r>
      <w:r>
        <w:rPr>
          <w:rtl/>
        </w:rPr>
        <w:t>أغراض الرصد</w:t>
      </w:r>
      <w:r>
        <w:rPr>
          <w:rFonts w:hint="cs"/>
          <w:rtl/>
        </w:rPr>
        <w:t xml:space="preserve"> نطاق </w:t>
      </w:r>
      <w:r>
        <w:rPr>
          <w:rtl/>
        </w:rPr>
        <w:t>محدود (المادتان ١١</w:t>
      </w:r>
      <w:r w:rsidR="00E03FE9">
        <w:rPr>
          <w:rtl/>
        </w:rPr>
        <w:t xml:space="preserve"> و</w:t>
      </w:r>
      <w:r>
        <w:rPr>
          <w:rtl/>
        </w:rPr>
        <w:t>١٦)</w:t>
      </w:r>
      <w:r>
        <w:rPr>
          <w:rFonts w:hint="cs"/>
          <w:rtl/>
        </w:rPr>
        <w:t>.</w:t>
      </w:r>
      <w:r>
        <w:rPr>
          <w:rtl/>
        </w:rPr>
        <w:t xml:space="preserve"> </w:t>
      </w:r>
    </w:p>
    <w:p w:rsidR="0072308B" w:rsidRPr="00725A2C" w:rsidRDefault="008F6237" w:rsidP="00E03FE9">
      <w:pPr>
        <w:pStyle w:val="SingleTxtGA"/>
        <w:rPr>
          <w:b/>
          <w:bCs/>
        </w:rPr>
      </w:pPr>
      <w:r>
        <w:rPr>
          <w:rtl/>
        </w:rPr>
        <w:br w:type="page"/>
      </w:r>
      <w:r w:rsidR="0072308B">
        <w:rPr>
          <w:rtl/>
        </w:rPr>
        <w:lastRenderedPageBreak/>
        <w:t>٣٣-</w:t>
      </w:r>
      <w:r w:rsidR="0072308B">
        <w:rPr>
          <w:rtl/>
        </w:rPr>
        <w:tab/>
      </w:r>
      <w:r w:rsidR="0072308B" w:rsidRPr="00725A2C">
        <w:rPr>
          <w:b/>
          <w:bCs/>
          <w:rtl/>
        </w:rPr>
        <w:t xml:space="preserve">ينبغي للدولة الطرف أن تقوم بما يلي: </w:t>
      </w:r>
    </w:p>
    <w:p w:rsidR="0072308B" w:rsidRPr="00725A2C" w:rsidRDefault="0072308B" w:rsidP="000E14AB">
      <w:pPr>
        <w:pStyle w:val="SingleTxtGA"/>
        <w:rPr>
          <w:b/>
          <w:bCs/>
        </w:rPr>
      </w:pPr>
      <w:r w:rsidRPr="008F6237">
        <w:rPr>
          <w:rtl/>
        </w:rPr>
        <w:tab/>
        <w:t>(أ)</w:t>
      </w:r>
      <w:r w:rsidRPr="008F6237">
        <w:rPr>
          <w:rtl/>
        </w:rPr>
        <w:tab/>
      </w:r>
      <w:r w:rsidRPr="00725A2C">
        <w:rPr>
          <w:b/>
          <w:bCs/>
          <w:rtl/>
        </w:rPr>
        <w:t>تعزيز جهودها الرامية إلى تنفيذ الإصلاح الجاري لرعاية الطب النفسي، بما</w:t>
      </w:r>
      <w:r w:rsidR="000E14AB">
        <w:rPr>
          <w:rFonts w:hint="cs"/>
          <w:b/>
          <w:bCs/>
          <w:rtl/>
        </w:rPr>
        <w:t> </w:t>
      </w:r>
      <w:r w:rsidRPr="00725A2C">
        <w:rPr>
          <w:b/>
          <w:bCs/>
          <w:rtl/>
        </w:rPr>
        <w:t>في ذلك عن طريق زيادة استخدام بدائل أقل تقييد</w:t>
      </w:r>
      <w:r w:rsidR="000E14AB">
        <w:rPr>
          <w:b/>
          <w:bCs/>
          <w:rtl/>
        </w:rPr>
        <w:t xml:space="preserve">اً </w:t>
      </w:r>
      <w:r w:rsidRPr="00725A2C">
        <w:rPr>
          <w:b/>
          <w:bCs/>
          <w:rtl/>
        </w:rPr>
        <w:t>للاحتجاز القسري للأشخاص ذوي الإعاقة الذهنية والنفسية</w:t>
      </w:r>
      <w:r w:rsidR="000E14AB">
        <w:rPr>
          <w:rFonts w:hint="cs"/>
          <w:b/>
          <w:bCs/>
          <w:rtl/>
        </w:rPr>
        <w:t xml:space="preserve"> </w:t>
      </w:r>
      <w:r w:rsidRPr="00725A2C">
        <w:rPr>
          <w:b/>
          <w:bCs/>
          <w:rtl/>
        </w:rPr>
        <w:t>-</w:t>
      </w:r>
      <w:r w:rsidR="000E14AB">
        <w:rPr>
          <w:rFonts w:hint="cs"/>
          <w:b/>
          <w:bCs/>
          <w:rtl/>
        </w:rPr>
        <w:t xml:space="preserve"> </w:t>
      </w:r>
      <w:r w:rsidRPr="00725A2C">
        <w:rPr>
          <w:b/>
          <w:bCs/>
          <w:rtl/>
        </w:rPr>
        <w:t xml:space="preserve">الاجتماعية؛ </w:t>
      </w:r>
    </w:p>
    <w:p w:rsidR="0072308B" w:rsidRPr="00725A2C" w:rsidRDefault="0072308B" w:rsidP="00E03FE9">
      <w:pPr>
        <w:pStyle w:val="SingleTxtGA"/>
        <w:rPr>
          <w:b/>
          <w:bCs/>
        </w:rPr>
      </w:pPr>
      <w:r w:rsidRPr="008F6237">
        <w:rPr>
          <w:rtl/>
        </w:rPr>
        <w:tab/>
        <w:t>(ب)</w:t>
      </w:r>
      <w:r w:rsidRPr="008F6237">
        <w:rPr>
          <w:rtl/>
        </w:rPr>
        <w:tab/>
      </w:r>
      <w:r w:rsidRPr="00725A2C">
        <w:rPr>
          <w:b/>
          <w:bCs/>
          <w:rtl/>
        </w:rPr>
        <w:t xml:space="preserve">ضمان </w:t>
      </w:r>
      <w:r>
        <w:rPr>
          <w:rFonts w:hint="cs"/>
          <w:b/>
          <w:bCs/>
          <w:rtl/>
        </w:rPr>
        <w:t>إدراج</w:t>
      </w:r>
      <w:r w:rsidRPr="00725A2C">
        <w:rPr>
          <w:b/>
          <w:bCs/>
          <w:rtl/>
        </w:rPr>
        <w:t xml:space="preserve"> أحكام في التشريعات الوطنية تنص على توفير ضمانات الحماية القانونية الفعالة لجميع الأشخاص ذوي الإعاقة الذهنية والإعاقة النفسية - الاجتماعية فيما يخص المعالجة النفسية والطبية غير الطوعية في مؤسسات الطب النفسي، بما في ذلك ما يتعلق بالمواد الكيميائية الكابحة والقيود </w:t>
      </w:r>
      <w:r>
        <w:rPr>
          <w:rFonts w:hint="cs"/>
          <w:b/>
          <w:bCs/>
          <w:rtl/>
        </w:rPr>
        <w:t>البدنية</w:t>
      </w:r>
      <w:r w:rsidRPr="00725A2C">
        <w:rPr>
          <w:b/>
          <w:bCs/>
          <w:rtl/>
        </w:rPr>
        <w:t>؛</w:t>
      </w:r>
    </w:p>
    <w:p w:rsidR="0072308B" w:rsidRPr="00725A2C" w:rsidRDefault="0072308B" w:rsidP="00E03FE9">
      <w:pPr>
        <w:pStyle w:val="SingleTxtGA"/>
        <w:rPr>
          <w:b/>
          <w:bCs/>
        </w:rPr>
      </w:pPr>
      <w:r w:rsidRPr="008F6237">
        <w:rPr>
          <w:rtl/>
        </w:rPr>
        <w:tab/>
        <w:t>(ج)</w:t>
      </w:r>
      <w:r w:rsidRPr="00725A2C">
        <w:rPr>
          <w:b/>
          <w:bCs/>
          <w:rtl/>
        </w:rPr>
        <w:tab/>
        <w:t>القيام</w:t>
      </w:r>
      <w:r>
        <w:rPr>
          <w:b/>
          <w:bCs/>
          <w:rtl/>
        </w:rPr>
        <w:t xml:space="preserve">، </w:t>
      </w:r>
      <w:r w:rsidRPr="00725A2C">
        <w:rPr>
          <w:b/>
          <w:bCs/>
          <w:rtl/>
        </w:rPr>
        <w:t xml:space="preserve">في الممارسة، بحظر استخدام الأسرة القفصية في مؤسسات الطب النفسي والمؤسسات الاجتماعية التي تؤوي الأطفال ذوي الإعاقة العقلية؛ </w:t>
      </w:r>
      <w:r>
        <w:rPr>
          <w:rFonts w:hint="cs"/>
          <w:b/>
          <w:bCs/>
          <w:rtl/>
        </w:rPr>
        <w:t>و</w:t>
      </w:r>
      <w:r w:rsidRPr="00725A2C">
        <w:rPr>
          <w:b/>
          <w:bCs/>
          <w:rtl/>
        </w:rPr>
        <w:t>تعديل قانون خدمات الرعاية الصحية (رقم 372/2011) ليشمل حظر الأسرة الشبكية في جميع مرافق الطب النفسي؛ وضمان أن يكون السجل المركزي لتسجيل استخدام القيود يتضمن معلومات شاملة بما يكفي لأغراض الرصد؛</w:t>
      </w:r>
    </w:p>
    <w:p w:rsidR="0072308B" w:rsidRPr="00725A2C" w:rsidRDefault="0072308B" w:rsidP="00E03FE9">
      <w:pPr>
        <w:pStyle w:val="SingleTxtGA"/>
        <w:rPr>
          <w:b/>
          <w:bCs/>
        </w:rPr>
      </w:pPr>
      <w:r w:rsidRPr="008F6237">
        <w:rPr>
          <w:rtl/>
        </w:rPr>
        <w:tab/>
        <w:t>(د)</w:t>
      </w:r>
      <w:r w:rsidRPr="008F6237">
        <w:rPr>
          <w:rtl/>
        </w:rPr>
        <w:tab/>
      </w:r>
      <w:r w:rsidRPr="00725A2C">
        <w:rPr>
          <w:b/>
          <w:bCs/>
          <w:rtl/>
        </w:rPr>
        <w:t xml:space="preserve">اتخاذ التدابير الضرورية لتمكين المدافع العام عن </w:t>
      </w:r>
      <w:r>
        <w:rPr>
          <w:rFonts w:hint="cs"/>
          <w:b/>
          <w:bCs/>
          <w:rtl/>
        </w:rPr>
        <w:t>ال</w:t>
      </w:r>
      <w:r w:rsidRPr="00725A2C">
        <w:rPr>
          <w:b/>
          <w:bCs/>
          <w:rtl/>
        </w:rPr>
        <w:t xml:space="preserve">حقوق، بصفته الآلية الوقائية الوطنية، من الاستمرار في إجراء زيارات منتظمة ومفاجئة لمؤسسات الطب النفسي دون أي قيد، وضمان التنفيذ الفعلي للتوصيات التي قدمها المدافع العام عن </w:t>
      </w:r>
      <w:r>
        <w:rPr>
          <w:rFonts w:hint="cs"/>
          <w:b/>
          <w:bCs/>
          <w:rtl/>
        </w:rPr>
        <w:t>ال</w:t>
      </w:r>
      <w:r w:rsidRPr="00725A2C">
        <w:rPr>
          <w:b/>
          <w:bCs/>
          <w:rtl/>
        </w:rPr>
        <w:t>حقوق؛</w:t>
      </w:r>
    </w:p>
    <w:p w:rsidR="0072308B" w:rsidRDefault="0072308B" w:rsidP="00E03FE9">
      <w:pPr>
        <w:pStyle w:val="SingleTxtGA"/>
        <w:rPr>
          <w:b/>
          <w:bCs/>
          <w:rtl/>
        </w:rPr>
      </w:pPr>
      <w:r w:rsidRPr="008F6237">
        <w:rPr>
          <w:rtl/>
        </w:rPr>
        <w:tab/>
        <w:t>(هـ)</w:t>
      </w:r>
      <w:r w:rsidRPr="008F6237">
        <w:rPr>
          <w:rtl/>
        </w:rPr>
        <w:tab/>
      </w:r>
      <w:r w:rsidRPr="00725A2C">
        <w:rPr>
          <w:b/>
          <w:bCs/>
          <w:rtl/>
        </w:rPr>
        <w:t>التحقيق في جميع الشكاوى المتعلقة بإساءة معاملة الأشخاص ذوي الإعاقة العقلية والإعاقة النفسية - الاجتماعية في مؤسسات الطب النفسي، وتقديم المسؤولي</w:t>
      </w:r>
      <w:r>
        <w:rPr>
          <w:rFonts w:hint="cs"/>
          <w:b/>
          <w:bCs/>
          <w:rtl/>
        </w:rPr>
        <w:t>ن</w:t>
      </w:r>
      <w:r w:rsidRPr="00725A2C">
        <w:rPr>
          <w:b/>
          <w:bCs/>
          <w:rtl/>
        </w:rPr>
        <w:t xml:space="preserve"> عنها إلى العدالة وإنصاف الضحايا</w:t>
      </w:r>
      <w:r>
        <w:rPr>
          <w:rFonts w:hint="cs"/>
          <w:b/>
          <w:bCs/>
          <w:rtl/>
        </w:rPr>
        <w:t>.</w:t>
      </w:r>
    </w:p>
    <w:p w:rsidR="0072308B" w:rsidRDefault="0072308B" w:rsidP="008F6237">
      <w:pPr>
        <w:pStyle w:val="H23GA"/>
      </w:pPr>
      <w:r>
        <w:rPr>
          <w:rtl/>
        </w:rPr>
        <w:tab/>
      </w:r>
      <w:r>
        <w:rPr>
          <w:rtl/>
        </w:rPr>
        <w:tab/>
        <w:t xml:space="preserve">الإخصاء الجراحي لمرتكبي الجرائم الجنسية </w:t>
      </w:r>
    </w:p>
    <w:p w:rsidR="0072308B" w:rsidRDefault="0072308B" w:rsidP="00E03FE9">
      <w:pPr>
        <w:pStyle w:val="SingleTxtGA"/>
      </w:pPr>
      <w:r>
        <w:rPr>
          <w:rtl/>
        </w:rPr>
        <w:t>٣٤-</w:t>
      </w:r>
      <w:r>
        <w:rPr>
          <w:rtl/>
        </w:rPr>
        <w:tab/>
        <w:t>وفي حين تلاحظ اللجنة أن الإخصاء الجراحي لا يجوز إجراؤه إلا على أساس طوعي، وأن ضمانات إجرائية أد</w:t>
      </w:r>
      <w:r>
        <w:rPr>
          <w:rFonts w:hint="cs"/>
          <w:rtl/>
        </w:rPr>
        <w:t>رجت</w:t>
      </w:r>
      <w:r>
        <w:rPr>
          <w:rtl/>
        </w:rPr>
        <w:t xml:space="preserve"> </w:t>
      </w:r>
      <w:r>
        <w:rPr>
          <w:rFonts w:hint="cs"/>
          <w:rtl/>
        </w:rPr>
        <w:t>في</w:t>
      </w:r>
      <w:r>
        <w:rPr>
          <w:rtl/>
        </w:rPr>
        <w:t xml:space="preserve"> الإطار القانوني، فإنها تأسف لأن الدولة الطرف لم تلغ تمام</w:t>
      </w:r>
      <w:r w:rsidR="000E14AB">
        <w:rPr>
          <w:rtl/>
        </w:rPr>
        <w:t xml:space="preserve">اً </w:t>
      </w:r>
      <w:r>
        <w:rPr>
          <w:rtl/>
        </w:rPr>
        <w:t>الإخصاء الجراحي (المادتان ٢</w:t>
      </w:r>
      <w:r w:rsidR="00E03FE9">
        <w:rPr>
          <w:rtl/>
        </w:rPr>
        <w:t xml:space="preserve"> و</w:t>
      </w:r>
      <w:r>
        <w:rPr>
          <w:rtl/>
        </w:rPr>
        <w:t>١٦).</w:t>
      </w:r>
    </w:p>
    <w:p w:rsidR="0072308B" w:rsidRDefault="0072308B" w:rsidP="00E03FE9">
      <w:pPr>
        <w:pStyle w:val="SingleTxtGA"/>
        <w:rPr>
          <w:rtl/>
        </w:rPr>
      </w:pPr>
      <w:r>
        <w:rPr>
          <w:rtl/>
        </w:rPr>
        <w:t>٣٥-</w:t>
      </w:r>
      <w:r>
        <w:rPr>
          <w:rtl/>
        </w:rPr>
        <w:tab/>
      </w:r>
      <w:r w:rsidRPr="00725A2C">
        <w:rPr>
          <w:b/>
          <w:bCs/>
          <w:rtl/>
        </w:rPr>
        <w:t>توصي اللجنة الدولة الطرف باتخاذ التدابير اللازمة لمراجعة سياسة استخدام الإخصاء الجراحي في سياق معاملة مرتكبي الجرائم الجنسية، بهدف مواءمتها مع المعايير الدولية.</w:t>
      </w:r>
      <w:r>
        <w:rPr>
          <w:rtl/>
        </w:rPr>
        <w:t xml:space="preserve"> </w:t>
      </w:r>
    </w:p>
    <w:p w:rsidR="0072308B" w:rsidRDefault="0072308B" w:rsidP="008F6237">
      <w:pPr>
        <w:pStyle w:val="H23GA"/>
      </w:pPr>
      <w:r>
        <w:rPr>
          <w:rtl/>
        </w:rPr>
        <w:tab/>
      </w:r>
      <w:r>
        <w:rPr>
          <w:rtl/>
        </w:rPr>
        <w:tab/>
        <w:t xml:space="preserve">مؤسسة المدافع </w:t>
      </w:r>
      <w:r>
        <w:rPr>
          <w:rFonts w:hint="cs"/>
          <w:rtl/>
        </w:rPr>
        <w:t xml:space="preserve">العام </w:t>
      </w:r>
      <w:r>
        <w:rPr>
          <w:rtl/>
        </w:rPr>
        <w:t xml:space="preserve">عن الحقوق </w:t>
      </w:r>
    </w:p>
    <w:p w:rsidR="0072308B" w:rsidRDefault="0072308B" w:rsidP="000E14AB">
      <w:pPr>
        <w:pStyle w:val="SingleTxtGA"/>
      </w:pPr>
      <w:r>
        <w:rPr>
          <w:rtl/>
        </w:rPr>
        <w:t>٣٦-</w:t>
      </w:r>
      <w:r>
        <w:rPr>
          <w:rtl/>
        </w:rPr>
        <w:tab/>
        <w:t xml:space="preserve">وإذ تلاحظ اللجنة أن تقرير الدولة الطرف يشير إلى أن عملية تعديل القانون المتعلق بالمدافع العام عن </w:t>
      </w:r>
      <w:r>
        <w:rPr>
          <w:rFonts w:hint="cs"/>
          <w:rtl/>
        </w:rPr>
        <w:t>ال</w:t>
      </w:r>
      <w:r>
        <w:rPr>
          <w:rtl/>
        </w:rPr>
        <w:t xml:space="preserve">حقوق تجري على قدم وساق في عام ٢٠١٥ (انظر </w:t>
      </w:r>
      <w:r>
        <w:t>CAT/C/CZE/6</w:t>
      </w:r>
      <w:r>
        <w:rPr>
          <w:rtl/>
        </w:rPr>
        <w:t>، الفقرة</w:t>
      </w:r>
      <w:r w:rsidR="008F6237">
        <w:rPr>
          <w:rFonts w:hint="cs"/>
          <w:rtl/>
        </w:rPr>
        <w:t> </w:t>
      </w:r>
      <w:r>
        <w:rPr>
          <w:rtl/>
        </w:rPr>
        <w:t>٣٩)، فإنها تشعر بالقلق لأن الدولة الطرف لم تنشئ بعد مؤسسة وطنية موحدة لحقوق الإنسان امتثال</w:t>
      </w:r>
      <w:r w:rsidR="000E14AB">
        <w:rPr>
          <w:rtl/>
        </w:rPr>
        <w:t xml:space="preserve">اً </w:t>
      </w:r>
      <w:r>
        <w:rPr>
          <w:rtl/>
        </w:rPr>
        <w:t xml:space="preserve">للمبادئ المتعلقة بمركز المؤسسات الوطنية لتعزيز وحماية حقوق الإنسان (مبادئ باريس)، وأنه على الرغم من التوسيع الأخير لقدرة مؤسسة المدافع العام عن </w:t>
      </w:r>
      <w:r>
        <w:rPr>
          <w:rFonts w:hint="cs"/>
          <w:rtl/>
        </w:rPr>
        <w:t>ال</w:t>
      </w:r>
      <w:r>
        <w:rPr>
          <w:rtl/>
        </w:rPr>
        <w:t>حقوق فإنها لا</w:t>
      </w:r>
      <w:r w:rsidR="000E14AB">
        <w:rPr>
          <w:rFonts w:hint="cs"/>
          <w:rtl/>
        </w:rPr>
        <w:t> </w:t>
      </w:r>
      <w:r>
        <w:rPr>
          <w:rtl/>
        </w:rPr>
        <w:t>تزال تفتقر إلى الولاية الواسعة اللازمة لتعزيز وحماية جميع مجالات حقوق الإنسان (المادة ٢).</w:t>
      </w:r>
    </w:p>
    <w:p w:rsidR="0072308B" w:rsidRDefault="0072308B" w:rsidP="008F6237">
      <w:pPr>
        <w:pStyle w:val="SingleTxtGA"/>
        <w:spacing w:line="360" w:lineRule="exact"/>
        <w:rPr>
          <w:rtl/>
        </w:rPr>
      </w:pPr>
      <w:r>
        <w:rPr>
          <w:rtl/>
        </w:rPr>
        <w:lastRenderedPageBreak/>
        <w:t>٣٧-</w:t>
      </w:r>
      <w:r>
        <w:rPr>
          <w:rtl/>
        </w:rPr>
        <w:tab/>
      </w:r>
      <w:r w:rsidRPr="00725A2C">
        <w:rPr>
          <w:b/>
          <w:bCs/>
          <w:rtl/>
        </w:rPr>
        <w:t xml:space="preserve">ينبغي أن </w:t>
      </w:r>
      <w:r>
        <w:rPr>
          <w:rFonts w:hint="cs"/>
          <w:b/>
          <w:bCs/>
          <w:rtl/>
        </w:rPr>
        <w:t>تعجل</w:t>
      </w:r>
      <w:r w:rsidRPr="00725A2C">
        <w:rPr>
          <w:b/>
          <w:bCs/>
          <w:rtl/>
        </w:rPr>
        <w:t xml:space="preserve"> الدولة الطرف </w:t>
      </w:r>
      <w:r>
        <w:rPr>
          <w:rFonts w:hint="cs"/>
          <w:b/>
          <w:bCs/>
          <w:rtl/>
        </w:rPr>
        <w:t xml:space="preserve">ببذل </w:t>
      </w:r>
      <w:r w:rsidRPr="00725A2C">
        <w:rPr>
          <w:b/>
          <w:bCs/>
          <w:rtl/>
        </w:rPr>
        <w:t xml:space="preserve">جهودها الرامية إلى تعديل القانون المتعلق بالمدافع العام عن </w:t>
      </w:r>
      <w:r>
        <w:rPr>
          <w:rFonts w:hint="cs"/>
          <w:b/>
          <w:bCs/>
          <w:rtl/>
        </w:rPr>
        <w:t>ال</w:t>
      </w:r>
      <w:r w:rsidRPr="00725A2C">
        <w:rPr>
          <w:b/>
          <w:bCs/>
          <w:rtl/>
        </w:rPr>
        <w:t xml:space="preserve">حقوق بهدف تعزيز حقوق الإنسان وجعل ولاية المدافع العام عن </w:t>
      </w:r>
      <w:r>
        <w:rPr>
          <w:rFonts w:hint="cs"/>
          <w:b/>
          <w:bCs/>
          <w:rtl/>
        </w:rPr>
        <w:t>ال</w:t>
      </w:r>
      <w:r w:rsidRPr="00725A2C">
        <w:rPr>
          <w:b/>
          <w:bCs/>
          <w:rtl/>
        </w:rPr>
        <w:t>حقوق تمتثل امتثال</w:t>
      </w:r>
      <w:r w:rsidR="000E14AB">
        <w:rPr>
          <w:b/>
          <w:bCs/>
          <w:rtl/>
        </w:rPr>
        <w:t xml:space="preserve">اً </w:t>
      </w:r>
      <w:r w:rsidRPr="00725A2C">
        <w:rPr>
          <w:b/>
          <w:bCs/>
          <w:rtl/>
        </w:rPr>
        <w:t>كامل</w:t>
      </w:r>
      <w:r w:rsidR="000E14AB">
        <w:rPr>
          <w:b/>
          <w:bCs/>
          <w:rtl/>
        </w:rPr>
        <w:t xml:space="preserve">اً </w:t>
      </w:r>
      <w:r w:rsidRPr="00725A2C">
        <w:rPr>
          <w:b/>
          <w:bCs/>
          <w:rtl/>
        </w:rPr>
        <w:t>لمبادئ باريس. وينبغي أن تكفل أيض</w:t>
      </w:r>
      <w:r w:rsidR="000E14AB">
        <w:rPr>
          <w:b/>
          <w:bCs/>
          <w:rtl/>
        </w:rPr>
        <w:t xml:space="preserve">اً </w:t>
      </w:r>
      <w:r w:rsidRPr="00725A2C">
        <w:rPr>
          <w:b/>
          <w:bCs/>
          <w:rtl/>
        </w:rPr>
        <w:t xml:space="preserve">لمؤسسة المدافع العام عن </w:t>
      </w:r>
      <w:r>
        <w:rPr>
          <w:rFonts w:hint="cs"/>
          <w:b/>
          <w:bCs/>
          <w:rtl/>
        </w:rPr>
        <w:t>ال</w:t>
      </w:r>
      <w:r w:rsidRPr="00725A2C">
        <w:rPr>
          <w:b/>
          <w:bCs/>
          <w:rtl/>
        </w:rPr>
        <w:t>حقوق ما يكفي من الموارد المالية والبشرية للاضطلاع بولايتها بطريقة فعالة ومستقلة</w:t>
      </w:r>
      <w:r>
        <w:rPr>
          <w:rtl/>
        </w:rPr>
        <w:t xml:space="preserve">. </w:t>
      </w:r>
    </w:p>
    <w:p w:rsidR="0072308B" w:rsidRDefault="0072308B" w:rsidP="008F6237">
      <w:pPr>
        <w:pStyle w:val="H23GA"/>
      </w:pPr>
      <w:r>
        <w:rPr>
          <w:rtl/>
        </w:rPr>
        <w:tab/>
      </w:r>
      <w:r>
        <w:rPr>
          <w:rtl/>
        </w:rPr>
        <w:tab/>
        <w:t>التدريب</w:t>
      </w:r>
    </w:p>
    <w:p w:rsidR="0072308B" w:rsidRDefault="0072308B" w:rsidP="008F6237">
      <w:pPr>
        <w:pStyle w:val="SingleTxtGA"/>
        <w:spacing w:line="360" w:lineRule="exact"/>
      </w:pPr>
      <w:r>
        <w:rPr>
          <w:rtl/>
        </w:rPr>
        <w:t>٣٨-</w:t>
      </w:r>
      <w:r>
        <w:rPr>
          <w:rtl/>
        </w:rPr>
        <w:tab/>
        <w:t xml:space="preserve">وإذ تلاحظ اللجنة </w:t>
      </w:r>
      <w:r>
        <w:rPr>
          <w:rFonts w:hint="cs"/>
          <w:rtl/>
        </w:rPr>
        <w:t>الدورات</w:t>
      </w:r>
      <w:r>
        <w:rPr>
          <w:rtl/>
        </w:rPr>
        <w:t xml:space="preserve"> التدريبية المقدمة للموظفين العامين في المجالات المشمولة بالاتفاقية، فإنها تظل قلقة للغاية لأن التدريب </w:t>
      </w:r>
      <w:r>
        <w:rPr>
          <w:rFonts w:hint="cs"/>
          <w:rtl/>
        </w:rPr>
        <w:t>الخاص</w:t>
      </w:r>
      <w:r>
        <w:rPr>
          <w:rtl/>
        </w:rPr>
        <w:t xml:space="preserve"> بدليل </w:t>
      </w:r>
      <w:r>
        <w:rPr>
          <w:rFonts w:hint="cs"/>
          <w:rtl/>
        </w:rPr>
        <w:t>التحقيق</w:t>
      </w:r>
      <w:r>
        <w:rPr>
          <w:rtl/>
        </w:rPr>
        <w:t xml:space="preserve"> والتوثيق الفعالين</w:t>
      </w:r>
      <w:r>
        <w:rPr>
          <w:rFonts w:hint="cs"/>
          <w:rtl/>
        </w:rPr>
        <w:t xml:space="preserve"> بشأن</w:t>
      </w:r>
      <w:r>
        <w:rPr>
          <w:rtl/>
        </w:rPr>
        <w:t xml:space="preserve"> </w:t>
      </w:r>
      <w:r>
        <w:rPr>
          <w:rFonts w:hint="cs"/>
          <w:rtl/>
        </w:rPr>
        <w:t>ا</w:t>
      </w:r>
      <w:r>
        <w:rPr>
          <w:rtl/>
        </w:rPr>
        <w:t xml:space="preserve">لتعذيب وغيره من ضروب المعاملة أو العقوبة القاسية أو اللاإنسانية أو المهينة (بروتوكول اسطنبول) لم يتح لجميع </w:t>
      </w:r>
      <w:r>
        <w:rPr>
          <w:rFonts w:hint="cs"/>
          <w:rtl/>
        </w:rPr>
        <w:t>المهنيين</w:t>
      </w:r>
      <w:r>
        <w:rPr>
          <w:rtl/>
        </w:rPr>
        <w:t xml:space="preserve"> الطبي</w:t>
      </w:r>
      <w:r>
        <w:rPr>
          <w:rFonts w:hint="cs"/>
          <w:rtl/>
        </w:rPr>
        <w:t>ين</w:t>
      </w:r>
      <w:r>
        <w:rPr>
          <w:rtl/>
        </w:rPr>
        <w:t xml:space="preserve"> الذين يتعاملون مع الأشخاص المسلوبي الحرية. وتأسف اللجنة لعدم توفر معلومات عن أثر التدريب الذي يخضع له جميع الموظفين المعنيين، بمن فيهم موظفو إنفاذ القانون، وموظفو السجون، وحرس الحدود (المادة 10).</w:t>
      </w:r>
    </w:p>
    <w:p w:rsidR="0072308B" w:rsidRDefault="0072308B" w:rsidP="008F6237">
      <w:pPr>
        <w:pStyle w:val="SingleTxtGA"/>
        <w:spacing w:line="360" w:lineRule="exact"/>
        <w:rPr>
          <w:rFonts w:ascii="Arial" w:hAnsi="Arial" w:cs="Arial"/>
          <w:b/>
          <w:bCs/>
          <w:rtl/>
        </w:rPr>
      </w:pPr>
      <w:r>
        <w:rPr>
          <w:rtl/>
        </w:rPr>
        <w:t>٣٩-</w:t>
      </w:r>
      <w:r>
        <w:rPr>
          <w:rtl/>
        </w:rPr>
        <w:tab/>
      </w:r>
      <w:r w:rsidRPr="00725A2C">
        <w:rPr>
          <w:b/>
          <w:bCs/>
          <w:rtl/>
        </w:rPr>
        <w:t>ينبغي أن توفر الدولة الطرف للموظفين العموميين المكلفين بمختلف المهام المذكورة في المادة ١٠ من الاتفاقية تدريب</w:t>
      </w:r>
      <w:r w:rsidR="000E14AB">
        <w:rPr>
          <w:b/>
          <w:bCs/>
          <w:rtl/>
        </w:rPr>
        <w:t xml:space="preserve">اً </w:t>
      </w:r>
      <w:r w:rsidRPr="00725A2C">
        <w:rPr>
          <w:b/>
          <w:bCs/>
          <w:rtl/>
        </w:rPr>
        <w:t>إلزامي</w:t>
      </w:r>
      <w:r w:rsidR="000E14AB">
        <w:rPr>
          <w:b/>
          <w:bCs/>
          <w:rtl/>
        </w:rPr>
        <w:t xml:space="preserve">اً </w:t>
      </w:r>
      <w:r w:rsidRPr="00725A2C">
        <w:rPr>
          <w:b/>
          <w:bCs/>
          <w:rtl/>
        </w:rPr>
        <w:t>بشأن أحكام الاتفاقية والحظر المطلق للتعذيب</w:t>
      </w:r>
      <w:r>
        <w:rPr>
          <w:b/>
          <w:bCs/>
          <w:rtl/>
        </w:rPr>
        <w:t xml:space="preserve">، </w:t>
      </w:r>
      <w:r w:rsidRPr="00725A2C">
        <w:rPr>
          <w:b/>
          <w:bCs/>
          <w:rtl/>
        </w:rPr>
        <w:t>وأن تحدث برامج تدريب على أساليب التحقيق غير القسرية. وينبغي أن تضمن الدولة الطرف أيض</w:t>
      </w:r>
      <w:r w:rsidR="000E14AB">
        <w:rPr>
          <w:b/>
          <w:bCs/>
          <w:rtl/>
        </w:rPr>
        <w:t xml:space="preserve">اً </w:t>
      </w:r>
      <w:r w:rsidRPr="00725A2C">
        <w:rPr>
          <w:b/>
          <w:bCs/>
          <w:rtl/>
        </w:rPr>
        <w:t>إدراج بروتوكول اسطنبول باعتباره جزء</w:t>
      </w:r>
      <w:r w:rsidR="000E14AB">
        <w:rPr>
          <w:b/>
          <w:bCs/>
          <w:rtl/>
        </w:rPr>
        <w:t xml:space="preserve">اً </w:t>
      </w:r>
      <w:r w:rsidRPr="00725A2C">
        <w:rPr>
          <w:b/>
          <w:bCs/>
          <w:rtl/>
        </w:rPr>
        <w:t>أساسي</w:t>
      </w:r>
      <w:r w:rsidR="000E14AB">
        <w:rPr>
          <w:b/>
          <w:bCs/>
          <w:rtl/>
        </w:rPr>
        <w:t xml:space="preserve">اً </w:t>
      </w:r>
      <w:r w:rsidRPr="00725A2C">
        <w:rPr>
          <w:b/>
          <w:bCs/>
          <w:rtl/>
        </w:rPr>
        <w:t>من التدريب الذي يخضع له جميع المهنيين الطبيين وغيرهم من الموظفين العموميين الذين يحتكُّون في عملهم بالأشخاص المسلوبي الحرية</w:t>
      </w:r>
      <w:r>
        <w:rPr>
          <w:rFonts w:hint="cs"/>
          <w:b/>
          <w:bCs/>
          <w:rtl/>
        </w:rPr>
        <w:t>.</w:t>
      </w:r>
      <w:r w:rsidRPr="00725A2C">
        <w:rPr>
          <w:b/>
          <w:bCs/>
          <w:rtl/>
        </w:rPr>
        <w:t xml:space="preserve"> وينبغي أن تضع الدولة الطرف أيض</w:t>
      </w:r>
      <w:r w:rsidR="000E14AB">
        <w:rPr>
          <w:b/>
          <w:bCs/>
          <w:rtl/>
        </w:rPr>
        <w:t xml:space="preserve">اً </w:t>
      </w:r>
      <w:r w:rsidRPr="00725A2C">
        <w:rPr>
          <w:b/>
          <w:bCs/>
          <w:rtl/>
        </w:rPr>
        <w:t>وتطبق منهجيات محددة لتقييم مدى فعالية هذا التدريب</w:t>
      </w:r>
      <w:r>
        <w:rPr>
          <w:b/>
          <w:bCs/>
          <w:rtl/>
        </w:rPr>
        <w:t xml:space="preserve"> </w:t>
      </w:r>
      <w:r w:rsidRPr="00725A2C">
        <w:rPr>
          <w:b/>
          <w:bCs/>
          <w:rtl/>
        </w:rPr>
        <w:t>وتأثيره على منع التعذيب وسوء المعاملة.</w:t>
      </w:r>
      <w:r w:rsidRPr="00725A2C">
        <w:rPr>
          <w:rFonts w:ascii="Arial" w:hAnsi="Arial" w:cs="Arial" w:hint="cs"/>
          <w:b/>
          <w:bCs/>
          <w:rtl/>
        </w:rPr>
        <w:t>‬</w:t>
      </w:r>
      <w:r w:rsidRPr="00725A2C">
        <w:rPr>
          <w:rFonts w:ascii="Arial" w:hAnsi="Arial" w:cs="Arial" w:hint="cs"/>
          <w:b/>
          <w:bCs/>
          <w:rtl/>
        </w:rPr>
        <w:t>‬</w:t>
      </w:r>
      <w:r w:rsidRPr="00725A2C">
        <w:rPr>
          <w:rFonts w:ascii="Arial" w:hAnsi="Arial" w:cs="Arial" w:hint="cs"/>
          <w:b/>
          <w:bCs/>
          <w:rtl/>
        </w:rPr>
        <w:t>‬</w:t>
      </w:r>
      <w:r w:rsidRPr="00725A2C">
        <w:rPr>
          <w:rFonts w:ascii="Arial" w:hAnsi="Arial" w:cs="Arial" w:hint="cs"/>
          <w:b/>
          <w:bCs/>
          <w:rtl/>
        </w:rPr>
        <w:t>‬</w:t>
      </w:r>
      <w:r w:rsidRPr="00725A2C">
        <w:rPr>
          <w:rFonts w:ascii="Arial" w:hAnsi="Arial" w:cs="Arial" w:hint="cs"/>
          <w:b/>
          <w:bCs/>
          <w:rtl/>
        </w:rPr>
        <w:t>‬</w:t>
      </w:r>
      <w:r w:rsidRPr="00725A2C">
        <w:rPr>
          <w:rFonts w:ascii="Arial" w:hAnsi="Arial" w:cs="Arial" w:hint="cs"/>
          <w:b/>
          <w:bCs/>
          <w:rtl/>
        </w:rPr>
        <w:t>‬</w:t>
      </w:r>
      <w:r w:rsidRPr="00725A2C">
        <w:rPr>
          <w:rFonts w:ascii="Arial" w:hAnsi="Arial" w:cs="Arial" w:hint="cs"/>
          <w:b/>
          <w:bCs/>
          <w:rtl/>
        </w:rPr>
        <w:t>‬</w:t>
      </w:r>
      <w:r w:rsidRPr="00725A2C">
        <w:rPr>
          <w:rFonts w:ascii="Arial" w:hAnsi="Arial" w:cs="Arial" w:hint="cs"/>
          <w:b/>
          <w:bCs/>
          <w:rtl/>
        </w:rPr>
        <w:t>‬</w:t>
      </w:r>
      <w:r w:rsidRPr="00725A2C">
        <w:rPr>
          <w:rFonts w:ascii="Arial" w:hAnsi="Arial" w:cs="Arial" w:hint="cs"/>
          <w:b/>
          <w:bCs/>
          <w:rtl/>
        </w:rPr>
        <w:t>‬</w:t>
      </w:r>
      <w:r w:rsidRPr="00725A2C">
        <w:rPr>
          <w:rFonts w:ascii="Arial" w:hAnsi="Arial" w:cs="Arial" w:hint="cs"/>
          <w:b/>
          <w:bCs/>
          <w:rtl/>
        </w:rPr>
        <w:t>‬</w:t>
      </w:r>
      <w:r w:rsidRPr="00725A2C">
        <w:rPr>
          <w:rFonts w:ascii="Arial" w:hAnsi="Arial" w:cs="Arial" w:hint="cs"/>
          <w:b/>
          <w:bCs/>
          <w:rtl/>
        </w:rPr>
        <w:t>‬</w:t>
      </w:r>
      <w:r w:rsidRPr="00725A2C">
        <w:rPr>
          <w:rFonts w:ascii="Arial" w:hAnsi="Arial" w:cs="Arial" w:hint="cs"/>
          <w:b/>
          <w:bCs/>
          <w:rtl/>
        </w:rPr>
        <w:t>‬</w:t>
      </w:r>
      <w:r w:rsidRPr="00725A2C">
        <w:rPr>
          <w:rFonts w:ascii="Arial" w:hAnsi="Arial" w:cs="Arial" w:hint="cs"/>
          <w:b/>
          <w:bCs/>
          <w:rtl/>
        </w:rPr>
        <w:t>‬</w:t>
      </w:r>
      <w:r w:rsidRPr="00725A2C">
        <w:rPr>
          <w:rFonts w:ascii="Arial" w:hAnsi="Arial" w:cs="Arial" w:hint="cs"/>
          <w:b/>
          <w:bCs/>
          <w:rtl/>
        </w:rPr>
        <w:t>‬</w:t>
      </w:r>
      <w:r w:rsidRPr="00725A2C">
        <w:rPr>
          <w:rFonts w:ascii="Arial" w:hAnsi="Arial" w:cs="Arial" w:hint="cs"/>
          <w:b/>
          <w:bCs/>
          <w:rtl/>
        </w:rPr>
        <w:t>‬</w:t>
      </w:r>
      <w:r w:rsidRPr="00725A2C">
        <w:rPr>
          <w:rFonts w:ascii="Arial" w:hAnsi="Arial" w:cs="Arial" w:hint="cs"/>
          <w:b/>
          <w:bCs/>
          <w:rtl/>
        </w:rPr>
        <w:t>‬</w:t>
      </w:r>
      <w:r w:rsidRPr="00725A2C">
        <w:rPr>
          <w:rFonts w:ascii="Arial" w:hAnsi="Arial" w:cs="Arial" w:hint="cs"/>
          <w:b/>
          <w:bCs/>
          <w:rtl/>
        </w:rPr>
        <w:t>‬</w:t>
      </w:r>
      <w:r w:rsidRPr="00725A2C">
        <w:rPr>
          <w:rFonts w:ascii="Arial" w:hAnsi="Arial" w:cs="Arial" w:hint="cs"/>
          <w:b/>
          <w:bCs/>
          <w:rtl/>
        </w:rPr>
        <w:t>‬</w:t>
      </w:r>
      <w:r w:rsidRPr="00725A2C">
        <w:rPr>
          <w:rFonts w:ascii="Arial" w:hAnsi="Arial" w:cs="Arial" w:hint="cs"/>
          <w:b/>
          <w:bCs/>
          <w:rtl/>
        </w:rPr>
        <w:t>‬</w:t>
      </w:r>
      <w:r w:rsidRPr="00725A2C">
        <w:rPr>
          <w:rFonts w:ascii="Arial" w:hAnsi="Arial" w:cs="Arial" w:hint="cs"/>
          <w:b/>
          <w:bCs/>
          <w:rtl/>
        </w:rPr>
        <w:t>‬</w:t>
      </w:r>
      <w:r w:rsidRPr="00725A2C">
        <w:rPr>
          <w:rFonts w:ascii="Arial" w:hAnsi="Arial" w:cs="Arial" w:hint="cs"/>
          <w:b/>
          <w:bCs/>
          <w:rtl/>
        </w:rPr>
        <w:t>‬</w:t>
      </w:r>
      <w:r w:rsidRPr="00725A2C">
        <w:rPr>
          <w:rFonts w:ascii="Arial" w:hAnsi="Arial" w:cs="Arial" w:hint="cs"/>
          <w:b/>
          <w:bCs/>
          <w:rtl/>
        </w:rPr>
        <w:t>‬</w:t>
      </w:r>
      <w:r w:rsidRPr="00725A2C">
        <w:rPr>
          <w:rFonts w:ascii="Arial" w:hAnsi="Arial" w:cs="Arial" w:hint="cs"/>
          <w:b/>
          <w:bCs/>
          <w:rtl/>
        </w:rPr>
        <w:t>‬</w:t>
      </w:r>
      <w:r w:rsidRPr="00725A2C">
        <w:rPr>
          <w:rFonts w:ascii="Arial" w:hAnsi="Arial" w:cs="Arial" w:hint="cs"/>
          <w:b/>
          <w:bCs/>
          <w:rtl/>
        </w:rPr>
        <w:t>‬</w:t>
      </w:r>
      <w:r w:rsidRPr="00725A2C">
        <w:rPr>
          <w:rFonts w:ascii="Arial" w:hAnsi="Arial" w:cs="Arial" w:hint="cs"/>
          <w:b/>
          <w:bCs/>
          <w:rtl/>
        </w:rPr>
        <w:t>‬</w:t>
      </w:r>
    </w:p>
    <w:p w:rsidR="0072308B" w:rsidRDefault="0072308B" w:rsidP="008F6237">
      <w:pPr>
        <w:pStyle w:val="H23GA"/>
      </w:pPr>
      <w:r>
        <w:rPr>
          <w:rtl/>
        </w:rPr>
        <w:tab/>
      </w:r>
      <w:r>
        <w:rPr>
          <w:rtl/>
        </w:rPr>
        <w:tab/>
        <w:t>إجراءات المتابعة</w:t>
      </w:r>
    </w:p>
    <w:p w:rsidR="0072308B" w:rsidRDefault="0072308B" w:rsidP="008F6237">
      <w:pPr>
        <w:pStyle w:val="SingleTxtGA"/>
        <w:spacing w:line="360" w:lineRule="exact"/>
        <w:rPr>
          <w:rtl/>
        </w:rPr>
      </w:pPr>
      <w:r>
        <w:rPr>
          <w:rtl/>
        </w:rPr>
        <w:t>٤٠-</w:t>
      </w:r>
      <w:r>
        <w:rPr>
          <w:rtl/>
        </w:rPr>
        <w:tab/>
      </w:r>
      <w:r w:rsidRPr="00725A2C">
        <w:rPr>
          <w:b/>
          <w:bCs/>
          <w:rtl/>
        </w:rPr>
        <w:t>تطلب اللجنة إلى الدولة الطرف أن تقدم، بحلول ١٨ أيار/مايو ٢٠١٩</w:t>
      </w:r>
      <w:r>
        <w:rPr>
          <w:b/>
          <w:bCs/>
          <w:rtl/>
        </w:rPr>
        <w:t xml:space="preserve">، </w:t>
      </w:r>
      <w:r w:rsidRPr="00725A2C">
        <w:rPr>
          <w:b/>
          <w:bCs/>
          <w:rtl/>
        </w:rPr>
        <w:t>معلومات عن متابعة توصيات اللجنة بشأن التفتيش</w:t>
      </w:r>
      <w:r>
        <w:rPr>
          <w:rFonts w:hint="cs"/>
          <w:b/>
          <w:bCs/>
          <w:rtl/>
        </w:rPr>
        <w:t xml:space="preserve"> بعد التعرية</w:t>
      </w:r>
      <w:r w:rsidRPr="00725A2C">
        <w:rPr>
          <w:b/>
          <w:bCs/>
          <w:rtl/>
        </w:rPr>
        <w:t xml:space="preserve"> في مراكز الاحتجاز، وجرائم الكراهية ضد الأقليات، بما في ذلك الروما والمسلمون، ومعاملة الأشخاص في مؤسسات الطب النفسي (انظر الفقرات ١٥</w:t>
      </w:r>
      <w:r>
        <w:rPr>
          <w:b/>
          <w:bCs/>
          <w:rtl/>
        </w:rPr>
        <w:t xml:space="preserve"> </w:t>
      </w:r>
      <w:r w:rsidRPr="00725A2C">
        <w:rPr>
          <w:b/>
          <w:bCs/>
          <w:rtl/>
        </w:rPr>
        <w:t>و٢٧</w:t>
      </w:r>
      <w:r w:rsidR="00E03FE9">
        <w:rPr>
          <w:b/>
          <w:bCs/>
          <w:rtl/>
        </w:rPr>
        <w:t xml:space="preserve"> و</w:t>
      </w:r>
      <w:r w:rsidRPr="00725A2C">
        <w:rPr>
          <w:b/>
          <w:bCs/>
          <w:rtl/>
        </w:rPr>
        <w:t>٣٣ أعلاه،) وفي هذا السياق، تدعو اللجنة الدولة الطرف إلى إعلامها بما لديها من خطط لتنفيذ بعض التوصيات المتبقية الواردة في الملاحظات الختامية أو جميعها، خلال الفترة المشمولة بالتقرير المقبل</w:t>
      </w:r>
      <w:r>
        <w:rPr>
          <w:rtl/>
        </w:rPr>
        <w:t>.</w:t>
      </w:r>
    </w:p>
    <w:p w:rsidR="0072308B" w:rsidRDefault="0072308B" w:rsidP="008F6237">
      <w:pPr>
        <w:pStyle w:val="H23GA"/>
        <w:spacing w:line="360" w:lineRule="exact"/>
      </w:pPr>
      <w:r>
        <w:rPr>
          <w:rtl/>
        </w:rPr>
        <w:tab/>
      </w:r>
      <w:r>
        <w:rPr>
          <w:rtl/>
        </w:rPr>
        <w:tab/>
        <w:t>مسائل أخرى</w:t>
      </w:r>
    </w:p>
    <w:p w:rsidR="0072308B" w:rsidRDefault="0072308B" w:rsidP="008F6237">
      <w:pPr>
        <w:pStyle w:val="SingleTxtGA"/>
        <w:spacing w:line="360" w:lineRule="exact"/>
      </w:pPr>
      <w:r>
        <w:rPr>
          <w:rtl/>
        </w:rPr>
        <w:t>٤١-</w:t>
      </w:r>
      <w:r>
        <w:rPr>
          <w:rtl/>
        </w:rPr>
        <w:tab/>
      </w:r>
      <w:r w:rsidRPr="00725A2C">
        <w:rPr>
          <w:b/>
          <w:bCs/>
          <w:rtl/>
        </w:rPr>
        <w:t>يُطلب إلى الدولة الطرف أن تنشر على نطاق واسع التقرير المقدم إلى اللجنة وهذه الملاحظات الختامية، باللغات المناسبة، وذلك عن طريق المواقع الرسمية على الإنترنت ووسائط الإعلام والمنظمات غير الحكومية</w:t>
      </w:r>
      <w:r>
        <w:rPr>
          <w:rtl/>
        </w:rPr>
        <w:t>.</w:t>
      </w:r>
    </w:p>
    <w:p w:rsidR="0072308B" w:rsidRDefault="0072308B" w:rsidP="008F6237">
      <w:pPr>
        <w:pStyle w:val="SingleTxtGA"/>
        <w:spacing w:line="360" w:lineRule="exact"/>
        <w:rPr>
          <w:rtl/>
        </w:rPr>
      </w:pPr>
      <w:r>
        <w:rPr>
          <w:rtl/>
        </w:rPr>
        <w:t>٤٢-</w:t>
      </w:r>
      <w:r>
        <w:rPr>
          <w:rtl/>
        </w:rPr>
        <w:tab/>
      </w:r>
      <w:r w:rsidRPr="00725A2C">
        <w:rPr>
          <w:b/>
          <w:bCs/>
          <w:rtl/>
        </w:rPr>
        <w:t xml:space="preserve">والدولة الطرف مدعوّة إلى تقديم تقريرها الدوري السابع بحلول 18 أيار/ </w:t>
      </w:r>
      <w:r w:rsidR="008F6237">
        <w:rPr>
          <w:rFonts w:hint="cs"/>
          <w:b/>
          <w:bCs/>
          <w:rtl/>
        </w:rPr>
        <w:t xml:space="preserve">      </w:t>
      </w:r>
      <w:r w:rsidRPr="00725A2C">
        <w:rPr>
          <w:b/>
          <w:bCs/>
          <w:rtl/>
        </w:rPr>
        <w:t>مايو 2022. ولتحقيق ذلك الغرض، وبالنظر إلى أن الدولة الطرف قد قبلت تقديم تقريرها إلى اللجنة بموجب الإجراء المبسط لتقديم التقارير، ستحيل اللجنة إلى الدولة الطرف في الوقت المناسب قائمة بالمسائل ذات الصلة قبل تقديم التقرير</w:t>
      </w:r>
      <w:r>
        <w:rPr>
          <w:rtl/>
        </w:rPr>
        <w:t xml:space="preserve">. </w:t>
      </w:r>
    </w:p>
    <w:p w:rsidR="008F6237" w:rsidRPr="008F6237" w:rsidRDefault="008F6237" w:rsidP="008F6237">
      <w:pPr>
        <w:spacing w:before="120"/>
        <w:jc w:val="center"/>
        <w:rPr>
          <w:u w:val="single"/>
        </w:rPr>
      </w:pPr>
      <w:r>
        <w:rPr>
          <w:u w:val="single"/>
          <w:rtl/>
        </w:rPr>
        <w:tab/>
      </w:r>
      <w:r>
        <w:rPr>
          <w:u w:val="single"/>
          <w:rtl/>
        </w:rPr>
        <w:tab/>
      </w:r>
      <w:r>
        <w:rPr>
          <w:u w:val="single"/>
          <w:rtl/>
        </w:rPr>
        <w:tab/>
      </w:r>
    </w:p>
    <w:sectPr w:rsidR="008F6237" w:rsidRPr="008F6237" w:rsidSect="00797FE6">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5135" w:rsidRPr="002901D9" w:rsidRDefault="00095135" w:rsidP="002901D9">
      <w:pPr>
        <w:spacing w:after="60" w:line="240" w:lineRule="auto"/>
        <w:rPr>
          <w:i/>
          <w:iCs/>
        </w:rPr>
      </w:pPr>
      <w:r>
        <w:rPr>
          <w:rFonts w:hint="cs"/>
          <w:i/>
          <w:iCs/>
          <w:rtl/>
        </w:rPr>
        <w:t>الحواشي</w:t>
      </w:r>
    </w:p>
  </w:endnote>
  <w:endnote w:type="continuationSeparator" w:id="0">
    <w:p w:rsidR="00095135" w:rsidRDefault="0009513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7FE6" w:rsidRPr="0072308B" w:rsidRDefault="0072308B" w:rsidP="0072308B">
    <w:pPr>
      <w:pStyle w:val="Footer"/>
      <w:tabs>
        <w:tab w:val="right" w:pos="9598"/>
      </w:tabs>
      <w:rPr>
        <w:sz w:val="17"/>
      </w:rPr>
    </w:pPr>
    <w:r>
      <w:rPr>
        <w:sz w:val="17"/>
      </w:rPr>
      <w:t>GE.18-09127</w:t>
    </w:r>
    <w:r>
      <w:rPr>
        <w:sz w:val="17"/>
      </w:rPr>
      <w:tab/>
    </w:r>
    <w:r w:rsidRPr="0072308B">
      <w:rPr>
        <w:b/>
        <w:sz w:val="18"/>
      </w:rPr>
      <w:fldChar w:fldCharType="begin"/>
    </w:r>
    <w:r w:rsidRPr="0072308B">
      <w:rPr>
        <w:b/>
        <w:sz w:val="18"/>
      </w:rPr>
      <w:instrText xml:space="preserve"> PAGE  \* MERGEFORMAT </w:instrText>
    </w:r>
    <w:r w:rsidRPr="0072308B">
      <w:rPr>
        <w:b/>
        <w:sz w:val="18"/>
      </w:rPr>
      <w:fldChar w:fldCharType="separate"/>
    </w:r>
    <w:r w:rsidR="00727F82">
      <w:rPr>
        <w:b/>
        <w:noProof/>
        <w:sz w:val="18"/>
      </w:rPr>
      <w:t>10</w:t>
    </w:r>
    <w:r w:rsidRPr="0072308B">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72308B" w:rsidRDefault="0072308B" w:rsidP="006959B0">
    <w:pPr>
      <w:pStyle w:val="Footer"/>
      <w:tabs>
        <w:tab w:val="right" w:pos="9599"/>
      </w:tabs>
      <w:jc w:val="left"/>
      <w:rPr>
        <w:b/>
        <w:sz w:val="18"/>
        <w:lang w:val="en-US"/>
      </w:rPr>
    </w:pPr>
    <w:r w:rsidRPr="0072308B">
      <w:rPr>
        <w:b/>
        <w:sz w:val="18"/>
        <w:lang w:val="en-US"/>
      </w:rPr>
      <w:fldChar w:fldCharType="begin"/>
    </w:r>
    <w:r w:rsidRPr="0072308B">
      <w:rPr>
        <w:b/>
        <w:sz w:val="18"/>
        <w:lang w:val="en-US"/>
      </w:rPr>
      <w:instrText xml:space="preserve"> PAGE  \* MERGEFORMAT </w:instrText>
    </w:r>
    <w:r w:rsidRPr="0072308B">
      <w:rPr>
        <w:b/>
        <w:sz w:val="18"/>
        <w:lang w:val="en-US"/>
      </w:rPr>
      <w:fldChar w:fldCharType="separate"/>
    </w:r>
    <w:r w:rsidR="00727F82">
      <w:rPr>
        <w:b/>
        <w:noProof/>
        <w:sz w:val="18"/>
        <w:lang w:val="en-US"/>
      </w:rPr>
      <w:t>9</w:t>
    </w:r>
    <w:r w:rsidRPr="0072308B">
      <w:rPr>
        <w:b/>
        <w:sz w:val="18"/>
        <w:lang w:val="en-US"/>
      </w:rPr>
      <w:fldChar w:fldCharType="end"/>
    </w:r>
    <w:r>
      <w:rPr>
        <w:b/>
        <w:sz w:val="18"/>
        <w:lang w:val="en-US"/>
      </w:rPr>
      <w:tab/>
    </w:r>
    <w:r>
      <w:rPr>
        <w:sz w:val="17"/>
        <w:lang w:val="en-US"/>
      </w:rPr>
      <w:t>GE.18-09127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EA8" w:rsidRDefault="00797FE6" w:rsidP="005A3015">
    <w:pPr>
      <w:pStyle w:val="Footer"/>
      <w:spacing w:before="360"/>
      <w:jc w:val="right"/>
      <w:rPr>
        <w:sz w:val="20"/>
        <w:szCs w:val="20"/>
      </w:rPr>
    </w:pPr>
    <w:r>
      <w:rPr>
        <w:sz w:val="20"/>
        <w:szCs w:val="20"/>
      </w:rPr>
      <w:t>GE.18-09127</w:t>
    </w:r>
    <w:r w:rsidR="00A34EA8">
      <w:rPr>
        <w:noProof/>
        <w:lang w:val="fr-CH" w:eastAsia="zh-CN"/>
      </w:rPr>
      <w:drawing>
        <wp:anchor distT="0" distB="0" distL="114300" distR="114300" simplePos="0" relativeHeight="251665408" behindDoc="1" locked="1" layoutInCell="0" allowOverlap="1" wp14:anchorId="662128BF" wp14:editId="2125183B">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A34EA8" w:rsidRPr="007A0286">
      <w:rPr>
        <w:sz w:val="20"/>
        <w:szCs w:val="20"/>
      </w:rPr>
      <w:t>(A)</w:t>
    </w:r>
  </w:p>
  <w:p w:rsidR="00797FE6" w:rsidRPr="00797FE6" w:rsidRDefault="00797FE6" w:rsidP="00797FE6">
    <w:pPr>
      <w:pStyle w:val="Footer"/>
      <w:jc w:val="right"/>
      <w:rPr>
        <w:rFonts w:ascii="C39T30Lfz" w:hAnsi="C39T30Lfz"/>
        <w:sz w:val="56"/>
        <w:szCs w:val="20"/>
        <w:lang w:val="en-US"/>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fr-CH"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5135" w:rsidRPr="004956DC" w:rsidRDefault="00095135" w:rsidP="00761849">
      <w:pPr>
        <w:pStyle w:val="Footer"/>
        <w:bidi/>
        <w:spacing w:after="80" w:line="200" w:lineRule="exact"/>
        <w:ind w:left="680"/>
      </w:pPr>
      <w:r>
        <w:rPr>
          <w:rtl/>
        </w:rPr>
        <w:t>__________</w:t>
      </w:r>
    </w:p>
  </w:footnote>
  <w:footnote w:type="continuationSeparator" w:id="0">
    <w:p w:rsidR="00095135" w:rsidRDefault="00095135" w:rsidP="00656392">
      <w:pPr>
        <w:spacing w:line="240" w:lineRule="auto"/>
      </w:pPr>
      <w:r>
        <w:continuationSeparator/>
      </w:r>
    </w:p>
  </w:footnote>
  <w:footnote w:id="1">
    <w:p w:rsidR="0072308B" w:rsidRPr="0072308B" w:rsidRDefault="0072308B" w:rsidP="0072308B">
      <w:pPr>
        <w:pStyle w:val="FootnoteText1"/>
        <w:rPr>
          <w:rtl/>
        </w:rPr>
      </w:pPr>
      <w:r>
        <w:rPr>
          <w:rtl/>
          <w:lang w:bidi="ar-DZ"/>
        </w:rPr>
        <w:t>*</w:t>
      </w:r>
      <w:r>
        <w:rPr>
          <w:rtl/>
          <w:lang w:bidi="ar-DZ"/>
        </w:rPr>
        <w:tab/>
      </w:r>
      <w:r w:rsidRPr="00C32D91">
        <w:rPr>
          <w:sz w:val="26"/>
          <w:rtl/>
          <w:lang w:eastAsia="zh-TW"/>
        </w:rPr>
        <w:t>اعتمدتها اللجنة في دورتها الثالثة والستين (23 نيسان/أبريل - 18 أيار/مايو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7FE6" w:rsidRPr="0072308B" w:rsidRDefault="0072308B" w:rsidP="0072308B">
    <w:pPr>
      <w:pStyle w:val="Header"/>
      <w:jc w:val="right"/>
    </w:pPr>
    <w:r w:rsidRPr="0072308B">
      <w:t>CAT/C/CZE/CO/6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7FE6" w:rsidRPr="0072308B" w:rsidRDefault="0072308B" w:rsidP="0072308B">
    <w:pPr>
      <w:pStyle w:val="Header"/>
      <w:jc w:val="left"/>
    </w:pPr>
    <w:r w:rsidRPr="0072308B">
      <w:t>CAT/C/CZE/CO/6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095135"/>
    <w:rsid w:val="000076D5"/>
    <w:rsid w:val="00013D4F"/>
    <w:rsid w:val="00043663"/>
    <w:rsid w:val="000505CF"/>
    <w:rsid w:val="00095135"/>
    <w:rsid w:val="000A2113"/>
    <w:rsid w:val="000C52B9"/>
    <w:rsid w:val="000D701C"/>
    <w:rsid w:val="000E14AB"/>
    <w:rsid w:val="000E2A71"/>
    <w:rsid w:val="00160263"/>
    <w:rsid w:val="00167825"/>
    <w:rsid w:val="00181F96"/>
    <w:rsid w:val="001A1371"/>
    <w:rsid w:val="001B346A"/>
    <w:rsid w:val="001E1CAD"/>
    <w:rsid w:val="001E290D"/>
    <w:rsid w:val="002144FA"/>
    <w:rsid w:val="0023469A"/>
    <w:rsid w:val="00243C8A"/>
    <w:rsid w:val="00267A0E"/>
    <w:rsid w:val="002901D9"/>
    <w:rsid w:val="002976C2"/>
    <w:rsid w:val="003260FF"/>
    <w:rsid w:val="00336033"/>
    <w:rsid w:val="00341CCD"/>
    <w:rsid w:val="00343D95"/>
    <w:rsid w:val="00374341"/>
    <w:rsid w:val="00384DA7"/>
    <w:rsid w:val="003D1062"/>
    <w:rsid w:val="003D1D8E"/>
    <w:rsid w:val="003E7DC7"/>
    <w:rsid w:val="00420D7B"/>
    <w:rsid w:val="00450B21"/>
    <w:rsid w:val="00453B63"/>
    <w:rsid w:val="00455780"/>
    <w:rsid w:val="004956DC"/>
    <w:rsid w:val="004B0A1C"/>
    <w:rsid w:val="004D298E"/>
    <w:rsid w:val="0054472E"/>
    <w:rsid w:val="005662A9"/>
    <w:rsid w:val="005827D4"/>
    <w:rsid w:val="0059622A"/>
    <w:rsid w:val="005A3015"/>
    <w:rsid w:val="005C5878"/>
    <w:rsid w:val="005C7CEA"/>
    <w:rsid w:val="005D3C0B"/>
    <w:rsid w:val="005E5217"/>
    <w:rsid w:val="005F0FA4"/>
    <w:rsid w:val="005F30EE"/>
    <w:rsid w:val="0060473A"/>
    <w:rsid w:val="00656392"/>
    <w:rsid w:val="006646E9"/>
    <w:rsid w:val="0068781D"/>
    <w:rsid w:val="006959B0"/>
    <w:rsid w:val="006B3E27"/>
    <w:rsid w:val="006B6507"/>
    <w:rsid w:val="006C104C"/>
    <w:rsid w:val="006E402E"/>
    <w:rsid w:val="0072308B"/>
    <w:rsid w:val="00727F82"/>
    <w:rsid w:val="00733704"/>
    <w:rsid w:val="00747E08"/>
    <w:rsid w:val="00761849"/>
    <w:rsid w:val="0078071A"/>
    <w:rsid w:val="00797FE6"/>
    <w:rsid w:val="00817373"/>
    <w:rsid w:val="008479A4"/>
    <w:rsid w:val="00852A9A"/>
    <w:rsid w:val="00893A8A"/>
    <w:rsid w:val="008F49E1"/>
    <w:rsid w:val="008F6237"/>
    <w:rsid w:val="0090370F"/>
    <w:rsid w:val="009269D2"/>
    <w:rsid w:val="00942135"/>
    <w:rsid w:val="009521B0"/>
    <w:rsid w:val="00981C12"/>
    <w:rsid w:val="009A7E9F"/>
    <w:rsid w:val="009E5018"/>
    <w:rsid w:val="00A12B37"/>
    <w:rsid w:val="00A34EA8"/>
    <w:rsid w:val="00A67AF5"/>
    <w:rsid w:val="00A94CA3"/>
    <w:rsid w:val="00AB6758"/>
    <w:rsid w:val="00B13763"/>
    <w:rsid w:val="00B477A4"/>
    <w:rsid w:val="00B54045"/>
    <w:rsid w:val="00B86B8D"/>
    <w:rsid w:val="00C438D7"/>
    <w:rsid w:val="00C81B50"/>
    <w:rsid w:val="00C87F1F"/>
    <w:rsid w:val="00CD1801"/>
    <w:rsid w:val="00D10EF1"/>
    <w:rsid w:val="00D42810"/>
    <w:rsid w:val="00D5220A"/>
    <w:rsid w:val="00D914A7"/>
    <w:rsid w:val="00DC1D29"/>
    <w:rsid w:val="00DD13C3"/>
    <w:rsid w:val="00DD596E"/>
    <w:rsid w:val="00DD621E"/>
    <w:rsid w:val="00DF0575"/>
    <w:rsid w:val="00E03FE9"/>
    <w:rsid w:val="00E5543F"/>
    <w:rsid w:val="00E65B99"/>
    <w:rsid w:val="00E70E04"/>
    <w:rsid w:val="00E76499"/>
    <w:rsid w:val="00EA029C"/>
    <w:rsid w:val="00EC05A7"/>
    <w:rsid w:val="00EC4B6B"/>
    <w:rsid w:val="00EF1EE5"/>
    <w:rsid w:val="00F022D3"/>
    <w:rsid w:val="00F57F01"/>
    <w:rsid w:val="00F763B4"/>
    <w:rsid w:val="00F900C3"/>
    <w:rsid w:val="00F9171C"/>
    <w:rsid w:val="00FD520E"/>
    <w:rsid w:val="00FE359F"/>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4F0D12CE"/>
  <w15:docId w15:val="{733065DF-A55A-4F3B-A475-51D4B68DE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1">
    <w:name w:val="_ H_1"/>
    <w:basedOn w:val="Normal"/>
    <w:next w:val="Normal"/>
    <w:qFormat/>
    <w:rsid w:val="0072308B"/>
    <w:pPr>
      <w:keepNext/>
      <w:keepLines/>
      <w:spacing w:after="120" w:line="400" w:lineRule="exact"/>
      <w:outlineLvl w:val="0"/>
    </w:pPr>
    <w:rPr>
      <w:rFonts w:eastAsiaTheme="minorHAnsi"/>
      <w:b/>
      <w:bCs/>
      <w:kern w:val="14"/>
      <w:sz w:val="24"/>
      <w:szCs w:val="32"/>
    </w:rPr>
  </w:style>
  <w:style w:type="paragraph" w:customStyle="1" w:styleId="SingleTxt">
    <w:name w:val="__Single Txt"/>
    <w:basedOn w:val="Normal"/>
    <w:qFormat/>
    <w:rsid w:val="0072308B"/>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rFonts w:eastAsiaTheme="minorHAnsi"/>
      <w:w w:val="103"/>
      <w:kern w:val="14"/>
      <w:szCs w:val="28"/>
    </w:rPr>
  </w:style>
  <w:style w:type="paragraph" w:customStyle="1" w:styleId="H23">
    <w:name w:val="_ H_2/3"/>
    <w:basedOn w:val="H1"/>
    <w:next w:val="SingleTxt"/>
    <w:qFormat/>
    <w:rsid w:val="0072308B"/>
    <w:pPr>
      <w:suppressAutoHyphens/>
      <w:spacing w:line="360" w:lineRule="exact"/>
      <w:jc w:val="mediumKashida"/>
      <w:outlineLvl w:val="1"/>
    </w:pPr>
    <w:rPr>
      <w:spacing w:val="2"/>
      <w:sz w:val="20"/>
      <w:szCs w:val="28"/>
    </w:rPr>
  </w:style>
  <w:style w:type="paragraph" w:customStyle="1" w:styleId="AgendaTitleH2">
    <w:name w:val="Agenda_Title_H2"/>
    <w:basedOn w:val="Normal"/>
    <w:next w:val="Normal"/>
    <w:qFormat/>
    <w:rsid w:val="0072308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line="400" w:lineRule="exact"/>
      <w:outlineLvl w:val="1"/>
    </w:pPr>
    <w:rPr>
      <w:rFonts w:eastAsiaTheme="minorHAnsi"/>
      <w:b/>
      <w:bCs/>
      <w:kern w:val="14"/>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FAB527-0D66-4301-9496-2944F341E6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2</TotalTime>
  <Pages>10</Pages>
  <Words>3279</Words>
  <Characters>18040</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CAT/C/CZE/CO/6</vt:lpstr>
    </vt:vector>
  </TitlesOfParts>
  <Company>DCM</Company>
  <LinksUpToDate>false</LinksUpToDate>
  <CharactersWithSpaces>21277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CAT/C/CZE/CO/6</dc:title>
  <dc:subject>GE.1809127A</dc:subject>
  <dc:creator>MBU. EEL</dc:creator>
  <cp:keywords>ODS No.1817115</cp:keywords>
  <dc:description>Distribution:_x000d_
Original: English_x000d_
Date: 6 June 2018</dc:description>
  <cp:lastModifiedBy>Muntoha Buhnam</cp:lastModifiedBy>
  <cp:revision>3</cp:revision>
  <cp:lastPrinted>2018-06-14T12:50:00Z</cp:lastPrinted>
  <dcterms:created xsi:type="dcterms:W3CDTF">2018-06-14T12:50:00Z</dcterms:created>
  <dcterms:modified xsi:type="dcterms:W3CDTF">2018-06-14T12:52:00Z</dcterms:modified>
  <cp:category>Final</cp:category>
</cp:coreProperties>
</file>